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463.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1.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353.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42.xml" ContentType="application/vnd.openxmlformats-officedocument.wordprocessingml.footer+xml"/>
  <Override PartName="/word/theme/theme1.xml" ContentType="application/vnd.openxmlformats-officedocument.theme+xml"/>
  <Override PartName="/word/footer397.xml" ContentType="application/vnd.openxmlformats-officedocument.wordprocessingml.footer+xml"/>
  <Override PartName="/word/footer435.xml" ContentType="application/vnd.openxmlformats-officedocument.wordprocessingml.footer+xml"/>
  <Override PartName="/word/footer472.xml" ContentType="application/vnd.openxmlformats-officedocument.wordprocessingml.footer+xml"/>
  <Override PartName="/word/footer469.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2.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شرح تبصره المتعلمین جلد </w:t>
      </w:r>
      <w:r>
        <w:rPr/>
        <w:t>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320686_2314609296">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3320688_2314609296">
            <w:r>
              <w:rPr>
                <w:webHidden/>
                <w:rStyle w:val="IndexLink"/>
                <w:rtl w:val="true"/>
              </w:rPr>
              <w:t>[</w:t>
            </w:r>
            <w:r>
              <w:rPr>
                <w:rStyle w:val="IndexLink"/>
                <w:rtl w:val="true"/>
              </w:rPr>
              <w:t>تتمة كتاب الحج</w:t>
            </w:r>
            <w:r>
              <w:rPr>
                <w:rStyle w:val="IndexLink"/>
                <w:rtl w:val="true"/>
              </w:rPr>
              <w:t>]</w:t>
              <w:tab/>
            </w:r>
            <w:r>
              <w:rPr>
                <w:rStyle w:val="IndexLink"/>
              </w:rPr>
              <w:t>8</w:t>
            </w:r>
          </w:hyperlink>
        </w:p>
        <w:p>
          <w:pPr>
            <w:pStyle w:val="Contents3"/>
            <w:tabs>
              <w:tab w:val="clear" w:pos="8459"/>
              <w:tab w:val="right" w:pos="9026" w:leader="dot"/>
            </w:tabs>
            <w:rPr/>
          </w:pPr>
          <w:hyperlink w:anchor="__RefHeading___Toc3320690_2314609296">
            <w:r>
              <w:rPr>
                <w:webHidden/>
                <w:rStyle w:val="IndexLink"/>
                <w:rtl w:val="true"/>
              </w:rPr>
              <w:t>اشارة</w:t>
            </w:r>
            <w:r>
              <w:rPr>
                <w:rStyle w:val="IndexLink"/>
                <w:rtl w:val="true"/>
              </w:rPr>
              <w:tab/>
            </w:r>
            <w:r>
              <w:rPr>
                <w:rStyle w:val="IndexLink"/>
              </w:rPr>
              <w:t>8</w:t>
            </w:r>
          </w:hyperlink>
        </w:p>
        <w:p>
          <w:pPr>
            <w:pStyle w:val="Contents3"/>
            <w:tabs>
              <w:tab w:val="clear" w:pos="8459"/>
              <w:tab w:val="right" w:pos="9026" w:leader="dot"/>
            </w:tabs>
            <w:rPr/>
          </w:pPr>
          <w:hyperlink w:anchor="__RefHeading___Toc3320692_2314609296">
            <w:r>
              <w:rPr>
                <w:webHidden/>
                <w:rStyle w:val="IndexLink"/>
                <w:rtl w:val="true"/>
              </w:rPr>
              <w:t>الباب الخامس في كفارات الإحرام</w:t>
            </w:r>
            <w:r>
              <w:rPr>
                <w:rStyle w:val="IndexLink"/>
                <w:rtl w:val="true"/>
              </w:rPr>
              <w:tab/>
            </w:r>
            <w:r>
              <w:rPr>
                <w:rStyle w:val="IndexLink"/>
              </w:rPr>
              <w:t>9</w:t>
            </w:r>
          </w:hyperlink>
        </w:p>
        <w:p>
          <w:pPr>
            <w:pStyle w:val="Contents4"/>
            <w:tabs>
              <w:tab w:val="clear" w:pos="8176"/>
              <w:tab w:val="right" w:pos="9026" w:leader="dot"/>
            </w:tabs>
            <w:rPr/>
          </w:pPr>
          <w:hyperlink w:anchor="__RefHeading___Toc3320694_2314609296">
            <w:r>
              <w:rPr>
                <w:webHidden/>
                <w:rStyle w:val="IndexLink"/>
                <w:rtl w:val="true"/>
              </w:rPr>
              <w:t>اشارة</w:t>
            </w:r>
            <w:r>
              <w:rPr>
                <w:rStyle w:val="IndexLink"/>
                <w:rtl w:val="true"/>
              </w:rPr>
              <w:tab/>
            </w:r>
            <w:r>
              <w:rPr>
                <w:rStyle w:val="IndexLink"/>
              </w:rPr>
              <w:t>9</w:t>
            </w:r>
          </w:hyperlink>
        </w:p>
        <w:p>
          <w:pPr>
            <w:pStyle w:val="Contents4"/>
            <w:tabs>
              <w:tab w:val="clear" w:pos="8176"/>
              <w:tab w:val="right" w:pos="9026" w:leader="dot"/>
            </w:tabs>
            <w:rPr/>
          </w:pPr>
          <w:hyperlink w:anchor="__RefHeading___Toc3320696_2314609296">
            <w:r>
              <w:rPr>
                <w:webHidden/>
                <w:rStyle w:val="IndexLink"/>
                <w:rtl w:val="true"/>
              </w:rPr>
              <w:t>(</w:t>
            </w:r>
            <w:r>
              <w:rPr>
                <w:rStyle w:val="IndexLink"/>
                <w:rtl w:val="true"/>
              </w:rPr>
              <w:t>الأول</w:t>
            </w:r>
            <w:r>
              <w:rPr>
                <w:rStyle w:val="IndexLink"/>
                <w:rtl w:val="true"/>
              </w:rPr>
              <w:t>): (</w:t>
            </w:r>
            <w:r>
              <w:rPr>
                <w:rStyle w:val="IndexLink"/>
                <w:rtl w:val="true"/>
              </w:rPr>
              <w:t>في كفارة الصيد،</w:t>
            </w:r>
            <w:r>
              <w:rPr>
                <w:rStyle w:val="IndexLink"/>
                <w:rtl w:val="true"/>
              </w:rPr>
              <w:tab/>
            </w:r>
            <w:r>
              <w:rPr>
                <w:rStyle w:val="IndexLink"/>
              </w:rPr>
              <w:t>9</w:t>
            </w:r>
          </w:hyperlink>
        </w:p>
        <w:p>
          <w:pPr>
            <w:pStyle w:val="Contents5"/>
            <w:tabs>
              <w:tab w:val="clear" w:pos="7892"/>
              <w:tab w:val="right" w:pos="9026" w:leader="dot"/>
            </w:tabs>
            <w:rPr/>
          </w:pPr>
          <w:hyperlink w:anchor="__RefHeading___Toc3320698_2314609296">
            <w:r>
              <w:rPr>
                <w:webHidden/>
                <w:rStyle w:val="IndexLink"/>
                <w:rtl w:val="true"/>
              </w:rPr>
              <w:t>اشارة</w:t>
            </w:r>
            <w:r>
              <w:rPr>
                <w:rStyle w:val="IndexLink"/>
                <w:rtl w:val="true"/>
              </w:rPr>
              <w:tab/>
            </w:r>
            <w:r>
              <w:rPr>
                <w:rStyle w:val="IndexLink"/>
              </w:rPr>
              <w:t>9</w:t>
            </w:r>
          </w:hyperlink>
        </w:p>
        <w:p>
          <w:pPr>
            <w:pStyle w:val="Contents5"/>
            <w:tabs>
              <w:tab w:val="clear" w:pos="7892"/>
              <w:tab w:val="right" w:pos="9026" w:leader="dot"/>
            </w:tabs>
            <w:rPr/>
          </w:pPr>
          <w:hyperlink w:anchor="__RefHeading___Toc3320700_2314609296">
            <w:r>
              <w:rPr>
                <w:webHidden/>
                <w:rStyle w:val="IndexLink"/>
                <w:rtl w:val="true"/>
              </w:rPr>
              <w:t>(</w:t>
            </w:r>
            <w:r>
              <w:rPr>
                <w:rStyle w:val="IndexLink"/>
                <w:rtl w:val="true"/>
              </w:rPr>
              <w:t>ففي النعامة بدنة</w:t>
            </w:r>
            <w:r>
              <w:rPr>
                <w:rStyle w:val="IndexLink"/>
                <w:rtl w:val="true"/>
              </w:rPr>
              <w:t>)</w:t>
            </w:r>
            <w:r>
              <w:rPr>
                <w:rStyle w:val="IndexLink"/>
                <w:rtl w:val="true"/>
              </w:rPr>
              <w:t>،</w:t>
            </w:r>
            <w:r>
              <w:rPr>
                <w:rStyle w:val="IndexLink"/>
                <w:rtl w:val="true"/>
              </w:rPr>
              <w:tab/>
            </w:r>
            <w:r>
              <w:rPr>
                <w:rStyle w:val="IndexLink"/>
              </w:rPr>
              <w:t>21</w:t>
            </w:r>
          </w:hyperlink>
        </w:p>
        <w:p>
          <w:pPr>
            <w:pStyle w:val="Contents5"/>
            <w:tabs>
              <w:tab w:val="clear" w:pos="7892"/>
              <w:tab w:val="right" w:pos="9026" w:leader="dot"/>
            </w:tabs>
            <w:rPr/>
          </w:pPr>
          <w:hyperlink w:anchor="__RefHeading___Toc3320702_2314609296">
            <w:r>
              <w:rPr>
                <w:webHidden/>
                <w:rStyle w:val="IndexLink"/>
                <w:rtl w:val="true"/>
              </w:rPr>
              <w:t>و في بقرة الوحش و حماره بقرة</w:t>
            </w:r>
            <w:r>
              <w:rPr>
                <w:rStyle w:val="IndexLink"/>
                <w:rtl w:val="true"/>
              </w:rPr>
              <w:tab/>
            </w:r>
            <w:r>
              <w:rPr>
                <w:rStyle w:val="IndexLink"/>
              </w:rPr>
              <w:t>24</w:t>
            </w:r>
          </w:hyperlink>
        </w:p>
        <w:p>
          <w:pPr>
            <w:pStyle w:val="Contents5"/>
            <w:tabs>
              <w:tab w:val="clear" w:pos="7892"/>
              <w:tab w:val="right" w:pos="9026" w:leader="dot"/>
            </w:tabs>
            <w:rPr/>
          </w:pPr>
          <w:hyperlink w:anchor="__RefHeading___Toc3320704_2314609296">
            <w:r>
              <w:rPr>
                <w:webHidden/>
                <w:rStyle w:val="IndexLink"/>
                <w:rtl w:val="true"/>
              </w:rPr>
              <w:t>و في الظبي و الثعلب و الأرنب شاة،</w:t>
            </w:r>
            <w:r>
              <w:rPr>
                <w:rStyle w:val="IndexLink"/>
                <w:rtl w:val="true"/>
              </w:rPr>
              <w:tab/>
            </w:r>
            <w:r>
              <w:rPr>
                <w:rStyle w:val="IndexLink"/>
              </w:rPr>
              <w:t>27</w:t>
            </w:r>
          </w:hyperlink>
        </w:p>
        <w:p>
          <w:pPr>
            <w:pStyle w:val="Contents5"/>
            <w:tabs>
              <w:tab w:val="clear" w:pos="7892"/>
              <w:tab w:val="right" w:pos="9026" w:leader="dot"/>
            </w:tabs>
            <w:rPr/>
          </w:pPr>
          <w:hyperlink w:anchor="__RefHeading___Toc3320706_2314609296">
            <w:r>
              <w:rPr>
                <w:webHidden/>
                <w:rStyle w:val="IndexLink"/>
                <w:rtl w:val="true"/>
              </w:rPr>
              <w:t>و في كسر بيض النعامة إذ تحرك الفرخ، لكل بيض بكرة من الإبل،</w:t>
            </w:r>
            <w:r>
              <w:rPr>
                <w:rStyle w:val="IndexLink"/>
                <w:rtl w:val="true"/>
              </w:rPr>
              <w:tab/>
            </w:r>
            <w:r>
              <w:rPr>
                <w:rStyle w:val="IndexLink"/>
              </w:rPr>
              <w:t>29</w:t>
            </w:r>
          </w:hyperlink>
        </w:p>
        <w:p>
          <w:pPr>
            <w:pStyle w:val="Contents5"/>
            <w:tabs>
              <w:tab w:val="clear" w:pos="7892"/>
              <w:tab w:val="right" w:pos="9026" w:leader="dot"/>
            </w:tabs>
            <w:rPr/>
          </w:pPr>
          <w:hyperlink w:anchor="__RefHeading___Toc3320708_2314609296">
            <w:r>
              <w:rPr>
                <w:webHidden/>
                <w:rStyle w:val="IndexLink"/>
                <w:rtl w:val="true"/>
              </w:rPr>
              <w:t>و في بيض القطا و القبج إذا تحرك الفرخ لكل بيضة من صغار الغنم،</w:t>
            </w:r>
            <w:r>
              <w:rPr>
                <w:rStyle w:val="IndexLink"/>
                <w:rtl w:val="true"/>
              </w:rPr>
              <w:tab/>
            </w:r>
            <w:r>
              <w:rPr>
                <w:rStyle w:val="IndexLink"/>
              </w:rPr>
              <w:t>31</w:t>
            </w:r>
          </w:hyperlink>
        </w:p>
        <w:p>
          <w:pPr>
            <w:pStyle w:val="Contents5"/>
            <w:tabs>
              <w:tab w:val="clear" w:pos="7892"/>
              <w:tab w:val="right" w:pos="9026" w:leader="dot"/>
            </w:tabs>
            <w:rPr/>
          </w:pPr>
          <w:hyperlink w:anchor="__RefHeading___Toc3320710_2314609296">
            <w:r>
              <w:rPr>
                <w:webHidden/>
                <w:rStyle w:val="IndexLink"/>
                <w:rtl w:val="true"/>
              </w:rPr>
              <w:t>و في الحمامة</w:t>
            </w:r>
            <w:r>
              <w:rPr>
                <w:rStyle w:val="IndexLink"/>
                <w:rtl w:val="true"/>
              </w:rPr>
              <w:tab/>
            </w:r>
            <w:r>
              <w:rPr>
                <w:rStyle w:val="IndexLink"/>
              </w:rPr>
              <w:t>34</w:t>
            </w:r>
          </w:hyperlink>
        </w:p>
        <w:p>
          <w:pPr>
            <w:pStyle w:val="Contents5"/>
            <w:tabs>
              <w:tab w:val="clear" w:pos="7892"/>
              <w:tab w:val="right" w:pos="9026" w:leader="dot"/>
            </w:tabs>
            <w:rPr/>
          </w:pPr>
          <w:hyperlink w:anchor="__RefHeading___Toc3320712_2314609296">
            <w:r>
              <w:rPr>
                <w:webHidden/>
                <w:rStyle w:val="IndexLink"/>
                <w:rtl w:val="true"/>
              </w:rPr>
              <w:t>و في فرخها حمل، و في بيضها درهم</w:t>
            </w:r>
            <w:r>
              <w:rPr>
                <w:rStyle w:val="IndexLink"/>
                <w:rtl w:val="true"/>
              </w:rPr>
              <w:tab/>
            </w:r>
            <w:r>
              <w:rPr>
                <w:rStyle w:val="IndexLink"/>
              </w:rPr>
              <w:t>34</w:t>
            </w:r>
          </w:hyperlink>
        </w:p>
        <w:p>
          <w:pPr>
            <w:pStyle w:val="Contents5"/>
            <w:tabs>
              <w:tab w:val="clear" w:pos="7892"/>
              <w:tab w:val="right" w:pos="9026" w:leader="dot"/>
            </w:tabs>
            <w:rPr/>
          </w:pPr>
          <w:hyperlink w:anchor="__RefHeading___Toc3320714_2314609296">
            <w:r>
              <w:rPr>
                <w:webHidden/>
                <w:rStyle w:val="IndexLink"/>
                <w:rtl w:val="true"/>
              </w:rPr>
              <w:t>و في الضب و القنفذ و اليربوع جدي</w:t>
            </w:r>
            <w:r>
              <w:rPr>
                <w:rStyle w:val="IndexLink"/>
                <w:rtl w:val="true"/>
              </w:rPr>
              <w:tab/>
            </w:r>
            <w:r>
              <w:rPr>
                <w:rStyle w:val="IndexLink"/>
              </w:rPr>
              <w:t>36</w:t>
            </w:r>
          </w:hyperlink>
        </w:p>
        <w:p>
          <w:pPr>
            <w:pStyle w:val="Contents5"/>
            <w:tabs>
              <w:tab w:val="clear" w:pos="7892"/>
              <w:tab w:val="right" w:pos="9026" w:leader="dot"/>
            </w:tabs>
            <w:rPr/>
          </w:pPr>
          <w:hyperlink w:anchor="__RefHeading___Toc3320716_2314609296">
            <w:r>
              <w:rPr>
                <w:webHidden/>
                <w:rStyle w:val="IndexLink"/>
                <w:rtl w:val="true"/>
              </w:rPr>
              <w:t>و في القطا و الدراج و شبهه حمل فطيم</w:t>
            </w:r>
            <w:r>
              <w:rPr>
                <w:rStyle w:val="IndexLink"/>
                <w:rtl w:val="true"/>
              </w:rPr>
              <w:tab/>
            </w:r>
            <w:r>
              <w:rPr>
                <w:rStyle w:val="IndexLink"/>
              </w:rPr>
              <w:t>37</w:t>
            </w:r>
          </w:hyperlink>
        </w:p>
        <w:p>
          <w:pPr>
            <w:pStyle w:val="Contents5"/>
            <w:tabs>
              <w:tab w:val="clear" w:pos="7892"/>
              <w:tab w:val="right" w:pos="9026" w:leader="dot"/>
            </w:tabs>
            <w:rPr/>
          </w:pPr>
          <w:hyperlink w:anchor="__RefHeading___Toc3320718_2314609296">
            <w:r>
              <w:rPr>
                <w:webHidden/>
                <w:rStyle w:val="IndexLink"/>
                <w:rtl w:val="true"/>
              </w:rPr>
              <w:t>و في العصفور و القبرة و الصعوة مد</w:t>
            </w:r>
            <w:r>
              <w:rPr>
                <w:rStyle w:val="IndexLink"/>
                <w:rtl w:val="true"/>
              </w:rPr>
              <w:tab/>
            </w:r>
            <w:r>
              <w:rPr>
                <w:rStyle w:val="IndexLink"/>
              </w:rPr>
              <w:t>37</w:t>
            </w:r>
          </w:hyperlink>
        </w:p>
        <w:p>
          <w:pPr>
            <w:pStyle w:val="Contents5"/>
            <w:tabs>
              <w:tab w:val="clear" w:pos="7892"/>
              <w:tab w:val="right" w:pos="9026" w:leader="dot"/>
            </w:tabs>
            <w:rPr/>
          </w:pPr>
          <w:hyperlink w:anchor="__RefHeading___Toc3320720_2314609296">
            <w:r>
              <w:rPr>
                <w:webHidden/>
                <w:rStyle w:val="IndexLink"/>
                <w:rtl w:val="true"/>
              </w:rPr>
              <w:t>و في قتل الجرادة و القملة يلقيها من جسده كف من طعام،</w:t>
            </w:r>
            <w:r>
              <w:rPr>
                <w:rStyle w:val="IndexLink"/>
                <w:rtl w:val="true"/>
              </w:rPr>
              <w:tab/>
            </w:r>
            <w:r>
              <w:rPr>
                <w:rStyle w:val="IndexLink"/>
              </w:rPr>
              <w:t>38</w:t>
            </w:r>
          </w:hyperlink>
        </w:p>
        <w:p>
          <w:pPr>
            <w:pStyle w:val="Contents5"/>
            <w:tabs>
              <w:tab w:val="clear" w:pos="7892"/>
              <w:tab w:val="right" w:pos="9026" w:leader="dot"/>
            </w:tabs>
            <w:rPr/>
          </w:pPr>
          <w:hyperlink w:anchor="__RefHeading___Toc3320722_2314609296">
            <w:r>
              <w:rPr>
                <w:webHidden/>
                <w:rStyle w:val="IndexLink"/>
                <w:rtl w:val="true"/>
              </w:rPr>
              <w:t>و في الجراد الكثير شاة</w:t>
            </w:r>
            <w:r>
              <w:rPr>
                <w:rStyle w:val="IndexLink"/>
                <w:rtl w:val="true"/>
              </w:rPr>
              <w:tab/>
            </w:r>
            <w:r>
              <w:rPr>
                <w:rStyle w:val="IndexLink"/>
              </w:rPr>
              <w:t>38</w:t>
            </w:r>
          </w:hyperlink>
        </w:p>
        <w:p>
          <w:pPr>
            <w:pStyle w:val="Contents5"/>
            <w:tabs>
              <w:tab w:val="clear" w:pos="7892"/>
              <w:tab w:val="right" w:pos="9026" w:leader="dot"/>
            </w:tabs>
            <w:rPr/>
          </w:pPr>
          <w:hyperlink w:anchor="__RefHeading___Toc3320724_2314609296">
            <w:r>
              <w:rPr>
                <w:webHidden/>
                <w:rStyle w:val="IndexLink"/>
                <w:rtl w:val="true"/>
              </w:rPr>
              <w:t>بقي في المقام أمران</w:t>
            </w:r>
            <w:r>
              <w:rPr>
                <w:rStyle w:val="IndexLink"/>
                <w:rtl w:val="true"/>
              </w:rPr>
              <w:t>:</w:t>
              <w:tab/>
            </w:r>
            <w:r>
              <w:rPr>
                <w:rStyle w:val="IndexLink"/>
              </w:rPr>
              <w:t>39</w:t>
            </w:r>
          </w:hyperlink>
        </w:p>
        <w:p>
          <w:pPr>
            <w:pStyle w:val="Contents5"/>
            <w:tabs>
              <w:tab w:val="clear" w:pos="7892"/>
              <w:tab w:val="right" w:pos="9026" w:leader="dot"/>
            </w:tabs>
            <w:rPr/>
          </w:pPr>
          <w:hyperlink w:anchor="__RefHeading___Toc3320726_2314609296">
            <w:r>
              <w:rPr>
                <w:webHidden/>
                <w:rStyle w:val="IndexLink"/>
                <w:rtl w:val="true"/>
              </w:rPr>
              <w:t>مسائل</w:t>
            </w:r>
            <w:r>
              <w:rPr>
                <w:rStyle w:val="IndexLink"/>
                <w:rtl w:val="true"/>
              </w:rPr>
              <w:tab/>
            </w:r>
            <w:r>
              <w:rPr>
                <w:rStyle w:val="IndexLink"/>
              </w:rPr>
              <w:t>43</w:t>
            </w:r>
          </w:hyperlink>
        </w:p>
        <w:p>
          <w:pPr>
            <w:pStyle w:val="Contents6"/>
            <w:tabs>
              <w:tab w:val="clear" w:pos="7609"/>
              <w:tab w:val="right" w:pos="9026" w:leader="dot"/>
            </w:tabs>
            <w:rPr/>
          </w:pPr>
          <w:hyperlink w:anchor="__RefHeading___Toc3320728_2314609296">
            <w:r>
              <w:rPr>
                <w:webHidden/>
                <w:rStyle w:val="IndexLink"/>
                <w:rtl w:val="true"/>
              </w:rPr>
              <w:t>الأولى</w:t>
            </w:r>
            <w:r>
              <w:rPr>
                <w:rStyle w:val="IndexLink"/>
                <w:rtl w:val="true"/>
              </w:rPr>
              <w:t xml:space="preserve">: </w:t>
            </w:r>
            <w:r>
              <w:rPr>
                <w:rStyle w:val="IndexLink"/>
                <w:rtl w:val="true"/>
              </w:rPr>
              <w:t>المحرم في الحل يجب عليه الفداء</w:t>
            </w:r>
            <w:r>
              <w:rPr>
                <w:rStyle w:val="IndexLink"/>
                <w:rtl w:val="true"/>
              </w:rPr>
              <w:tab/>
            </w:r>
            <w:r>
              <w:rPr>
                <w:rStyle w:val="IndexLink"/>
              </w:rPr>
              <w:t>43</w:t>
            </w:r>
          </w:hyperlink>
        </w:p>
        <w:p>
          <w:pPr>
            <w:pStyle w:val="Contents6"/>
            <w:tabs>
              <w:tab w:val="clear" w:pos="7609"/>
              <w:tab w:val="right" w:pos="9026" w:leader="dot"/>
            </w:tabs>
            <w:rPr/>
          </w:pPr>
          <w:hyperlink w:anchor="__RefHeading___Toc3320730_2314609296">
            <w:r>
              <w:rPr>
                <w:webHidden/>
                <w:rStyle w:val="IndexLink"/>
                <w:rtl w:val="true"/>
              </w:rPr>
              <w:t>الثانية</w:t>
            </w:r>
            <w:r>
              <w:rPr>
                <w:rStyle w:val="IndexLink"/>
                <w:rtl w:val="true"/>
              </w:rPr>
              <w:t xml:space="preserve">: </w:t>
            </w:r>
            <w:r>
              <w:rPr>
                <w:rStyle w:val="IndexLink"/>
                <w:rtl w:val="true"/>
              </w:rPr>
              <w:t>يضمن الصيد بالقتل عمدا و سهوا و جهلا</w:t>
            </w:r>
            <w:r>
              <w:rPr>
                <w:rStyle w:val="IndexLink"/>
                <w:rtl w:val="true"/>
              </w:rPr>
              <w:tab/>
            </w:r>
            <w:r>
              <w:rPr>
                <w:rStyle w:val="IndexLink"/>
              </w:rPr>
              <w:t>44</w:t>
            </w:r>
          </w:hyperlink>
        </w:p>
        <w:p>
          <w:pPr>
            <w:pStyle w:val="Contents6"/>
            <w:tabs>
              <w:tab w:val="clear" w:pos="7609"/>
              <w:tab w:val="right" w:pos="9026" w:leader="dot"/>
            </w:tabs>
            <w:rPr/>
          </w:pPr>
          <w:hyperlink w:anchor="__RefHeading___Toc3320732_2314609296">
            <w:r>
              <w:rPr>
                <w:webHidden/>
                <w:rStyle w:val="IndexLink"/>
                <w:rtl w:val="true"/>
              </w:rPr>
              <w:t>الثالثة</w:t>
            </w:r>
            <w:r>
              <w:rPr>
                <w:rStyle w:val="IndexLink"/>
                <w:rtl w:val="true"/>
              </w:rPr>
              <w:t xml:space="preserve">: </w:t>
            </w:r>
            <w:r>
              <w:rPr>
                <w:rStyle w:val="IndexLink"/>
                <w:rtl w:val="true"/>
              </w:rPr>
              <w:t>لو اضطر إلى أكل الصيد أو الميتة أكل الصيد</w:t>
            </w:r>
            <w:r>
              <w:rPr>
                <w:rStyle w:val="IndexLink"/>
                <w:rtl w:val="true"/>
              </w:rPr>
              <w:tab/>
            </w:r>
            <w:r>
              <w:rPr>
                <w:rStyle w:val="IndexLink"/>
              </w:rPr>
              <w:t>46</w:t>
            </w:r>
          </w:hyperlink>
        </w:p>
        <w:p>
          <w:pPr>
            <w:pStyle w:val="Contents6"/>
            <w:tabs>
              <w:tab w:val="clear" w:pos="7609"/>
              <w:tab w:val="right" w:pos="9026" w:leader="dot"/>
            </w:tabs>
            <w:rPr/>
          </w:pPr>
          <w:hyperlink w:anchor="__RefHeading___Toc3320734_2314609296">
            <w:r>
              <w:rPr>
                <w:webHidden/>
                <w:rStyle w:val="IndexLink"/>
                <w:rtl w:val="true"/>
              </w:rPr>
              <w:t>الرابعة</w:t>
            </w:r>
            <w:r>
              <w:rPr>
                <w:rStyle w:val="IndexLink"/>
                <w:rtl w:val="true"/>
              </w:rPr>
              <w:t xml:space="preserve">: </w:t>
            </w:r>
            <w:r>
              <w:rPr>
                <w:rStyle w:val="IndexLink"/>
                <w:rtl w:val="true"/>
              </w:rPr>
              <w:t>فداء الصيد المملوك لصاحبه،</w:t>
            </w:r>
            <w:r>
              <w:rPr>
                <w:rStyle w:val="IndexLink"/>
                <w:rtl w:val="true"/>
              </w:rPr>
              <w:tab/>
            </w:r>
            <w:r>
              <w:rPr>
                <w:rStyle w:val="IndexLink"/>
              </w:rPr>
              <w:t>48</w:t>
            </w:r>
          </w:hyperlink>
        </w:p>
        <w:p>
          <w:pPr>
            <w:pStyle w:val="Contents6"/>
            <w:tabs>
              <w:tab w:val="clear" w:pos="7609"/>
              <w:tab w:val="right" w:pos="9026" w:leader="dot"/>
            </w:tabs>
            <w:rPr/>
          </w:pPr>
          <w:hyperlink w:anchor="__RefHeading___Toc3320736_2314609296">
            <w:r>
              <w:rPr>
                <w:webHidden/>
                <w:rStyle w:val="IndexLink"/>
                <w:rtl w:val="true"/>
              </w:rPr>
              <w:t>الخامسة</w:t>
            </w:r>
            <w:r>
              <w:rPr>
                <w:rStyle w:val="IndexLink"/>
                <w:rtl w:val="true"/>
              </w:rPr>
              <w:t xml:space="preserve">: </w:t>
            </w:r>
            <w:r>
              <w:rPr>
                <w:rStyle w:val="IndexLink"/>
                <w:rtl w:val="true"/>
              </w:rPr>
              <w:t>ما يلزمه من الدم في إحرام الحج ينحره بمنى،</w:t>
            </w:r>
            <w:r>
              <w:rPr>
                <w:rStyle w:val="IndexLink"/>
                <w:rtl w:val="true"/>
              </w:rPr>
              <w:tab/>
            </w:r>
            <w:r>
              <w:rPr>
                <w:rStyle w:val="IndexLink"/>
              </w:rPr>
              <w:t>51</w:t>
            </w:r>
          </w:hyperlink>
        </w:p>
        <w:p>
          <w:pPr>
            <w:pStyle w:val="Contents6"/>
            <w:tabs>
              <w:tab w:val="clear" w:pos="7609"/>
              <w:tab w:val="right" w:pos="9026" w:leader="dot"/>
            </w:tabs>
            <w:rPr/>
          </w:pPr>
          <w:hyperlink w:anchor="__RefHeading___Toc3320738_2314609296">
            <w:r>
              <w:rPr>
                <w:webHidden/>
                <w:rStyle w:val="IndexLink"/>
                <w:rtl w:val="true"/>
              </w:rPr>
              <w:t>السادسة</w:t>
            </w:r>
            <w:r>
              <w:rPr>
                <w:rStyle w:val="IndexLink"/>
                <w:rtl w:val="true"/>
              </w:rPr>
              <w:t xml:space="preserve">: </w:t>
            </w:r>
            <w:r>
              <w:rPr>
                <w:rStyle w:val="IndexLink"/>
                <w:rtl w:val="true"/>
              </w:rPr>
              <w:t>حد الحرم بريد في بريد،</w:t>
            </w:r>
            <w:r>
              <w:rPr>
                <w:rStyle w:val="IndexLink"/>
                <w:rtl w:val="true"/>
              </w:rPr>
              <w:tab/>
            </w:r>
            <w:r>
              <w:rPr>
                <w:rStyle w:val="IndexLink"/>
              </w:rPr>
              <w:t>54</w:t>
            </w:r>
          </w:hyperlink>
        </w:p>
        <w:p>
          <w:pPr>
            <w:pStyle w:val="Contents6"/>
            <w:tabs>
              <w:tab w:val="clear" w:pos="7609"/>
              <w:tab w:val="right" w:pos="9026" w:leader="dot"/>
            </w:tabs>
            <w:rPr/>
          </w:pPr>
          <w:hyperlink w:anchor="__RefHeading___Toc3320740_2314609296">
            <w:r>
              <w:rPr>
                <w:webHidden/>
                <w:rStyle w:val="IndexLink"/>
                <w:rtl w:val="true"/>
              </w:rPr>
              <w:t>السابعة</w:t>
            </w:r>
            <w:r>
              <w:rPr>
                <w:rStyle w:val="IndexLink"/>
                <w:rtl w:val="true"/>
              </w:rPr>
              <w:t xml:space="preserve">: </w:t>
            </w:r>
            <w:r>
              <w:rPr>
                <w:rStyle w:val="IndexLink"/>
                <w:rtl w:val="true"/>
              </w:rPr>
              <w:t>لو رمى المحرم صيدا و علم بعدم تأثيره فيه فلا شي‌ء عليه،</w:t>
            </w:r>
            <w:r>
              <w:rPr>
                <w:rStyle w:val="IndexLink"/>
                <w:rtl w:val="true"/>
              </w:rPr>
              <w:tab/>
            </w:r>
            <w:r>
              <w:rPr>
                <w:rStyle w:val="IndexLink"/>
              </w:rPr>
              <w:t>54</w:t>
            </w:r>
          </w:hyperlink>
        </w:p>
        <w:p>
          <w:pPr>
            <w:pStyle w:val="Contents6"/>
            <w:tabs>
              <w:tab w:val="clear" w:pos="7609"/>
              <w:tab w:val="right" w:pos="9026" w:leader="dot"/>
            </w:tabs>
            <w:rPr/>
          </w:pPr>
          <w:hyperlink w:anchor="__RefHeading___Toc3320742_2314609296">
            <w:r>
              <w:rPr>
                <w:webHidden/>
                <w:rStyle w:val="IndexLink"/>
                <w:rtl w:val="true"/>
              </w:rPr>
              <w:t>الثامنة</w:t>
            </w:r>
            <w:r>
              <w:rPr>
                <w:rStyle w:val="IndexLink"/>
                <w:rtl w:val="true"/>
              </w:rPr>
              <w:t xml:space="preserve">: </w:t>
            </w:r>
            <w:r>
              <w:rPr>
                <w:rStyle w:val="IndexLink"/>
                <w:rtl w:val="true"/>
              </w:rPr>
              <w:t>قيل يحرم قتل المحل صيدا يؤم الحرم،</w:t>
            </w:r>
            <w:r>
              <w:rPr>
                <w:rStyle w:val="IndexLink"/>
                <w:rtl w:val="true"/>
              </w:rPr>
              <w:tab/>
            </w:r>
            <w:r>
              <w:rPr>
                <w:rStyle w:val="IndexLink"/>
              </w:rPr>
              <w:t>59</w:t>
            </w:r>
          </w:hyperlink>
        </w:p>
        <w:p>
          <w:pPr>
            <w:pStyle w:val="Contents6"/>
            <w:tabs>
              <w:tab w:val="clear" w:pos="7609"/>
              <w:tab w:val="right" w:pos="9026" w:leader="dot"/>
            </w:tabs>
            <w:rPr/>
          </w:pPr>
          <w:hyperlink w:anchor="__RefHeading___Toc3320744_2314609296">
            <w:r>
              <w:rPr>
                <w:webHidden/>
                <w:rStyle w:val="IndexLink"/>
                <w:rtl w:val="true"/>
              </w:rPr>
              <w:t>التاسعة</w:t>
            </w:r>
            <w:r>
              <w:rPr>
                <w:rStyle w:val="IndexLink"/>
                <w:rtl w:val="true"/>
              </w:rPr>
              <w:t xml:space="preserve">: </w:t>
            </w:r>
            <w:r>
              <w:rPr>
                <w:rStyle w:val="IndexLink"/>
                <w:rtl w:val="true"/>
              </w:rPr>
              <w:t>لو ربط صيدا في الحل فدخل الحرم، يجوز إخراجه، حتى من المحل،</w:t>
            </w:r>
            <w:r>
              <w:rPr>
                <w:rStyle w:val="IndexLink"/>
                <w:rtl w:val="true"/>
              </w:rPr>
              <w:tab/>
            </w:r>
            <w:r>
              <w:rPr>
                <w:rStyle w:val="IndexLink"/>
              </w:rPr>
              <w:t>60</w:t>
            </w:r>
          </w:hyperlink>
        </w:p>
        <w:p>
          <w:pPr>
            <w:pStyle w:val="Contents6"/>
            <w:tabs>
              <w:tab w:val="clear" w:pos="7609"/>
              <w:tab w:val="right" w:pos="9026" w:leader="dot"/>
            </w:tabs>
            <w:rPr/>
          </w:pPr>
          <w:hyperlink w:anchor="__RefHeading___Toc3320746_2314609296">
            <w:r>
              <w:rPr>
                <w:webHidden/>
                <w:rStyle w:val="IndexLink"/>
                <w:rtl w:val="true"/>
              </w:rPr>
              <w:t>العاشرة</w:t>
            </w:r>
            <w:r>
              <w:rPr>
                <w:rStyle w:val="IndexLink"/>
                <w:rtl w:val="true"/>
              </w:rPr>
              <w:t xml:space="preserve">: </w:t>
            </w:r>
            <w:r>
              <w:rPr>
                <w:rStyle w:val="IndexLink"/>
                <w:rtl w:val="true"/>
              </w:rPr>
              <w:t>السائق للدابة يضمن ما تجنيه دابته بأي جزء منه،</w:t>
            </w:r>
            <w:r>
              <w:rPr>
                <w:rStyle w:val="IndexLink"/>
                <w:rtl w:val="true"/>
              </w:rPr>
              <w:tab/>
            </w:r>
            <w:r>
              <w:rPr>
                <w:rStyle w:val="IndexLink"/>
              </w:rPr>
              <w:t>62</w:t>
            </w:r>
          </w:hyperlink>
        </w:p>
        <w:p>
          <w:pPr>
            <w:pStyle w:val="Contents6"/>
            <w:tabs>
              <w:tab w:val="clear" w:pos="7609"/>
              <w:tab w:val="right" w:pos="9026" w:leader="dot"/>
            </w:tabs>
            <w:rPr/>
          </w:pPr>
          <w:hyperlink w:anchor="__RefHeading___Toc3320748_2314609296">
            <w:r>
              <w:rPr>
                <w:webHidden/>
                <w:rStyle w:val="IndexLink"/>
                <w:rtl w:val="true"/>
              </w:rPr>
              <w:t>الحادية عشرة</w:t>
            </w:r>
            <w:r>
              <w:rPr>
                <w:rStyle w:val="IndexLink"/>
                <w:rtl w:val="true"/>
              </w:rPr>
              <w:t xml:space="preserve">: </w:t>
            </w:r>
            <w:r>
              <w:rPr>
                <w:rStyle w:val="IndexLink"/>
                <w:rtl w:val="true"/>
              </w:rPr>
              <w:t>من دل على صيد و هو في الحرم مطلقا، أو من المحل في الحرم، فقتل، ضمن،</w:t>
            </w:r>
            <w:r>
              <w:rPr>
                <w:rStyle w:val="IndexLink"/>
                <w:rtl w:val="true"/>
              </w:rPr>
              <w:tab/>
            </w:r>
            <w:r>
              <w:rPr>
                <w:rStyle w:val="IndexLink"/>
              </w:rPr>
              <w:t>63</w:t>
            </w:r>
          </w:hyperlink>
        </w:p>
        <w:p>
          <w:pPr>
            <w:pStyle w:val="Contents6"/>
            <w:tabs>
              <w:tab w:val="clear" w:pos="7609"/>
              <w:tab w:val="right" w:pos="9026" w:leader="dot"/>
            </w:tabs>
            <w:rPr/>
          </w:pPr>
          <w:hyperlink w:anchor="__RefHeading___Toc3320750_2314609296">
            <w:r>
              <w:rPr>
                <w:webHidden/>
                <w:rStyle w:val="IndexLink"/>
                <w:rtl w:val="true"/>
              </w:rPr>
              <w:t>الثانية عشرة</w:t>
            </w:r>
            <w:r>
              <w:rPr>
                <w:rStyle w:val="IndexLink"/>
                <w:rtl w:val="true"/>
              </w:rPr>
              <w:t xml:space="preserve">: </w:t>
            </w:r>
            <w:r>
              <w:rPr>
                <w:rStyle w:val="IndexLink"/>
                <w:rtl w:val="true"/>
              </w:rPr>
              <w:t>إذا قتل المحرم حيوانا، و شك في انه صيد أم غير صيد،</w:t>
            </w:r>
            <w:r>
              <w:rPr>
                <w:rStyle w:val="IndexLink"/>
                <w:rtl w:val="true"/>
              </w:rPr>
              <w:tab/>
            </w:r>
            <w:r>
              <w:rPr>
                <w:rStyle w:val="IndexLink"/>
              </w:rPr>
              <w:t>63</w:t>
            </w:r>
          </w:hyperlink>
        </w:p>
        <w:p>
          <w:pPr>
            <w:pStyle w:val="Contents4"/>
            <w:tabs>
              <w:tab w:val="clear" w:pos="8176"/>
              <w:tab w:val="right" w:pos="9026" w:leader="dot"/>
            </w:tabs>
            <w:rPr/>
          </w:pPr>
          <w:hyperlink w:anchor="__RefHeading___Toc3320752_2314609296">
            <w:r>
              <w:rPr>
                <w:webHidden/>
                <w:rStyle w:val="IndexLink"/>
                <w:rtl w:val="true"/>
              </w:rPr>
              <w:t>الفصل الثاني</w:t>
            </w:r>
            <w:r>
              <w:rPr>
                <w:rStyle w:val="IndexLink"/>
                <w:rtl w:val="true"/>
              </w:rPr>
              <w:t xml:space="preserve">: </w:t>
            </w:r>
            <w:r>
              <w:rPr>
                <w:rStyle w:val="IndexLink"/>
                <w:rtl w:val="true"/>
              </w:rPr>
              <w:t>في باقي المحظورات</w:t>
            </w:r>
            <w:r>
              <w:rPr>
                <w:rStyle w:val="IndexLink"/>
                <w:rtl w:val="true"/>
              </w:rPr>
              <w:tab/>
            </w:r>
            <w:r>
              <w:rPr>
                <w:rStyle w:val="IndexLink"/>
              </w:rPr>
              <w:t>64</w:t>
            </w:r>
          </w:hyperlink>
        </w:p>
        <w:p>
          <w:pPr>
            <w:pStyle w:val="Contents5"/>
            <w:tabs>
              <w:tab w:val="clear" w:pos="7892"/>
              <w:tab w:val="right" w:pos="9026" w:leader="dot"/>
            </w:tabs>
            <w:rPr/>
          </w:pPr>
          <w:hyperlink w:anchor="__RefHeading___Toc3320754_2314609296">
            <w:r>
              <w:rPr>
                <w:webHidden/>
                <w:rStyle w:val="IndexLink"/>
                <w:rtl w:val="true"/>
              </w:rPr>
              <w:t>اشارة</w:t>
            </w:r>
            <w:r>
              <w:rPr>
                <w:rStyle w:val="IndexLink"/>
                <w:rtl w:val="true"/>
              </w:rPr>
              <w:tab/>
            </w:r>
            <w:r>
              <w:rPr>
                <w:rStyle w:val="IndexLink"/>
              </w:rPr>
              <w:t>64</w:t>
            </w:r>
          </w:hyperlink>
        </w:p>
        <w:p>
          <w:pPr>
            <w:pStyle w:val="Contents5"/>
            <w:tabs>
              <w:tab w:val="clear" w:pos="7892"/>
              <w:tab w:val="right" w:pos="9026" w:leader="dot"/>
            </w:tabs>
            <w:rPr/>
          </w:pPr>
          <w:hyperlink w:anchor="__RefHeading___Toc3320756_2314609296">
            <w:r>
              <w:rPr>
                <w:webHidden/>
                <w:rStyle w:val="IndexLink"/>
                <w:rtl w:val="true"/>
              </w:rPr>
              <w:t>(</w:t>
            </w:r>
            <w:r>
              <w:rPr>
                <w:rStyle w:val="IndexLink"/>
                <w:rtl w:val="true"/>
              </w:rPr>
              <w:t>الأولى</w:t>
            </w:r>
            <w:r>
              <w:rPr>
                <w:rStyle w:val="IndexLink"/>
                <w:rtl w:val="true"/>
              </w:rPr>
              <w:t>) (</w:t>
            </w:r>
            <w:r>
              <w:rPr>
                <w:rStyle w:val="IndexLink"/>
                <w:rtl w:val="true"/>
              </w:rPr>
              <w:t>من جامع امرأته قبل الموقفين</w:t>
            </w:r>
            <w:r>
              <w:rPr>
                <w:rStyle w:val="IndexLink"/>
                <w:rtl w:val="true"/>
              </w:rPr>
              <w:t>)</w:t>
              <w:tab/>
            </w:r>
            <w:r>
              <w:rPr>
                <w:rStyle w:val="IndexLink"/>
              </w:rPr>
              <w:t>64</w:t>
            </w:r>
          </w:hyperlink>
        </w:p>
        <w:p>
          <w:pPr>
            <w:pStyle w:val="Contents6"/>
            <w:tabs>
              <w:tab w:val="clear" w:pos="7609"/>
              <w:tab w:val="right" w:pos="9026" w:leader="dot"/>
            </w:tabs>
            <w:rPr/>
          </w:pPr>
          <w:hyperlink w:anchor="__RefHeading___Toc3320758_2314609296">
            <w:r>
              <w:rPr>
                <w:webHidden/>
                <w:rStyle w:val="IndexLink"/>
                <w:rtl w:val="true"/>
              </w:rPr>
              <w:t>اشارة</w:t>
            </w:r>
            <w:r>
              <w:rPr>
                <w:rStyle w:val="IndexLink"/>
                <w:rtl w:val="true"/>
              </w:rPr>
              <w:tab/>
            </w:r>
            <w:r>
              <w:rPr>
                <w:rStyle w:val="IndexLink"/>
              </w:rPr>
              <w:t>64</w:t>
            </w:r>
          </w:hyperlink>
        </w:p>
        <w:p>
          <w:pPr>
            <w:pStyle w:val="Contents6"/>
            <w:tabs>
              <w:tab w:val="clear" w:pos="7609"/>
              <w:tab w:val="right" w:pos="9026" w:leader="dot"/>
            </w:tabs>
            <w:rPr/>
          </w:pPr>
          <w:hyperlink w:anchor="__RefHeading___Toc3320760_2314609296">
            <w:r>
              <w:rPr>
                <w:webHidden/>
                <w:rStyle w:val="IndexLink"/>
                <w:rtl w:val="true"/>
              </w:rPr>
              <w:t>و لو جامع قبل طواف النساء لزمه بدنة و صح حجه،</w:t>
            </w:r>
            <w:r>
              <w:rPr>
                <w:rStyle w:val="IndexLink"/>
                <w:rtl w:val="true"/>
              </w:rPr>
              <w:tab/>
            </w:r>
            <w:r>
              <w:rPr>
                <w:rStyle w:val="IndexLink"/>
              </w:rPr>
              <w:t>69</w:t>
            </w:r>
          </w:hyperlink>
        </w:p>
        <w:p>
          <w:pPr>
            <w:pStyle w:val="Contents6"/>
            <w:tabs>
              <w:tab w:val="clear" w:pos="7609"/>
              <w:tab w:val="right" w:pos="9026" w:leader="dot"/>
            </w:tabs>
            <w:rPr/>
          </w:pPr>
          <w:hyperlink w:anchor="__RefHeading___Toc3320762_2314609296">
            <w:r>
              <w:rPr>
                <w:webHidden/>
                <w:rStyle w:val="IndexLink"/>
                <w:rtl w:val="true"/>
              </w:rPr>
              <w:t>و لو جامع في إحرام العمرة قبل السعي بطلت</w:t>
            </w:r>
            <w:r>
              <w:rPr>
                <w:rStyle w:val="IndexLink"/>
                <w:rtl w:val="true"/>
              </w:rPr>
              <w:tab/>
            </w:r>
            <w:r>
              <w:rPr>
                <w:rStyle w:val="IndexLink"/>
              </w:rPr>
              <w:t>70</w:t>
            </w:r>
          </w:hyperlink>
        </w:p>
        <w:p>
          <w:pPr>
            <w:pStyle w:val="Contents6"/>
            <w:tabs>
              <w:tab w:val="clear" w:pos="7609"/>
              <w:tab w:val="right" w:pos="9026" w:leader="dot"/>
            </w:tabs>
            <w:rPr/>
          </w:pPr>
          <w:hyperlink w:anchor="__RefHeading___Toc3320764_2314609296">
            <w:r>
              <w:rPr>
                <w:webHidden/>
                <w:rStyle w:val="IndexLink"/>
                <w:rtl w:val="true"/>
              </w:rPr>
              <w:t>و لو نظر إلى غير أهله فأمنى كان عليه بدنة،</w:t>
            </w:r>
            <w:r>
              <w:rPr>
                <w:rStyle w:val="IndexLink"/>
                <w:rtl w:val="true"/>
              </w:rPr>
              <w:tab/>
            </w:r>
            <w:r>
              <w:rPr>
                <w:rStyle w:val="IndexLink"/>
              </w:rPr>
              <w:t>75</w:t>
            </w:r>
          </w:hyperlink>
        </w:p>
        <w:p>
          <w:pPr>
            <w:pStyle w:val="Contents6"/>
            <w:tabs>
              <w:tab w:val="clear" w:pos="7609"/>
              <w:tab w:val="right" w:pos="9026" w:leader="dot"/>
            </w:tabs>
            <w:rPr/>
          </w:pPr>
          <w:hyperlink w:anchor="__RefHeading___Toc3320766_2314609296">
            <w:r>
              <w:rPr>
                <w:webHidden/>
                <w:rStyle w:val="IndexLink"/>
                <w:rtl w:val="true"/>
              </w:rPr>
              <w:t>و كذا لو أمنى عند الملاعبة</w:t>
            </w:r>
            <w:r>
              <w:rPr>
                <w:rStyle w:val="IndexLink"/>
                <w:rtl w:val="true"/>
              </w:rPr>
              <w:tab/>
            </w:r>
            <w:r>
              <w:rPr>
                <w:rStyle w:val="IndexLink"/>
              </w:rPr>
              <w:t>77</w:t>
            </w:r>
          </w:hyperlink>
        </w:p>
        <w:p>
          <w:pPr>
            <w:pStyle w:val="Contents6"/>
            <w:tabs>
              <w:tab w:val="clear" w:pos="7609"/>
              <w:tab w:val="right" w:pos="9026" w:leader="dot"/>
            </w:tabs>
            <w:rPr/>
          </w:pPr>
          <w:hyperlink w:anchor="__RefHeading___Toc3320768_2314609296">
            <w:r>
              <w:rPr>
                <w:webHidden/>
                <w:rStyle w:val="IndexLink"/>
                <w:rtl w:val="true"/>
              </w:rPr>
              <w:t>و لو عقد المحرم لمحرم فدخل كان عليهما كفارتان</w:t>
            </w:r>
            <w:r>
              <w:rPr>
                <w:rStyle w:val="IndexLink"/>
                <w:rtl w:val="true"/>
              </w:rPr>
              <w:tab/>
            </w:r>
            <w:r>
              <w:rPr>
                <w:rStyle w:val="IndexLink"/>
              </w:rPr>
              <w:t>81</w:t>
            </w:r>
          </w:hyperlink>
        </w:p>
        <w:p>
          <w:pPr>
            <w:pStyle w:val="Contents5"/>
            <w:tabs>
              <w:tab w:val="clear" w:pos="7892"/>
              <w:tab w:val="right" w:pos="9026" w:leader="dot"/>
            </w:tabs>
            <w:rPr/>
          </w:pPr>
          <w:hyperlink w:anchor="__RefHeading___Toc3320770_2314609296">
            <w:r>
              <w:rPr>
                <w:webHidden/>
                <w:rStyle w:val="IndexLink"/>
                <w:rtl w:val="true"/>
              </w:rPr>
              <w:t>الثانية</w:t>
            </w:r>
            <w:r>
              <w:rPr>
                <w:rStyle w:val="IndexLink"/>
                <w:rtl w:val="true"/>
              </w:rPr>
              <w:t xml:space="preserve">: </w:t>
            </w:r>
            <w:r>
              <w:rPr>
                <w:rStyle w:val="IndexLink"/>
                <w:rtl w:val="true"/>
              </w:rPr>
              <w:t>من تطيّب لزمه شاة،</w:t>
            </w:r>
            <w:r>
              <w:rPr>
                <w:rStyle w:val="IndexLink"/>
                <w:rtl w:val="true"/>
              </w:rPr>
              <w:tab/>
            </w:r>
            <w:r>
              <w:rPr>
                <w:rStyle w:val="IndexLink"/>
              </w:rPr>
              <w:t>81</w:t>
            </w:r>
          </w:hyperlink>
        </w:p>
        <w:p>
          <w:pPr>
            <w:pStyle w:val="Contents5"/>
            <w:tabs>
              <w:tab w:val="clear" w:pos="7892"/>
              <w:tab w:val="right" w:pos="9026" w:leader="dot"/>
            </w:tabs>
            <w:rPr/>
          </w:pPr>
          <w:hyperlink w:anchor="__RefHeading___Toc3320772_2314609296">
            <w:r>
              <w:rPr>
                <w:webHidden/>
                <w:rStyle w:val="IndexLink"/>
                <w:rtl w:val="true"/>
              </w:rPr>
              <w:t>الثالثة</w:t>
            </w:r>
            <w:r>
              <w:rPr>
                <w:rStyle w:val="IndexLink"/>
                <w:rtl w:val="true"/>
              </w:rPr>
              <w:t xml:space="preserve">: </w:t>
            </w:r>
            <w:r>
              <w:rPr>
                <w:rStyle w:val="IndexLink"/>
                <w:rtl w:val="true"/>
              </w:rPr>
              <w:t>في تقليم كل ظفر مد من طعام، و في يديه و رجليه شاة مع اتحاد المجلس، و لو تعدد فشاتان</w:t>
            </w:r>
            <w:r>
              <w:rPr>
                <w:rStyle w:val="IndexLink"/>
                <w:rtl w:val="true"/>
              </w:rPr>
              <w:tab/>
            </w:r>
            <w:r>
              <w:rPr>
                <w:rStyle w:val="IndexLink"/>
              </w:rPr>
              <w:t>83</w:t>
            </w:r>
          </w:hyperlink>
        </w:p>
        <w:p>
          <w:pPr>
            <w:pStyle w:val="Contents5"/>
            <w:tabs>
              <w:tab w:val="clear" w:pos="7892"/>
              <w:tab w:val="right" w:pos="9026" w:leader="dot"/>
            </w:tabs>
            <w:rPr/>
          </w:pPr>
          <w:hyperlink w:anchor="__RefHeading___Toc3320774_2314609296">
            <w:r>
              <w:rPr>
                <w:webHidden/>
                <w:rStyle w:val="IndexLink"/>
                <w:rtl w:val="true"/>
              </w:rPr>
              <w:t>الرابعة</w:t>
            </w:r>
            <w:r>
              <w:rPr>
                <w:rStyle w:val="IndexLink"/>
                <w:rtl w:val="true"/>
              </w:rPr>
              <w:t xml:space="preserve">: </w:t>
            </w:r>
            <w:r>
              <w:rPr>
                <w:rStyle w:val="IndexLink"/>
                <w:rtl w:val="true"/>
              </w:rPr>
              <w:t>في لبس المخيط شاة، و إن كان لضرورة</w:t>
            </w:r>
            <w:r>
              <w:rPr>
                <w:rStyle w:val="IndexLink"/>
                <w:rtl w:val="true"/>
              </w:rPr>
              <w:tab/>
            </w:r>
            <w:r>
              <w:rPr>
                <w:rStyle w:val="IndexLink"/>
              </w:rPr>
              <w:t>85</w:t>
            </w:r>
          </w:hyperlink>
        </w:p>
        <w:p>
          <w:pPr>
            <w:pStyle w:val="Contents5"/>
            <w:tabs>
              <w:tab w:val="clear" w:pos="7892"/>
              <w:tab w:val="right" w:pos="9026" w:leader="dot"/>
            </w:tabs>
            <w:rPr/>
          </w:pPr>
          <w:hyperlink w:anchor="__RefHeading___Toc3320776_2314609296">
            <w:r>
              <w:rPr>
                <w:webHidden/>
                <w:rStyle w:val="IndexLink"/>
                <w:rtl w:val="true"/>
              </w:rPr>
              <w:t>الخامسة</w:t>
            </w:r>
            <w:r>
              <w:rPr>
                <w:rStyle w:val="IndexLink"/>
                <w:rtl w:val="true"/>
              </w:rPr>
              <w:t xml:space="preserve">: </w:t>
            </w:r>
            <w:r>
              <w:rPr>
                <w:rStyle w:val="IndexLink"/>
                <w:rtl w:val="true"/>
              </w:rPr>
              <w:t>في حلق الشعر</w:t>
            </w:r>
            <w:r>
              <w:rPr>
                <w:rStyle w:val="IndexLink"/>
                <w:rtl w:val="true"/>
              </w:rPr>
              <w:tab/>
            </w:r>
            <w:r>
              <w:rPr>
                <w:rStyle w:val="IndexLink"/>
              </w:rPr>
              <w:t>86</w:t>
            </w:r>
          </w:hyperlink>
        </w:p>
        <w:p>
          <w:pPr>
            <w:pStyle w:val="Contents5"/>
            <w:tabs>
              <w:tab w:val="clear" w:pos="7892"/>
              <w:tab w:val="right" w:pos="9026" w:leader="dot"/>
            </w:tabs>
            <w:rPr/>
          </w:pPr>
          <w:hyperlink w:anchor="__RefHeading___Toc3320778_2314609296">
            <w:r>
              <w:rPr>
                <w:webHidden/>
                <w:rStyle w:val="IndexLink"/>
                <w:rtl w:val="true"/>
              </w:rPr>
              <w:t>السادسة</w:t>
            </w:r>
            <w:r>
              <w:rPr>
                <w:rStyle w:val="IndexLink"/>
                <w:rtl w:val="true"/>
              </w:rPr>
              <w:t xml:space="preserve">: </w:t>
            </w:r>
            <w:r>
              <w:rPr>
                <w:rStyle w:val="IndexLink"/>
                <w:rtl w:val="true"/>
              </w:rPr>
              <w:t>في التظليل سائرا شاة</w:t>
            </w:r>
            <w:r>
              <w:rPr>
                <w:rStyle w:val="IndexLink"/>
                <w:rtl w:val="true"/>
              </w:rPr>
              <w:tab/>
            </w:r>
            <w:r>
              <w:rPr>
                <w:rStyle w:val="IndexLink"/>
              </w:rPr>
              <w:t>90</w:t>
            </w:r>
          </w:hyperlink>
        </w:p>
        <w:p>
          <w:pPr>
            <w:pStyle w:val="Contents5"/>
            <w:tabs>
              <w:tab w:val="clear" w:pos="7892"/>
              <w:tab w:val="right" w:pos="9026" w:leader="dot"/>
            </w:tabs>
            <w:rPr/>
          </w:pPr>
          <w:hyperlink w:anchor="__RefHeading___Toc3320780_2314609296">
            <w:r>
              <w:rPr>
                <w:webHidden/>
                <w:rStyle w:val="IndexLink"/>
                <w:rtl w:val="true"/>
              </w:rPr>
              <w:t>السابعة</w:t>
            </w:r>
            <w:r>
              <w:rPr>
                <w:rStyle w:val="IndexLink"/>
                <w:rtl w:val="true"/>
              </w:rPr>
              <w:t xml:space="preserve">: </w:t>
            </w:r>
            <w:r>
              <w:rPr>
                <w:rStyle w:val="IndexLink"/>
                <w:rtl w:val="true"/>
              </w:rPr>
              <w:t>في الجدال صادقا ثلاثا شاة،</w:t>
            </w:r>
            <w:r>
              <w:rPr>
                <w:rStyle w:val="IndexLink"/>
                <w:rtl w:val="true"/>
              </w:rPr>
              <w:tab/>
            </w:r>
            <w:r>
              <w:rPr>
                <w:rStyle w:val="IndexLink"/>
              </w:rPr>
              <w:t>93</w:t>
            </w:r>
          </w:hyperlink>
        </w:p>
        <w:p>
          <w:pPr>
            <w:pStyle w:val="Contents5"/>
            <w:tabs>
              <w:tab w:val="clear" w:pos="7892"/>
              <w:tab w:val="right" w:pos="9026" w:leader="dot"/>
            </w:tabs>
            <w:rPr/>
          </w:pPr>
          <w:hyperlink w:anchor="__RefHeading___Toc3320782_2314609296">
            <w:r>
              <w:rPr>
                <w:webHidden/>
                <w:rStyle w:val="IndexLink"/>
                <w:rtl w:val="true"/>
              </w:rPr>
              <w:t>الثامنة</w:t>
            </w:r>
            <w:r>
              <w:rPr>
                <w:rStyle w:val="IndexLink"/>
                <w:rtl w:val="true"/>
              </w:rPr>
              <w:t xml:space="preserve">: </w:t>
            </w:r>
            <w:r>
              <w:rPr>
                <w:rStyle w:val="IndexLink"/>
                <w:rtl w:val="true"/>
              </w:rPr>
              <w:t>في الدهن الطيب و قلع الضرس شاة</w:t>
            </w:r>
            <w:r>
              <w:rPr>
                <w:rStyle w:val="IndexLink"/>
                <w:rtl w:val="true"/>
              </w:rPr>
              <w:tab/>
            </w:r>
            <w:r>
              <w:rPr>
                <w:rStyle w:val="IndexLink"/>
              </w:rPr>
              <w:t>99</w:t>
            </w:r>
          </w:hyperlink>
        </w:p>
        <w:p>
          <w:pPr>
            <w:pStyle w:val="Contents5"/>
            <w:tabs>
              <w:tab w:val="clear" w:pos="7892"/>
              <w:tab w:val="right" w:pos="9026" w:leader="dot"/>
            </w:tabs>
            <w:rPr/>
          </w:pPr>
          <w:hyperlink w:anchor="__RefHeading___Toc3320784_2314609296">
            <w:r>
              <w:rPr>
                <w:webHidden/>
                <w:rStyle w:val="IndexLink"/>
                <w:rtl w:val="true"/>
              </w:rPr>
              <w:t>التاسعة</w:t>
            </w:r>
            <w:r>
              <w:rPr>
                <w:rStyle w:val="IndexLink"/>
                <w:rtl w:val="true"/>
              </w:rPr>
              <w:t xml:space="preserve">: </w:t>
            </w:r>
            <w:r>
              <w:rPr>
                <w:rStyle w:val="IndexLink"/>
                <w:rtl w:val="true"/>
              </w:rPr>
              <w:t>في قلع الشجرة الكبيرة من الحرم بقرة،</w:t>
            </w:r>
            <w:r>
              <w:rPr>
                <w:rStyle w:val="IndexLink"/>
                <w:rtl w:val="true"/>
              </w:rPr>
              <w:tab/>
            </w:r>
            <w:r>
              <w:rPr>
                <w:rStyle w:val="IndexLink"/>
              </w:rPr>
              <w:t>100</w:t>
            </w:r>
          </w:hyperlink>
        </w:p>
        <w:p>
          <w:pPr>
            <w:pStyle w:val="Contents5"/>
            <w:tabs>
              <w:tab w:val="clear" w:pos="7892"/>
              <w:tab w:val="right" w:pos="9026" w:leader="dot"/>
            </w:tabs>
            <w:rPr/>
          </w:pPr>
          <w:hyperlink w:anchor="__RefHeading___Toc3320786_2314609296">
            <w:r>
              <w:rPr>
                <w:webHidden/>
                <w:rStyle w:val="IndexLink"/>
                <w:rtl w:val="true"/>
              </w:rPr>
              <w:t>العاشرة</w:t>
            </w:r>
            <w:r>
              <w:rPr>
                <w:rStyle w:val="IndexLink"/>
                <w:rtl w:val="true"/>
              </w:rPr>
              <w:t xml:space="preserve">: </w:t>
            </w:r>
            <w:r>
              <w:rPr>
                <w:rStyle w:val="IndexLink"/>
                <w:rtl w:val="true"/>
              </w:rPr>
              <w:t>تتكرر الكفارة بتكرر الوطء، و اللبس، مع اختلاف المجلس، و الطيب كذلك</w:t>
            </w:r>
            <w:r>
              <w:rPr>
                <w:rStyle w:val="IndexLink"/>
                <w:rtl w:val="true"/>
              </w:rPr>
              <w:tab/>
            </w:r>
            <w:r>
              <w:rPr>
                <w:rStyle w:val="IndexLink"/>
              </w:rPr>
              <w:t>103</w:t>
            </w:r>
          </w:hyperlink>
        </w:p>
        <w:p>
          <w:pPr>
            <w:pStyle w:val="Contents5"/>
            <w:tabs>
              <w:tab w:val="clear" w:pos="7892"/>
              <w:tab w:val="right" w:pos="9026" w:leader="dot"/>
            </w:tabs>
            <w:rPr/>
          </w:pPr>
          <w:hyperlink w:anchor="__RefHeading___Toc3320788_2314609296">
            <w:r>
              <w:rPr>
                <w:webHidden/>
                <w:rStyle w:val="IndexLink"/>
                <w:rtl w:val="true"/>
              </w:rPr>
              <w:t>الحادي عشر</w:t>
            </w:r>
            <w:r>
              <w:rPr>
                <w:rStyle w:val="IndexLink"/>
                <w:rtl w:val="true"/>
              </w:rPr>
              <w:t xml:space="preserve">: </w:t>
            </w:r>
            <w:r>
              <w:rPr>
                <w:rStyle w:val="IndexLink"/>
                <w:rtl w:val="true"/>
              </w:rPr>
              <w:t>لا كفارة على الجاهل و الناسي إلّا في الصيد</w:t>
            </w:r>
            <w:r>
              <w:rPr>
                <w:rStyle w:val="IndexLink"/>
                <w:rtl w:val="true"/>
              </w:rPr>
              <w:t>.</w:t>
              <w:tab/>
            </w:r>
            <w:r>
              <w:rPr>
                <w:rStyle w:val="IndexLink"/>
              </w:rPr>
              <w:t>104</w:t>
            </w:r>
          </w:hyperlink>
        </w:p>
        <w:p>
          <w:pPr>
            <w:pStyle w:val="Contents3"/>
            <w:tabs>
              <w:tab w:val="clear" w:pos="8459"/>
              <w:tab w:val="right" w:pos="9026" w:leader="dot"/>
            </w:tabs>
            <w:rPr/>
          </w:pPr>
          <w:hyperlink w:anchor="__RefHeading___Toc3320790_2314609296">
            <w:r>
              <w:rPr>
                <w:webHidden/>
                <w:rStyle w:val="IndexLink"/>
                <w:rtl w:val="true"/>
              </w:rPr>
              <w:t>الباب السادس في الطواف</w:t>
            </w:r>
            <w:r>
              <w:rPr>
                <w:rStyle w:val="IndexLink"/>
                <w:rtl w:val="true"/>
              </w:rPr>
              <w:tab/>
            </w:r>
            <w:r>
              <w:rPr>
                <w:rStyle w:val="IndexLink"/>
              </w:rPr>
              <w:t>107</w:t>
            </w:r>
          </w:hyperlink>
        </w:p>
        <w:p>
          <w:pPr>
            <w:pStyle w:val="Contents4"/>
            <w:tabs>
              <w:tab w:val="clear" w:pos="8176"/>
              <w:tab w:val="right" w:pos="9026" w:leader="dot"/>
            </w:tabs>
            <w:rPr/>
          </w:pPr>
          <w:hyperlink w:anchor="__RefHeading___Toc3320792_2314609296">
            <w:r>
              <w:rPr>
                <w:webHidden/>
                <w:rStyle w:val="IndexLink"/>
                <w:rtl w:val="true"/>
              </w:rPr>
              <w:t>اشارة</w:t>
            </w:r>
            <w:r>
              <w:rPr>
                <w:rStyle w:val="IndexLink"/>
                <w:rtl w:val="true"/>
              </w:rPr>
              <w:tab/>
            </w:r>
            <w:r>
              <w:rPr>
                <w:rStyle w:val="IndexLink"/>
              </w:rPr>
              <w:t>107</w:t>
            </w:r>
          </w:hyperlink>
        </w:p>
        <w:p>
          <w:pPr>
            <w:pStyle w:val="Contents4"/>
            <w:tabs>
              <w:tab w:val="clear" w:pos="8176"/>
              <w:tab w:val="right" w:pos="9026" w:leader="dot"/>
            </w:tabs>
            <w:rPr/>
          </w:pPr>
          <w:hyperlink w:anchor="__RefHeading___Toc3320794_2314609296">
            <w:r>
              <w:rPr>
                <w:webHidden/>
                <w:rStyle w:val="IndexLink"/>
                <w:rtl w:val="true"/>
              </w:rPr>
              <w:t>و يشترط فيه أي في الطواف الواجب الطهارة</w:t>
            </w:r>
            <w:r>
              <w:rPr>
                <w:rStyle w:val="IndexLink"/>
                <w:rtl w:val="true"/>
              </w:rPr>
              <w:tab/>
            </w:r>
            <w:r>
              <w:rPr>
                <w:rStyle w:val="IndexLink"/>
              </w:rPr>
              <w:t>109</w:t>
            </w:r>
          </w:hyperlink>
        </w:p>
        <w:p>
          <w:pPr>
            <w:pStyle w:val="Contents4"/>
            <w:tabs>
              <w:tab w:val="clear" w:pos="8176"/>
              <w:tab w:val="right" w:pos="9026" w:leader="dot"/>
            </w:tabs>
            <w:rPr/>
          </w:pPr>
          <w:hyperlink w:anchor="__RefHeading___Toc3320796_2314609296">
            <w:r>
              <w:rPr>
                <w:webHidden/>
                <w:rStyle w:val="IndexLink"/>
                <w:rtl w:val="true"/>
              </w:rPr>
              <w:t>إزالة النجاسة عن الثوب و البدن</w:t>
            </w:r>
            <w:r>
              <w:rPr>
                <w:rStyle w:val="IndexLink"/>
                <w:rtl w:val="true"/>
              </w:rPr>
              <w:tab/>
            </w:r>
            <w:r>
              <w:rPr>
                <w:rStyle w:val="IndexLink"/>
              </w:rPr>
              <w:t>111</w:t>
            </w:r>
          </w:hyperlink>
        </w:p>
        <w:p>
          <w:pPr>
            <w:pStyle w:val="Contents4"/>
            <w:tabs>
              <w:tab w:val="clear" w:pos="8176"/>
              <w:tab w:val="right" w:pos="9026" w:leader="dot"/>
            </w:tabs>
            <w:rPr/>
          </w:pPr>
          <w:hyperlink w:anchor="__RefHeading___Toc3320798_2314609296">
            <w:r>
              <w:rPr>
                <w:webHidden/>
                <w:rStyle w:val="IndexLink"/>
                <w:rtl w:val="true"/>
              </w:rPr>
              <w:t>الختان في الرجل</w:t>
            </w:r>
            <w:r>
              <w:rPr>
                <w:rStyle w:val="IndexLink"/>
                <w:rtl w:val="true"/>
              </w:rPr>
              <w:tab/>
            </w:r>
            <w:r>
              <w:rPr>
                <w:rStyle w:val="IndexLink"/>
              </w:rPr>
              <w:t>112</w:t>
            </w:r>
          </w:hyperlink>
        </w:p>
        <w:p>
          <w:pPr>
            <w:pStyle w:val="Contents4"/>
            <w:tabs>
              <w:tab w:val="clear" w:pos="8176"/>
              <w:tab w:val="right" w:pos="9026" w:leader="dot"/>
            </w:tabs>
            <w:rPr/>
          </w:pPr>
          <w:hyperlink w:anchor="__RefHeading___Toc3320800_2314609296">
            <w:r>
              <w:rPr>
                <w:webHidden/>
                <w:rStyle w:val="IndexLink"/>
                <w:rtl w:val="true"/>
              </w:rPr>
              <w:t>و يجب فيه النية</w:t>
            </w:r>
            <w:r>
              <w:rPr>
                <w:rStyle w:val="IndexLink"/>
                <w:rtl w:val="true"/>
              </w:rPr>
              <w:tab/>
            </w:r>
            <w:r>
              <w:rPr>
                <w:rStyle w:val="IndexLink"/>
              </w:rPr>
              <w:t>114</w:t>
            </w:r>
          </w:hyperlink>
        </w:p>
        <w:p>
          <w:pPr>
            <w:pStyle w:val="Contents4"/>
            <w:tabs>
              <w:tab w:val="clear" w:pos="8176"/>
              <w:tab w:val="right" w:pos="9026" w:leader="dot"/>
            </w:tabs>
            <w:rPr/>
          </w:pPr>
          <w:hyperlink w:anchor="__RefHeading___Toc3320802_2314609296">
            <w:r>
              <w:rPr>
                <w:webHidden/>
                <w:rStyle w:val="IndexLink"/>
                <w:rtl w:val="true"/>
              </w:rPr>
              <w:t>و الطواف سبعة أشواط</w:t>
            </w:r>
            <w:r>
              <w:rPr>
                <w:rStyle w:val="IndexLink"/>
                <w:rtl w:val="true"/>
              </w:rPr>
              <w:tab/>
            </w:r>
            <w:r>
              <w:rPr>
                <w:rStyle w:val="IndexLink"/>
              </w:rPr>
              <w:t>116</w:t>
            </w:r>
          </w:hyperlink>
        </w:p>
        <w:p>
          <w:pPr>
            <w:pStyle w:val="Contents4"/>
            <w:tabs>
              <w:tab w:val="clear" w:pos="8176"/>
              <w:tab w:val="right" w:pos="9026" w:leader="dot"/>
            </w:tabs>
            <w:rPr/>
          </w:pPr>
          <w:hyperlink w:anchor="__RefHeading___Toc3320804_2314609296">
            <w:r>
              <w:rPr>
                <w:webHidden/>
                <w:rStyle w:val="IndexLink"/>
                <w:rtl w:val="true"/>
              </w:rPr>
              <w:t>جعل البيت على يساره</w:t>
            </w:r>
            <w:r>
              <w:rPr>
                <w:rStyle w:val="IndexLink"/>
                <w:rtl w:val="true"/>
              </w:rPr>
              <w:tab/>
            </w:r>
            <w:r>
              <w:rPr>
                <w:rStyle w:val="IndexLink"/>
              </w:rPr>
              <w:t>118</w:t>
            </w:r>
          </w:hyperlink>
        </w:p>
        <w:p>
          <w:pPr>
            <w:pStyle w:val="Contents4"/>
            <w:tabs>
              <w:tab w:val="clear" w:pos="8176"/>
              <w:tab w:val="right" w:pos="9026" w:leader="dot"/>
            </w:tabs>
            <w:rPr/>
          </w:pPr>
          <w:hyperlink w:anchor="__RefHeading___Toc3320806_2314609296">
            <w:r>
              <w:rPr>
                <w:webHidden/>
                <w:rStyle w:val="IndexLink"/>
                <w:rtl w:val="true"/>
              </w:rPr>
              <w:t>إدخال الحجر في طوافه</w:t>
            </w:r>
            <w:r>
              <w:rPr>
                <w:rStyle w:val="IndexLink"/>
                <w:rtl w:val="true"/>
              </w:rPr>
              <w:tab/>
            </w:r>
            <w:r>
              <w:rPr>
                <w:rStyle w:val="IndexLink"/>
              </w:rPr>
              <w:t>119</w:t>
            </w:r>
          </w:hyperlink>
        </w:p>
        <w:p>
          <w:pPr>
            <w:pStyle w:val="Contents4"/>
            <w:tabs>
              <w:tab w:val="clear" w:pos="8176"/>
              <w:tab w:val="right" w:pos="9026" w:leader="dot"/>
            </w:tabs>
            <w:rPr/>
          </w:pPr>
          <w:hyperlink w:anchor="__RefHeading___Toc3320808_2314609296">
            <w:r>
              <w:rPr>
                <w:webHidden/>
                <w:rStyle w:val="IndexLink"/>
                <w:rtl w:val="true"/>
              </w:rPr>
              <w:t>صلاة ركعتين</w:t>
            </w:r>
            <w:r>
              <w:rPr>
                <w:rStyle w:val="IndexLink"/>
                <w:rtl w:val="true"/>
              </w:rPr>
              <w:tab/>
            </w:r>
            <w:r>
              <w:rPr>
                <w:rStyle w:val="IndexLink"/>
              </w:rPr>
              <w:t>121</w:t>
            </w:r>
          </w:hyperlink>
        </w:p>
        <w:p>
          <w:pPr>
            <w:pStyle w:val="Contents4"/>
            <w:tabs>
              <w:tab w:val="clear" w:pos="8176"/>
              <w:tab w:val="right" w:pos="9026" w:leader="dot"/>
            </w:tabs>
            <w:rPr/>
          </w:pPr>
          <w:hyperlink w:anchor="__RefHeading___Toc3320810_2314609296">
            <w:r>
              <w:rPr>
                <w:webHidden/>
                <w:rStyle w:val="IndexLink"/>
                <w:rtl w:val="true"/>
              </w:rPr>
              <w:t>مسائل</w:t>
            </w:r>
            <w:r>
              <w:rPr>
                <w:rStyle w:val="IndexLink"/>
                <w:rtl w:val="true"/>
              </w:rPr>
              <w:tab/>
            </w:r>
            <w:r>
              <w:rPr>
                <w:rStyle w:val="IndexLink"/>
              </w:rPr>
              <w:t>123</w:t>
            </w:r>
          </w:hyperlink>
        </w:p>
        <w:p>
          <w:pPr>
            <w:pStyle w:val="Contents5"/>
            <w:tabs>
              <w:tab w:val="clear" w:pos="7892"/>
              <w:tab w:val="right" w:pos="9026" w:leader="dot"/>
            </w:tabs>
            <w:rPr/>
          </w:pPr>
          <w:hyperlink w:anchor="__RefHeading___Toc3320812_2314609296">
            <w:r>
              <w:rPr>
                <w:webHidden/>
                <w:rStyle w:val="IndexLink"/>
                <w:rtl w:val="true"/>
              </w:rPr>
              <w:t>الاولى</w:t>
            </w:r>
            <w:r>
              <w:rPr>
                <w:rStyle w:val="IndexLink"/>
                <w:rtl w:val="true"/>
              </w:rPr>
              <w:t xml:space="preserve">: </w:t>
            </w:r>
            <w:r>
              <w:rPr>
                <w:rStyle w:val="IndexLink"/>
                <w:rtl w:val="true"/>
              </w:rPr>
              <w:t>انه لو نسي الصلاة، فمع التمكن من العود رجع الى المقام،</w:t>
            </w:r>
            <w:r>
              <w:rPr>
                <w:rStyle w:val="IndexLink"/>
                <w:rtl w:val="true"/>
              </w:rPr>
              <w:tab/>
            </w:r>
            <w:r>
              <w:rPr>
                <w:rStyle w:val="IndexLink"/>
              </w:rPr>
              <w:t>123</w:t>
            </w:r>
          </w:hyperlink>
        </w:p>
        <w:p>
          <w:pPr>
            <w:pStyle w:val="Contents5"/>
            <w:tabs>
              <w:tab w:val="clear" w:pos="7892"/>
              <w:tab w:val="right" w:pos="9026" w:leader="dot"/>
            </w:tabs>
            <w:rPr/>
          </w:pPr>
          <w:hyperlink w:anchor="__RefHeading___Toc3320814_2314609296">
            <w:r>
              <w:rPr>
                <w:webHidden/>
                <w:rStyle w:val="IndexLink"/>
                <w:rtl w:val="true"/>
              </w:rPr>
              <w:t>الثانية</w:t>
            </w:r>
            <w:r>
              <w:rPr>
                <w:rStyle w:val="IndexLink"/>
                <w:rtl w:val="true"/>
              </w:rPr>
              <w:t xml:space="preserve">: </w:t>
            </w:r>
            <w:r>
              <w:rPr>
                <w:rStyle w:val="IndexLink"/>
                <w:rtl w:val="true"/>
              </w:rPr>
              <w:t>الزيادة عمدا على سبعة أشواط في الطواف مبطلة،</w:t>
            </w:r>
            <w:r>
              <w:rPr>
                <w:rStyle w:val="IndexLink"/>
                <w:rtl w:val="true"/>
              </w:rPr>
              <w:tab/>
            </w:r>
            <w:r>
              <w:rPr>
                <w:rStyle w:val="IndexLink"/>
              </w:rPr>
              <w:t>125</w:t>
            </w:r>
          </w:hyperlink>
        </w:p>
        <w:p>
          <w:pPr>
            <w:pStyle w:val="Contents5"/>
            <w:tabs>
              <w:tab w:val="clear" w:pos="7892"/>
              <w:tab w:val="right" w:pos="9026" w:leader="dot"/>
            </w:tabs>
            <w:rPr/>
          </w:pPr>
          <w:hyperlink w:anchor="__RefHeading___Toc3320816_2314609296">
            <w:r>
              <w:rPr>
                <w:webHidden/>
                <w:rStyle w:val="IndexLink"/>
                <w:rtl w:val="true"/>
              </w:rPr>
              <w:t>المسألة الثالثة التي بنينا على التعرض لها،</w:t>
            </w:r>
            <w:r>
              <w:rPr>
                <w:rStyle w:val="IndexLink"/>
                <w:rtl w:val="true"/>
              </w:rPr>
              <w:tab/>
            </w:r>
            <w:r>
              <w:rPr>
                <w:rStyle w:val="IndexLink"/>
              </w:rPr>
              <w:t>133</w:t>
            </w:r>
          </w:hyperlink>
        </w:p>
        <w:p>
          <w:pPr>
            <w:pStyle w:val="Contents5"/>
            <w:tabs>
              <w:tab w:val="clear" w:pos="7892"/>
              <w:tab w:val="right" w:pos="9026" w:leader="dot"/>
            </w:tabs>
            <w:rPr/>
          </w:pPr>
          <w:hyperlink w:anchor="__RefHeading___Toc3320818_2314609296">
            <w:r>
              <w:rPr>
                <w:webHidden/>
                <w:rStyle w:val="IndexLink"/>
                <w:rtl w:val="true"/>
              </w:rPr>
              <w:t>المسألة الرابعة</w:t>
            </w:r>
            <w:r>
              <w:rPr>
                <w:rStyle w:val="IndexLink"/>
                <w:rtl w:val="true"/>
              </w:rPr>
              <w:t xml:space="preserve">: </w:t>
            </w:r>
            <w:r>
              <w:rPr>
                <w:rStyle w:val="IndexLink"/>
                <w:rtl w:val="true"/>
              </w:rPr>
              <w:t>وقت الطواف للزيارة في العمرة المفردة طول العمر،</w:t>
            </w:r>
            <w:r>
              <w:rPr>
                <w:rStyle w:val="IndexLink"/>
                <w:rtl w:val="true"/>
              </w:rPr>
              <w:tab/>
            </w:r>
            <w:r>
              <w:rPr>
                <w:rStyle w:val="IndexLink"/>
              </w:rPr>
              <w:t>137</w:t>
            </w:r>
          </w:hyperlink>
        </w:p>
        <w:p>
          <w:pPr>
            <w:pStyle w:val="Contents4"/>
            <w:tabs>
              <w:tab w:val="clear" w:pos="8176"/>
              <w:tab w:val="right" w:pos="9026" w:leader="dot"/>
            </w:tabs>
            <w:rPr/>
          </w:pPr>
          <w:hyperlink w:anchor="__RefHeading___Toc3320820_2314609296">
            <w:r>
              <w:rPr>
                <w:webHidden/>
                <w:rStyle w:val="IndexLink"/>
                <w:rtl w:val="true"/>
              </w:rPr>
              <w:t>و يستحب فيه أي في الطواف الدعاء عند الدخول إلى مكة</w:t>
            </w:r>
            <w:r>
              <w:rPr>
                <w:rStyle w:val="IndexLink"/>
                <w:rtl w:val="true"/>
              </w:rPr>
              <w:tab/>
            </w:r>
            <w:r>
              <w:rPr>
                <w:rStyle w:val="IndexLink"/>
              </w:rPr>
              <w:t>138</w:t>
            </w:r>
          </w:hyperlink>
        </w:p>
        <w:p>
          <w:pPr>
            <w:pStyle w:val="Contents4"/>
            <w:tabs>
              <w:tab w:val="clear" w:pos="8176"/>
              <w:tab w:val="right" w:pos="9026" w:leader="dot"/>
            </w:tabs>
            <w:rPr/>
          </w:pPr>
          <w:hyperlink w:anchor="__RefHeading___Toc3320822_2314609296">
            <w:r>
              <w:rPr>
                <w:webHidden/>
                <w:rStyle w:val="IndexLink"/>
                <w:rtl w:val="true"/>
              </w:rPr>
              <w:t>بقي الكلام في أحكام الطواف،</w:t>
            </w:r>
            <w:r>
              <w:rPr>
                <w:rStyle w:val="IndexLink"/>
                <w:rtl w:val="true"/>
              </w:rPr>
              <w:tab/>
            </w:r>
            <w:r>
              <w:rPr>
                <w:rStyle w:val="IndexLink"/>
              </w:rPr>
              <w:t>141</w:t>
            </w:r>
          </w:hyperlink>
        </w:p>
        <w:p>
          <w:pPr>
            <w:pStyle w:val="Contents4"/>
            <w:tabs>
              <w:tab w:val="clear" w:pos="8176"/>
              <w:tab w:val="right" w:pos="9026" w:leader="dot"/>
            </w:tabs>
            <w:rPr/>
          </w:pPr>
          <w:hyperlink w:anchor="__RefHeading___Toc3320824_2314609296">
            <w:r>
              <w:rPr>
                <w:webHidden/>
                <w:rStyle w:val="IndexLink"/>
                <w:rtl w:val="true"/>
              </w:rPr>
              <w:t>و لو شك في عدده بعد الانصراف لم يلتفت</w:t>
            </w:r>
            <w:r>
              <w:rPr>
                <w:rStyle w:val="IndexLink"/>
                <w:rtl w:val="true"/>
              </w:rPr>
              <w:tab/>
            </w:r>
            <w:r>
              <w:rPr>
                <w:rStyle w:val="IndexLink"/>
              </w:rPr>
              <w:t>148</w:t>
            </w:r>
          </w:hyperlink>
        </w:p>
        <w:p>
          <w:pPr>
            <w:pStyle w:val="Contents4"/>
            <w:tabs>
              <w:tab w:val="clear" w:pos="8176"/>
              <w:tab w:val="right" w:pos="9026" w:leader="dot"/>
            </w:tabs>
            <w:rPr/>
          </w:pPr>
          <w:hyperlink w:anchor="__RefHeading___Toc3320826_2314609296">
            <w:r>
              <w:rPr>
                <w:webHidden/>
                <w:rStyle w:val="IndexLink"/>
                <w:rtl w:val="true"/>
              </w:rPr>
              <w:t>و لو ذكر في طواف الفريضة عدم الطهارة أعاد</w:t>
            </w:r>
            <w:r>
              <w:rPr>
                <w:rStyle w:val="IndexLink"/>
                <w:rtl w:val="true"/>
              </w:rPr>
              <w:tab/>
            </w:r>
            <w:r>
              <w:rPr>
                <w:rStyle w:val="IndexLink"/>
              </w:rPr>
              <w:t>150</w:t>
            </w:r>
          </w:hyperlink>
        </w:p>
        <w:p>
          <w:pPr>
            <w:pStyle w:val="Contents4"/>
            <w:tabs>
              <w:tab w:val="clear" w:pos="8176"/>
              <w:tab w:val="right" w:pos="9026" w:leader="dot"/>
            </w:tabs>
            <w:rPr/>
          </w:pPr>
          <w:hyperlink w:anchor="__RefHeading___Toc3320828_2314609296">
            <w:r>
              <w:rPr>
                <w:webHidden/>
                <w:rStyle w:val="IndexLink"/>
                <w:rtl w:val="true"/>
              </w:rPr>
              <w:t>و لو نقص من طوافه و قد تجاوز النصف أتم</w:t>
            </w:r>
            <w:r>
              <w:rPr>
                <w:rStyle w:val="IndexLink"/>
                <w:rtl w:val="true"/>
              </w:rPr>
              <w:tab/>
            </w:r>
            <w:r>
              <w:rPr>
                <w:rStyle w:val="IndexLink"/>
              </w:rPr>
              <w:t>153</w:t>
            </w:r>
          </w:hyperlink>
        </w:p>
        <w:p>
          <w:pPr>
            <w:pStyle w:val="Contents4"/>
            <w:tabs>
              <w:tab w:val="clear" w:pos="8176"/>
              <w:tab w:val="right" w:pos="9026" w:leader="dot"/>
            </w:tabs>
            <w:rPr/>
          </w:pPr>
          <w:hyperlink w:anchor="__RefHeading___Toc3320830_2314609296">
            <w:r>
              <w:rPr>
                <w:webHidden/>
                <w:rStyle w:val="IndexLink"/>
                <w:rtl w:val="true"/>
              </w:rPr>
              <w:t>مسائل</w:t>
            </w:r>
            <w:r>
              <w:rPr>
                <w:rStyle w:val="IndexLink"/>
                <w:rtl w:val="true"/>
              </w:rPr>
              <w:tab/>
            </w:r>
            <w:r>
              <w:rPr>
                <w:rStyle w:val="IndexLink"/>
              </w:rPr>
              <w:t>155</w:t>
            </w:r>
          </w:hyperlink>
        </w:p>
        <w:p>
          <w:pPr>
            <w:pStyle w:val="Contents5"/>
            <w:tabs>
              <w:tab w:val="clear" w:pos="7892"/>
              <w:tab w:val="right" w:pos="9026" w:leader="dot"/>
            </w:tabs>
            <w:rPr/>
          </w:pPr>
          <w:hyperlink w:anchor="__RefHeading___Toc3320832_2314609296">
            <w:r>
              <w:rPr>
                <w:webHidden/>
                <w:rStyle w:val="IndexLink"/>
                <w:rtl w:val="true"/>
              </w:rPr>
              <w:t>منها</w:t>
            </w:r>
            <w:r>
              <w:rPr>
                <w:rStyle w:val="IndexLink"/>
                <w:rtl w:val="true"/>
              </w:rPr>
              <w:t xml:space="preserve">: </w:t>
            </w:r>
            <w:r>
              <w:rPr>
                <w:rStyle w:val="IndexLink"/>
                <w:rtl w:val="true"/>
              </w:rPr>
              <w:t>انه يجري التفصيل بين التجاوز عن النصف و غيره</w:t>
            </w:r>
            <w:r>
              <w:rPr>
                <w:rStyle w:val="IndexLink"/>
                <w:rtl w:val="true"/>
              </w:rPr>
              <w:tab/>
            </w:r>
            <w:r>
              <w:rPr>
                <w:rStyle w:val="IndexLink"/>
              </w:rPr>
              <w:t>155</w:t>
            </w:r>
          </w:hyperlink>
        </w:p>
        <w:p>
          <w:pPr>
            <w:pStyle w:val="Contents5"/>
            <w:tabs>
              <w:tab w:val="clear" w:pos="7892"/>
              <w:tab w:val="right" w:pos="9026" w:leader="dot"/>
            </w:tabs>
            <w:rPr/>
          </w:pPr>
          <w:hyperlink w:anchor="__RefHeading___Toc3320834_2314609296">
            <w:r>
              <w:rPr>
                <w:webHidden/>
                <w:rStyle w:val="IndexLink"/>
                <w:rtl w:val="true"/>
              </w:rPr>
              <w:t>و منها</w:t>
            </w:r>
            <w:r>
              <w:rPr>
                <w:rStyle w:val="IndexLink"/>
                <w:rtl w:val="true"/>
              </w:rPr>
              <w:t xml:space="preserve">: </w:t>
            </w:r>
            <w:r>
              <w:rPr>
                <w:rStyle w:val="IndexLink"/>
                <w:rtl w:val="true"/>
              </w:rPr>
              <w:t>انه لو دخل في السعي و تذكر نقص طوافه فأتم الطواف،</w:t>
            </w:r>
            <w:r>
              <w:rPr>
                <w:rStyle w:val="IndexLink"/>
                <w:rtl w:val="true"/>
              </w:rPr>
              <w:tab/>
            </w:r>
            <w:r>
              <w:rPr>
                <w:rStyle w:val="IndexLink"/>
              </w:rPr>
              <w:t>156</w:t>
            </w:r>
          </w:hyperlink>
        </w:p>
        <w:p>
          <w:pPr>
            <w:pStyle w:val="Contents3"/>
            <w:tabs>
              <w:tab w:val="clear" w:pos="8459"/>
              <w:tab w:val="right" w:pos="9026" w:leader="dot"/>
            </w:tabs>
            <w:rPr/>
          </w:pPr>
          <w:hyperlink w:anchor="__RefHeading___Toc3320836_2314609296">
            <w:r>
              <w:rPr>
                <w:webHidden/>
                <w:rStyle w:val="IndexLink"/>
                <w:rtl w:val="true"/>
              </w:rPr>
              <w:t>الباب السابع في السعي</w:t>
            </w:r>
            <w:r>
              <w:rPr>
                <w:rStyle w:val="IndexLink"/>
                <w:rtl w:val="true"/>
              </w:rPr>
              <w:tab/>
            </w:r>
            <w:r>
              <w:rPr>
                <w:rStyle w:val="IndexLink"/>
              </w:rPr>
              <w:t>166</w:t>
            </w:r>
          </w:hyperlink>
        </w:p>
        <w:p>
          <w:pPr>
            <w:pStyle w:val="Contents4"/>
            <w:tabs>
              <w:tab w:val="clear" w:pos="8176"/>
              <w:tab w:val="right" w:pos="9026" w:leader="dot"/>
            </w:tabs>
            <w:rPr/>
          </w:pPr>
          <w:hyperlink w:anchor="__RefHeading___Toc3320838_2314609296">
            <w:r>
              <w:rPr>
                <w:webHidden/>
                <w:rStyle w:val="IndexLink"/>
                <w:rtl w:val="true"/>
              </w:rPr>
              <w:t>اشارة</w:t>
            </w:r>
            <w:r>
              <w:rPr>
                <w:rStyle w:val="IndexLink"/>
                <w:rtl w:val="true"/>
              </w:rPr>
              <w:tab/>
            </w:r>
            <w:r>
              <w:rPr>
                <w:rStyle w:val="IndexLink"/>
              </w:rPr>
              <w:t>166</w:t>
            </w:r>
          </w:hyperlink>
        </w:p>
        <w:p>
          <w:pPr>
            <w:pStyle w:val="Contents4"/>
            <w:tabs>
              <w:tab w:val="clear" w:pos="8176"/>
              <w:tab w:val="right" w:pos="9026" w:leader="dot"/>
            </w:tabs>
            <w:rPr/>
          </w:pPr>
          <w:hyperlink w:anchor="__RefHeading___Toc3320840_2314609296">
            <w:r>
              <w:rPr>
                <w:webHidden/>
                <w:rStyle w:val="IndexLink"/>
                <w:rtl w:val="true"/>
              </w:rPr>
              <w:t>و تجب فيه النية</w:t>
            </w:r>
            <w:r>
              <w:rPr>
                <w:rStyle w:val="IndexLink"/>
                <w:rtl w:val="true"/>
              </w:rPr>
              <w:tab/>
            </w:r>
            <w:r>
              <w:rPr>
                <w:rStyle w:val="IndexLink"/>
              </w:rPr>
              <w:t>166</w:t>
            </w:r>
          </w:hyperlink>
        </w:p>
        <w:p>
          <w:pPr>
            <w:pStyle w:val="Contents4"/>
            <w:tabs>
              <w:tab w:val="clear" w:pos="8176"/>
              <w:tab w:val="right" w:pos="9026" w:leader="dot"/>
            </w:tabs>
            <w:rPr/>
          </w:pPr>
          <w:hyperlink w:anchor="__RefHeading___Toc3320842_2314609296">
            <w:r>
              <w:rPr>
                <w:webHidden/>
                <w:rStyle w:val="IndexLink"/>
                <w:rtl w:val="true"/>
              </w:rPr>
              <w:t>و السعي سبعة أشواط من الصفا إلى المروة، و من المروة اليه</w:t>
            </w:r>
            <w:r>
              <w:rPr>
                <w:rStyle w:val="IndexLink"/>
                <w:rtl w:val="true"/>
              </w:rPr>
              <w:tab/>
            </w:r>
            <w:r>
              <w:rPr>
                <w:rStyle w:val="IndexLink"/>
              </w:rPr>
              <w:t>167</w:t>
            </w:r>
          </w:hyperlink>
        </w:p>
        <w:p>
          <w:pPr>
            <w:pStyle w:val="Contents4"/>
            <w:tabs>
              <w:tab w:val="clear" w:pos="8176"/>
              <w:tab w:val="right" w:pos="9026" w:leader="dot"/>
            </w:tabs>
            <w:rPr/>
          </w:pPr>
          <w:hyperlink w:anchor="__RefHeading___Toc3320844_2314609296">
            <w:r>
              <w:rPr>
                <w:webHidden/>
                <w:rStyle w:val="IndexLink"/>
                <w:rtl w:val="true"/>
              </w:rPr>
              <w:t>و يستحب فيه الطهارة،</w:t>
            </w:r>
            <w:r>
              <w:rPr>
                <w:rStyle w:val="IndexLink"/>
                <w:rtl w:val="true"/>
              </w:rPr>
              <w:tab/>
            </w:r>
            <w:r>
              <w:rPr>
                <w:rStyle w:val="IndexLink"/>
              </w:rPr>
              <w:t>168</w:t>
            </w:r>
          </w:hyperlink>
        </w:p>
        <w:p>
          <w:pPr>
            <w:pStyle w:val="Contents4"/>
            <w:tabs>
              <w:tab w:val="clear" w:pos="8176"/>
              <w:tab w:val="right" w:pos="9026" w:leader="dot"/>
            </w:tabs>
            <w:rPr/>
          </w:pPr>
          <w:hyperlink w:anchor="__RefHeading___Toc3320846_2314609296">
            <w:r>
              <w:rPr>
                <w:webHidden/>
                <w:rStyle w:val="IndexLink"/>
                <w:rtl w:val="true"/>
              </w:rPr>
              <w:t>و لو زاد على السبع عمدا بطل لا سهوا</w:t>
            </w:r>
            <w:r>
              <w:rPr>
                <w:rStyle w:val="IndexLink"/>
                <w:rtl w:val="true"/>
              </w:rPr>
              <w:tab/>
            </w:r>
            <w:r>
              <w:rPr>
                <w:rStyle w:val="IndexLink"/>
              </w:rPr>
              <w:t>170</w:t>
            </w:r>
          </w:hyperlink>
        </w:p>
        <w:p>
          <w:pPr>
            <w:pStyle w:val="Contents4"/>
            <w:tabs>
              <w:tab w:val="clear" w:pos="8176"/>
              <w:tab w:val="right" w:pos="9026" w:leader="dot"/>
            </w:tabs>
            <w:rPr/>
          </w:pPr>
          <w:hyperlink w:anchor="__RefHeading___Toc3320848_2314609296">
            <w:r>
              <w:rPr>
                <w:webHidden/>
                <w:rStyle w:val="IndexLink"/>
                <w:rtl w:val="true"/>
              </w:rPr>
              <w:t>و لو ظن الإتمام فأحل و واقع أهله أو قلم الأظفار، ثم ذكر نسيان شوط، أتم و يكفّر ببقرة</w:t>
            </w:r>
            <w:r>
              <w:rPr>
                <w:rStyle w:val="IndexLink"/>
                <w:rtl w:val="true"/>
              </w:rPr>
              <w:tab/>
            </w:r>
            <w:r>
              <w:rPr>
                <w:rStyle w:val="IndexLink"/>
              </w:rPr>
              <w:t>174</w:t>
            </w:r>
          </w:hyperlink>
        </w:p>
        <w:p>
          <w:pPr>
            <w:pStyle w:val="Contents4"/>
            <w:tabs>
              <w:tab w:val="clear" w:pos="8176"/>
              <w:tab w:val="right" w:pos="9026" w:leader="dot"/>
            </w:tabs>
            <w:rPr/>
          </w:pPr>
          <w:hyperlink w:anchor="__RefHeading___Toc3320850_2314609296">
            <w:r>
              <w:rPr>
                <w:webHidden/>
                <w:rStyle w:val="IndexLink"/>
                <w:rtl w:val="true"/>
              </w:rPr>
              <w:t>و إذا فرغ من سعي العمرة قصّر،</w:t>
            </w:r>
            <w:r>
              <w:rPr>
                <w:rStyle w:val="IndexLink"/>
                <w:rtl w:val="true"/>
              </w:rPr>
              <w:tab/>
            </w:r>
            <w:r>
              <w:rPr>
                <w:rStyle w:val="IndexLink"/>
              </w:rPr>
              <w:t>175</w:t>
            </w:r>
          </w:hyperlink>
        </w:p>
        <w:p>
          <w:pPr>
            <w:pStyle w:val="Contents3"/>
            <w:tabs>
              <w:tab w:val="clear" w:pos="8459"/>
              <w:tab w:val="right" w:pos="9026" w:leader="dot"/>
            </w:tabs>
            <w:rPr/>
          </w:pPr>
          <w:hyperlink w:anchor="__RefHeading___Toc3320852_2314609296">
            <w:r>
              <w:rPr>
                <w:webHidden/>
                <w:rStyle w:val="IndexLink"/>
                <w:rtl w:val="true"/>
              </w:rPr>
              <w:t>الباب الثامن في أفعال الحج و فيه فصول</w:t>
            </w:r>
            <w:r>
              <w:rPr>
                <w:rStyle w:val="IndexLink"/>
                <w:rtl w:val="true"/>
              </w:rPr>
              <w:t>:</w:t>
              <w:tab/>
            </w:r>
            <w:r>
              <w:rPr>
                <w:rStyle w:val="IndexLink"/>
              </w:rPr>
              <w:t>181</w:t>
            </w:r>
          </w:hyperlink>
        </w:p>
        <w:p>
          <w:pPr>
            <w:pStyle w:val="Contents4"/>
            <w:tabs>
              <w:tab w:val="clear" w:pos="8176"/>
              <w:tab w:val="right" w:pos="9026" w:leader="dot"/>
            </w:tabs>
            <w:rPr/>
          </w:pPr>
          <w:hyperlink w:anchor="__RefHeading___Toc3320854_2314609296">
            <w:r>
              <w:rPr>
                <w:webHidden/>
                <w:rStyle w:val="IndexLink"/>
                <w:rtl w:val="true"/>
              </w:rPr>
              <w:t>الأول</w:t>
            </w:r>
            <w:r>
              <w:rPr>
                <w:rStyle w:val="IndexLink"/>
                <w:rtl w:val="true"/>
              </w:rPr>
              <w:t xml:space="preserve">: </w:t>
            </w:r>
            <w:r>
              <w:rPr>
                <w:rStyle w:val="IndexLink"/>
                <w:rtl w:val="true"/>
              </w:rPr>
              <w:t>في إحرام الحج</w:t>
            </w:r>
            <w:r>
              <w:rPr>
                <w:rStyle w:val="IndexLink"/>
                <w:rtl w:val="true"/>
              </w:rPr>
              <w:t>:</w:t>
              <w:tab/>
            </w:r>
            <w:r>
              <w:rPr>
                <w:rStyle w:val="IndexLink"/>
              </w:rPr>
              <w:t>181</w:t>
            </w:r>
          </w:hyperlink>
        </w:p>
        <w:p>
          <w:pPr>
            <w:pStyle w:val="Contents5"/>
            <w:tabs>
              <w:tab w:val="clear" w:pos="7892"/>
              <w:tab w:val="right" w:pos="9026" w:leader="dot"/>
            </w:tabs>
            <w:rPr/>
          </w:pPr>
          <w:hyperlink w:anchor="__RefHeading___Toc3320856_2314609296">
            <w:r>
              <w:rPr>
                <w:webHidden/>
                <w:rStyle w:val="IndexLink"/>
                <w:rtl w:val="true"/>
              </w:rPr>
              <w:t>اشارة</w:t>
            </w:r>
            <w:r>
              <w:rPr>
                <w:rStyle w:val="IndexLink"/>
                <w:rtl w:val="true"/>
              </w:rPr>
              <w:tab/>
            </w:r>
            <w:r>
              <w:rPr>
                <w:rStyle w:val="IndexLink"/>
              </w:rPr>
              <w:t>181</w:t>
            </w:r>
          </w:hyperlink>
        </w:p>
        <w:p>
          <w:pPr>
            <w:pStyle w:val="Contents5"/>
            <w:tabs>
              <w:tab w:val="clear" w:pos="7892"/>
              <w:tab w:val="right" w:pos="9026" w:leader="dot"/>
            </w:tabs>
            <w:rPr/>
          </w:pPr>
          <w:hyperlink w:anchor="__RefHeading___Toc3320858_2314609296">
            <w:r>
              <w:rPr>
                <w:webHidden/>
                <w:rStyle w:val="IndexLink"/>
                <w:rtl w:val="true"/>
              </w:rPr>
              <w:t>و كيفيته</w:t>
            </w:r>
            <w:r>
              <w:rPr>
                <w:rStyle w:val="IndexLink"/>
                <w:rtl w:val="true"/>
              </w:rPr>
              <w:tab/>
            </w:r>
            <w:r>
              <w:rPr>
                <w:rStyle w:val="IndexLink"/>
              </w:rPr>
              <w:t>185</w:t>
            </w:r>
          </w:hyperlink>
        </w:p>
        <w:p>
          <w:pPr>
            <w:pStyle w:val="Contents4"/>
            <w:tabs>
              <w:tab w:val="clear" w:pos="8176"/>
              <w:tab w:val="right" w:pos="9026" w:leader="dot"/>
            </w:tabs>
            <w:rPr/>
          </w:pPr>
          <w:hyperlink w:anchor="__RefHeading___Toc3320860_2314609296">
            <w:r>
              <w:rPr>
                <w:webHidden/>
                <w:rStyle w:val="IndexLink"/>
                <w:rtl w:val="true"/>
              </w:rPr>
              <w:t>الفصل الثاني</w:t>
            </w:r>
            <w:r>
              <w:rPr>
                <w:rStyle w:val="IndexLink"/>
                <w:rtl w:val="true"/>
              </w:rPr>
              <w:t xml:space="preserve">: </w:t>
            </w:r>
            <w:r>
              <w:rPr>
                <w:rStyle w:val="IndexLink"/>
                <w:rtl w:val="true"/>
              </w:rPr>
              <w:t>في الوقوف بعرفات</w:t>
            </w:r>
            <w:r>
              <w:rPr>
                <w:rStyle w:val="IndexLink"/>
                <w:rtl w:val="true"/>
              </w:rPr>
              <w:tab/>
            </w:r>
            <w:r>
              <w:rPr>
                <w:rStyle w:val="IndexLink"/>
              </w:rPr>
              <w:t>188</w:t>
            </w:r>
          </w:hyperlink>
        </w:p>
        <w:p>
          <w:pPr>
            <w:pStyle w:val="Contents5"/>
            <w:tabs>
              <w:tab w:val="clear" w:pos="7892"/>
              <w:tab w:val="right" w:pos="9026" w:leader="dot"/>
            </w:tabs>
            <w:rPr/>
          </w:pPr>
          <w:hyperlink w:anchor="__RefHeading___Toc3320862_2314609296">
            <w:r>
              <w:rPr>
                <w:webHidden/>
                <w:rStyle w:val="IndexLink"/>
                <w:rtl w:val="true"/>
              </w:rPr>
              <w:t>اشارة</w:t>
            </w:r>
            <w:r>
              <w:rPr>
                <w:rStyle w:val="IndexLink"/>
                <w:rtl w:val="true"/>
              </w:rPr>
              <w:tab/>
            </w:r>
            <w:r>
              <w:rPr>
                <w:rStyle w:val="IndexLink"/>
              </w:rPr>
              <w:t>188</w:t>
            </w:r>
          </w:hyperlink>
        </w:p>
        <w:p>
          <w:pPr>
            <w:pStyle w:val="Contents5"/>
            <w:tabs>
              <w:tab w:val="clear" w:pos="7892"/>
              <w:tab w:val="right" w:pos="9026" w:leader="dot"/>
            </w:tabs>
            <w:rPr/>
          </w:pPr>
          <w:hyperlink w:anchor="__RefHeading___Toc3320864_2314609296">
            <w:r>
              <w:rPr>
                <w:webHidden/>
                <w:rStyle w:val="IndexLink"/>
                <w:rtl w:val="true"/>
              </w:rPr>
              <w:t>بقي في المقام التنبيه على أمرين</w:t>
            </w:r>
            <w:r>
              <w:rPr>
                <w:rStyle w:val="IndexLink"/>
                <w:rtl w:val="true"/>
              </w:rPr>
              <w:t>:</w:t>
              <w:tab/>
            </w:r>
            <w:r>
              <w:rPr>
                <w:rStyle w:val="IndexLink"/>
              </w:rPr>
              <w:t>195</w:t>
            </w:r>
          </w:hyperlink>
        </w:p>
        <w:p>
          <w:pPr>
            <w:pStyle w:val="Contents6"/>
            <w:tabs>
              <w:tab w:val="clear" w:pos="7609"/>
              <w:tab w:val="right" w:pos="9026" w:leader="dot"/>
            </w:tabs>
            <w:rPr/>
          </w:pPr>
          <w:hyperlink w:anchor="__RefHeading___Toc3320866_2314609296">
            <w:r>
              <w:rPr>
                <w:webHidden/>
                <w:rStyle w:val="IndexLink"/>
                <w:rtl w:val="true"/>
              </w:rPr>
              <w:t>أحدهما</w:t>
            </w:r>
            <w:r>
              <w:rPr>
                <w:rStyle w:val="IndexLink"/>
                <w:rtl w:val="true"/>
              </w:rPr>
              <w:t>:</w:t>
              <w:tab/>
            </w:r>
            <w:r>
              <w:rPr>
                <w:rStyle w:val="IndexLink"/>
              </w:rPr>
              <w:t>195</w:t>
            </w:r>
          </w:hyperlink>
        </w:p>
        <w:p>
          <w:pPr>
            <w:pStyle w:val="Contents6"/>
            <w:tabs>
              <w:tab w:val="clear" w:pos="7609"/>
              <w:tab w:val="right" w:pos="9026" w:leader="dot"/>
            </w:tabs>
            <w:rPr/>
          </w:pPr>
          <w:hyperlink w:anchor="__RefHeading___Toc3320868_2314609296">
            <w:r>
              <w:rPr>
                <w:webHidden/>
                <w:rStyle w:val="IndexLink"/>
                <w:rtl w:val="true"/>
              </w:rPr>
              <w:t>الأمر الثاني</w:t>
            </w:r>
            <w:r>
              <w:rPr>
                <w:rStyle w:val="IndexLink"/>
                <w:rtl w:val="true"/>
              </w:rPr>
              <w:tab/>
            </w:r>
            <w:r>
              <w:rPr>
                <w:rStyle w:val="IndexLink"/>
              </w:rPr>
              <w:t>197</w:t>
            </w:r>
          </w:hyperlink>
        </w:p>
        <w:p>
          <w:pPr>
            <w:pStyle w:val="Contents5"/>
            <w:tabs>
              <w:tab w:val="clear" w:pos="7892"/>
              <w:tab w:val="right" w:pos="9026" w:leader="dot"/>
            </w:tabs>
            <w:rPr/>
          </w:pPr>
          <w:hyperlink w:anchor="__RefHeading___Toc3320870_2314609296">
            <w:r>
              <w:rPr>
                <w:webHidden/>
                <w:rStyle w:val="IndexLink"/>
                <w:rtl w:val="true"/>
              </w:rPr>
              <w:t>و يجب فيه</w:t>
            </w:r>
            <w:r>
              <w:rPr>
                <w:rStyle w:val="IndexLink"/>
                <w:rtl w:val="true"/>
              </w:rPr>
              <w:tab/>
            </w:r>
            <w:r>
              <w:rPr>
                <w:rStyle w:val="IndexLink"/>
              </w:rPr>
              <w:t>201</w:t>
            </w:r>
          </w:hyperlink>
        </w:p>
        <w:p>
          <w:pPr>
            <w:pStyle w:val="Contents5"/>
            <w:tabs>
              <w:tab w:val="clear" w:pos="7892"/>
              <w:tab w:val="right" w:pos="9026" w:leader="dot"/>
            </w:tabs>
            <w:rPr/>
          </w:pPr>
          <w:hyperlink w:anchor="__RefHeading___Toc3320872_2314609296">
            <w:r>
              <w:rPr>
                <w:webHidden/>
                <w:rStyle w:val="IndexLink"/>
                <w:rtl w:val="true"/>
              </w:rPr>
              <w:t>و لو لم يتمكن من الوقوف نهارا وقف ليلا</w:t>
            </w:r>
            <w:r>
              <w:rPr>
                <w:rStyle w:val="IndexLink"/>
                <w:rtl w:val="true"/>
              </w:rPr>
              <w:tab/>
            </w:r>
            <w:r>
              <w:rPr>
                <w:rStyle w:val="IndexLink"/>
              </w:rPr>
              <w:t>204</w:t>
            </w:r>
          </w:hyperlink>
        </w:p>
        <w:p>
          <w:pPr>
            <w:pStyle w:val="Contents5"/>
            <w:tabs>
              <w:tab w:val="clear" w:pos="7892"/>
              <w:tab w:val="right" w:pos="9026" w:leader="dot"/>
            </w:tabs>
            <w:rPr/>
          </w:pPr>
          <w:hyperlink w:anchor="__RefHeading___Toc3320874_2314609296">
            <w:r>
              <w:rPr>
                <w:webHidden/>
                <w:rStyle w:val="IndexLink"/>
                <w:rtl w:val="true"/>
              </w:rPr>
              <w:t>و لو أفاض منها قبل الغروب وجب عليه بدنة</w:t>
            </w:r>
            <w:r>
              <w:rPr>
                <w:rStyle w:val="IndexLink"/>
                <w:rtl w:val="true"/>
              </w:rPr>
              <w:tab/>
            </w:r>
            <w:r>
              <w:rPr>
                <w:rStyle w:val="IndexLink"/>
              </w:rPr>
              <w:t>205</w:t>
            </w:r>
          </w:hyperlink>
        </w:p>
        <w:p>
          <w:pPr>
            <w:pStyle w:val="Contents5"/>
            <w:tabs>
              <w:tab w:val="clear" w:pos="7892"/>
              <w:tab w:val="right" w:pos="9026" w:leader="dot"/>
            </w:tabs>
            <w:rPr/>
          </w:pPr>
          <w:hyperlink w:anchor="__RefHeading___Toc3320876_2314609296">
            <w:r>
              <w:rPr>
                <w:webHidden/>
                <w:rStyle w:val="IndexLink"/>
                <w:rtl w:val="true"/>
              </w:rPr>
              <w:t>و يستحب</w:t>
            </w:r>
            <w:r>
              <w:rPr>
                <w:rStyle w:val="IndexLink"/>
                <w:rtl w:val="true"/>
              </w:rPr>
              <w:tab/>
            </w:r>
            <w:r>
              <w:rPr>
                <w:rStyle w:val="IndexLink"/>
              </w:rPr>
              <w:t>206</w:t>
            </w:r>
          </w:hyperlink>
        </w:p>
        <w:p>
          <w:pPr>
            <w:pStyle w:val="Contents5"/>
            <w:tabs>
              <w:tab w:val="clear" w:pos="7892"/>
              <w:tab w:val="right" w:pos="9026" w:leader="dot"/>
            </w:tabs>
            <w:rPr/>
          </w:pPr>
          <w:hyperlink w:anchor="__RefHeading___Toc3320878_2314609296">
            <w:r>
              <w:rPr>
                <w:webHidden/>
                <w:rStyle w:val="IndexLink"/>
                <w:rtl w:val="true"/>
              </w:rPr>
              <w:t>و يكره الوقوف في أعلى الجبل</w:t>
            </w:r>
            <w:r>
              <w:rPr>
                <w:rStyle w:val="IndexLink"/>
                <w:rtl w:val="true"/>
              </w:rPr>
              <w:tab/>
            </w:r>
            <w:r>
              <w:rPr>
                <w:rStyle w:val="IndexLink"/>
              </w:rPr>
              <w:t>208</w:t>
            </w:r>
          </w:hyperlink>
        </w:p>
        <w:p>
          <w:pPr>
            <w:pStyle w:val="Contents4"/>
            <w:tabs>
              <w:tab w:val="clear" w:pos="8176"/>
              <w:tab w:val="right" w:pos="9026" w:leader="dot"/>
            </w:tabs>
            <w:rPr/>
          </w:pPr>
          <w:hyperlink w:anchor="__RefHeading___Toc3320880_2314609296">
            <w:r>
              <w:rPr>
                <w:webHidden/>
                <w:rStyle w:val="IndexLink"/>
                <w:rtl w:val="true"/>
              </w:rPr>
              <w:t>الفصل الثالث</w:t>
            </w:r>
            <w:r>
              <w:rPr>
                <w:rStyle w:val="IndexLink"/>
                <w:rtl w:val="true"/>
              </w:rPr>
              <w:t xml:space="preserve">: </w:t>
            </w:r>
            <w:r>
              <w:rPr>
                <w:rStyle w:val="IndexLink"/>
                <w:rtl w:val="true"/>
              </w:rPr>
              <w:t>في الوقوف بالمشعر</w:t>
            </w:r>
            <w:r>
              <w:rPr>
                <w:rStyle w:val="IndexLink"/>
                <w:rtl w:val="true"/>
              </w:rPr>
              <w:tab/>
            </w:r>
            <w:r>
              <w:rPr>
                <w:rStyle w:val="IndexLink"/>
              </w:rPr>
              <w:t>209</w:t>
            </w:r>
          </w:hyperlink>
        </w:p>
        <w:p>
          <w:pPr>
            <w:pStyle w:val="Contents5"/>
            <w:tabs>
              <w:tab w:val="clear" w:pos="7892"/>
              <w:tab w:val="right" w:pos="9026" w:leader="dot"/>
            </w:tabs>
            <w:rPr/>
          </w:pPr>
          <w:hyperlink w:anchor="__RefHeading___Toc3320882_2314609296">
            <w:r>
              <w:rPr>
                <w:webHidden/>
                <w:rStyle w:val="IndexLink"/>
                <w:rtl w:val="true"/>
              </w:rPr>
              <w:t>اشارة</w:t>
            </w:r>
            <w:r>
              <w:rPr>
                <w:rStyle w:val="IndexLink"/>
                <w:rtl w:val="true"/>
              </w:rPr>
              <w:tab/>
            </w:r>
            <w:r>
              <w:rPr>
                <w:rStyle w:val="IndexLink"/>
              </w:rPr>
              <w:t>209</w:t>
            </w:r>
          </w:hyperlink>
        </w:p>
        <w:p>
          <w:pPr>
            <w:pStyle w:val="Contents5"/>
            <w:tabs>
              <w:tab w:val="clear" w:pos="7892"/>
              <w:tab w:val="right" w:pos="9026" w:leader="dot"/>
            </w:tabs>
            <w:rPr/>
          </w:pPr>
          <w:hyperlink w:anchor="__RefHeading___Toc3320884_2314609296">
            <w:r>
              <w:rPr>
                <w:webHidden/>
                <w:rStyle w:val="IndexLink"/>
                <w:rtl w:val="true"/>
              </w:rPr>
              <w:t>و يستحب أن يقتصد في المسير و يدعو عند الكثيب الأحمر</w:t>
            </w:r>
            <w:r>
              <w:rPr>
                <w:rStyle w:val="IndexLink"/>
                <w:rtl w:val="true"/>
              </w:rPr>
              <w:tab/>
            </w:r>
            <w:r>
              <w:rPr>
                <w:rStyle w:val="IndexLink"/>
              </w:rPr>
              <w:t>209</w:t>
            </w:r>
          </w:hyperlink>
        </w:p>
        <w:p>
          <w:pPr>
            <w:pStyle w:val="Contents5"/>
            <w:tabs>
              <w:tab w:val="clear" w:pos="7892"/>
              <w:tab w:val="right" w:pos="9026" w:leader="dot"/>
            </w:tabs>
            <w:rPr/>
          </w:pPr>
          <w:hyperlink w:anchor="__RefHeading___Toc3320886_2314609296">
            <w:r>
              <w:rPr>
                <w:webHidden/>
                <w:rStyle w:val="IndexLink"/>
                <w:rtl w:val="true"/>
              </w:rPr>
              <w:t>و يجب فيه النية</w:t>
            </w:r>
            <w:r>
              <w:rPr>
                <w:rStyle w:val="IndexLink"/>
                <w:rtl w:val="true"/>
              </w:rPr>
              <w:tab/>
            </w:r>
            <w:r>
              <w:rPr>
                <w:rStyle w:val="IndexLink"/>
              </w:rPr>
              <w:t>211</w:t>
            </w:r>
          </w:hyperlink>
        </w:p>
        <w:p>
          <w:pPr>
            <w:pStyle w:val="Contents5"/>
            <w:tabs>
              <w:tab w:val="clear" w:pos="7892"/>
              <w:tab w:val="right" w:pos="9026" w:leader="dot"/>
            </w:tabs>
            <w:rPr/>
          </w:pPr>
          <w:hyperlink w:anchor="__RefHeading___Toc3320888_2314609296">
            <w:r>
              <w:rPr>
                <w:webHidden/>
                <w:rStyle w:val="IndexLink"/>
                <w:rtl w:val="true"/>
              </w:rPr>
              <w:t>مسائل</w:t>
            </w:r>
            <w:r>
              <w:rPr>
                <w:rStyle w:val="IndexLink"/>
                <w:rtl w:val="true"/>
              </w:rPr>
              <w:tab/>
            </w:r>
            <w:r>
              <w:rPr>
                <w:rStyle w:val="IndexLink"/>
              </w:rPr>
              <w:t>217</w:t>
            </w:r>
          </w:hyperlink>
        </w:p>
        <w:p>
          <w:pPr>
            <w:pStyle w:val="Contents6"/>
            <w:tabs>
              <w:tab w:val="clear" w:pos="7609"/>
              <w:tab w:val="right" w:pos="9026" w:leader="dot"/>
            </w:tabs>
            <w:rPr/>
          </w:pPr>
          <w:hyperlink w:anchor="__RefHeading___Toc3320890_2314609296">
            <w:r>
              <w:rPr>
                <w:webHidden/>
                <w:rStyle w:val="IndexLink"/>
                <w:rtl w:val="true"/>
              </w:rPr>
              <w:t>الاولى</w:t>
            </w:r>
            <w:r>
              <w:rPr>
                <w:rStyle w:val="IndexLink"/>
                <w:rtl w:val="true"/>
              </w:rPr>
              <w:t>:</w:t>
              <w:tab/>
            </w:r>
            <w:r>
              <w:rPr>
                <w:rStyle w:val="IndexLink"/>
              </w:rPr>
              <w:t>217</w:t>
            </w:r>
          </w:hyperlink>
        </w:p>
        <w:p>
          <w:pPr>
            <w:pStyle w:val="Contents6"/>
            <w:tabs>
              <w:tab w:val="clear" w:pos="7609"/>
              <w:tab w:val="right" w:pos="9026" w:leader="dot"/>
            </w:tabs>
            <w:rPr/>
          </w:pPr>
          <w:hyperlink w:anchor="__RefHeading___Toc3320892_2314609296">
            <w:r>
              <w:rPr>
                <w:webHidden/>
                <w:rStyle w:val="IndexLink"/>
                <w:rtl w:val="true"/>
              </w:rPr>
              <w:t>الثانية</w:t>
            </w:r>
            <w:r>
              <w:rPr>
                <w:rStyle w:val="IndexLink"/>
                <w:rtl w:val="true"/>
              </w:rPr>
              <w:t xml:space="preserve">: </w:t>
            </w:r>
            <w:r>
              <w:rPr>
                <w:rStyle w:val="IndexLink"/>
                <w:rtl w:val="true"/>
              </w:rPr>
              <w:t>من فاته الحج سقطت عنه أفعاله</w:t>
            </w:r>
            <w:r>
              <w:rPr>
                <w:rStyle w:val="IndexLink"/>
                <w:rtl w:val="true"/>
              </w:rPr>
              <w:tab/>
            </w:r>
            <w:r>
              <w:rPr>
                <w:rStyle w:val="IndexLink"/>
              </w:rPr>
              <w:t>218</w:t>
            </w:r>
          </w:hyperlink>
        </w:p>
        <w:p>
          <w:pPr>
            <w:pStyle w:val="Contents6"/>
            <w:tabs>
              <w:tab w:val="clear" w:pos="7609"/>
              <w:tab w:val="right" w:pos="9026" w:leader="dot"/>
            </w:tabs>
            <w:rPr/>
          </w:pPr>
          <w:hyperlink w:anchor="__RefHeading___Toc3320894_2314609296">
            <w:r>
              <w:rPr>
                <w:webHidden/>
                <w:rStyle w:val="IndexLink"/>
                <w:rtl w:val="true"/>
              </w:rPr>
              <w:t>الثالثة</w:t>
            </w:r>
            <w:r>
              <w:rPr>
                <w:rStyle w:val="IndexLink"/>
                <w:rtl w:val="true"/>
              </w:rPr>
              <w:t xml:space="preserve">: </w:t>
            </w:r>
            <w:r>
              <w:rPr>
                <w:rStyle w:val="IndexLink"/>
                <w:rtl w:val="true"/>
              </w:rPr>
              <w:t>يستحب الوقوف</w:t>
            </w:r>
            <w:r>
              <w:rPr>
                <w:rStyle w:val="IndexLink"/>
                <w:rtl w:val="true"/>
              </w:rPr>
              <w:tab/>
            </w:r>
            <w:r>
              <w:rPr>
                <w:rStyle w:val="IndexLink"/>
              </w:rPr>
              <w:t>221</w:t>
            </w:r>
          </w:hyperlink>
        </w:p>
        <w:p>
          <w:pPr>
            <w:pStyle w:val="Contents6"/>
            <w:tabs>
              <w:tab w:val="clear" w:pos="7609"/>
              <w:tab w:val="right" w:pos="9026" w:leader="dot"/>
            </w:tabs>
            <w:rPr/>
          </w:pPr>
          <w:hyperlink w:anchor="__RefHeading___Toc3320896_2314609296">
            <w:r>
              <w:rPr>
                <w:webHidden/>
                <w:rStyle w:val="IndexLink"/>
                <w:rtl w:val="true"/>
              </w:rPr>
              <w:t>الرابعة</w:t>
            </w:r>
            <w:r>
              <w:rPr>
                <w:rStyle w:val="IndexLink"/>
                <w:rtl w:val="true"/>
              </w:rPr>
              <w:t xml:space="preserve">: </w:t>
            </w:r>
            <w:r>
              <w:rPr>
                <w:rStyle w:val="IndexLink"/>
                <w:rtl w:val="true"/>
              </w:rPr>
              <w:t>يستحب التقاط حصى الرمي منه</w:t>
            </w:r>
            <w:r>
              <w:rPr>
                <w:rStyle w:val="IndexLink"/>
                <w:rtl w:val="true"/>
              </w:rPr>
              <w:tab/>
            </w:r>
            <w:r>
              <w:rPr>
                <w:rStyle w:val="IndexLink"/>
              </w:rPr>
              <w:t>221</w:t>
            </w:r>
          </w:hyperlink>
        </w:p>
        <w:p>
          <w:pPr>
            <w:pStyle w:val="Contents4"/>
            <w:tabs>
              <w:tab w:val="clear" w:pos="8176"/>
              <w:tab w:val="right" w:pos="9026" w:leader="dot"/>
            </w:tabs>
            <w:rPr/>
          </w:pPr>
          <w:hyperlink w:anchor="__RefHeading___Toc3320898_2314609296">
            <w:r>
              <w:rPr>
                <w:webHidden/>
                <w:rStyle w:val="IndexLink"/>
                <w:rtl w:val="true"/>
              </w:rPr>
              <w:t>الفصل الرابع</w:t>
            </w:r>
            <w:r>
              <w:rPr>
                <w:rStyle w:val="IndexLink"/>
                <w:rtl w:val="true"/>
              </w:rPr>
              <w:t xml:space="preserve">: </w:t>
            </w:r>
            <w:r>
              <w:rPr>
                <w:rStyle w:val="IndexLink"/>
                <w:rtl w:val="true"/>
              </w:rPr>
              <w:t>في نزول منى</w:t>
            </w:r>
            <w:r>
              <w:rPr>
                <w:rStyle w:val="IndexLink"/>
                <w:rtl w:val="true"/>
              </w:rPr>
              <w:tab/>
            </w:r>
            <w:r>
              <w:rPr>
                <w:rStyle w:val="IndexLink"/>
              </w:rPr>
              <w:t>222</w:t>
            </w:r>
          </w:hyperlink>
        </w:p>
        <w:p>
          <w:pPr>
            <w:pStyle w:val="Contents5"/>
            <w:tabs>
              <w:tab w:val="clear" w:pos="7892"/>
              <w:tab w:val="right" w:pos="9026" w:leader="dot"/>
            </w:tabs>
            <w:rPr/>
          </w:pPr>
          <w:hyperlink w:anchor="__RefHeading___Toc3320900_2314609296">
            <w:r>
              <w:rPr>
                <w:webHidden/>
                <w:rStyle w:val="IndexLink"/>
                <w:rtl w:val="true"/>
              </w:rPr>
              <w:t>و يجب يوم النحر بمنى ثلاثة</w:t>
            </w:r>
            <w:r>
              <w:rPr>
                <w:rStyle w:val="IndexLink"/>
                <w:rtl w:val="true"/>
              </w:rPr>
              <w:tab/>
            </w:r>
            <w:r>
              <w:rPr>
                <w:rStyle w:val="IndexLink"/>
              </w:rPr>
              <w:t>222</w:t>
            </w:r>
          </w:hyperlink>
        </w:p>
        <w:p>
          <w:pPr>
            <w:pStyle w:val="Contents6"/>
            <w:tabs>
              <w:tab w:val="clear" w:pos="7609"/>
              <w:tab w:val="right" w:pos="9026" w:leader="dot"/>
            </w:tabs>
            <w:rPr/>
          </w:pPr>
          <w:hyperlink w:anchor="__RefHeading___Toc3320902_2314609296">
            <w:r>
              <w:rPr>
                <w:webHidden/>
                <w:rStyle w:val="IndexLink"/>
                <w:rtl w:val="true"/>
              </w:rPr>
              <w:t>اشارة</w:t>
            </w:r>
            <w:r>
              <w:rPr>
                <w:rStyle w:val="IndexLink"/>
                <w:rtl w:val="true"/>
              </w:rPr>
              <w:tab/>
            </w:r>
            <w:r>
              <w:rPr>
                <w:rStyle w:val="IndexLink"/>
              </w:rPr>
              <w:t>222</w:t>
            </w:r>
          </w:hyperlink>
        </w:p>
        <w:p>
          <w:pPr>
            <w:pStyle w:val="Contents6"/>
            <w:tabs>
              <w:tab w:val="clear" w:pos="7609"/>
              <w:tab w:val="right" w:pos="9026" w:leader="dot"/>
            </w:tabs>
            <w:rPr/>
          </w:pPr>
          <w:hyperlink w:anchor="__RefHeading___Toc3320904_2314609296">
            <w:r>
              <w:rPr>
                <w:webHidden/>
                <w:rStyle w:val="IndexLink"/>
                <w:rtl w:val="true"/>
              </w:rPr>
              <w:t>أحدها</w:t>
            </w:r>
            <w:r>
              <w:rPr>
                <w:rStyle w:val="IndexLink"/>
                <w:rtl w:val="true"/>
              </w:rPr>
              <w:t xml:space="preserve">: </w:t>
            </w:r>
            <w:r>
              <w:rPr>
                <w:rStyle w:val="IndexLink"/>
                <w:rtl w:val="true"/>
              </w:rPr>
              <w:t>رمي جمرة العقبة</w:t>
            </w:r>
            <w:r>
              <w:rPr>
                <w:rStyle w:val="IndexLink"/>
                <w:rtl w:val="true"/>
              </w:rPr>
              <w:tab/>
            </w:r>
            <w:r>
              <w:rPr>
                <w:rStyle w:val="IndexLink"/>
              </w:rPr>
              <w:t>223</w:t>
            </w:r>
          </w:hyperlink>
        </w:p>
        <w:p>
          <w:pPr>
            <w:pStyle w:val="Contents6"/>
            <w:tabs>
              <w:tab w:val="clear" w:pos="7609"/>
              <w:tab w:val="right" w:pos="9026" w:leader="dot"/>
            </w:tabs>
            <w:rPr/>
          </w:pPr>
          <w:hyperlink w:anchor="__RefHeading___Toc3320906_2314609296">
            <w:r>
              <w:rPr>
                <w:webHidden/>
                <w:rStyle w:val="IndexLink"/>
                <w:rtl w:val="true"/>
              </w:rPr>
              <w:t>الثاني من الواجبات في منى على المتمتع</w:t>
            </w:r>
            <w:r>
              <w:rPr>
                <w:rStyle w:val="IndexLink"/>
                <w:rtl w:val="true"/>
              </w:rPr>
              <w:t xml:space="preserve">: </w:t>
            </w:r>
            <w:r>
              <w:rPr>
                <w:rStyle w:val="IndexLink"/>
                <w:rtl w:val="true"/>
              </w:rPr>
              <w:t>الذبح،</w:t>
            </w:r>
            <w:r>
              <w:rPr>
                <w:rStyle w:val="IndexLink"/>
                <w:rtl w:val="true"/>
              </w:rPr>
              <w:tab/>
            </w:r>
            <w:r>
              <w:rPr>
                <w:rStyle w:val="IndexLink"/>
              </w:rPr>
              <w:t>227</w:t>
            </w:r>
          </w:hyperlink>
        </w:p>
        <w:p>
          <w:pPr>
            <w:pStyle w:val="Contents6"/>
            <w:tabs>
              <w:tab w:val="clear" w:pos="7609"/>
              <w:tab w:val="right" w:pos="9026" w:leader="dot"/>
            </w:tabs>
            <w:rPr/>
          </w:pPr>
          <w:hyperlink w:anchor="__RefHeading___Toc3320908_2314609296">
            <w:r>
              <w:rPr>
                <w:webHidden/>
                <w:rStyle w:val="IndexLink"/>
                <w:rtl w:val="true"/>
              </w:rPr>
              <w:t>اشارة</w:t>
            </w:r>
            <w:r>
              <w:rPr>
                <w:rStyle w:val="IndexLink"/>
                <w:rtl w:val="true"/>
              </w:rPr>
              <w:tab/>
            </w:r>
            <w:r>
              <w:rPr>
                <w:rStyle w:val="IndexLink"/>
              </w:rPr>
              <w:t>227</w:t>
            </w:r>
          </w:hyperlink>
        </w:p>
        <w:p>
          <w:pPr>
            <w:pStyle w:val="Contents6"/>
            <w:tabs>
              <w:tab w:val="clear" w:pos="7609"/>
              <w:tab w:val="right" w:pos="9026" w:leader="dot"/>
            </w:tabs>
            <w:rPr/>
          </w:pPr>
          <w:hyperlink w:anchor="__RefHeading___Toc3320910_2314609296">
            <w:r>
              <w:rPr>
                <w:webHidden/>
                <w:rStyle w:val="IndexLink"/>
                <w:rtl w:val="true"/>
              </w:rPr>
              <w:t>و تجب فيه النية</w:t>
            </w:r>
            <w:r>
              <w:rPr>
                <w:rStyle w:val="IndexLink"/>
                <w:rtl w:val="true"/>
              </w:rPr>
              <w:tab/>
            </w:r>
            <w:r>
              <w:rPr>
                <w:rStyle w:val="IndexLink"/>
              </w:rPr>
              <w:t>231</w:t>
            </w:r>
          </w:hyperlink>
        </w:p>
        <w:p>
          <w:pPr>
            <w:pStyle w:val="Contents6"/>
            <w:tabs>
              <w:tab w:val="clear" w:pos="7609"/>
              <w:tab w:val="right" w:pos="9026" w:leader="dot"/>
            </w:tabs>
            <w:rPr/>
          </w:pPr>
          <w:hyperlink w:anchor="__RefHeading___Toc3320912_2314609296">
            <w:r>
              <w:rPr>
                <w:webHidden/>
                <w:rStyle w:val="IndexLink"/>
                <w:rtl w:val="true"/>
              </w:rPr>
              <w:t>و يجب عدم المشاركة في الهدي</w:t>
            </w:r>
            <w:r>
              <w:rPr>
                <w:rStyle w:val="IndexLink"/>
                <w:rtl w:val="true"/>
              </w:rPr>
              <w:tab/>
            </w:r>
            <w:r>
              <w:rPr>
                <w:rStyle w:val="IndexLink"/>
              </w:rPr>
              <w:t>233</w:t>
            </w:r>
          </w:hyperlink>
        </w:p>
        <w:p>
          <w:pPr>
            <w:pStyle w:val="Contents6"/>
            <w:tabs>
              <w:tab w:val="clear" w:pos="7609"/>
              <w:tab w:val="right" w:pos="9026" w:leader="dot"/>
            </w:tabs>
            <w:rPr/>
          </w:pPr>
          <w:hyperlink w:anchor="__RefHeading___Toc3320914_2314609296">
            <w:r>
              <w:rPr>
                <w:webHidden/>
                <w:rStyle w:val="IndexLink"/>
                <w:rtl w:val="true"/>
              </w:rPr>
              <w:t>و يجب في الهدي أيضا أن يكون من النعم</w:t>
            </w:r>
            <w:r>
              <w:rPr>
                <w:rStyle w:val="IndexLink"/>
                <w:rtl w:val="true"/>
              </w:rPr>
              <w:tab/>
            </w:r>
            <w:r>
              <w:rPr>
                <w:rStyle w:val="IndexLink"/>
              </w:rPr>
              <w:t>235</w:t>
            </w:r>
          </w:hyperlink>
        </w:p>
        <w:p>
          <w:pPr>
            <w:pStyle w:val="Contents6"/>
            <w:tabs>
              <w:tab w:val="clear" w:pos="7609"/>
              <w:tab w:val="right" w:pos="9026" w:leader="dot"/>
            </w:tabs>
            <w:rPr/>
          </w:pPr>
          <w:hyperlink w:anchor="__RefHeading___Toc3320916_2314609296">
            <w:r>
              <w:rPr>
                <w:webHidden/>
                <w:rStyle w:val="IndexLink"/>
                <w:rtl w:val="true"/>
              </w:rPr>
              <w:t>و يستحب أن تكون سمينة</w:t>
            </w:r>
            <w:r>
              <w:rPr>
                <w:rStyle w:val="IndexLink"/>
                <w:rtl w:val="true"/>
              </w:rPr>
              <w:tab/>
            </w:r>
            <w:r>
              <w:rPr>
                <w:rStyle w:val="IndexLink"/>
              </w:rPr>
              <w:t>237</w:t>
            </w:r>
          </w:hyperlink>
        </w:p>
        <w:p>
          <w:pPr>
            <w:pStyle w:val="Contents6"/>
            <w:tabs>
              <w:tab w:val="clear" w:pos="7609"/>
              <w:tab w:val="right" w:pos="9026" w:leader="dot"/>
            </w:tabs>
            <w:rPr/>
          </w:pPr>
          <w:hyperlink w:anchor="__RefHeading___Toc3320918_2314609296">
            <w:r>
              <w:rPr>
                <w:webHidden/>
                <w:rStyle w:val="IndexLink"/>
                <w:rtl w:val="true"/>
              </w:rPr>
              <w:t>بقي في المقام فروع</w:t>
            </w:r>
            <w:r>
              <w:rPr>
                <w:rStyle w:val="IndexLink"/>
                <w:rtl w:val="true"/>
              </w:rPr>
              <w:t>:</w:t>
              <w:tab/>
            </w:r>
            <w:r>
              <w:rPr>
                <w:rStyle w:val="IndexLink"/>
              </w:rPr>
              <w:t>242</w:t>
            </w:r>
          </w:hyperlink>
        </w:p>
        <w:p>
          <w:pPr>
            <w:pStyle w:val="Contents6"/>
            <w:tabs>
              <w:tab w:val="clear" w:pos="7609"/>
              <w:tab w:val="right" w:pos="9026" w:leader="dot"/>
            </w:tabs>
            <w:rPr/>
          </w:pPr>
          <w:hyperlink w:anchor="__RefHeading___Toc3320920_2314609296">
            <w:r>
              <w:rPr>
                <w:webHidden/>
                <w:rStyle w:val="IndexLink"/>
                <w:rtl w:val="true"/>
              </w:rPr>
              <w:t>منها</w:t>
            </w:r>
            <w:r>
              <w:rPr>
                <w:rStyle w:val="IndexLink"/>
                <w:rtl w:val="true"/>
              </w:rPr>
              <w:t xml:space="preserve">: </w:t>
            </w:r>
            <w:r>
              <w:rPr>
                <w:rStyle w:val="IndexLink"/>
                <w:rtl w:val="true"/>
              </w:rPr>
              <w:t>إنه لو صام الثلاثة ثم وجد الهدي</w:t>
            </w:r>
            <w:r>
              <w:rPr>
                <w:rStyle w:val="IndexLink"/>
                <w:rtl w:val="true"/>
              </w:rPr>
              <w:tab/>
            </w:r>
            <w:r>
              <w:rPr>
                <w:rStyle w:val="IndexLink"/>
              </w:rPr>
              <w:t>242</w:t>
            </w:r>
          </w:hyperlink>
        </w:p>
        <w:p>
          <w:pPr>
            <w:pStyle w:val="Contents6"/>
            <w:tabs>
              <w:tab w:val="clear" w:pos="7609"/>
              <w:tab w:val="right" w:pos="9026" w:leader="dot"/>
            </w:tabs>
            <w:rPr/>
          </w:pPr>
          <w:hyperlink w:anchor="__RefHeading___Toc3320922_2314609296">
            <w:r>
              <w:rPr>
                <w:webHidden/>
                <w:rStyle w:val="IndexLink"/>
                <w:rtl w:val="true"/>
              </w:rPr>
              <w:t>و منها</w:t>
            </w:r>
            <w:r>
              <w:rPr>
                <w:rStyle w:val="IndexLink"/>
                <w:rtl w:val="true"/>
              </w:rPr>
              <w:t xml:space="preserve">: </w:t>
            </w:r>
            <w:r>
              <w:rPr>
                <w:rStyle w:val="IndexLink"/>
                <w:rtl w:val="true"/>
              </w:rPr>
              <w:t>انه يصوم السبعة الأخرى في منزله</w:t>
            </w:r>
            <w:r>
              <w:rPr>
                <w:rStyle w:val="IndexLink"/>
                <w:rtl w:val="true"/>
              </w:rPr>
              <w:tab/>
            </w:r>
            <w:r>
              <w:rPr>
                <w:rStyle w:val="IndexLink"/>
              </w:rPr>
              <w:t>242</w:t>
            </w:r>
          </w:hyperlink>
        </w:p>
        <w:p>
          <w:pPr>
            <w:pStyle w:val="Contents6"/>
            <w:tabs>
              <w:tab w:val="clear" w:pos="7609"/>
              <w:tab w:val="right" w:pos="9026" w:leader="dot"/>
            </w:tabs>
            <w:rPr/>
          </w:pPr>
          <w:hyperlink w:anchor="__RefHeading___Toc3320924_2314609296">
            <w:r>
              <w:rPr>
                <w:webHidden/>
                <w:rStyle w:val="IndexLink"/>
                <w:rtl w:val="true"/>
              </w:rPr>
              <w:t>و منها</w:t>
            </w:r>
            <w:r>
              <w:rPr>
                <w:rStyle w:val="IndexLink"/>
                <w:rtl w:val="true"/>
              </w:rPr>
              <w:t xml:space="preserve">: </w:t>
            </w:r>
            <w:r>
              <w:rPr>
                <w:rStyle w:val="IndexLink"/>
                <w:rtl w:val="true"/>
              </w:rPr>
              <w:t>إنه لو مات من وجب عليه الصوم و لم يصم شيئا منها،</w:t>
            </w:r>
            <w:r>
              <w:rPr>
                <w:rStyle w:val="IndexLink"/>
                <w:rtl w:val="true"/>
              </w:rPr>
              <w:tab/>
            </w:r>
            <w:r>
              <w:rPr>
                <w:rStyle w:val="IndexLink"/>
              </w:rPr>
              <w:t>243</w:t>
            </w:r>
          </w:hyperlink>
        </w:p>
        <w:p>
          <w:pPr>
            <w:pStyle w:val="Contents6"/>
            <w:tabs>
              <w:tab w:val="clear" w:pos="7609"/>
              <w:tab w:val="right" w:pos="9026" w:leader="dot"/>
            </w:tabs>
            <w:rPr/>
          </w:pPr>
          <w:hyperlink w:anchor="__RefHeading___Toc3320926_2314609296">
            <w:r>
              <w:rPr>
                <w:webHidden/>
                <w:rStyle w:val="IndexLink"/>
                <w:rtl w:val="true"/>
              </w:rPr>
              <w:t>و منها</w:t>
            </w:r>
            <w:r>
              <w:rPr>
                <w:rStyle w:val="IndexLink"/>
                <w:rtl w:val="true"/>
              </w:rPr>
              <w:t xml:space="preserve">: </w:t>
            </w:r>
            <w:r>
              <w:rPr>
                <w:rStyle w:val="IndexLink"/>
                <w:rtl w:val="true"/>
              </w:rPr>
              <w:t>من تعيّن عليه الهدي فمات اخرج من صلب ماله،</w:t>
            </w:r>
            <w:r>
              <w:rPr>
                <w:rStyle w:val="IndexLink"/>
                <w:rtl w:val="true"/>
              </w:rPr>
              <w:tab/>
            </w:r>
            <w:r>
              <w:rPr>
                <w:rStyle w:val="IndexLink"/>
              </w:rPr>
              <w:t>244</w:t>
            </w:r>
          </w:hyperlink>
        </w:p>
        <w:p>
          <w:pPr>
            <w:pStyle w:val="Contents6"/>
            <w:tabs>
              <w:tab w:val="clear" w:pos="7609"/>
              <w:tab w:val="right" w:pos="9026" w:leader="dot"/>
            </w:tabs>
            <w:rPr/>
          </w:pPr>
          <w:hyperlink w:anchor="__RefHeading___Toc3320928_2314609296">
            <w:r>
              <w:rPr>
                <w:webHidden/>
                <w:rStyle w:val="IndexLink"/>
                <w:rtl w:val="true"/>
              </w:rPr>
              <w:t>و منها</w:t>
            </w:r>
            <w:r>
              <w:rPr>
                <w:rStyle w:val="IndexLink"/>
                <w:rtl w:val="true"/>
              </w:rPr>
              <w:t xml:space="preserve">: </w:t>
            </w:r>
            <w:r>
              <w:rPr>
                <w:rStyle w:val="IndexLink"/>
                <w:rtl w:val="true"/>
              </w:rPr>
              <w:t>إنه لا يجب بيع ثياب التجمل في الهدي،</w:t>
            </w:r>
            <w:r>
              <w:rPr>
                <w:rStyle w:val="IndexLink"/>
                <w:rtl w:val="true"/>
              </w:rPr>
              <w:tab/>
            </w:r>
            <w:r>
              <w:rPr>
                <w:rStyle w:val="IndexLink"/>
              </w:rPr>
              <w:t>244</w:t>
            </w:r>
          </w:hyperlink>
        </w:p>
        <w:p>
          <w:pPr>
            <w:pStyle w:val="Contents6"/>
            <w:tabs>
              <w:tab w:val="clear" w:pos="7609"/>
              <w:tab w:val="right" w:pos="9026" w:leader="dot"/>
            </w:tabs>
            <w:rPr/>
          </w:pPr>
          <w:hyperlink w:anchor="__RefHeading___Toc3320930_2314609296">
            <w:r>
              <w:rPr>
                <w:webHidden/>
                <w:rStyle w:val="IndexLink"/>
                <w:rtl w:val="true"/>
              </w:rPr>
              <w:t>و منها</w:t>
            </w:r>
            <w:r>
              <w:rPr>
                <w:rStyle w:val="IndexLink"/>
                <w:rtl w:val="true"/>
              </w:rPr>
              <w:t xml:space="preserve">: </w:t>
            </w:r>
            <w:r>
              <w:rPr>
                <w:rStyle w:val="IndexLink"/>
                <w:rtl w:val="true"/>
              </w:rPr>
              <w:t>إنه لو ضل الهدي فذبحه غير صاحبه، ففي الشرائع</w:t>
            </w:r>
            <w:r>
              <w:rPr>
                <w:rStyle w:val="IndexLink"/>
                <w:rtl w:val="true"/>
              </w:rPr>
              <w:t xml:space="preserve">: </w:t>
            </w:r>
            <w:r>
              <w:rPr>
                <w:rStyle w:val="IndexLink"/>
                <w:rtl w:val="true"/>
              </w:rPr>
              <w:t>لم يجز عنه</w:t>
            </w:r>
            <w:r>
              <w:rPr>
                <w:rStyle w:val="IndexLink"/>
                <w:rtl w:val="true"/>
              </w:rPr>
              <w:t>.</w:t>
              <w:tab/>
            </w:r>
            <w:r>
              <w:rPr>
                <w:rStyle w:val="IndexLink"/>
              </w:rPr>
              <w:t>245</w:t>
            </w:r>
          </w:hyperlink>
        </w:p>
        <w:p>
          <w:pPr>
            <w:pStyle w:val="Contents6"/>
            <w:tabs>
              <w:tab w:val="clear" w:pos="7609"/>
              <w:tab w:val="right" w:pos="9026" w:leader="dot"/>
            </w:tabs>
            <w:rPr/>
          </w:pPr>
          <w:hyperlink w:anchor="__RefHeading___Toc3320932_2314609296">
            <w:r>
              <w:rPr>
                <w:webHidden/>
                <w:rStyle w:val="IndexLink"/>
                <w:rtl w:val="true"/>
              </w:rPr>
              <w:t>و منها</w:t>
            </w:r>
            <w:r>
              <w:rPr>
                <w:rStyle w:val="IndexLink"/>
                <w:rtl w:val="true"/>
              </w:rPr>
              <w:t xml:space="preserve">: </w:t>
            </w:r>
            <w:r>
              <w:rPr>
                <w:rStyle w:val="IndexLink"/>
                <w:rtl w:val="true"/>
              </w:rPr>
              <w:t>انه لا يخرج بشي‌ء منها من منى،</w:t>
            </w:r>
            <w:r>
              <w:rPr>
                <w:rStyle w:val="IndexLink"/>
                <w:rtl w:val="true"/>
              </w:rPr>
              <w:tab/>
            </w:r>
            <w:r>
              <w:rPr>
                <w:rStyle w:val="IndexLink"/>
              </w:rPr>
              <w:t>246</w:t>
            </w:r>
          </w:hyperlink>
        </w:p>
        <w:p>
          <w:pPr>
            <w:pStyle w:val="Contents6"/>
            <w:tabs>
              <w:tab w:val="clear" w:pos="7609"/>
              <w:tab w:val="right" w:pos="9026" w:leader="dot"/>
            </w:tabs>
            <w:rPr/>
          </w:pPr>
          <w:hyperlink w:anchor="__RefHeading___Toc3320934_2314609296">
            <w:r>
              <w:rPr>
                <w:webHidden/>
                <w:rStyle w:val="IndexLink"/>
                <w:rtl w:val="true"/>
              </w:rPr>
              <w:t>و إذا هلك هدي القران لم يلزمه بدله إلّا أن يكون مضمونا</w:t>
            </w:r>
            <w:r>
              <w:rPr>
                <w:rStyle w:val="IndexLink"/>
                <w:rtl w:val="true"/>
              </w:rPr>
              <w:tab/>
            </w:r>
            <w:r>
              <w:rPr>
                <w:rStyle w:val="IndexLink"/>
              </w:rPr>
              <w:t>249</w:t>
            </w:r>
          </w:hyperlink>
        </w:p>
        <w:p>
          <w:pPr>
            <w:pStyle w:val="Contents6"/>
            <w:tabs>
              <w:tab w:val="clear" w:pos="7609"/>
              <w:tab w:val="right" w:pos="9026" w:leader="dot"/>
            </w:tabs>
            <w:rPr/>
          </w:pPr>
          <w:hyperlink w:anchor="__RefHeading___Toc3320936_2314609296">
            <w:r>
              <w:rPr>
                <w:webHidden/>
                <w:rStyle w:val="IndexLink"/>
                <w:rtl w:val="true"/>
              </w:rPr>
              <w:t>و أما الأضحية فمستحبة يوم النحر،</w:t>
            </w:r>
            <w:r>
              <w:rPr>
                <w:rStyle w:val="IndexLink"/>
                <w:rtl w:val="true"/>
              </w:rPr>
              <w:tab/>
            </w:r>
            <w:r>
              <w:rPr>
                <w:rStyle w:val="IndexLink"/>
              </w:rPr>
              <w:t>254</w:t>
            </w:r>
          </w:hyperlink>
        </w:p>
        <w:p>
          <w:pPr>
            <w:pStyle w:val="Contents6"/>
            <w:tabs>
              <w:tab w:val="clear" w:pos="7609"/>
              <w:tab w:val="right" w:pos="9026" w:leader="dot"/>
            </w:tabs>
            <w:rPr/>
          </w:pPr>
          <w:hyperlink w:anchor="__RefHeading___Toc3320938_2314609296">
            <w:r>
              <w:rPr>
                <w:webHidden/>
                <w:rStyle w:val="IndexLink"/>
                <w:rtl w:val="true"/>
              </w:rPr>
              <w:t>الثالث</w:t>
            </w:r>
            <w:r>
              <w:rPr>
                <w:rStyle w:val="IndexLink"/>
                <w:rtl w:val="true"/>
              </w:rPr>
              <w:t xml:space="preserve">: </w:t>
            </w:r>
            <w:r>
              <w:rPr>
                <w:rStyle w:val="IndexLink"/>
                <w:rtl w:val="true"/>
              </w:rPr>
              <w:t>الحلق، و يجب يوم النحر بعد الذبح الحلق أو التقصير</w:t>
            </w:r>
            <w:r>
              <w:rPr>
                <w:rStyle w:val="IndexLink"/>
                <w:rtl w:val="true"/>
              </w:rPr>
              <w:tab/>
            </w:r>
            <w:r>
              <w:rPr>
                <w:rStyle w:val="IndexLink"/>
              </w:rPr>
              <w:t>256</w:t>
            </w:r>
          </w:hyperlink>
        </w:p>
        <w:p>
          <w:pPr>
            <w:pStyle w:val="Contents4"/>
            <w:tabs>
              <w:tab w:val="clear" w:pos="8176"/>
              <w:tab w:val="right" w:pos="9026" w:leader="dot"/>
            </w:tabs>
            <w:rPr/>
          </w:pPr>
          <w:hyperlink w:anchor="__RefHeading___Toc3320940_2314609296">
            <w:r>
              <w:rPr>
                <w:webHidden/>
                <w:rStyle w:val="IndexLink"/>
                <w:rtl w:val="true"/>
              </w:rPr>
              <w:t>الفصل الخامس</w:t>
            </w:r>
            <w:r>
              <w:rPr>
                <w:rStyle w:val="IndexLink"/>
                <w:rtl w:val="true"/>
              </w:rPr>
              <w:t xml:space="preserve">: </w:t>
            </w:r>
            <w:r>
              <w:rPr>
                <w:rStyle w:val="IndexLink"/>
                <w:rtl w:val="true"/>
              </w:rPr>
              <w:t>في بقية المناسك</w:t>
            </w:r>
            <w:r>
              <w:rPr>
                <w:rStyle w:val="IndexLink"/>
                <w:rtl w:val="true"/>
              </w:rPr>
              <w:tab/>
            </w:r>
            <w:r>
              <w:rPr>
                <w:rStyle w:val="IndexLink"/>
              </w:rPr>
              <w:t>267</w:t>
            </w:r>
          </w:hyperlink>
        </w:p>
        <w:p>
          <w:pPr>
            <w:pStyle w:val="Contents5"/>
            <w:tabs>
              <w:tab w:val="clear" w:pos="7892"/>
              <w:tab w:val="right" w:pos="9026" w:leader="dot"/>
            </w:tabs>
            <w:rPr/>
          </w:pPr>
          <w:hyperlink w:anchor="__RefHeading___Toc3320942_2314609296">
            <w:r>
              <w:rPr>
                <w:webHidden/>
                <w:rStyle w:val="IndexLink"/>
                <w:rtl w:val="true"/>
              </w:rPr>
              <w:t>اشارة</w:t>
            </w:r>
            <w:r>
              <w:rPr>
                <w:rStyle w:val="IndexLink"/>
                <w:rtl w:val="true"/>
              </w:rPr>
              <w:tab/>
            </w:r>
            <w:r>
              <w:rPr>
                <w:rStyle w:val="IndexLink"/>
              </w:rPr>
              <w:t>267</w:t>
            </w:r>
          </w:hyperlink>
        </w:p>
        <w:p>
          <w:pPr>
            <w:pStyle w:val="Contents5"/>
            <w:tabs>
              <w:tab w:val="clear" w:pos="7892"/>
              <w:tab w:val="right" w:pos="9026" w:leader="dot"/>
            </w:tabs>
            <w:rPr/>
          </w:pPr>
          <w:hyperlink w:anchor="__RefHeading___Toc3320944_2314609296">
            <w:r>
              <w:rPr>
                <w:webHidden/>
                <w:rStyle w:val="IndexLink"/>
                <w:rtl w:val="true"/>
              </w:rPr>
              <w:t>و يجوز التأخير للقارن و المفرد طول ذي الحجة،</w:t>
            </w:r>
            <w:r>
              <w:rPr>
                <w:rStyle w:val="IndexLink"/>
                <w:rtl w:val="true"/>
              </w:rPr>
              <w:tab/>
            </w:r>
            <w:r>
              <w:rPr>
                <w:rStyle w:val="IndexLink"/>
              </w:rPr>
              <w:t>269</w:t>
            </w:r>
          </w:hyperlink>
        </w:p>
        <w:p>
          <w:pPr>
            <w:pStyle w:val="Contents5"/>
            <w:tabs>
              <w:tab w:val="clear" w:pos="7892"/>
              <w:tab w:val="right" w:pos="9026" w:leader="dot"/>
            </w:tabs>
            <w:rPr/>
          </w:pPr>
          <w:hyperlink w:anchor="__RefHeading___Toc3320946_2314609296">
            <w:r>
              <w:rPr>
                <w:webHidden/>
                <w:rStyle w:val="IndexLink"/>
                <w:rtl w:val="true"/>
              </w:rPr>
              <w:t>و طواف النساء واجب على كل حاج</w:t>
            </w:r>
            <w:r>
              <w:rPr>
                <w:rStyle w:val="IndexLink"/>
                <w:rtl w:val="true"/>
              </w:rPr>
              <w:tab/>
            </w:r>
            <w:r>
              <w:rPr>
                <w:rStyle w:val="IndexLink"/>
              </w:rPr>
              <w:t>270</w:t>
            </w:r>
          </w:hyperlink>
        </w:p>
        <w:p>
          <w:pPr>
            <w:pStyle w:val="Contents5"/>
            <w:tabs>
              <w:tab w:val="clear" w:pos="7892"/>
              <w:tab w:val="right" w:pos="9026" w:leader="dot"/>
            </w:tabs>
            <w:rPr/>
          </w:pPr>
          <w:hyperlink w:anchor="__RefHeading___Toc3320948_2314609296">
            <w:r>
              <w:rPr>
                <w:webHidden/>
                <w:rStyle w:val="IndexLink"/>
                <w:rtl w:val="true"/>
              </w:rPr>
              <w:t>و يرمي في اليومين الجمار الثلاث</w:t>
            </w:r>
            <w:r>
              <w:rPr>
                <w:rStyle w:val="IndexLink"/>
                <w:rtl w:val="true"/>
              </w:rPr>
              <w:tab/>
            </w:r>
            <w:r>
              <w:rPr>
                <w:rStyle w:val="IndexLink"/>
              </w:rPr>
              <w:t>274</w:t>
            </w:r>
          </w:hyperlink>
        </w:p>
        <w:p>
          <w:pPr>
            <w:pStyle w:val="Contents5"/>
            <w:tabs>
              <w:tab w:val="clear" w:pos="7892"/>
              <w:tab w:val="right" w:pos="9026" w:leader="dot"/>
            </w:tabs>
            <w:rPr/>
          </w:pPr>
          <w:hyperlink w:anchor="__RefHeading___Toc3320950_2314609296">
            <w:r>
              <w:rPr>
                <w:webHidden/>
                <w:rStyle w:val="IndexLink"/>
                <w:rtl w:val="true"/>
              </w:rPr>
              <w:t>و وقت الرمي ما بين طلوع الشمس إلى غروبها</w:t>
            </w:r>
            <w:r>
              <w:rPr>
                <w:rStyle w:val="IndexLink"/>
                <w:rtl w:val="true"/>
              </w:rPr>
              <w:tab/>
            </w:r>
            <w:r>
              <w:rPr>
                <w:rStyle w:val="IndexLink"/>
              </w:rPr>
              <w:t>275</w:t>
            </w:r>
          </w:hyperlink>
        </w:p>
        <w:p>
          <w:pPr>
            <w:pStyle w:val="Contents5"/>
            <w:tabs>
              <w:tab w:val="clear" w:pos="7892"/>
              <w:tab w:val="right" w:pos="9026" w:leader="dot"/>
            </w:tabs>
            <w:rPr/>
          </w:pPr>
          <w:hyperlink w:anchor="__RefHeading___Toc3320952_2314609296">
            <w:r>
              <w:rPr>
                <w:webHidden/>
                <w:rStyle w:val="IndexLink"/>
                <w:rtl w:val="true"/>
              </w:rPr>
              <w:t>و يجوز النفر الأول لمن اتقى الصيد إذا لم تغرب الشمس</w:t>
            </w:r>
            <w:r>
              <w:rPr>
                <w:rStyle w:val="IndexLink"/>
                <w:rtl w:val="true"/>
              </w:rPr>
              <w:tab/>
            </w:r>
            <w:r>
              <w:rPr>
                <w:rStyle w:val="IndexLink"/>
              </w:rPr>
              <w:t>276</w:t>
            </w:r>
          </w:hyperlink>
        </w:p>
        <w:p>
          <w:pPr>
            <w:pStyle w:val="Contents5"/>
            <w:tabs>
              <w:tab w:val="clear" w:pos="7892"/>
              <w:tab w:val="right" w:pos="9026" w:leader="dot"/>
            </w:tabs>
            <w:rPr/>
          </w:pPr>
          <w:hyperlink w:anchor="__RefHeading___Toc3320954_2314609296">
            <w:r>
              <w:rPr>
                <w:webHidden/>
                <w:rStyle w:val="IndexLink"/>
                <w:rtl w:val="true"/>
              </w:rPr>
              <w:t>و لو نسي رمي يوم قضاه في الغد مقدما</w:t>
            </w:r>
            <w:r>
              <w:rPr>
                <w:rStyle w:val="IndexLink"/>
                <w:rtl w:val="true"/>
              </w:rPr>
              <w:tab/>
            </w:r>
            <w:r>
              <w:rPr>
                <w:rStyle w:val="IndexLink"/>
              </w:rPr>
              <w:t>278</w:t>
            </w:r>
          </w:hyperlink>
        </w:p>
        <w:p>
          <w:pPr>
            <w:pStyle w:val="Contents5"/>
            <w:tabs>
              <w:tab w:val="clear" w:pos="7892"/>
              <w:tab w:val="right" w:pos="9026" w:leader="dot"/>
            </w:tabs>
            <w:rPr/>
          </w:pPr>
          <w:hyperlink w:anchor="__RefHeading___Toc3320956_2314609296">
            <w:r>
              <w:rPr>
                <w:webHidden/>
                <w:rStyle w:val="IndexLink"/>
                <w:rtl w:val="true"/>
              </w:rPr>
              <w:t>و لو نسي جمرة و جهل عينها رمي الثلاث</w:t>
            </w:r>
            <w:r>
              <w:rPr>
                <w:rStyle w:val="IndexLink"/>
                <w:rtl w:val="true"/>
              </w:rPr>
              <w:tab/>
            </w:r>
            <w:r>
              <w:rPr>
                <w:rStyle w:val="IndexLink"/>
              </w:rPr>
              <w:t>279</w:t>
            </w:r>
          </w:hyperlink>
        </w:p>
        <w:p>
          <w:pPr>
            <w:pStyle w:val="Contents5"/>
            <w:tabs>
              <w:tab w:val="clear" w:pos="7892"/>
              <w:tab w:val="right" w:pos="9026" w:leader="dot"/>
            </w:tabs>
            <w:rPr/>
          </w:pPr>
          <w:hyperlink w:anchor="__RefHeading___Toc3320958_2314609296">
            <w:r>
              <w:rPr>
                <w:webHidden/>
                <w:rStyle w:val="IndexLink"/>
                <w:rtl w:val="true"/>
              </w:rPr>
              <w:t>و يستحب الإقامة بمنى أيام التشريق</w:t>
            </w:r>
            <w:r>
              <w:rPr>
                <w:rStyle w:val="IndexLink"/>
                <w:rtl w:val="true"/>
              </w:rPr>
              <w:tab/>
            </w:r>
            <w:r>
              <w:rPr>
                <w:rStyle w:val="IndexLink"/>
              </w:rPr>
              <w:t>281</w:t>
            </w:r>
          </w:hyperlink>
        </w:p>
        <w:p>
          <w:pPr>
            <w:pStyle w:val="Contents5"/>
            <w:tabs>
              <w:tab w:val="clear" w:pos="7892"/>
              <w:tab w:val="right" w:pos="9026" w:leader="dot"/>
            </w:tabs>
            <w:rPr/>
          </w:pPr>
          <w:hyperlink w:anchor="__RefHeading___Toc3320960_2314609296">
            <w:r>
              <w:rPr>
                <w:webHidden/>
                <w:rStyle w:val="IndexLink"/>
                <w:rtl w:val="true"/>
              </w:rPr>
              <w:t>و يكره أن يجاور بمكة</w:t>
            </w:r>
            <w:r>
              <w:rPr>
                <w:rStyle w:val="IndexLink"/>
                <w:rtl w:val="true"/>
              </w:rPr>
              <w:tab/>
            </w:r>
            <w:r>
              <w:rPr>
                <w:rStyle w:val="IndexLink"/>
              </w:rPr>
              <w:t>284</w:t>
            </w:r>
          </w:hyperlink>
        </w:p>
        <w:p>
          <w:pPr>
            <w:pStyle w:val="Contents5"/>
            <w:tabs>
              <w:tab w:val="clear" w:pos="7892"/>
              <w:tab w:val="right" w:pos="9026" w:leader="dot"/>
            </w:tabs>
            <w:rPr/>
          </w:pPr>
          <w:hyperlink w:anchor="__RefHeading___Toc3320962_2314609296">
            <w:r>
              <w:rPr>
                <w:webHidden/>
                <w:rStyle w:val="IndexLink"/>
                <w:rtl w:val="true"/>
              </w:rPr>
              <w:t>و تستحب المجاورة بالمدينة</w:t>
            </w:r>
            <w:r>
              <w:rPr>
                <w:rStyle w:val="IndexLink"/>
                <w:rtl w:val="true"/>
              </w:rPr>
              <w:tab/>
            </w:r>
            <w:r>
              <w:rPr>
                <w:rStyle w:val="IndexLink"/>
              </w:rPr>
              <w:t>285</w:t>
            </w:r>
          </w:hyperlink>
        </w:p>
        <w:p>
          <w:pPr>
            <w:pStyle w:val="Contents3"/>
            <w:tabs>
              <w:tab w:val="clear" w:pos="8459"/>
              <w:tab w:val="right" w:pos="9026" w:leader="dot"/>
            </w:tabs>
            <w:rPr/>
          </w:pPr>
          <w:hyperlink w:anchor="__RefHeading___Toc3320964_2314609296">
            <w:r>
              <w:rPr>
                <w:webHidden/>
                <w:rStyle w:val="IndexLink"/>
                <w:rtl w:val="true"/>
              </w:rPr>
              <w:t>الباب التاسع في العمرة</w:t>
            </w:r>
            <w:r>
              <w:rPr>
                <w:rStyle w:val="IndexLink"/>
                <w:rtl w:val="true"/>
              </w:rPr>
              <w:tab/>
            </w:r>
            <w:r>
              <w:rPr>
                <w:rStyle w:val="IndexLink"/>
              </w:rPr>
              <w:t>287</w:t>
            </w:r>
          </w:hyperlink>
        </w:p>
        <w:p>
          <w:pPr>
            <w:pStyle w:val="Contents4"/>
            <w:tabs>
              <w:tab w:val="clear" w:pos="8176"/>
              <w:tab w:val="right" w:pos="9026" w:leader="dot"/>
            </w:tabs>
            <w:rPr/>
          </w:pPr>
          <w:hyperlink w:anchor="__RefHeading___Toc3320966_2314609296">
            <w:r>
              <w:rPr>
                <w:webHidden/>
                <w:rStyle w:val="IndexLink"/>
                <w:rtl w:val="true"/>
              </w:rPr>
              <w:t>اشارة</w:t>
            </w:r>
            <w:r>
              <w:rPr>
                <w:rStyle w:val="IndexLink"/>
                <w:rtl w:val="true"/>
              </w:rPr>
              <w:tab/>
            </w:r>
            <w:r>
              <w:rPr>
                <w:rStyle w:val="IndexLink"/>
              </w:rPr>
              <w:t>287</w:t>
            </w:r>
          </w:hyperlink>
        </w:p>
        <w:p>
          <w:pPr>
            <w:pStyle w:val="Contents4"/>
            <w:tabs>
              <w:tab w:val="clear" w:pos="8176"/>
              <w:tab w:val="right" w:pos="9026" w:leader="dot"/>
            </w:tabs>
            <w:rPr/>
          </w:pPr>
          <w:hyperlink w:anchor="__RefHeading___Toc3320968_2314609296">
            <w:r>
              <w:rPr>
                <w:webHidden/>
                <w:rStyle w:val="IndexLink"/>
                <w:rtl w:val="true"/>
              </w:rPr>
              <w:t>و أفعالها</w:t>
            </w:r>
            <w:r>
              <w:rPr>
                <w:rStyle w:val="IndexLink"/>
                <w:rtl w:val="true"/>
              </w:rPr>
              <w:t xml:space="preserve">: </w:t>
            </w:r>
            <w:r>
              <w:rPr>
                <w:rStyle w:val="IndexLink"/>
                <w:rtl w:val="true"/>
              </w:rPr>
              <w:t>النية</w:t>
            </w:r>
            <w:r>
              <w:rPr>
                <w:rStyle w:val="IndexLink"/>
                <w:rtl w:val="true"/>
              </w:rPr>
              <w:tab/>
            </w:r>
            <w:r>
              <w:rPr>
                <w:rStyle w:val="IndexLink"/>
              </w:rPr>
              <w:t>289</w:t>
            </w:r>
          </w:hyperlink>
        </w:p>
        <w:p>
          <w:pPr>
            <w:pStyle w:val="Contents3"/>
            <w:tabs>
              <w:tab w:val="clear" w:pos="8459"/>
              <w:tab w:val="right" w:pos="9026" w:leader="dot"/>
            </w:tabs>
            <w:rPr/>
          </w:pPr>
          <w:hyperlink w:anchor="__RefHeading___Toc3320970_2314609296">
            <w:r>
              <w:rPr>
                <w:webHidden/>
                <w:rStyle w:val="IndexLink"/>
                <w:rtl w:val="true"/>
              </w:rPr>
              <w:t>الباب العاشر في المحصور و المصدود</w:t>
            </w:r>
            <w:r>
              <w:rPr>
                <w:rStyle w:val="IndexLink"/>
                <w:rtl w:val="true"/>
              </w:rPr>
              <w:tab/>
            </w:r>
            <w:r>
              <w:rPr>
                <w:rStyle w:val="IndexLink"/>
              </w:rPr>
              <w:t>295</w:t>
            </w:r>
          </w:hyperlink>
        </w:p>
        <w:p>
          <w:pPr>
            <w:pStyle w:val="Contents4"/>
            <w:tabs>
              <w:tab w:val="clear" w:pos="8176"/>
              <w:tab w:val="right" w:pos="9026" w:leader="dot"/>
            </w:tabs>
            <w:rPr/>
          </w:pPr>
          <w:hyperlink w:anchor="__RefHeading___Toc3320972_2314609296">
            <w:r>
              <w:rPr>
                <w:webHidden/>
                <w:rStyle w:val="IndexLink"/>
                <w:rtl w:val="true"/>
              </w:rPr>
              <w:t>اشارة</w:t>
            </w:r>
            <w:r>
              <w:rPr>
                <w:rStyle w:val="IndexLink"/>
                <w:rtl w:val="true"/>
              </w:rPr>
              <w:tab/>
            </w:r>
            <w:r>
              <w:rPr>
                <w:rStyle w:val="IndexLink"/>
              </w:rPr>
              <w:t>295</w:t>
            </w:r>
          </w:hyperlink>
        </w:p>
        <w:p>
          <w:pPr>
            <w:pStyle w:val="Contents4"/>
            <w:tabs>
              <w:tab w:val="clear" w:pos="8176"/>
              <w:tab w:val="right" w:pos="9026" w:leader="dot"/>
            </w:tabs>
            <w:rPr/>
          </w:pPr>
          <w:hyperlink w:anchor="__RefHeading___Toc3320974_2314609296">
            <w:r>
              <w:rPr>
                <w:webHidden/>
                <w:rStyle w:val="IndexLink"/>
                <w:rtl w:val="true"/>
              </w:rPr>
              <w:t>المصدود</w:t>
            </w:r>
            <w:r>
              <w:rPr>
                <w:rStyle w:val="IndexLink"/>
                <w:rtl w:val="true"/>
              </w:rPr>
              <w:t xml:space="preserve">: </w:t>
            </w:r>
            <w:r>
              <w:rPr>
                <w:rStyle w:val="IndexLink"/>
                <w:rtl w:val="true"/>
              </w:rPr>
              <w:t>هو الممنوع بالعدو</w:t>
            </w:r>
            <w:r>
              <w:rPr>
                <w:rStyle w:val="IndexLink"/>
                <w:rtl w:val="true"/>
              </w:rPr>
              <w:tab/>
            </w:r>
            <w:r>
              <w:rPr>
                <w:rStyle w:val="IndexLink"/>
              </w:rPr>
              <w:t>295</w:t>
            </w:r>
          </w:hyperlink>
        </w:p>
        <w:p>
          <w:pPr>
            <w:pStyle w:val="Contents5"/>
            <w:tabs>
              <w:tab w:val="clear" w:pos="7892"/>
              <w:tab w:val="right" w:pos="9026" w:leader="dot"/>
            </w:tabs>
            <w:rPr/>
          </w:pPr>
          <w:hyperlink w:anchor="__RefHeading___Toc3320976_2314609296">
            <w:r>
              <w:rPr>
                <w:webHidden/>
                <w:rStyle w:val="IndexLink"/>
                <w:rtl w:val="true"/>
              </w:rPr>
              <w:t>اشارة</w:t>
            </w:r>
            <w:r>
              <w:rPr>
                <w:rStyle w:val="IndexLink"/>
                <w:rtl w:val="true"/>
              </w:rPr>
              <w:tab/>
            </w:r>
            <w:r>
              <w:rPr>
                <w:rStyle w:val="IndexLink"/>
              </w:rPr>
              <w:t>295</w:t>
            </w:r>
          </w:hyperlink>
        </w:p>
        <w:p>
          <w:pPr>
            <w:pStyle w:val="Contents5"/>
            <w:tabs>
              <w:tab w:val="clear" w:pos="7892"/>
              <w:tab w:val="right" w:pos="9026" w:leader="dot"/>
            </w:tabs>
            <w:rPr/>
          </w:pPr>
          <w:hyperlink w:anchor="__RefHeading___Toc3320978_2314609296">
            <w:r>
              <w:rPr>
                <w:webHidden/>
                <w:rStyle w:val="IndexLink"/>
                <w:rtl w:val="true"/>
              </w:rPr>
              <w:t>و المعتمر المصدود كالحاج المصدود</w:t>
            </w:r>
            <w:r>
              <w:rPr>
                <w:rStyle w:val="IndexLink"/>
                <w:rtl w:val="true"/>
              </w:rPr>
              <w:tab/>
            </w:r>
            <w:r>
              <w:rPr>
                <w:rStyle w:val="IndexLink"/>
              </w:rPr>
              <w:t>307</w:t>
            </w:r>
          </w:hyperlink>
        </w:p>
        <w:p>
          <w:pPr>
            <w:pStyle w:val="Contents4"/>
            <w:tabs>
              <w:tab w:val="clear" w:pos="8176"/>
              <w:tab w:val="right" w:pos="9026" w:leader="dot"/>
            </w:tabs>
            <w:rPr/>
          </w:pPr>
          <w:hyperlink w:anchor="__RefHeading___Toc3320980_2314609296">
            <w:r>
              <w:rPr>
                <w:webHidden/>
                <w:rStyle w:val="IndexLink"/>
                <w:rtl w:val="true"/>
              </w:rPr>
              <w:t>المحصور</w:t>
            </w:r>
            <w:r>
              <w:rPr>
                <w:rStyle w:val="IndexLink"/>
                <w:rtl w:val="true"/>
              </w:rPr>
              <w:tab/>
            </w:r>
            <w:r>
              <w:rPr>
                <w:rStyle w:val="IndexLink"/>
              </w:rPr>
              <w:t>309</w:t>
            </w:r>
          </w:hyperlink>
        </w:p>
        <w:p>
          <w:pPr>
            <w:pStyle w:val="Contents4"/>
            <w:tabs>
              <w:tab w:val="clear" w:pos="8176"/>
              <w:tab w:val="right" w:pos="9026" w:leader="dot"/>
            </w:tabs>
            <w:rPr/>
          </w:pPr>
          <w:hyperlink w:anchor="__RefHeading___Toc3320982_2314609296">
            <w:r>
              <w:rPr>
                <w:webHidden/>
                <w:rStyle w:val="IndexLink"/>
                <w:rtl w:val="true"/>
              </w:rPr>
              <w:t>فإذا بلغ الهدي محله و هو منى إن كان حاجا، و مكة إن كان معتمرا، قصّر و أحل</w:t>
            </w:r>
            <w:r>
              <w:rPr>
                <w:rStyle w:val="IndexLink"/>
                <w:rtl w:val="true"/>
              </w:rPr>
              <w:tab/>
            </w:r>
            <w:r>
              <w:rPr>
                <w:rStyle w:val="IndexLink"/>
              </w:rPr>
              <w:t>310</w:t>
            </w:r>
          </w:hyperlink>
        </w:p>
        <w:p>
          <w:pPr>
            <w:pStyle w:val="Contents5"/>
            <w:tabs>
              <w:tab w:val="clear" w:pos="7892"/>
              <w:tab w:val="right" w:pos="9026" w:leader="dot"/>
            </w:tabs>
            <w:rPr/>
          </w:pPr>
          <w:hyperlink w:anchor="__RefHeading___Toc3320984_2314609296">
            <w:r>
              <w:rPr>
                <w:webHidden/>
                <w:rStyle w:val="IndexLink"/>
                <w:rtl w:val="true"/>
              </w:rPr>
              <w:t>اشارة</w:t>
            </w:r>
            <w:r>
              <w:rPr>
                <w:rStyle w:val="IndexLink"/>
                <w:rtl w:val="true"/>
              </w:rPr>
              <w:tab/>
            </w:r>
            <w:r>
              <w:rPr>
                <w:rStyle w:val="IndexLink"/>
              </w:rPr>
              <w:t>310</w:t>
            </w:r>
          </w:hyperlink>
        </w:p>
        <w:p>
          <w:pPr>
            <w:pStyle w:val="Contents5"/>
            <w:tabs>
              <w:tab w:val="clear" w:pos="7892"/>
              <w:tab w:val="right" w:pos="9026" w:leader="dot"/>
            </w:tabs>
            <w:rPr/>
          </w:pPr>
          <w:hyperlink w:anchor="__RefHeading___Toc3320986_2314609296">
            <w:r>
              <w:rPr>
                <w:webHidden/>
                <w:rStyle w:val="IndexLink"/>
                <w:rtl w:val="true"/>
              </w:rPr>
              <w:t>فرع</w:t>
            </w:r>
            <w:r>
              <w:rPr>
                <w:rStyle w:val="IndexLink"/>
                <w:rtl w:val="true"/>
              </w:rPr>
              <w:tab/>
            </w:r>
            <w:r>
              <w:rPr>
                <w:rStyle w:val="IndexLink"/>
              </w:rPr>
              <w:t>313</w:t>
            </w:r>
          </w:hyperlink>
        </w:p>
        <w:p>
          <w:pPr>
            <w:pStyle w:val="Contents5"/>
            <w:tabs>
              <w:tab w:val="clear" w:pos="7892"/>
              <w:tab w:val="right" w:pos="9026" w:leader="dot"/>
            </w:tabs>
            <w:rPr/>
          </w:pPr>
          <w:hyperlink w:anchor="__RefHeading___Toc3320988_2314609296">
            <w:r>
              <w:rPr>
                <w:webHidden/>
                <w:rStyle w:val="IndexLink"/>
                <w:rtl w:val="true"/>
              </w:rPr>
              <w:t>بقي في المقام فرع هو خاتمة كتاب الحج، و هو أنّ مقتضى جملة من النصوص وجوب إتيان القارن المحل بالاحصار بمثل ما أحل منه</w:t>
            </w:r>
            <w:r>
              <w:rPr>
                <w:rStyle w:val="IndexLink"/>
                <w:rtl w:val="true"/>
              </w:rPr>
              <w:tab/>
            </w:r>
            <w:r>
              <w:rPr>
                <w:rStyle w:val="IndexLink"/>
              </w:rPr>
              <w:t>318</w:t>
            </w:r>
          </w:hyperlink>
        </w:p>
        <w:p>
          <w:pPr>
            <w:pStyle w:val="Contents2"/>
            <w:tabs>
              <w:tab w:val="clear" w:pos="8743"/>
              <w:tab w:val="right" w:pos="9026" w:leader="dot"/>
            </w:tabs>
            <w:rPr/>
          </w:pPr>
          <w:hyperlink w:anchor="__RefHeading___Toc3320990_2314609296">
            <w:r>
              <w:rPr>
                <w:webHidden/>
                <w:rStyle w:val="IndexLink"/>
                <w:rtl w:val="true"/>
              </w:rPr>
              <w:t>كتاب الجهاد</w:t>
            </w:r>
            <w:r>
              <w:rPr>
                <w:rStyle w:val="IndexLink"/>
                <w:rtl w:val="true"/>
              </w:rPr>
              <w:tab/>
            </w:r>
            <w:r>
              <w:rPr>
                <w:rStyle w:val="IndexLink"/>
              </w:rPr>
              <w:t>320</w:t>
            </w:r>
          </w:hyperlink>
        </w:p>
        <w:p>
          <w:pPr>
            <w:pStyle w:val="Contents3"/>
            <w:tabs>
              <w:tab w:val="clear" w:pos="8459"/>
              <w:tab w:val="right" w:pos="9026" w:leader="dot"/>
            </w:tabs>
            <w:rPr/>
          </w:pPr>
          <w:hyperlink w:anchor="__RefHeading___Toc3320992_2314609296">
            <w:r>
              <w:rPr>
                <w:webHidden/>
                <w:rStyle w:val="IndexLink"/>
                <w:rtl w:val="true"/>
              </w:rPr>
              <w:t>اشارة</w:t>
            </w:r>
            <w:r>
              <w:rPr>
                <w:rStyle w:val="IndexLink"/>
                <w:rtl w:val="true"/>
              </w:rPr>
              <w:tab/>
            </w:r>
            <w:r>
              <w:rPr>
                <w:rStyle w:val="IndexLink"/>
              </w:rPr>
              <w:t>320</w:t>
            </w:r>
          </w:hyperlink>
        </w:p>
        <w:p>
          <w:pPr>
            <w:pStyle w:val="Contents3"/>
            <w:tabs>
              <w:tab w:val="clear" w:pos="8459"/>
              <w:tab w:val="right" w:pos="9026" w:leader="dot"/>
            </w:tabs>
            <w:rPr/>
          </w:pPr>
          <w:hyperlink w:anchor="__RefHeading___Toc3320994_2314609296">
            <w:r>
              <w:rPr>
                <w:webHidden/>
                <w:rStyle w:val="IndexLink"/>
                <w:rtl w:val="true"/>
              </w:rPr>
              <w:t>و فيه فصول</w:t>
            </w:r>
            <w:r>
              <w:rPr>
                <w:rStyle w:val="IndexLink"/>
                <w:rtl w:val="true"/>
              </w:rPr>
              <w:tab/>
            </w:r>
            <w:r>
              <w:rPr>
                <w:rStyle w:val="IndexLink"/>
              </w:rPr>
              <w:t>322</w:t>
            </w:r>
          </w:hyperlink>
        </w:p>
        <w:p>
          <w:pPr>
            <w:pStyle w:val="Contents4"/>
            <w:tabs>
              <w:tab w:val="clear" w:pos="8176"/>
              <w:tab w:val="right" w:pos="9026" w:leader="dot"/>
            </w:tabs>
            <w:rPr/>
          </w:pPr>
          <w:hyperlink w:anchor="__RefHeading___Toc3320996_2314609296">
            <w:r>
              <w:rPr>
                <w:webHidden/>
                <w:rStyle w:val="IndexLink"/>
                <w:rtl w:val="true"/>
              </w:rPr>
              <w:t>الفصل الأول</w:t>
            </w:r>
            <w:r>
              <w:rPr>
                <w:rStyle w:val="IndexLink"/>
                <w:rtl w:val="true"/>
              </w:rPr>
              <w:t xml:space="preserve">: </w:t>
            </w:r>
            <w:r>
              <w:rPr>
                <w:rStyle w:val="IndexLink"/>
                <w:rtl w:val="true"/>
              </w:rPr>
              <w:t>في من يجب عليه،</w:t>
            </w:r>
            <w:r>
              <w:rPr>
                <w:rStyle w:val="IndexLink"/>
                <w:rtl w:val="true"/>
              </w:rPr>
              <w:tab/>
            </w:r>
            <w:r>
              <w:rPr>
                <w:rStyle w:val="IndexLink"/>
              </w:rPr>
              <w:t>322</w:t>
            </w:r>
          </w:hyperlink>
        </w:p>
        <w:p>
          <w:pPr>
            <w:pStyle w:val="Contents5"/>
            <w:tabs>
              <w:tab w:val="clear" w:pos="7892"/>
              <w:tab w:val="right" w:pos="9026" w:leader="dot"/>
            </w:tabs>
            <w:rPr/>
          </w:pPr>
          <w:hyperlink w:anchor="__RefHeading___Toc3320998_2314609296">
            <w:r>
              <w:rPr>
                <w:webHidden/>
                <w:rStyle w:val="IndexLink"/>
                <w:rtl w:val="true"/>
              </w:rPr>
              <w:t>اشارة</w:t>
            </w:r>
            <w:r>
              <w:rPr>
                <w:rStyle w:val="IndexLink"/>
                <w:rtl w:val="true"/>
              </w:rPr>
              <w:tab/>
            </w:r>
            <w:r>
              <w:rPr>
                <w:rStyle w:val="IndexLink"/>
              </w:rPr>
              <w:t>322</w:t>
            </w:r>
          </w:hyperlink>
        </w:p>
        <w:p>
          <w:pPr>
            <w:pStyle w:val="Contents5"/>
            <w:tabs>
              <w:tab w:val="clear" w:pos="7892"/>
              <w:tab w:val="right" w:pos="9026" w:leader="dot"/>
            </w:tabs>
            <w:rPr/>
          </w:pPr>
          <w:hyperlink w:anchor="__RefHeading___Toc3321000_2314609296">
            <w:r>
              <w:rPr>
                <w:webHidden/>
                <w:rStyle w:val="IndexLink"/>
                <w:rtl w:val="true"/>
              </w:rPr>
              <w:t>بشروط تسعة</w:t>
            </w:r>
            <w:r>
              <w:rPr>
                <w:rStyle w:val="IndexLink"/>
                <w:rtl w:val="true"/>
              </w:rPr>
              <w:t>:</w:t>
              <w:tab/>
            </w:r>
            <w:r>
              <w:rPr>
                <w:rStyle w:val="IndexLink"/>
              </w:rPr>
              <w:t>325</w:t>
            </w:r>
          </w:hyperlink>
        </w:p>
        <w:p>
          <w:pPr>
            <w:pStyle w:val="Contents6"/>
            <w:tabs>
              <w:tab w:val="clear" w:pos="7609"/>
              <w:tab w:val="right" w:pos="9026" w:leader="dot"/>
            </w:tabs>
            <w:rPr/>
          </w:pPr>
          <w:hyperlink w:anchor="__RefHeading___Toc3321002_2314609296">
            <w:r>
              <w:rPr>
                <w:webHidden/>
                <w:rStyle w:val="IndexLink"/>
                <w:rtl w:val="true"/>
              </w:rPr>
              <w:t>اشارة</w:t>
            </w:r>
            <w:r>
              <w:rPr>
                <w:rStyle w:val="IndexLink"/>
                <w:rtl w:val="true"/>
              </w:rPr>
              <w:tab/>
            </w:r>
            <w:r>
              <w:rPr>
                <w:rStyle w:val="IndexLink"/>
              </w:rPr>
              <w:t>325</w:t>
            </w:r>
          </w:hyperlink>
        </w:p>
        <w:p>
          <w:pPr>
            <w:pStyle w:val="Contents6"/>
            <w:tabs>
              <w:tab w:val="clear" w:pos="7609"/>
              <w:tab w:val="right" w:pos="9026" w:leader="dot"/>
            </w:tabs>
            <w:rPr/>
          </w:pPr>
          <w:hyperlink w:anchor="__RefHeading___Toc3321004_2314609296">
            <w:r>
              <w:rPr>
                <w:webHidden/>
                <w:rStyle w:val="IndexLink"/>
                <w:rtl w:val="true"/>
              </w:rPr>
              <w:t>البلوغ،</w:t>
            </w:r>
            <w:r>
              <w:rPr>
                <w:rStyle w:val="IndexLink"/>
                <w:rtl w:val="true"/>
              </w:rPr>
              <w:tab/>
            </w:r>
            <w:r>
              <w:rPr>
                <w:rStyle w:val="IndexLink"/>
              </w:rPr>
              <w:t>325</w:t>
            </w:r>
          </w:hyperlink>
        </w:p>
        <w:p>
          <w:pPr>
            <w:pStyle w:val="Contents6"/>
            <w:tabs>
              <w:tab w:val="clear" w:pos="7609"/>
              <w:tab w:val="right" w:pos="9026" w:leader="dot"/>
            </w:tabs>
            <w:rPr/>
          </w:pPr>
          <w:hyperlink w:anchor="__RefHeading___Toc3321006_2314609296">
            <w:r>
              <w:rPr>
                <w:webHidden/>
                <w:rStyle w:val="IndexLink"/>
                <w:rtl w:val="true"/>
              </w:rPr>
              <w:t>اشارة</w:t>
            </w:r>
            <w:r>
              <w:rPr>
                <w:rStyle w:val="IndexLink"/>
                <w:rtl w:val="true"/>
              </w:rPr>
              <w:tab/>
            </w:r>
            <w:r>
              <w:rPr>
                <w:rStyle w:val="IndexLink"/>
              </w:rPr>
              <w:t>325</w:t>
            </w:r>
          </w:hyperlink>
        </w:p>
        <w:p>
          <w:pPr>
            <w:pStyle w:val="Contents6"/>
            <w:tabs>
              <w:tab w:val="clear" w:pos="7609"/>
              <w:tab w:val="right" w:pos="9026" w:leader="dot"/>
            </w:tabs>
            <w:rPr/>
          </w:pPr>
          <w:hyperlink w:anchor="__RefHeading___Toc3321008_2314609296">
            <w:r>
              <w:rPr>
                <w:webHidden/>
                <w:rStyle w:val="IndexLink"/>
                <w:rtl w:val="true"/>
              </w:rPr>
              <w:t>العقل</w:t>
            </w:r>
            <w:r>
              <w:rPr>
                <w:rStyle w:val="IndexLink"/>
                <w:rtl w:val="true"/>
              </w:rPr>
              <w:tab/>
            </w:r>
            <w:r>
              <w:rPr>
                <w:rStyle w:val="IndexLink"/>
              </w:rPr>
              <w:t>325</w:t>
            </w:r>
          </w:hyperlink>
        </w:p>
        <w:p>
          <w:pPr>
            <w:pStyle w:val="Contents6"/>
            <w:tabs>
              <w:tab w:val="clear" w:pos="7609"/>
              <w:tab w:val="right" w:pos="9026" w:leader="dot"/>
            </w:tabs>
            <w:rPr/>
          </w:pPr>
          <w:hyperlink w:anchor="__RefHeading___Toc3321010_2314609296">
            <w:r>
              <w:rPr>
                <w:webHidden/>
                <w:rStyle w:val="IndexLink"/>
                <w:rtl w:val="true"/>
              </w:rPr>
              <w:t>الحرية</w:t>
            </w:r>
            <w:r>
              <w:rPr>
                <w:rStyle w:val="IndexLink"/>
                <w:rtl w:val="true"/>
              </w:rPr>
              <w:tab/>
            </w:r>
            <w:r>
              <w:rPr>
                <w:rStyle w:val="IndexLink"/>
              </w:rPr>
              <w:t>325</w:t>
            </w:r>
          </w:hyperlink>
        </w:p>
        <w:p>
          <w:pPr>
            <w:pStyle w:val="Contents6"/>
            <w:tabs>
              <w:tab w:val="clear" w:pos="7609"/>
              <w:tab w:val="right" w:pos="9026" w:leader="dot"/>
            </w:tabs>
            <w:rPr/>
          </w:pPr>
          <w:hyperlink w:anchor="__RefHeading___Toc3321012_2314609296">
            <w:r>
              <w:rPr>
                <w:webHidden/>
                <w:rStyle w:val="IndexLink"/>
                <w:rtl w:val="true"/>
              </w:rPr>
              <w:t>و رابعها</w:t>
            </w:r>
            <w:r>
              <w:rPr>
                <w:rStyle w:val="IndexLink"/>
                <w:rtl w:val="true"/>
              </w:rPr>
              <w:t xml:space="preserve">: </w:t>
            </w:r>
            <w:r>
              <w:rPr>
                <w:rStyle w:val="IndexLink"/>
                <w:rtl w:val="true"/>
              </w:rPr>
              <w:t>الذكورة</w:t>
            </w:r>
            <w:r>
              <w:rPr>
                <w:rStyle w:val="IndexLink"/>
                <w:rtl w:val="true"/>
              </w:rPr>
              <w:tab/>
            </w:r>
            <w:r>
              <w:rPr>
                <w:rStyle w:val="IndexLink"/>
              </w:rPr>
              <w:t>326</w:t>
            </w:r>
          </w:hyperlink>
        </w:p>
        <w:p>
          <w:pPr>
            <w:pStyle w:val="Contents6"/>
            <w:tabs>
              <w:tab w:val="clear" w:pos="7609"/>
              <w:tab w:val="right" w:pos="9026" w:leader="dot"/>
            </w:tabs>
            <w:rPr/>
          </w:pPr>
          <w:hyperlink w:anchor="__RefHeading___Toc3321014_2314609296">
            <w:r>
              <w:rPr>
                <w:webHidden/>
                <w:rStyle w:val="IndexLink"/>
                <w:rtl w:val="true"/>
              </w:rPr>
              <w:t>أن لا يكون هما</w:t>
            </w:r>
            <w:r>
              <w:rPr>
                <w:rStyle w:val="IndexLink"/>
                <w:rtl w:val="true"/>
              </w:rPr>
              <w:tab/>
            </w:r>
            <w:r>
              <w:rPr>
                <w:rStyle w:val="IndexLink"/>
              </w:rPr>
              <w:t>328</w:t>
            </w:r>
          </w:hyperlink>
        </w:p>
        <w:p>
          <w:pPr>
            <w:pStyle w:val="Contents6"/>
            <w:tabs>
              <w:tab w:val="clear" w:pos="7609"/>
              <w:tab w:val="right" w:pos="9026" w:leader="dot"/>
            </w:tabs>
            <w:rPr/>
          </w:pPr>
          <w:hyperlink w:anchor="__RefHeading___Toc3321016_2314609296">
            <w:r>
              <w:rPr>
                <w:webHidden/>
                <w:rStyle w:val="IndexLink"/>
                <w:rtl w:val="true"/>
              </w:rPr>
              <w:t>مقعدا</w:t>
            </w:r>
            <w:r>
              <w:rPr>
                <w:rStyle w:val="IndexLink"/>
                <w:rtl w:val="true"/>
              </w:rPr>
              <w:tab/>
            </w:r>
            <w:r>
              <w:rPr>
                <w:rStyle w:val="IndexLink"/>
              </w:rPr>
              <w:t>329</w:t>
            </w:r>
          </w:hyperlink>
        </w:p>
        <w:p>
          <w:pPr>
            <w:pStyle w:val="Contents6"/>
            <w:tabs>
              <w:tab w:val="clear" w:pos="7609"/>
              <w:tab w:val="right" w:pos="9026" w:leader="dot"/>
            </w:tabs>
            <w:rPr/>
          </w:pPr>
          <w:hyperlink w:anchor="__RefHeading___Toc3321018_2314609296">
            <w:r>
              <w:rPr>
                <w:webHidden/>
                <w:rStyle w:val="IndexLink"/>
                <w:rtl w:val="true"/>
              </w:rPr>
              <w:t>أعمى</w:t>
            </w:r>
            <w:r>
              <w:rPr>
                <w:rStyle w:val="IndexLink"/>
                <w:rtl w:val="true"/>
              </w:rPr>
              <w:tab/>
            </w:r>
            <w:r>
              <w:rPr>
                <w:rStyle w:val="IndexLink"/>
              </w:rPr>
              <w:t>329</w:t>
            </w:r>
          </w:hyperlink>
        </w:p>
        <w:p>
          <w:pPr>
            <w:pStyle w:val="Contents6"/>
            <w:tabs>
              <w:tab w:val="clear" w:pos="7609"/>
              <w:tab w:val="right" w:pos="9026" w:leader="dot"/>
            </w:tabs>
            <w:rPr/>
          </w:pPr>
          <w:hyperlink w:anchor="__RefHeading___Toc3321020_2314609296">
            <w:r>
              <w:rPr>
                <w:webHidden/>
                <w:rStyle w:val="IndexLink"/>
                <w:rtl w:val="true"/>
              </w:rPr>
              <w:t>مريضا</w:t>
            </w:r>
            <w:r>
              <w:rPr>
                <w:rStyle w:val="IndexLink"/>
                <w:rtl w:val="true"/>
              </w:rPr>
              <w:tab/>
            </w:r>
            <w:r>
              <w:rPr>
                <w:rStyle w:val="IndexLink"/>
              </w:rPr>
              <w:t>329</w:t>
            </w:r>
          </w:hyperlink>
        </w:p>
        <w:p>
          <w:pPr>
            <w:pStyle w:val="Contents6"/>
            <w:tabs>
              <w:tab w:val="clear" w:pos="7609"/>
              <w:tab w:val="right" w:pos="9026" w:leader="dot"/>
            </w:tabs>
            <w:rPr/>
          </w:pPr>
          <w:hyperlink w:anchor="__RefHeading___Toc3321022_2314609296">
            <w:r>
              <w:rPr>
                <w:webHidden/>
                <w:rStyle w:val="IndexLink"/>
                <w:rtl w:val="true"/>
              </w:rPr>
              <w:t>دعاء الإمام أو من نصبه</w:t>
            </w:r>
            <w:r>
              <w:rPr>
                <w:rStyle w:val="IndexLink"/>
                <w:rtl w:val="true"/>
              </w:rPr>
              <w:tab/>
            </w:r>
            <w:r>
              <w:rPr>
                <w:rStyle w:val="IndexLink"/>
              </w:rPr>
              <w:t>329</w:t>
            </w:r>
          </w:hyperlink>
        </w:p>
        <w:p>
          <w:pPr>
            <w:pStyle w:val="Contents6"/>
            <w:tabs>
              <w:tab w:val="clear" w:pos="7609"/>
              <w:tab w:val="right" w:pos="9026" w:leader="dot"/>
            </w:tabs>
            <w:rPr/>
          </w:pPr>
          <w:hyperlink w:anchor="__RefHeading___Toc3321024_2314609296">
            <w:r>
              <w:rPr>
                <w:webHidden/>
                <w:rStyle w:val="IndexLink"/>
                <w:rtl w:val="true"/>
              </w:rPr>
              <w:t>و العاجز</w:t>
            </w:r>
            <w:r>
              <w:rPr>
                <w:rStyle w:val="IndexLink"/>
                <w:rtl w:val="true"/>
              </w:rPr>
              <w:tab/>
            </w:r>
            <w:r>
              <w:rPr>
                <w:rStyle w:val="IndexLink"/>
              </w:rPr>
              <w:t>339</w:t>
            </w:r>
          </w:hyperlink>
        </w:p>
        <w:p>
          <w:pPr>
            <w:pStyle w:val="Contents6"/>
            <w:tabs>
              <w:tab w:val="clear" w:pos="7609"/>
              <w:tab w:val="right" w:pos="9026" w:leader="dot"/>
            </w:tabs>
            <w:rPr/>
          </w:pPr>
          <w:hyperlink w:anchor="__RefHeading___Toc3321026_2314609296">
            <w:r>
              <w:rPr>
                <w:webHidden/>
                <w:rStyle w:val="IndexLink"/>
                <w:rtl w:val="true"/>
              </w:rPr>
              <w:t>اشارة</w:t>
            </w:r>
            <w:r>
              <w:rPr>
                <w:rStyle w:val="IndexLink"/>
                <w:rtl w:val="true"/>
              </w:rPr>
              <w:tab/>
            </w:r>
            <w:r>
              <w:rPr>
                <w:rStyle w:val="IndexLink"/>
              </w:rPr>
              <w:t>339</w:t>
            </w:r>
          </w:hyperlink>
        </w:p>
        <w:p>
          <w:pPr>
            <w:pStyle w:val="Contents6"/>
            <w:tabs>
              <w:tab w:val="clear" w:pos="7609"/>
              <w:tab w:val="right" w:pos="9026" w:leader="dot"/>
            </w:tabs>
            <w:rPr/>
          </w:pPr>
          <w:hyperlink w:anchor="__RefHeading___Toc3321028_2314609296">
            <w:r>
              <w:rPr>
                <w:webHidden/>
                <w:rStyle w:val="IndexLink"/>
                <w:rtl w:val="true"/>
              </w:rPr>
              <w:t>بقي في المقام فروع</w:t>
            </w:r>
            <w:r>
              <w:rPr>
                <w:rStyle w:val="IndexLink"/>
                <w:rtl w:val="true"/>
              </w:rPr>
              <w:t>:</w:t>
              <w:tab/>
            </w:r>
            <w:r>
              <w:rPr>
                <w:rStyle w:val="IndexLink"/>
              </w:rPr>
              <w:t>340</w:t>
            </w:r>
          </w:hyperlink>
        </w:p>
        <w:p>
          <w:pPr>
            <w:pStyle w:val="Contents6"/>
            <w:tabs>
              <w:tab w:val="clear" w:pos="7609"/>
              <w:tab w:val="right" w:pos="9026" w:leader="dot"/>
            </w:tabs>
            <w:rPr/>
          </w:pPr>
          <w:hyperlink w:anchor="__RefHeading___Toc3321030_2314609296">
            <w:r>
              <w:rPr>
                <w:webHidden/>
                <w:rStyle w:val="IndexLink"/>
                <w:rtl w:val="true"/>
              </w:rPr>
              <w:t>أحدها</w:t>
            </w:r>
            <w:r>
              <w:rPr>
                <w:rStyle w:val="IndexLink"/>
                <w:rtl w:val="true"/>
              </w:rPr>
              <w:t>:</w:t>
              <w:tab/>
            </w:r>
            <w:r>
              <w:rPr>
                <w:rStyle w:val="IndexLink"/>
              </w:rPr>
              <w:t>340</w:t>
            </w:r>
          </w:hyperlink>
        </w:p>
        <w:p>
          <w:pPr>
            <w:pStyle w:val="Contents6"/>
            <w:tabs>
              <w:tab w:val="clear" w:pos="7609"/>
              <w:tab w:val="right" w:pos="9026" w:leader="dot"/>
            </w:tabs>
            <w:rPr/>
          </w:pPr>
          <w:hyperlink w:anchor="__RefHeading___Toc3321032_2314609296">
            <w:r>
              <w:rPr>
                <w:webHidden/>
                <w:rStyle w:val="IndexLink"/>
                <w:rtl w:val="true"/>
              </w:rPr>
              <w:t>ثانيها</w:t>
            </w:r>
            <w:r>
              <w:rPr>
                <w:rStyle w:val="IndexLink"/>
                <w:rtl w:val="true"/>
              </w:rPr>
              <w:t>:</w:t>
              <w:tab/>
            </w:r>
            <w:r>
              <w:rPr>
                <w:rStyle w:val="IndexLink"/>
              </w:rPr>
              <w:t>341</w:t>
            </w:r>
          </w:hyperlink>
        </w:p>
        <w:p>
          <w:pPr>
            <w:pStyle w:val="Contents6"/>
            <w:tabs>
              <w:tab w:val="clear" w:pos="7609"/>
              <w:tab w:val="right" w:pos="9026" w:leader="dot"/>
            </w:tabs>
            <w:rPr/>
          </w:pPr>
          <w:hyperlink w:anchor="__RefHeading___Toc3321034_2314609296">
            <w:r>
              <w:rPr>
                <w:webHidden/>
                <w:rStyle w:val="IndexLink"/>
                <w:rtl w:val="true"/>
              </w:rPr>
              <w:t>ثالثها</w:t>
            </w:r>
            <w:r>
              <w:rPr>
                <w:rStyle w:val="IndexLink"/>
                <w:rtl w:val="true"/>
              </w:rPr>
              <w:tab/>
            </w:r>
            <w:r>
              <w:rPr>
                <w:rStyle w:val="IndexLink"/>
              </w:rPr>
              <w:t>343</w:t>
            </w:r>
          </w:hyperlink>
        </w:p>
        <w:p>
          <w:pPr>
            <w:pStyle w:val="Contents6"/>
            <w:tabs>
              <w:tab w:val="clear" w:pos="7609"/>
              <w:tab w:val="right" w:pos="9026" w:leader="dot"/>
            </w:tabs>
            <w:rPr/>
          </w:pPr>
          <w:hyperlink w:anchor="__RefHeading___Toc3321036_2314609296">
            <w:r>
              <w:rPr>
                <w:webHidden/>
                <w:rStyle w:val="IndexLink"/>
                <w:rtl w:val="true"/>
              </w:rPr>
              <w:t>رابعها</w:t>
            </w:r>
            <w:r>
              <w:rPr>
                <w:rStyle w:val="IndexLink"/>
                <w:rtl w:val="true"/>
              </w:rPr>
              <w:tab/>
            </w:r>
            <w:r>
              <w:rPr>
                <w:rStyle w:val="IndexLink"/>
              </w:rPr>
              <w:t>346</w:t>
            </w:r>
          </w:hyperlink>
        </w:p>
        <w:p>
          <w:pPr>
            <w:pStyle w:val="Contents6"/>
            <w:tabs>
              <w:tab w:val="clear" w:pos="7609"/>
              <w:tab w:val="right" w:pos="9026" w:leader="dot"/>
            </w:tabs>
            <w:rPr/>
          </w:pPr>
          <w:hyperlink w:anchor="__RefHeading___Toc3321038_2314609296">
            <w:r>
              <w:rPr>
                <w:webHidden/>
                <w:rStyle w:val="IndexLink"/>
                <w:rtl w:val="true"/>
              </w:rPr>
              <w:t>و خامسها</w:t>
            </w:r>
            <w:r>
              <w:rPr>
                <w:rStyle w:val="IndexLink"/>
                <w:rtl w:val="true"/>
              </w:rPr>
              <w:t>:</w:t>
              <w:tab/>
            </w:r>
            <w:r>
              <w:rPr>
                <w:rStyle w:val="IndexLink"/>
              </w:rPr>
              <w:t>348</w:t>
            </w:r>
          </w:hyperlink>
        </w:p>
        <w:p>
          <w:pPr>
            <w:pStyle w:val="Contents6"/>
            <w:tabs>
              <w:tab w:val="clear" w:pos="7609"/>
              <w:tab w:val="right" w:pos="9026" w:leader="dot"/>
            </w:tabs>
            <w:rPr/>
          </w:pPr>
          <w:hyperlink w:anchor="__RefHeading___Toc3321040_2314609296">
            <w:r>
              <w:rPr>
                <w:webHidden/>
                <w:rStyle w:val="IndexLink"/>
                <w:rtl w:val="true"/>
              </w:rPr>
              <w:t>سادسها</w:t>
            </w:r>
            <w:r>
              <w:rPr>
                <w:rStyle w:val="IndexLink"/>
                <w:rtl w:val="true"/>
              </w:rPr>
              <w:t xml:space="preserve">: </w:t>
            </w:r>
            <w:r>
              <w:rPr>
                <w:rStyle w:val="IndexLink"/>
                <w:rtl w:val="true"/>
              </w:rPr>
              <w:t>إنه يستحب المرابطة ثلاثة أيام إلى أربعين</w:t>
            </w:r>
            <w:r>
              <w:rPr>
                <w:rStyle w:val="IndexLink"/>
                <w:rtl w:val="true"/>
              </w:rPr>
              <w:tab/>
            </w:r>
            <w:r>
              <w:rPr>
                <w:rStyle w:val="IndexLink"/>
              </w:rPr>
              <w:t>350</w:t>
            </w:r>
          </w:hyperlink>
        </w:p>
        <w:p>
          <w:pPr>
            <w:pStyle w:val="Contents5"/>
            <w:tabs>
              <w:tab w:val="clear" w:pos="7892"/>
              <w:tab w:val="right" w:pos="9026" w:leader="dot"/>
            </w:tabs>
            <w:rPr/>
          </w:pPr>
          <w:hyperlink w:anchor="__RefHeading___Toc3321042_2314609296">
            <w:r>
              <w:rPr>
                <w:webHidden/>
                <w:rStyle w:val="IndexLink"/>
                <w:rtl w:val="true"/>
              </w:rPr>
              <w:t>الفصل الثاني</w:t>
            </w:r>
            <w:r>
              <w:rPr>
                <w:rStyle w:val="IndexLink"/>
                <w:rtl w:val="true"/>
              </w:rPr>
              <w:t xml:space="preserve">: </w:t>
            </w:r>
            <w:r>
              <w:rPr>
                <w:rStyle w:val="IndexLink"/>
                <w:rtl w:val="true"/>
              </w:rPr>
              <w:t>فيمن يجب جهادهم</w:t>
            </w:r>
            <w:r>
              <w:rPr>
                <w:rStyle w:val="IndexLink"/>
                <w:rtl w:val="true"/>
              </w:rPr>
              <w:tab/>
            </w:r>
            <w:r>
              <w:rPr>
                <w:rStyle w:val="IndexLink"/>
              </w:rPr>
              <w:t>352</w:t>
            </w:r>
          </w:hyperlink>
        </w:p>
        <w:p>
          <w:pPr>
            <w:pStyle w:val="Contents6"/>
            <w:tabs>
              <w:tab w:val="clear" w:pos="7609"/>
              <w:tab w:val="right" w:pos="9026" w:leader="dot"/>
            </w:tabs>
            <w:rPr/>
          </w:pPr>
          <w:hyperlink w:anchor="__RefHeading___Toc3321044_2314609296">
            <w:r>
              <w:rPr>
                <w:webHidden/>
                <w:rStyle w:val="IndexLink"/>
                <w:rtl w:val="true"/>
              </w:rPr>
              <w:t>اشارة</w:t>
            </w:r>
            <w:r>
              <w:rPr>
                <w:rStyle w:val="IndexLink"/>
                <w:rtl w:val="true"/>
              </w:rPr>
              <w:tab/>
            </w:r>
            <w:r>
              <w:rPr>
                <w:rStyle w:val="IndexLink"/>
              </w:rPr>
              <w:t>352</w:t>
            </w:r>
          </w:hyperlink>
        </w:p>
        <w:p>
          <w:pPr>
            <w:pStyle w:val="Contents6"/>
            <w:tabs>
              <w:tab w:val="clear" w:pos="7609"/>
              <w:tab w:val="right" w:pos="9026" w:leader="dot"/>
            </w:tabs>
            <w:rPr/>
          </w:pPr>
          <w:hyperlink w:anchor="__RefHeading___Toc3321046_2314609296">
            <w:r>
              <w:rPr>
                <w:webHidden/>
                <w:rStyle w:val="IndexLink"/>
                <w:rtl w:val="true"/>
              </w:rPr>
              <w:t>و هي أي</w:t>
            </w:r>
            <w:r>
              <w:rPr>
                <w:rStyle w:val="IndexLink"/>
                <w:rtl w:val="true"/>
              </w:rPr>
              <w:t xml:space="preserve">- </w:t>
            </w:r>
            <w:r>
              <w:rPr>
                <w:rStyle w:val="IndexLink"/>
                <w:rtl w:val="true"/>
              </w:rPr>
              <w:t>شرائط الذمة</w:t>
            </w:r>
            <w:r>
              <w:rPr>
                <w:rStyle w:val="IndexLink"/>
                <w:rtl w:val="true"/>
              </w:rPr>
              <w:t xml:space="preserve">- </w:t>
            </w:r>
            <w:r>
              <w:rPr>
                <w:rStyle w:val="IndexLink"/>
                <w:rtl w:val="true"/>
              </w:rPr>
              <w:t>أمور ستة عند المصنف</w:t>
            </w:r>
            <w:r>
              <w:rPr>
                <w:rStyle w:val="IndexLink"/>
                <w:rtl w:val="true"/>
              </w:rPr>
              <w:t>:</w:t>
              <w:tab/>
            </w:r>
            <w:r>
              <w:rPr>
                <w:rStyle w:val="IndexLink"/>
              </w:rPr>
              <w:t>354</w:t>
            </w:r>
          </w:hyperlink>
        </w:p>
        <w:p>
          <w:pPr>
            <w:pStyle w:val="Contents6"/>
            <w:tabs>
              <w:tab w:val="clear" w:pos="7609"/>
              <w:tab w:val="right" w:pos="9026" w:leader="dot"/>
            </w:tabs>
            <w:rPr/>
          </w:pPr>
          <w:hyperlink w:anchor="__RefHeading___Toc3321048_2314609296">
            <w:r>
              <w:rPr>
                <w:webHidden/>
                <w:rStyle w:val="IndexLink"/>
                <w:rtl w:val="true"/>
              </w:rPr>
              <w:t>منها</w:t>
            </w:r>
            <w:r>
              <w:rPr>
                <w:rStyle w:val="IndexLink"/>
                <w:rtl w:val="true"/>
              </w:rPr>
              <w:t xml:space="preserve">: </w:t>
            </w:r>
            <w:r>
              <w:rPr>
                <w:rStyle w:val="IndexLink"/>
                <w:rtl w:val="true"/>
              </w:rPr>
              <w:t>قبول الجزية</w:t>
            </w:r>
            <w:r>
              <w:rPr>
                <w:rStyle w:val="IndexLink"/>
                <w:rtl w:val="true"/>
              </w:rPr>
              <w:tab/>
            </w:r>
            <w:r>
              <w:rPr>
                <w:rStyle w:val="IndexLink"/>
              </w:rPr>
              <w:t>354</w:t>
            </w:r>
          </w:hyperlink>
        </w:p>
        <w:p>
          <w:pPr>
            <w:pStyle w:val="Contents6"/>
            <w:tabs>
              <w:tab w:val="clear" w:pos="7609"/>
              <w:tab w:val="right" w:pos="9026" w:leader="dot"/>
            </w:tabs>
            <w:rPr/>
          </w:pPr>
          <w:hyperlink w:anchor="__RefHeading___Toc3321050_2314609296">
            <w:r>
              <w:rPr>
                <w:webHidden/>
                <w:rStyle w:val="IndexLink"/>
                <w:rtl w:val="true"/>
              </w:rPr>
              <w:t>و منها</w:t>
            </w:r>
            <w:r>
              <w:rPr>
                <w:rStyle w:val="IndexLink"/>
                <w:rtl w:val="true"/>
              </w:rPr>
              <w:t xml:space="preserve">: </w:t>
            </w:r>
            <w:r>
              <w:rPr>
                <w:rStyle w:val="IndexLink"/>
                <w:rtl w:val="true"/>
              </w:rPr>
              <w:t>أن لا يؤذوا المسلمين</w:t>
            </w:r>
            <w:r>
              <w:rPr>
                <w:rStyle w:val="IndexLink"/>
                <w:rtl w:val="true"/>
              </w:rPr>
              <w:tab/>
            </w:r>
            <w:r>
              <w:rPr>
                <w:rStyle w:val="IndexLink"/>
              </w:rPr>
              <w:t>354</w:t>
            </w:r>
          </w:hyperlink>
        </w:p>
        <w:p>
          <w:pPr>
            <w:pStyle w:val="Contents6"/>
            <w:tabs>
              <w:tab w:val="clear" w:pos="7609"/>
              <w:tab w:val="right" w:pos="9026" w:leader="dot"/>
            </w:tabs>
            <w:rPr/>
          </w:pPr>
          <w:hyperlink w:anchor="__RefHeading___Toc3321052_2314609296">
            <w:r>
              <w:rPr>
                <w:webHidden/>
                <w:rStyle w:val="IndexLink"/>
                <w:rtl w:val="true"/>
              </w:rPr>
              <w:t>و منها</w:t>
            </w:r>
            <w:r>
              <w:rPr>
                <w:rStyle w:val="IndexLink"/>
                <w:rtl w:val="true"/>
              </w:rPr>
              <w:t xml:space="preserve">: </w:t>
            </w:r>
            <w:r>
              <w:rPr>
                <w:rStyle w:val="IndexLink"/>
                <w:rtl w:val="true"/>
              </w:rPr>
              <w:t>أن لا يتظاهروا بالمحرّمات،</w:t>
            </w:r>
            <w:r>
              <w:rPr>
                <w:rStyle w:val="IndexLink"/>
                <w:rtl w:val="true"/>
              </w:rPr>
              <w:tab/>
            </w:r>
            <w:r>
              <w:rPr>
                <w:rStyle w:val="IndexLink"/>
              </w:rPr>
              <w:t>354</w:t>
            </w:r>
          </w:hyperlink>
        </w:p>
        <w:p>
          <w:pPr>
            <w:pStyle w:val="Contents6"/>
            <w:tabs>
              <w:tab w:val="clear" w:pos="7609"/>
              <w:tab w:val="right" w:pos="9026" w:leader="dot"/>
            </w:tabs>
            <w:rPr/>
          </w:pPr>
          <w:hyperlink w:anchor="__RefHeading___Toc3321054_2314609296">
            <w:r>
              <w:rPr>
                <w:webHidden/>
                <w:rStyle w:val="IndexLink"/>
                <w:rtl w:val="true"/>
              </w:rPr>
              <w:t>و منها</w:t>
            </w:r>
            <w:r>
              <w:rPr>
                <w:rStyle w:val="IndexLink"/>
                <w:rtl w:val="true"/>
              </w:rPr>
              <w:t xml:space="preserve">: </w:t>
            </w:r>
            <w:r>
              <w:rPr>
                <w:rStyle w:val="IndexLink"/>
                <w:rtl w:val="true"/>
              </w:rPr>
              <w:t>أن لا يحدثوا كنيسة و لا يضربوا ناقوسا</w:t>
            </w:r>
            <w:r>
              <w:rPr>
                <w:rStyle w:val="IndexLink"/>
                <w:rtl w:val="true"/>
              </w:rPr>
              <w:tab/>
            </w:r>
            <w:r>
              <w:rPr>
                <w:rStyle w:val="IndexLink"/>
              </w:rPr>
              <w:t>354</w:t>
            </w:r>
          </w:hyperlink>
        </w:p>
        <w:p>
          <w:pPr>
            <w:pStyle w:val="Contents6"/>
            <w:tabs>
              <w:tab w:val="clear" w:pos="7609"/>
              <w:tab w:val="right" w:pos="9026" w:leader="dot"/>
            </w:tabs>
            <w:rPr/>
          </w:pPr>
          <w:hyperlink w:anchor="__RefHeading___Toc3321056_2314609296">
            <w:r>
              <w:rPr>
                <w:webHidden/>
                <w:rStyle w:val="IndexLink"/>
                <w:rtl w:val="true"/>
              </w:rPr>
              <w:t>و منها</w:t>
            </w:r>
            <w:r>
              <w:rPr>
                <w:rStyle w:val="IndexLink"/>
                <w:rtl w:val="true"/>
              </w:rPr>
              <w:t xml:space="preserve">: </w:t>
            </w:r>
            <w:r>
              <w:rPr>
                <w:rStyle w:val="IndexLink"/>
                <w:rtl w:val="true"/>
              </w:rPr>
              <w:t>أن يجري عليهم أحكام المسلمين</w:t>
            </w:r>
            <w:r>
              <w:rPr>
                <w:rStyle w:val="IndexLink"/>
                <w:rtl w:val="true"/>
              </w:rPr>
              <w:tab/>
            </w:r>
            <w:r>
              <w:rPr>
                <w:rStyle w:val="IndexLink"/>
              </w:rPr>
              <w:t>355</w:t>
            </w:r>
          </w:hyperlink>
        </w:p>
        <w:p>
          <w:pPr>
            <w:pStyle w:val="Contents6"/>
            <w:tabs>
              <w:tab w:val="clear" w:pos="7609"/>
              <w:tab w:val="right" w:pos="9026" w:leader="dot"/>
            </w:tabs>
            <w:rPr/>
          </w:pPr>
          <w:hyperlink w:anchor="__RefHeading___Toc3321058_2314609296">
            <w:r>
              <w:rPr>
                <w:webHidden/>
                <w:rStyle w:val="IndexLink"/>
                <w:rtl w:val="true"/>
              </w:rPr>
              <w:t>و لا حد للجزية بل بحسب ما يراه الامام</w:t>
            </w:r>
            <w:r>
              <w:rPr>
                <w:rStyle w:val="IndexLink"/>
                <w:rtl w:val="true"/>
              </w:rPr>
              <w:tab/>
            </w:r>
            <w:r>
              <w:rPr>
                <w:rStyle w:val="IndexLink"/>
              </w:rPr>
              <w:t>359</w:t>
            </w:r>
          </w:hyperlink>
        </w:p>
        <w:p>
          <w:pPr>
            <w:pStyle w:val="Contents6"/>
            <w:tabs>
              <w:tab w:val="clear" w:pos="7609"/>
              <w:tab w:val="right" w:pos="9026" w:leader="dot"/>
            </w:tabs>
            <w:rPr/>
          </w:pPr>
          <w:hyperlink w:anchor="__RefHeading___Toc3321060_2314609296">
            <w:r>
              <w:rPr>
                <w:webHidden/>
                <w:rStyle w:val="IndexLink"/>
                <w:rtl w:val="true"/>
              </w:rPr>
              <w:t>و يجوز أخذها</w:t>
            </w:r>
            <w:r>
              <w:rPr>
                <w:rStyle w:val="IndexLink"/>
                <w:rtl w:val="true"/>
              </w:rPr>
              <w:tab/>
            </w:r>
            <w:r>
              <w:rPr>
                <w:rStyle w:val="IndexLink"/>
              </w:rPr>
              <w:t>375</w:t>
            </w:r>
          </w:hyperlink>
        </w:p>
        <w:p>
          <w:pPr>
            <w:pStyle w:val="Contents6"/>
            <w:tabs>
              <w:tab w:val="clear" w:pos="7609"/>
              <w:tab w:val="right" w:pos="9026" w:leader="dot"/>
            </w:tabs>
            <w:rPr/>
          </w:pPr>
          <w:hyperlink w:anchor="__RefHeading___Toc3321062_2314609296">
            <w:r>
              <w:rPr>
                <w:webHidden/>
                <w:rStyle w:val="IndexLink"/>
                <w:rtl w:val="true"/>
              </w:rPr>
              <w:t>و ليس لهم</w:t>
            </w:r>
            <w:r>
              <w:rPr>
                <w:rStyle w:val="IndexLink"/>
                <w:rtl w:val="true"/>
              </w:rPr>
              <w:tab/>
            </w:r>
            <w:r>
              <w:rPr>
                <w:rStyle w:val="IndexLink"/>
              </w:rPr>
              <w:t>377</w:t>
            </w:r>
          </w:hyperlink>
        </w:p>
        <w:p>
          <w:pPr>
            <w:pStyle w:val="Contents6"/>
            <w:tabs>
              <w:tab w:val="clear" w:pos="7609"/>
              <w:tab w:val="right" w:pos="9026" w:leader="dot"/>
            </w:tabs>
            <w:rPr/>
          </w:pPr>
          <w:hyperlink w:anchor="__RefHeading___Toc3321064_2314609296">
            <w:r>
              <w:rPr>
                <w:webHidden/>
                <w:rStyle w:val="IndexLink"/>
                <w:rtl w:val="true"/>
              </w:rPr>
              <w:t>و لا يجوز أن يعلو الذمي ببنائه على بناء المسلمين</w:t>
            </w:r>
            <w:r>
              <w:rPr>
                <w:rStyle w:val="IndexLink"/>
                <w:rtl w:val="true"/>
              </w:rPr>
              <w:tab/>
            </w:r>
            <w:r>
              <w:rPr>
                <w:rStyle w:val="IndexLink"/>
              </w:rPr>
              <w:t>380</w:t>
            </w:r>
          </w:hyperlink>
        </w:p>
        <w:p>
          <w:pPr>
            <w:pStyle w:val="Contents6"/>
            <w:tabs>
              <w:tab w:val="clear" w:pos="7609"/>
              <w:tab w:val="right" w:pos="9026" w:leader="dot"/>
            </w:tabs>
            <w:rPr/>
          </w:pPr>
          <w:hyperlink w:anchor="__RefHeading___Toc3321066_2314609296">
            <w:r>
              <w:rPr>
                <w:webHidden/>
                <w:rStyle w:val="IndexLink"/>
                <w:rtl w:val="true"/>
              </w:rPr>
              <w:t>و لا يجوز</w:t>
            </w:r>
            <w:r>
              <w:rPr>
                <w:rStyle w:val="IndexLink"/>
                <w:rtl w:val="true"/>
              </w:rPr>
              <w:tab/>
            </w:r>
            <w:r>
              <w:rPr>
                <w:rStyle w:val="IndexLink"/>
              </w:rPr>
              <w:t>380</w:t>
            </w:r>
          </w:hyperlink>
        </w:p>
        <w:p>
          <w:pPr>
            <w:pStyle w:val="Contents5"/>
            <w:tabs>
              <w:tab w:val="clear" w:pos="7892"/>
              <w:tab w:val="right" w:pos="9026" w:leader="dot"/>
            </w:tabs>
            <w:rPr/>
          </w:pPr>
          <w:hyperlink w:anchor="__RefHeading___Toc3321068_2314609296">
            <w:r>
              <w:rPr>
                <w:webHidden/>
                <w:rStyle w:val="IndexLink"/>
                <w:rtl w:val="true"/>
              </w:rPr>
              <w:t>الثاني</w:t>
            </w:r>
            <w:r>
              <w:rPr>
                <w:rStyle w:val="IndexLink"/>
                <w:rtl w:val="true"/>
              </w:rPr>
              <w:tab/>
            </w:r>
            <w:r>
              <w:rPr>
                <w:rStyle w:val="IndexLink"/>
              </w:rPr>
              <w:t>382</w:t>
            </w:r>
          </w:hyperlink>
        </w:p>
        <w:p>
          <w:pPr>
            <w:pStyle w:val="Contents5"/>
            <w:tabs>
              <w:tab w:val="clear" w:pos="7892"/>
              <w:tab w:val="right" w:pos="9026" w:leader="dot"/>
            </w:tabs>
            <w:rPr/>
          </w:pPr>
          <w:hyperlink w:anchor="__RefHeading___Toc3321070_2314609296">
            <w:r>
              <w:rPr>
                <w:webHidden/>
                <w:rStyle w:val="IndexLink"/>
                <w:rtl w:val="true"/>
              </w:rPr>
              <w:t>و يبدأ بقتال الأقرب و الأشد خطرا</w:t>
            </w:r>
            <w:r>
              <w:rPr>
                <w:rStyle w:val="IndexLink"/>
                <w:rtl w:val="true"/>
              </w:rPr>
              <w:tab/>
            </w:r>
            <w:r>
              <w:rPr>
                <w:rStyle w:val="IndexLink"/>
              </w:rPr>
              <w:t>383</w:t>
            </w:r>
          </w:hyperlink>
        </w:p>
        <w:p>
          <w:pPr>
            <w:pStyle w:val="Contents5"/>
            <w:tabs>
              <w:tab w:val="clear" w:pos="7892"/>
              <w:tab w:val="right" w:pos="9026" w:leader="dot"/>
            </w:tabs>
            <w:rPr/>
          </w:pPr>
          <w:hyperlink w:anchor="__RefHeading___Toc3321072_2314609296">
            <w:r>
              <w:rPr>
                <w:webHidden/>
                <w:rStyle w:val="IndexLink"/>
                <w:rtl w:val="true"/>
              </w:rPr>
              <w:t>و تجوز المهادنة</w:t>
            </w:r>
            <w:r>
              <w:rPr>
                <w:rStyle w:val="IndexLink"/>
                <w:rtl w:val="true"/>
              </w:rPr>
              <w:tab/>
            </w:r>
            <w:r>
              <w:rPr>
                <w:rStyle w:val="IndexLink"/>
              </w:rPr>
              <w:t>385</w:t>
            </w:r>
          </w:hyperlink>
        </w:p>
        <w:p>
          <w:pPr>
            <w:pStyle w:val="Contents5"/>
            <w:tabs>
              <w:tab w:val="clear" w:pos="7892"/>
              <w:tab w:val="right" w:pos="9026" w:leader="dot"/>
            </w:tabs>
            <w:rPr/>
          </w:pPr>
          <w:hyperlink w:anchor="__RefHeading___Toc3321074_2314609296">
            <w:r>
              <w:rPr>
                <w:webHidden/>
                <w:rStyle w:val="IndexLink"/>
                <w:rtl w:val="true"/>
              </w:rPr>
              <w:t>و يمضي ذمام آحاد المسلمين</w:t>
            </w:r>
            <w:r>
              <w:rPr>
                <w:rStyle w:val="IndexLink"/>
                <w:rtl w:val="true"/>
              </w:rPr>
              <w:t xml:space="preserve">- </w:t>
            </w:r>
            <w:r>
              <w:rPr>
                <w:rStyle w:val="IndexLink"/>
                <w:rtl w:val="true"/>
              </w:rPr>
              <w:t>و إن كان عبدا</w:t>
            </w:r>
            <w:r>
              <w:rPr>
                <w:rStyle w:val="IndexLink"/>
                <w:rtl w:val="true"/>
              </w:rPr>
              <w:t xml:space="preserve">- </w:t>
            </w:r>
            <w:r>
              <w:rPr>
                <w:rStyle w:val="IndexLink"/>
                <w:rtl w:val="true"/>
              </w:rPr>
              <w:t>لآحاد المشركين</w:t>
            </w:r>
            <w:r>
              <w:rPr>
                <w:rStyle w:val="IndexLink"/>
                <w:rtl w:val="true"/>
              </w:rPr>
              <w:tab/>
            </w:r>
            <w:r>
              <w:rPr>
                <w:rStyle w:val="IndexLink"/>
              </w:rPr>
              <w:t>396</w:t>
            </w:r>
          </w:hyperlink>
        </w:p>
        <w:p>
          <w:pPr>
            <w:pStyle w:val="Contents5"/>
            <w:tabs>
              <w:tab w:val="clear" w:pos="7892"/>
              <w:tab w:val="right" w:pos="9026" w:leader="dot"/>
            </w:tabs>
            <w:rPr/>
          </w:pPr>
          <w:hyperlink w:anchor="__RefHeading___Toc3321076_2314609296">
            <w:r>
              <w:rPr>
                <w:webHidden/>
                <w:rStyle w:val="IndexLink"/>
                <w:rtl w:val="true"/>
              </w:rPr>
              <w:t>و يرد من دخل</w:t>
            </w:r>
            <w:r>
              <w:rPr>
                <w:rStyle w:val="IndexLink"/>
                <w:rtl w:val="true"/>
              </w:rPr>
              <w:tab/>
            </w:r>
            <w:r>
              <w:rPr>
                <w:rStyle w:val="IndexLink"/>
              </w:rPr>
              <w:t>405</w:t>
            </w:r>
          </w:hyperlink>
        </w:p>
        <w:p>
          <w:pPr>
            <w:pStyle w:val="Contents5"/>
            <w:tabs>
              <w:tab w:val="clear" w:pos="7892"/>
              <w:tab w:val="right" w:pos="9026" w:leader="dot"/>
            </w:tabs>
            <w:rPr/>
          </w:pPr>
          <w:hyperlink w:anchor="__RefHeading___Toc3321078_2314609296">
            <w:r>
              <w:rPr>
                <w:webHidden/>
                <w:rStyle w:val="IndexLink"/>
                <w:rtl w:val="true"/>
              </w:rPr>
              <w:t>و لا يجوز الفرار إن كان العدو على الضعف من المسلمين إلّا لمتحرف لقتال أو متحيز إلى فئة</w:t>
            </w:r>
            <w:r>
              <w:rPr>
                <w:rStyle w:val="IndexLink"/>
                <w:rtl w:val="true"/>
              </w:rPr>
              <w:tab/>
            </w:r>
            <w:r>
              <w:rPr>
                <w:rStyle w:val="IndexLink"/>
              </w:rPr>
              <w:t>406</w:t>
            </w:r>
          </w:hyperlink>
        </w:p>
        <w:p>
          <w:pPr>
            <w:pStyle w:val="Contents5"/>
            <w:tabs>
              <w:tab w:val="clear" w:pos="7892"/>
              <w:tab w:val="right" w:pos="9026" w:leader="dot"/>
            </w:tabs>
            <w:rPr/>
          </w:pPr>
          <w:hyperlink w:anchor="__RefHeading___Toc3321080_2314609296">
            <w:r>
              <w:rPr>
                <w:webHidden/>
                <w:rStyle w:val="IndexLink"/>
                <w:rtl w:val="true"/>
              </w:rPr>
              <w:t>و تجوز المحاربة</w:t>
            </w:r>
            <w:r>
              <w:rPr>
                <w:rStyle w:val="IndexLink"/>
                <w:rtl w:val="true"/>
              </w:rPr>
              <w:tab/>
            </w:r>
            <w:r>
              <w:rPr>
                <w:rStyle w:val="IndexLink"/>
              </w:rPr>
              <w:t>408</w:t>
            </w:r>
          </w:hyperlink>
        </w:p>
        <w:p>
          <w:pPr>
            <w:pStyle w:val="Contents5"/>
            <w:tabs>
              <w:tab w:val="clear" w:pos="7892"/>
              <w:tab w:val="right" w:pos="9026" w:leader="dot"/>
            </w:tabs>
            <w:rPr/>
          </w:pPr>
          <w:hyperlink w:anchor="__RefHeading___Toc3321082_2314609296">
            <w:r>
              <w:rPr>
                <w:webHidden/>
                <w:rStyle w:val="IndexLink"/>
                <w:rtl w:val="true"/>
              </w:rPr>
              <w:t>و لا تقتل النساء</w:t>
            </w:r>
            <w:r>
              <w:rPr>
                <w:rStyle w:val="IndexLink"/>
                <w:rtl w:val="true"/>
              </w:rPr>
              <w:tab/>
            </w:r>
            <w:r>
              <w:rPr>
                <w:rStyle w:val="IndexLink"/>
              </w:rPr>
              <w:t>411</w:t>
            </w:r>
          </w:hyperlink>
        </w:p>
        <w:p>
          <w:pPr>
            <w:pStyle w:val="Contents5"/>
            <w:tabs>
              <w:tab w:val="clear" w:pos="7892"/>
              <w:tab w:val="right" w:pos="9026" w:leader="dot"/>
            </w:tabs>
            <w:rPr/>
          </w:pPr>
          <w:hyperlink w:anchor="__RefHeading___Toc3321084_2314609296">
            <w:r>
              <w:rPr>
                <w:webHidden/>
                <w:rStyle w:val="IndexLink"/>
                <w:rtl w:val="true"/>
              </w:rPr>
              <w:t>فرع</w:t>
            </w:r>
            <w:r>
              <w:rPr>
                <w:rStyle w:val="IndexLink"/>
                <w:rtl w:val="true"/>
              </w:rPr>
              <w:tab/>
            </w:r>
            <w:r>
              <w:rPr>
                <w:rStyle w:val="IndexLink"/>
              </w:rPr>
              <w:t>414</w:t>
            </w:r>
          </w:hyperlink>
        </w:p>
        <w:p>
          <w:pPr>
            <w:pStyle w:val="Contents5"/>
            <w:tabs>
              <w:tab w:val="clear" w:pos="7892"/>
              <w:tab w:val="right" w:pos="9026" w:leader="dot"/>
            </w:tabs>
            <w:rPr/>
          </w:pPr>
          <w:hyperlink w:anchor="__RefHeading___Toc3321086_2314609296">
            <w:r>
              <w:rPr>
                <w:webHidden/>
                <w:rStyle w:val="IndexLink"/>
                <w:rtl w:val="true"/>
              </w:rPr>
              <w:t>الثالث من الأصناف الذين يقاتلون</w:t>
            </w:r>
            <w:r>
              <w:rPr>
                <w:rStyle w:val="IndexLink"/>
                <w:rtl w:val="true"/>
              </w:rPr>
              <w:t xml:space="preserve">: </w:t>
            </w:r>
            <w:r>
              <w:rPr>
                <w:rStyle w:val="IndexLink"/>
                <w:rtl w:val="true"/>
              </w:rPr>
              <w:t>البغاة</w:t>
            </w:r>
            <w:r>
              <w:rPr>
                <w:rStyle w:val="IndexLink"/>
                <w:rtl w:val="true"/>
              </w:rPr>
              <w:tab/>
            </w:r>
            <w:r>
              <w:rPr>
                <w:rStyle w:val="IndexLink"/>
              </w:rPr>
              <w:t>415</w:t>
            </w:r>
          </w:hyperlink>
        </w:p>
        <w:p>
          <w:pPr>
            <w:pStyle w:val="Contents6"/>
            <w:tabs>
              <w:tab w:val="clear" w:pos="7609"/>
              <w:tab w:val="right" w:pos="9026" w:leader="dot"/>
            </w:tabs>
            <w:rPr/>
          </w:pPr>
          <w:hyperlink w:anchor="__RefHeading___Toc3321088_2314609296">
            <w:r>
              <w:rPr>
                <w:webHidden/>
                <w:rStyle w:val="IndexLink"/>
                <w:rtl w:val="true"/>
              </w:rPr>
              <w:t>اشارة</w:t>
            </w:r>
            <w:r>
              <w:rPr>
                <w:rStyle w:val="IndexLink"/>
                <w:rtl w:val="true"/>
              </w:rPr>
              <w:tab/>
            </w:r>
            <w:r>
              <w:rPr>
                <w:rStyle w:val="IndexLink"/>
              </w:rPr>
              <w:t>415</w:t>
            </w:r>
          </w:hyperlink>
        </w:p>
        <w:p>
          <w:pPr>
            <w:pStyle w:val="Contents6"/>
            <w:tabs>
              <w:tab w:val="clear" w:pos="7609"/>
              <w:tab w:val="right" w:pos="9026" w:leader="dot"/>
            </w:tabs>
            <w:rPr/>
          </w:pPr>
          <w:hyperlink w:anchor="__RefHeading___Toc3321090_2314609296">
            <w:r>
              <w:rPr>
                <w:webHidden/>
                <w:rStyle w:val="IndexLink"/>
                <w:rtl w:val="true"/>
              </w:rPr>
              <w:t>و هم قسمان</w:t>
            </w:r>
            <w:r>
              <w:rPr>
                <w:rStyle w:val="IndexLink"/>
                <w:rtl w:val="true"/>
              </w:rPr>
              <w:tab/>
            </w:r>
            <w:r>
              <w:rPr>
                <w:rStyle w:val="IndexLink"/>
              </w:rPr>
              <w:t>417</w:t>
            </w:r>
          </w:hyperlink>
        </w:p>
        <w:p>
          <w:pPr>
            <w:pStyle w:val="Contents6"/>
            <w:tabs>
              <w:tab w:val="clear" w:pos="7609"/>
              <w:tab w:val="right" w:pos="9026" w:leader="dot"/>
            </w:tabs>
            <w:rPr/>
          </w:pPr>
          <w:hyperlink w:anchor="__RefHeading___Toc3321092_2314609296">
            <w:r>
              <w:rPr>
                <w:webHidden/>
                <w:rStyle w:val="IndexLink"/>
                <w:rtl w:val="true"/>
              </w:rPr>
              <w:t>اشارة</w:t>
            </w:r>
            <w:r>
              <w:rPr>
                <w:rStyle w:val="IndexLink"/>
                <w:rtl w:val="true"/>
              </w:rPr>
              <w:tab/>
            </w:r>
            <w:r>
              <w:rPr>
                <w:rStyle w:val="IndexLink"/>
              </w:rPr>
              <w:t>417</w:t>
            </w:r>
          </w:hyperlink>
        </w:p>
        <w:p>
          <w:pPr>
            <w:pStyle w:val="Contents6"/>
            <w:tabs>
              <w:tab w:val="clear" w:pos="7609"/>
              <w:tab w:val="right" w:pos="9026" w:leader="dot"/>
            </w:tabs>
            <w:rPr/>
          </w:pPr>
          <w:hyperlink w:anchor="__RefHeading___Toc3321094_2314609296">
            <w:r>
              <w:rPr>
                <w:webHidden/>
                <w:rStyle w:val="IndexLink"/>
                <w:rtl w:val="true"/>
              </w:rPr>
              <w:t>و لا يحل سبي ذراري الفريقين، و لا نسائهم، و لا أموالهم</w:t>
            </w:r>
            <w:r>
              <w:rPr>
                <w:rStyle w:val="IndexLink"/>
                <w:rtl w:val="true"/>
              </w:rPr>
              <w:tab/>
            </w:r>
            <w:r>
              <w:rPr>
                <w:rStyle w:val="IndexLink"/>
              </w:rPr>
              <w:t>419</w:t>
            </w:r>
          </w:hyperlink>
        </w:p>
        <w:p>
          <w:pPr>
            <w:pStyle w:val="Contents4"/>
            <w:tabs>
              <w:tab w:val="clear" w:pos="8176"/>
              <w:tab w:val="right" w:pos="9026" w:leader="dot"/>
            </w:tabs>
            <w:rPr/>
          </w:pPr>
          <w:hyperlink w:anchor="__RefHeading___Toc3321096_2314609296">
            <w:r>
              <w:rPr>
                <w:webHidden/>
                <w:rStyle w:val="IndexLink"/>
                <w:rtl w:val="true"/>
              </w:rPr>
              <w:t>الفصل الثالث</w:t>
            </w:r>
            <w:r>
              <w:rPr>
                <w:rStyle w:val="IndexLink"/>
                <w:rtl w:val="true"/>
              </w:rPr>
              <w:t xml:space="preserve">: </w:t>
            </w:r>
            <w:r>
              <w:rPr>
                <w:rStyle w:val="IndexLink"/>
                <w:rtl w:val="true"/>
              </w:rPr>
              <w:t>في قسمة الغنائم</w:t>
            </w:r>
            <w:r>
              <w:rPr>
                <w:rStyle w:val="IndexLink"/>
                <w:rtl w:val="true"/>
              </w:rPr>
              <w:tab/>
            </w:r>
            <w:r>
              <w:rPr>
                <w:rStyle w:val="IndexLink"/>
              </w:rPr>
              <w:t>421</w:t>
            </w:r>
          </w:hyperlink>
        </w:p>
        <w:p>
          <w:pPr>
            <w:pStyle w:val="Contents5"/>
            <w:tabs>
              <w:tab w:val="clear" w:pos="7892"/>
              <w:tab w:val="right" w:pos="9026" w:leader="dot"/>
            </w:tabs>
            <w:rPr/>
          </w:pPr>
          <w:hyperlink w:anchor="__RefHeading___Toc3321098_2314609296">
            <w:r>
              <w:rPr>
                <w:webHidden/>
                <w:rStyle w:val="IndexLink"/>
                <w:rtl w:val="true"/>
              </w:rPr>
              <w:t>اشارة</w:t>
            </w:r>
            <w:r>
              <w:rPr>
                <w:rStyle w:val="IndexLink"/>
                <w:rtl w:val="true"/>
              </w:rPr>
              <w:tab/>
            </w:r>
            <w:r>
              <w:rPr>
                <w:rStyle w:val="IndexLink"/>
              </w:rPr>
              <w:t>421</w:t>
            </w:r>
          </w:hyperlink>
        </w:p>
        <w:p>
          <w:pPr>
            <w:pStyle w:val="Contents5"/>
            <w:tabs>
              <w:tab w:val="clear" w:pos="7892"/>
              <w:tab w:val="right" w:pos="9026" w:leader="dot"/>
            </w:tabs>
            <w:rPr/>
          </w:pPr>
          <w:hyperlink w:anchor="__RefHeading___Toc3321100_2314609296">
            <w:r>
              <w:rPr>
                <w:webHidden/>
                <w:rStyle w:val="IndexLink"/>
                <w:rtl w:val="true"/>
              </w:rPr>
              <w:t>جميع ما يغنم من بلاد الشرك يخرج منه ما شرطه الإمام</w:t>
            </w:r>
            <w:r>
              <w:rPr>
                <w:rStyle w:val="IndexLink"/>
                <w:rtl w:val="true"/>
              </w:rPr>
              <w:tab/>
            </w:r>
            <w:r>
              <w:rPr>
                <w:rStyle w:val="IndexLink"/>
              </w:rPr>
              <w:t>424</w:t>
            </w:r>
          </w:hyperlink>
        </w:p>
        <w:p>
          <w:pPr>
            <w:pStyle w:val="Contents5"/>
            <w:tabs>
              <w:tab w:val="clear" w:pos="7892"/>
              <w:tab w:val="right" w:pos="9026" w:leader="dot"/>
            </w:tabs>
            <w:rPr/>
          </w:pPr>
          <w:hyperlink w:anchor="__RefHeading___Toc3321102_2314609296">
            <w:r>
              <w:rPr>
                <w:webHidden/>
                <w:rStyle w:val="IndexLink"/>
                <w:rtl w:val="true"/>
              </w:rPr>
              <w:t>و لا يفضل أحد على غيره لشرفه أو لشدة بلائه</w:t>
            </w:r>
            <w:r>
              <w:rPr>
                <w:rStyle w:val="IndexLink"/>
                <w:rtl w:val="true"/>
              </w:rPr>
              <w:tab/>
            </w:r>
            <w:r>
              <w:rPr>
                <w:rStyle w:val="IndexLink"/>
              </w:rPr>
              <w:t>429</w:t>
            </w:r>
          </w:hyperlink>
        </w:p>
        <w:p>
          <w:pPr>
            <w:pStyle w:val="Contents5"/>
            <w:tabs>
              <w:tab w:val="clear" w:pos="7892"/>
              <w:tab w:val="right" w:pos="9026" w:leader="dot"/>
            </w:tabs>
            <w:rPr/>
          </w:pPr>
          <w:hyperlink w:anchor="__RefHeading___Toc3321104_2314609296">
            <w:r>
              <w:rPr>
                <w:webHidden/>
                <w:rStyle w:val="IndexLink"/>
                <w:rtl w:val="true"/>
              </w:rPr>
              <w:t>و لا سهم لغير الخيل</w:t>
            </w:r>
            <w:r>
              <w:rPr>
                <w:rStyle w:val="IndexLink"/>
                <w:rtl w:val="true"/>
              </w:rPr>
              <w:tab/>
            </w:r>
            <w:r>
              <w:rPr>
                <w:rStyle w:val="IndexLink"/>
              </w:rPr>
              <w:t>429</w:t>
            </w:r>
          </w:hyperlink>
        </w:p>
        <w:p>
          <w:pPr>
            <w:pStyle w:val="Contents5"/>
            <w:tabs>
              <w:tab w:val="clear" w:pos="7892"/>
              <w:tab w:val="right" w:pos="9026" w:leader="dot"/>
            </w:tabs>
            <w:rPr/>
          </w:pPr>
          <w:hyperlink w:anchor="__RefHeading___Toc3321106_2314609296">
            <w:r>
              <w:rPr>
                <w:webHidden/>
                <w:rStyle w:val="IndexLink"/>
                <w:rtl w:val="true"/>
              </w:rPr>
              <w:t>و لا نصيب من الغنيمة للأعراب و إن جاهدوا</w:t>
            </w:r>
            <w:r>
              <w:rPr>
                <w:rStyle w:val="IndexLink"/>
                <w:rtl w:val="true"/>
              </w:rPr>
              <w:tab/>
            </w:r>
            <w:r>
              <w:rPr>
                <w:rStyle w:val="IndexLink"/>
              </w:rPr>
              <w:t>430</w:t>
            </w:r>
          </w:hyperlink>
        </w:p>
        <w:p>
          <w:pPr>
            <w:pStyle w:val="Contents5"/>
            <w:tabs>
              <w:tab w:val="clear" w:pos="7892"/>
              <w:tab w:val="right" w:pos="9026" w:leader="dot"/>
            </w:tabs>
            <w:rPr/>
          </w:pPr>
          <w:hyperlink w:anchor="__RefHeading___Toc3321108_2314609296">
            <w:r>
              <w:rPr>
                <w:webHidden/>
                <w:rStyle w:val="IndexLink"/>
                <w:rtl w:val="true"/>
              </w:rPr>
              <w:t>و الأسارى من الإناث و الأطفال يملكون بالسبي</w:t>
            </w:r>
            <w:r>
              <w:rPr>
                <w:rStyle w:val="IndexLink"/>
                <w:rtl w:val="true"/>
              </w:rPr>
              <w:tab/>
            </w:r>
            <w:r>
              <w:rPr>
                <w:rStyle w:val="IndexLink"/>
              </w:rPr>
              <w:t>431</w:t>
            </w:r>
          </w:hyperlink>
        </w:p>
        <w:p>
          <w:pPr>
            <w:pStyle w:val="Contents5"/>
            <w:tabs>
              <w:tab w:val="clear" w:pos="7892"/>
              <w:tab w:val="right" w:pos="9026" w:leader="dot"/>
            </w:tabs>
            <w:rPr/>
          </w:pPr>
          <w:hyperlink w:anchor="__RefHeading___Toc3321110_2314609296">
            <w:r>
              <w:rPr>
                <w:webHidden/>
                <w:rStyle w:val="IndexLink"/>
                <w:rtl w:val="true"/>
              </w:rPr>
              <w:t>و الذكور البالغون إن أخذوا قبل أن تضع الحرب أوزارها أوجب قتلهم</w:t>
            </w:r>
            <w:r>
              <w:rPr>
                <w:rStyle w:val="IndexLink"/>
                <w:rtl w:val="true"/>
              </w:rPr>
              <w:tab/>
            </w:r>
            <w:r>
              <w:rPr>
                <w:rStyle w:val="IndexLink"/>
              </w:rPr>
              <w:t>431</w:t>
            </w:r>
          </w:hyperlink>
        </w:p>
        <w:p>
          <w:pPr>
            <w:pStyle w:val="Contents6"/>
            <w:tabs>
              <w:tab w:val="clear" w:pos="7609"/>
              <w:tab w:val="right" w:pos="9026" w:leader="dot"/>
            </w:tabs>
            <w:rPr/>
          </w:pPr>
          <w:hyperlink w:anchor="__RefHeading___Toc3321112_2314609296">
            <w:r>
              <w:rPr>
                <w:webHidden/>
                <w:rStyle w:val="IndexLink"/>
                <w:rtl w:val="true"/>
              </w:rPr>
              <w:t>اشارة</w:t>
            </w:r>
            <w:r>
              <w:rPr>
                <w:rStyle w:val="IndexLink"/>
                <w:rtl w:val="true"/>
              </w:rPr>
              <w:tab/>
            </w:r>
            <w:r>
              <w:rPr>
                <w:rStyle w:val="IndexLink"/>
              </w:rPr>
              <w:t>431</w:t>
            </w:r>
          </w:hyperlink>
        </w:p>
        <w:p>
          <w:pPr>
            <w:pStyle w:val="Contents6"/>
            <w:tabs>
              <w:tab w:val="clear" w:pos="7609"/>
              <w:tab w:val="right" w:pos="9026" w:leader="dot"/>
            </w:tabs>
            <w:rPr/>
          </w:pPr>
          <w:hyperlink w:anchor="__RefHeading___Toc3321114_2314609296">
            <w:r>
              <w:rPr>
                <w:webHidden/>
                <w:rStyle w:val="IndexLink"/>
                <w:rtl w:val="true"/>
              </w:rPr>
              <w:t>فرع</w:t>
            </w:r>
            <w:r>
              <w:rPr>
                <w:rStyle w:val="IndexLink"/>
                <w:rtl w:val="true"/>
              </w:rPr>
              <w:tab/>
            </w:r>
            <w:r>
              <w:rPr>
                <w:rStyle w:val="IndexLink"/>
              </w:rPr>
              <w:t>435</w:t>
            </w:r>
          </w:hyperlink>
        </w:p>
        <w:p>
          <w:pPr>
            <w:pStyle w:val="Contents5"/>
            <w:tabs>
              <w:tab w:val="clear" w:pos="7892"/>
              <w:tab w:val="right" w:pos="9026" w:leader="dot"/>
            </w:tabs>
            <w:rPr/>
          </w:pPr>
          <w:hyperlink w:anchor="__RefHeading___Toc3321116_2314609296">
            <w:r>
              <w:rPr>
                <w:webHidden/>
                <w:rStyle w:val="IndexLink"/>
                <w:rtl w:val="true"/>
              </w:rPr>
              <w:t>و أما الأرضون فما كان حيا حال الفتح فللمسلمين كافة</w:t>
            </w:r>
            <w:r>
              <w:rPr>
                <w:rStyle w:val="IndexLink"/>
                <w:rtl w:val="true"/>
              </w:rPr>
              <w:tab/>
            </w:r>
            <w:r>
              <w:rPr>
                <w:rStyle w:val="IndexLink"/>
              </w:rPr>
              <w:t>436</w:t>
            </w:r>
          </w:hyperlink>
        </w:p>
        <w:p>
          <w:pPr>
            <w:pStyle w:val="Contents6"/>
            <w:tabs>
              <w:tab w:val="clear" w:pos="7609"/>
              <w:tab w:val="right" w:pos="9026" w:leader="dot"/>
            </w:tabs>
            <w:rPr/>
          </w:pPr>
          <w:hyperlink w:anchor="__RefHeading___Toc3321118_2314609296">
            <w:r>
              <w:rPr>
                <w:webHidden/>
                <w:rStyle w:val="IndexLink"/>
                <w:rtl w:val="true"/>
              </w:rPr>
              <w:t>اشارة</w:t>
            </w:r>
            <w:r>
              <w:rPr>
                <w:rStyle w:val="IndexLink"/>
                <w:rtl w:val="true"/>
              </w:rPr>
              <w:tab/>
            </w:r>
            <w:r>
              <w:rPr>
                <w:rStyle w:val="IndexLink"/>
              </w:rPr>
              <w:t>436</w:t>
            </w:r>
          </w:hyperlink>
        </w:p>
        <w:p>
          <w:pPr>
            <w:pStyle w:val="Contents6"/>
            <w:tabs>
              <w:tab w:val="clear" w:pos="7609"/>
              <w:tab w:val="right" w:pos="9026" w:leader="dot"/>
            </w:tabs>
            <w:rPr/>
          </w:pPr>
          <w:hyperlink w:anchor="__RefHeading___Toc3321120_2314609296">
            <w:r>
              <w:rPr>
                <w:webHidden/>
                <w:rStyle w:val="IndexLink"/>
                <w:rtl w:val="true"/>
              </w:rPr>
              <w:t>و أما أرض الصلح فلأربابها</w:t>
            </w:r>
            <w:r>
              <w:rPr>
                <w:rStyle w:val="IndexLink"/>
                <w:rtl w:val="true"/>
              </w:rPr>
              <w:tab/>
            </w:r>
            <w:r>
              <w:rPr>
                <w:rStyle w:val="IndexLink"/>
              </w:rPr>
              <w:t>441</w:t>
            </w:r>
          </w:hyperlink>
        </w:p>
        <w:p>
          <w:pPr>
            <w:pStyle w:val="Contents6"/>
            <w:tabs>
              <w:tab w:val="clear" w:pos="7609"/>
              <w:tab w:val="right" w:pos="9026" w:leader="dot"/>
            </w:tabs>
            <w:rPr/>
          </w:pPr>
          <w:hyperlink w:anchor="__RefHeading___Toc3321122_2314609296">
            <w:r>
              <w:rPr>
                <w:webHidden/>
                <w:rStyle w:val="IndexLink"/>
                <w:rtl w:val="true"/>
              </w:rPr>
              <w:t>و شرط التملك بالإحياء</w:t>
            </w:r>
            <w:r>
              <w:rPr>
                <w:rStyle w:val="IndexLink"/>
                <w:rtl w:val="true"/>
              </w:rPr>
              <w:tab/>
            </w:r>
            <w:r>
              <w:rPr>
                <w:rStyle w:val="IndexLink"/>
              </w:rPr>
              <w:t>448</w:t>
            </w:r>
          </w:hyperlink>
        </w:p>
        <w:p>
          <w:pPr>
            <w:pStyle w:val="Contents4"/>
            <w:tabs>
              <w:tab w:val="clear" w:pos="8176"/>
              <w:tab w:val="right" w:pos="9026" w:leader="dot"/>
            </w:tabs>
            <w:rPr/>
          </w:pPr>
          <w:hyperlink w:anchor="__RefHeading___Toc3321124_2314609296">
            <w:r>
              <w:rPr>
                <w:webHidden/>
                <w:rStyle w:val="IndexLink"/>
                <w:rtl w:val="true"/>
              </w:rPr>
              <w:t>الفصل الرابع</w:t>
            </w:r>
            <w:r>
              <w:rPr>
                <w:rStyle w:val="IndexLink"/>
                <w:rtl w:val="true"/>
              </w:rPr>
              <w:t xml:space="preserve">: </w:t>
            </w:r>
            <w:r>
              <w:rPr>
                <w:rStyle w:val="IndexLink"/>
                <w:rtl w:val="true"/>
              </w:rPr>
              <w:t>في الأمر بالمعروف و النهي عن المنكر</w:t>
            </w:r>
            <w:r>
              <w:rPr>
                <w:rStyle w:val="IndexLink"/>
                <w:rtl w:val="true"/>
              </w:rPr>
              <w:tab/>
            </w:r>
            <w:r>
              <w:rPr>
                <w:rStyle w:val="IndexLink"/>
              </w:rPr>
              <w:t>449</w:t>
            </w:r>
          </w:hyperlink>
        </w:p>
        <w:p>
          <w:pPr>
            <w:pStyle w:val="Contents5"/>
            <w:tabs>
              <w:tab w:val="clear" w:pos="7892"/>
              <w:tab w:val="right" w:pos="9026" w:leader="dot"/>
            </w:tabs>
            <w:rPr/>
          </w:pPr>
          <w:hyperlink w:anchor="__RefHeading___Toc3321126_2314609296">
            <w:r>
              <w:rPr>
                <w:webHidden/>
                <w:rStyle w:val="IndexLink"/>
                <w:rtl w:val="true"/>
              </w:rPr>
              <w:t>اشارة</w:t>
            </w:r>
            <w:r>
              <w:rPr>
                <w:rStyle w:val="IndexLink"/>
                <w:rtl w:val="true"/>
              </w:rPr>
              <w:tab/>
            </w:r>
            <w:r>
              <w:rPr>
                <w:rStyle w:val="IndexLink"/>
              </w:rPr>
              <w:t>449</w:t>
            </w:r>
          </w:hyperlink>
        </w:p>
        <w:p>
          <w:pPr>
            <w:pStyle w:val="Contents5"/>
            <w:tabs>
              <w:tab w:val="clear" w:pos="7892"/>
              <w:tab w:val="right" w:pos="9026" w:leader="dot"/>
            </w:tabs>
            <w:rPr/>
          </w:pPr>
          <w:hyperlink w:anchor="__RefHeading___Toc3321128_2314609296">
            <w:r>
              <w:rPr>
                <w:webHidden/>
                <w:rStyle w:val="IndexLink"/>
                <w:rtl w:val="true"/>
              </w:rPr>
              <w:t>بشروط أربعة</w:t>
            </w:r>
            <w:r>
              <w:rPr>
                <w:rStyle w:val="IndexLink"/>
                <w:rtl w:val="true"/>
              </w:rPr>
              <w:t>:</w:t>
              <w:tab/>
            </w:r>
            <w:r>
              <w:rPr>
                <w:rStyle w:val="IndexLink"/>
              </w:rPr>
              <w:t>452</w:t>
            </w:r>
          </w:hyperlink>
        </w:p>
        <w:p>
          <w:pPr>
            <w:pStyle w:val="Contents6"/>
            <w:tabs>
              <w:tab w:val="clear" w:pos="7609"/>
              <w:tab w:val="right" w:pos="9026" w:leader="dot"/>
            </w:tabs>
            <w:rPr/>
          </w:pPr>
          <w:hyperlink w:anchor="__RefHeading___Toc3321130_2314609296">
            <w:r>
              <w:rPr>
                <w:webHidden/>
                <w:rStyle w:val="IndexLink"/>
                <w:rtl w:val="true"/>
              </w:rPr>
              <w:t>اشارة</w:t>
            </w:r>
            <w:r>
              <w:rPr>
                <w:rStyle w:val="IndexLink"/>
                <w:rtl w:val="true"/>
              </w:rPr>
              <w:tab/>
            </w:r>
            <w:r>
              <w:rPr>
                <w:rStyle w:val="IndexLink"/>
              </w:rPr>
              <w:t>452</w:t>
            </w:r>
          </w:hyperlink>
        </w:p>
        <w:p>
          <w:pPr>
            <w:pStyle w:val="Contents6"/>
            <w:tabs>
              <w:tab w:val="clear" w:pos="7609"/>
              <w:tab w:val="right" w:pos="9026" w:leader="dot"/>
            </w:tabs>
            <w:rPr/>
          </w:pPr>
          <w:hyperlink w:anchor="__RefHeading___Toc3321132_2314609296">
            <w:r>
              <w:rPr>
                <w:webHidden/>
                <w:rStyle w:val="IndexLink"/>
                <w:rtl w:val="true"/>
              </w:rPr>
              <w:t>أن يعرف المعروف و المنكر</w:t>
            </w:r>
            <w:r>
              <w:rPr>
                <w:rStyle w:val="IndexLink"/>
                <w:rtl w:val="true"/>
              </w:rPr>
              <w:tab/>
            </w:r>
            <w:r>
              <w:rPr>
                <w:rStyle w:val="IndexLink"/>
              </w:rPr>
              <w:t>452</w:t>
            </w:r>
          </w:hyperlink>
        </w:p>
        <w:p>
          <w:pPr>
            <w:pStyle w:val="Contents6"/>
            <w:tabs>
              <w:tab w:val="clear" w:pos="7609"/>
              <w:tab w:val="right" w:pos="9026" w:leader="dot"/>
            </w:tabs>
            <w:rPr/>
          </w:pPr>
          <w:hyperlink w:anchor="__RefHeading___Toc3321134_2314609296">
            <w:r>
              <w:rPr>
                <w:webHidden/>
                <w:rStyle w:val="IndexLink"/>
                <w:rtl w:val="true"/>
              </w:rPr>
              <w:t>تأثير الإنكار</w:t>
            </w:r>
            <w:r>
              <w:rPr>
                <w:rStyle w:val="IndexLink"/>
                <w:rtl w:val="true"/>
              </w:rPr>
              <w:tab/>
            </w:r>
            <w:r>
              <w:rPr>
                <w:rStyle w:val="IndexLink"/>
              </w:rPr>
              <w:t>455</w:t>
            </w:r>
          </w:hyperlink>
        </w:p>
        <w:p>
          <w:pPr>
            <w:pStyle w:val="Contents6"/>
            <w:tabs>
              <w:tab w:val="clear" w:pos="7609"/>
              <w:tab w:val="right" w:pos="9026" w:leader="dot"/>
            </w:tabs>
            <w:rPr/>
          </w:pPr>
          <w:hyperlink w:anchor="__RefHeading___Toc3321136_2314609296">
            <w:r>
              <w:rPr>
                <w:webHidden/>
                <w:rStyle w:val="IndexLink"/>
                <w:rtl w:val="true"/>
              </w:rPr>
              <w:t>لا تظهر أمارة الإقلاع</w:t>
            </w:r>
            <w:r>
              <w:rPr>
                <w:rStyle w:val="IndexLink"/>
                <w:rtl w:val="true"/>
              </w:rPr>
              <w:tab/>
            </w:r>
            <w:r>
              <w:rPr>
                <w:rStyle w:val="IndexLink"/>
              </w:rPr>
              <w:t>456</w:t>
            </w:r>
          </w:hyperlink>
        </w:p>
        <w:p>
          <w:pPr>
            <w:pStyle w:val="Contents6"/>
            <w:tabs>
              <w:tab w:val="clear" w:pos="7609"/>
              <w:tab w:val="right" w:pos="9026" w:leader="dot"/>
            </w:tabs>
            <w:rPr/>
          </w:pPr>
          <w:hyperlink w:anchor="__RefHeading___Toc3321138_2314609296">
            <w:r>
              <w:rPr>
                <w:webHidden/>
                <w:rStyle w:val="IndexLink"/>
                <w:rtl w:val="true"/>
              </w:rPr>
              <w:t>انتفاء المفسدة</w:t>
            </w:r>
            <w:r>
              <w:rPr>
                <w:rStyle w:val="IndexLink"/>
                <w:rtl w:val="true"/>
              </w:rPr>
              <w:tab/>
            </w:r>
            <w:r>
              <w:rPr>
                <w:rStyle w:val="IndexLink"/>
              </w:rPr>
              <w:t>457</w:t>
            </w:r>
          </w:hyperlink>
        </w:p>
        <w:p>
          <w:pPr>
            <w:pStyle w:val="Contents5"/>
            <w:tabs>
              <w:tab w:val="clear" w:pos="7892"/>
              <w:tab w:val="right" w:pos="9026" w:leader="dot"/>
            </w:tabs>
            <w:rPr/>
          </w:pPr>
          <w:hyperlink w:anchor="__RefHeading___Toc3321140_2314609296">
            <w:r>
              <w:rPr>
                <w:webHidden/>
                <w:rStyle w:val="IndexLink"/>
                <w:rtl w:val="true"/>
              </w:rPr>
              <w:t>و المعروف قسمان</w:t>
            </w:r>
            <w:r>
              <w:rPr>
                <w:rStyle w:val="IndexLink"/>
                <w:rtl w:val="true"/>
              </w:rPr>
              <w:tab/>
            </w:r>
            <w:r>
              <w:rPr>
                <w:rStyle w:val="IndexLink"/>
              </w:rPr>
              <w:t>460</w:t>
            </w:r>
          </w:hyperlink>
        </w:p>
        <w:p>
          <w:pPr>
            <w:pStyle w:val="Contents5"/>
            <w:tabs>
              <w:tab w:val="clear" w:pos="7892"/>
              <w:tab w:val="right" w:pos="9026" w:leader="dot"/>
            </w:tabs>
            <w:rPr/>
          </w:pPr>
          <w:hyperlink w:anchor="__RefHeading___Toc3321142_2314609296">
            <w:r>
              <w:rPr>
                <w:webHidden/>
                <w:rStyle w:val="IndexLink"/>
                <w:rtl w:val="true"/>
              </w:rPr>
              <w:t>و أما المنكر فكله قبيح</w:t>
            </w:r>
            <w:r>
              <w:rPr>
                <w:rStyle w:val="IndexLink"/>
                <w:rtl w:val="true"/>
              </w:rPr>
              <w:tab/>
            </w:r>
            <w:r>
              <w:rPr>
                <w:rStyle w:val="IndexLink"/>
              </w:rPr>
              <w:t>462</w:t>
            </w:r>
          </w:hyperlink>
        </w:p>
        <w:p>
          <w:pPr>
            <w:pStyle w:val="Contents5"/>
            <w:tabs>
              <w:tab w:val="clear" w:pos="7892"/>
              <w:tab w:val="right" w:pos="9026" w:leader="dot"/>
            </w:tabs>
            <w:rPr/>
          </w:pPr>
          <w:hyperlink w:anchor="__RefHeading___Toc3321144_2314609296">
            <w:r>
              <w:rPr>
                <w:webHidden/>
                <w:rStyle w:val="IndexLink"/>
                <w:rtl w:val="true"/>
              </w:rPr>
              <w:t>و ينكر أولا بالقلب</w:t>
            </w:r>
            <w:r>
              <w:rPr>
                <w:rStyle w:val="IndexLink"/>
                <w:rtl w:val="true"/>
              </w:rPr>
              <w:tab/>
            </w:r>
            <w:r>
              <w:rPr>
                <w:rStyle w:val="IndexLink"/>
              </w:rPr>
              <w:t>462</w:t>
            </w:r>
          </w:hyperlink>
        </w:p>
        <w:p>
          <w:pPr>
            <w:pStyle w:val="Contents5"/>
            <w:tabs>
              <w:tab w:val="clear" w:pos="7892"/>
              <w:tab w:val="right" w:pos="9026" w:leader="dot"/>
            </w:tabs>
            <w:rPr/>
          </w:pPr>
          <w:hyperlink w:anchor="__RefHeading___Toc3321146_2314609296">
            <w:r>
              <w:rPr>
                <w:webHidden/>
                <w:rStyle w:val="IndexLink"/>
                <w:rtl w:val="true"/>
              </w:rPr>
              <w:t>ثم باللسان ثم باليد</w:t>
            </w:r>
            <w:r>
              <w:rPr>
                <w:rStyle w:val="IndexLink"/>
                <w:rtl w:val="true"/>
              </w:rPr>
              <w:tab/>
            </w:r>
            <w:r>
              <w:rPr>
                <w:rStyle w:val="IndexLink"/>
              </w:rPr>
              <w:t>463</w:t>
            </w:r>
          </w:hyperlink>
        </w:p>
        <w:p>
          <w:pPr>
            <w:pStyle w:val="Contents5"/>
            <w:tabs>
              <w:tab w:val="clear" w:pos="7892"/>
              <w:tab w:val="right" w:pos="9026" w:leader="dot"/>
            </w:tabs>
            <w:rPr/>
          </w:pPr>
          <w:hyperlink w:anchor="__RefHeading___Toc3321148_2314609296">
            <w:r>
              <w:rPr>
                <w:webHidden/>
                <w:rStyle w:val="IndexLink"/>
                <w:rtl w:val="true"/>
              </w:rPr>
              <w:t>و تجوز الولاية</w:t>
            </w:r>
            <w:r>
              <w:rPr>
                <w:rStyle w:val="IndexLink"/>
                <w:rtl w:val="true"/>
              </w:rPr>
              <w:tab/>
            </w:r>
            <w:r>
              <w:rPr>
                <w:rStyle w:val="IndexLink"/>
              </w:rPr>
              <w:t>474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818_203863"/>
      <w:bookmarkStart w:id="1" w:name="pg19818_203863"/>
      <w:bookmarkEnd w:id="1"/>
    </w:p>
    <w:p>
      <w:pPr>
        <w:pStyle w:val="Heading2"/>
        <w:numPr>
          <w:ilvl w:val="1"/>
          <w:numId w:val="1"/>
        </w:numPr>
        <w:rPr/>
      </w:pPr>
      <w:bookmarkStart w:id="2" w:name="pg19818_203863"/>
      <w:bookmarkStart w:id="3" w:name="__RefHeading___Toc3320686_2314609296"/>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عراقی، ضیاءالدین، </w:t>
      </w:r>
      <w:r>
        <w:rPr>
          <w:rFonts w:ascii="IRNazanin" w:hAnsi="IRNazanin" w:eastAsia="IRNazanin"/>
          <w:color w:val="111111"/>
          <w:sz w:val="28"/>
          <w:sz w:val="28"/>
          <w:szCs w:val="28"/>
          <w:lang w:bidi="fa-IR"/>
        </w:rPr>
        <w:t>۱۲۴۰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۱۳۲۱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تبصره‌المتعلمین‌فی‌احکام‌الدین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تبصره المتعلمین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ضیاءالدین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محمد‌الحسون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الجماعه المدرسین فی الحوزه العلمیه بقم، موسسه النشر‌الاسلامی، </w:t>
      </w:r>
      <w:r>
        <w:rPr>
          <w:rFonts w:ascii="IRNazanin" w:hAnsi="IRNazanin" w:eastAsia="IRNazanin"/>
          <w:color w:val="111111"/>
          <w:sz w:val="28"/>
          <w:sz w:val="28"/>
          <w:szCs w:val="28"/>
          <w:lang w:bidi="fa-IR"/>
        </w:rPr>
        <w:t>۱۴۱۴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۱۳۷۲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النشر الاسلامی التابعه لجماعه المدرسین بقم المشرفه؛ </w:t>
      </w:r>
      <w:r>
        <w:rPr>
          <w:rFonts w:ascii="IRNazanin" w:hAnsi="IRNazanin" w:eastAsia="IRNazanin"/>
          <w:color w:val="111111"/>
          <w:sz w:val="28"/>
          <w:sz w:val="28"/>
          <w:szCs w:val="28"/>
          <w:lang w:bidi="fa-IR"/>
        </w:rPr>
        <w:t>۵۹۱</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۵۹۲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۵۹۳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۵۹۴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شرحی است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تبصره المتعلمین فی احکام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حلی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۱۴۱۴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۱۳۷۷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۱۴۱۳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۱۳۷۱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علامه‌حلی، حسن‌بن‌یوسف، </w:t>
      </w:r>
      <w:r>
        <w:rPr>
          <w:rFonts w:ascii="IRNazanin" w:hAnsi="IRNazanin" w:eastAsia="IRNazanin"/>
          <w:color w:val="111111"/>
          <w:sz w:val="28"/>
          <w:sz w:val="28"/>
          <w:szCs w:val="28"/>
          <w:lang w:bidi="fa-IR"/>
        </w:rPr>
        <w:t>۷۲۶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۶۴۸</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تبصره المتعلمین‌فی احکام‌الدین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حسون، محمد، </w:t>
      </w:r>
      <w:r>
        <w:rPr>
          <w:rFonts w:ascii="IRNazanin" w:hAnsi="IRNazanin" w:eastAsia="IRNazanin"/>
          <w:color w:val="111111"/>
          <w:sz w:val="28"/>
          <w:sz w:val="28"/>
          <w:szCs w:val="28"/>
          <w:lang w:bidi="fa-IR"/>
        </w:rPr>
        <w:t>۱۳۳۸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مصحح</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حلی، حسن‌بن یوسف، </w:t>
      </w:r>
      <w:r>
        <w:rPr>
          <w:rFonts w:ascii="IRNazanin" w:hAnsi="IRNazanin" w:eastAsia="IRNazanin"/>
          <w:color w:val="111111"/>
          <w:sz w:val="28"/>
          <w:sz w:val="28"/>
          <w:szCs w:val="28"/>
          <w:lang w:bidi="fa-IR"/>
        </w:rPr>
        <w:t>۷۲۶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۶۴۸</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تبصره المتعلمین فی احکام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مدرسین حوزه علمیه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دفترانتشارات اسلامی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۱۸۲</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۲۰۲۱۶۵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۱۳۷۰</w:t>
      </w:r>
      <w:r>
        <w:rPr>
          <w:rFonts w:ascii="IRNazanin" w:hAnsi="IRNazanin" w:eastAsia="IRNazanin"/>
          <w:color w:val="111111"/>
          <w:sz w:val="28"/>
          <w:sz w:val="28"/>
          <w:szCs w:val="28"/>
          <w:rtl w:val="true"/>
          <w:lang w:bidi="fa-IR"/>
        </w:rPr>
        <w:t>ی</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۳۴۲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‌۷۳</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۱۷۰۲</w:t>
      </w:r>
    </w:p>
    <w:p>
      <w:pPr>
        <w:pStyle w:val="Heading2"/>
        <w:numPr>
          <w:ilvl w:val="1"/>
          <w:numId w:val="1"/>
        </w:numPr>
        <w:rPr/>
      </w:pPr>
      <w:bookmarkStart w:id="5" w:name="__RefHeading___Toc3320688_2314609296"/>
      <w:bookmarkStart w:id="6" w:name="_Toc2"/>
      <w:bookmarkEnd w:id="5"/>
      <w:r>
        <w:rPr>
          <w:rtl w:val="true"/>
        </w:rPr>
        <w:t>[</w:t>
      </w:r>
      <w:r>
        <w:rPr>
          <w:rtl w:val="true"/>
        </w:rPr>
        <w:t>تتمة كتاب الحج</w:t>
      </w:r>
      <w:r>
        <w:rPr>
          <w:rtl w:val="true"/>
        </w:rPr>
        <w:t>]</w:t>
      </w:r>
      <w:bookmarkEnd w:id="6"/>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 w:name="__RefHeading___Toc3320690_2314609296"/>
      <w:bookmarkStart w:id="8" w:name="_Toc3"/>
      <w:bookmarkEnd w:id="7"/>
      <w:r>
        <w:rPr>
          <w:rtl w:val="true"/>
        </w:rPr>
        <w:t>اشارة</w:t>
      </w:r>
      <w:bookmarkStart w:id="9" w:name="pg19818_203865"/>
      <w:bookmarkEnd w:id="8"/>
    </w:p>
    <w:p>
      <w:pPr>
        <w:pStyle w:val="Heading3"/>
        <w:numPr>
          <w:ilvl w:val="2"/>
          <w:numId w:val="1"/>
        </w:numPr>
        <w:rPr/>
      </w:pPr>
      <w:bookmarkStart w:id="10" w:name="__RefHeading___Toc3320692_2314609296"/>
      <w:bookmarkStart w:id="11" w:name="_Toc4"/>
      <w:bookmarkEnd w:id="9"/>
      <w:bookmarkEnd w:id="10"/>
      <w:r>
        <w:rPr>
          <w:rtl w:val="true"/>
        </w:rPr>
        <w:t>الباب الخامس في كفارات الإحرام</w:t>
      </w:r>
      <w:bookmarkEnd w:id="11"/>
    </w:p>
    <w:p>
      <w:pPr>
        <w:pStyle w:val="Heading4"/>
        <w:numPr>
          <w:ilvl w:val="3"/>
          <w:numId w:val="1"/>
        </w:numPr>
        <w:rPr/>
      </w:pPr>
      <w:bookmarkStart w:id="12" w:name="__RefHeading___Toc3320694_2314609296"/>
      <w:bookmarkStart w:id="13" w:name="_Toc5"/>
      <w:bookmarkEnd w:id="12"/>
      <w:r>
        <w:rPr>
          <w:rtl w:val="true"/>
        </w:rPr>
        <w:t>اشارة</w:t>
      </w:r>
      <w:bookmarkEnd w:id="13"/>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و فيه فصلان</w:t>
      </w:r>
      <w:r>
        <w:rPr>
          <w:rFonts w:eastAsia="Amiri" w:cs="Amiri" w:ascii="Amiri" w:hAnsi="Amiri"/>
          <w:color w:val="111111"/>
          <w:sz w:val="28"/>
          <w:szCs w:val="28"/>
          <w:rtl w:val="true"/>
          <w:lang w:bidi="ar-SA"/>
        </w:rPr>
        <w:t>:</w:t>
      </w:r>
    </w:p>
    <w:p>
      <w:pPr>
        <w:pStyle w:val="Heading4"/>
        <w:numPr>
          <w:ilvl w:val="3"/>
          <w:numId w:val="1"/>
        </w:numPr>
        <w:rPr/>
      </w:pPr>
      <w:bookmarkStart w:id="14" w:name="__RefHeading___Toc3320696_2314609296"/>
      <w:bookmarkStart w:id="15" w:name="_Toc6"/>
      <w:bookmarkEnd w:id="14"/>
      <w:r>
        <w:rPr>
          <w:rtl w:val="true"/>
        </w:rPr>
        <w:t>(</w:t>
      </w:r>
      <w:r>
        <w:rPr>
          <w:rtl w:val="true"/>
        </w:rPr>
        <w:t>الأول</w:t>
      </w:r>
      <w:r>
        <w:rPr>
          <w:rtl w:val="true"/>
        </w:rPr>
        <w:t>): (</w:t>
      </w:r>
      <w:r>
        <w:rPr>
          <w:rtl w:val="true"/>
        </w:rPr>
        <w:t>في كفارة الصيد،</w:t>
      </w:r>
      <w:bookmarkEnd w:id="15"/>
    </w:p>
    <w:p>
      <w:pPr>
        <w:pStyle w:val="Heading5"/>
        <w:numPr>
          <w:ilvl w:val="4"/>
          <w:numId w:val="1"/>
        </w:numPr>
        <w:rPr/>
      </w:pPr>
      <w:bookmarkStart w:id="16" w:name="__RefHeading___Toc3320698_2314609296"/>
      <w:bookmarkStart w:id="17" w:name="_Toc7"/>
      <w:bookmarkEnd w:id="16"/>
      <w:r>
        <w:rPr>
          <w:rtl w:val="true"/>
        </w:rPr>
        <w:t>اشارة</w:t>
      </w:r>
      <w:bookmarkEnd w:id="17"/>
    </w:p>
    <w:p>
      <w:pPr>
        <w:pStyle w:val="BookText"/>
        <w:rPr/>
      </w:pPr>
      <w:r>
        <w:rPr>
          <w:rFonts w:ascii="Amiri" w:hAnsi="Amiri" w:eastAsia="Amiri" w:cs="Amiri"/>
          <w:color w:val="111111"/>
          <w:sz w:val="28"/>
          <w:sz w:val="28"/>
          <w:szCs w:val="28"/>
          <w:rtl w:val="true"/>
          <w:lang w:bidi="ar-SA"/>
        </w:rPr>
        <w:t>و هو الحيوان المحلّل الممتنع في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بالأصالة، لانصراف الدليل إليه، فلا اعتبار بحصول أحد العنوانين عرضا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لئن شك في ذلك حكماً، فمقتضى عموم الدواب حرمته، و مع الشبهة الموضوعية يحكم بالحلية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مورد الحكم بالحلية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بالأصل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كفارة، للأصل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في مورد الحكم بالحرمة، فمع إحراز عنوان الصيدية، فمقتضى عمومات الملازمة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عدم إحرازها، ففي الحكم بوجوبها اشكال، لو لا دعوى عدم الفصل بين الصيد و غيره في ذلك،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أي حال تختص الحرمة و الكفارة بالبري، و قد تقدّم انه يجوز صيد البحر، و هو ما يبيض و يفرخ فيه و إن كان تعيّشه في غيره، كما انّ المدار في البري عكسه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اعتبار كونه محلّلا في صدق الصيدية نظر واضح</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يتوهم دخله في حرمته، من جهة استفادة الملازمة بين الحرمة</w:t>
      </w:r>
    </w:p>
    <w:p>
      <w:pPr>
        <w:pStyle w:val="BookText"/>
        <w:rPr/>
      </w:pPr>
      <w:r>
        <w:rPr>
          <w:rFonts w:ascii="Amiri" w:hAnsi="Amiri" w:eastAsia="Amiri" w:cs="Amiri"/>
          <w:color w:val="111111"/>
          <w:sz w:val="28"/>
          <w:sz w:val="28"/>
          <w:szCs w:val="28"/>
          <w:rtl w:val="true"/>
          <w:lang w:bidi="ar-SA"/>
        </w:rPr>
        <w:t>و الكفارة من الآية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فَجَزٰاءٌ مِثْلُ مٰا قَتَلَ مِنَ النَّعَمِ </w:t>
      </w:r>
      <w:r>
        <w:rPr>
          <w:rStyle w:val="FootnoteAnchor"/>
          <w:rtl w:val="true"/>
        </w:rPr>
        <w:footnoteReference w:id="2"/>
      </w:r>
      <w:r>
        <w:rPr>
          <w:rFonts w:ascii="Amiri" w:hAnsi="Amiri" w:eastAsia="Amiri" w:cs="Amiri"/>
          <w:color w:val="111111"/>
          <w:sz w:val="28"/>
          <w:sz w:val="28"/>
          <w:szCs w:val="28"/>
          <w:rtl w:val="true"/>
          <w:lang w:bidi="ar-SA"/>
        </w:rPr>
        <w:t xml:space="preserve">، و الرواية المشتملة على النهي على الدلالة عليه و استحالة، معلّلا بأن فيه الفداء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يدل على الصيد، فإن دل فعليه الفداء </w:t>
      </w:r>
      <w:r>
        <w:rPr>
          <w:rStyle w:val="FootnoteAnchor"/>
          <w:rtl w:val="true"/>
        </w:rPr>
        <w:footnoteReference w:id="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بضميمة عدم ثبوت الفداء في المحرم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انّ مجرد تخصيص دليل الفداء بالمحلل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تسليمه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يقتضي تخصيص دليل الحرمة، من إطلاق الآية و الرواية به، خصوصا مع جملة من النصوص الدالة على حرمة السباع ما لم يردك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و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اجتنب في إحرامك صيد البر كلّه</w:t>
      </w:r>
      <w:r>
        <w:rPr>
          <w:rFonts w:eastAsia="Amiri" w:cs="Amiri" w:ascii="Amiri" w:hAnsi="Amiri"/>
          <w:color w:val="111111"/>
          <w:sz w:val="28"/>
          <w:szCs w:val="28"/>
          <w:rtl w:val="true"/>
          <w:lang w:bidi="ar-SA"/>
        </w:rPr>
        <w:t xml:space="preserve">» </w:t>
      </w:r>
      <w:r>
        <w:rPr>
          <w:rStyle w:val="FootnoteAnchor"/>
          <w:rtl w:val="true"/>
        </w:rPr>
        <w:footnoteReference w:id="5"/>
      </w:r>
      <w:r>
        <w:rPr>
          <w:rFonts w:ascii="Amiri" w:hAnsi="Amiri" w:eastAsia="Amiri" w:cs="Amiri"/>
          <w:color w:val="111111"/>
          <w:sz w:val="28"/>
          <w:sz w:val="28"/>
          <w:szCs w:val="28"/>
          <w:rtl w:val="true"/>
          <w:lang w:bidi="ar-SA"/>
        </w:rPr>
        <w:t xml:space="preserve">، و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أحرمت فاتق الدواب كلها إلّا العقرب و أمثالها</w:t>
      </w:r>
      <w:r>
        <w:rPr>
          <w:rFonts w:eastAsia="Amiri" w:cs="Amiri" w:ascii="Amiri" w:hAnsi="Amiri"/>
          <w:color w:val="111111"/>
          <w:sz w:val="28"/>
          <w:szCs w:val="28"/>
          <w:rtl w:val="true"/>
          <w:lang w:bidi="ar-SA"/>
        </w:rPr>
        <w:t xml:space="preserve">» </w:t>
      </w:r>
      <w:r>
        <w:rPr>
          <w:rStyle w:val="FootnoteAnchor"/>
          <w:rtl w:val="true"/>
        </w:rPr>
        <w:footnoteReference w:id="6"/>
      </w:r>
      <w:r>
        <w:rPr>
          <w:rFonts w:ascii="Amiri" w:hAnsi="Amiri" w:eastAsia="Amiri" w:cs="Amiri"/>
          <w:color w:val="111111"/>
          <w:sz w:val="28"/>
          <w:sz w:val="28"/>
          <w:szCs w:val="28"/>
          <w:rtl w:val="true"/>
          <w:lang w:bidi="ar-SA"/>
        </w:rPr>
        <w:t>على ما هو مضمون النص، بل و ثبوت الحرمة و الكفارة في بعض المحرمات، الظاهر كونها من مصاديق الصيد المحرم، لا من جهة عناوينها الخاصة، قبال الصيد كما توهم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من ذلك ربما يستفاد منع الكلية في عدم الكفارة في المحرمات، فلا تجدي قاعدة الملازمة في المقام شيئا، بل مقتضى الأصل ثبوتها في ما يحرم على المحرم، محلا كان أو محرما، إلّا ما خرج</w:t>
      </w:r>
      <w:r>
        <w:rPr>
          <w:rFonts w:eastAsia="Amiri" w:cs="Amiri" w:ascii="Amiri" w:hAnsi="Amiri"/>
          <w:color w:val="111111"/>
          <w:sz w:val="28"/>
          <w:szCs w:val="28"/>
          <w:rtl w:val="true"/>
          <w:lang w:bidi="ar-SA"/>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هكذا يجوز صيد الدجاج الحبشي، لدعوى الإجماعات، بل في بعض نصوصها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ليس من الصيد</w:t>
      </w:r>
      <w:r>
        <w:rPr>
          <w:rFonts w:eastAsia="Amiri" w:cs="Amiri" w:ascii="Amiri" w:hAnsi="Amiri"/>
          <w:color w:val="111111"/>
          <w:sz w:val="28"/>
          <w:szCs w:val="28"/>
          <w:rtl w:val="true"/>
          <w:lang w:bidi="ar-SA"/>
        </w:rPr>
        <w:t xml:space="preserve">» </w:t>
      </w:r>
      <w:r>
        <w:rPr>
          <w:rStyle w:val="FootnoteAnchor"/>
          <w:rtl w:val="true"/>
        </w:rPr>
        <w:footnoteReference w:id="7"/>
      </w:r>
      <w:r>
        <w:rPr>
          <w:rFonts w:ascii="Amiri" w:hAnsi="Amiri" w:eastAsia="Amiri" w:cs="Amiri"/>
          <w:color w:val="111111"/>
          <w:sz w:val="28"/>
          <w:sz w:val="28"/>
          <w:szCs w:val="28"/>
          <w:rtl w:val="true"/>
          <w:lang w:bidi="ar-SA"/>
        </w:rPr>
        <w:t>، و لازمة تحكيمه على حرمة</w:t>
      </w:r>
    </w:p>
    <w:p>
      <w:pPr>
        <w:pStyle w:val="BookText"/>
        <w:rPr/>
      </w:pPr>
      <w:r>
        <w:rPr>
          <w:rFonts w:ascii="Amiri" w:hAnsi="Amiri" w:eastAsia="Amiri" w:cs="Amiri"/>
          <w:color w:val="111111"/>
          <w:sz w:val="28"/>
          <w:sz w:val="28"/>
          <w:szCs w:val="28"/>
          <w:rtl w:val="true"/>
          <w:lang w:bidi="ar-SA"/>
        </w:rPr>
        <w:t>الصيد، فضلا عما دل على ثبوت الكفارة، إذ هو تابع للحرمة و لو اقتضاء، كما أسلفناه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مقتضى النص المزبور عدم حرمته رأسا، فكيف تثبت فيه الكفارة،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لذلك لا حرمة و لا كفارة في ذبح النعم من البقر و الإبل و الغنم، و لو كانت وحشية بالعرض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أيضا لخروجها بما ذكرنا من قيد الأصالة في الممتنع، فإنّ مثل هذه الحيوانات لم تكن كذلك بل كانت أهلية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بعض الأقسام من الوحشية تسمّى بالبقر أو المعز الجبلي، و لكن الظاهر انه من باب المشابهة في الجثة، و إلّا فليست ن مسماهما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النص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يذبح في الحرم إلّا الإبل و البقر و الغنم</w:t>
      </w:r>
      <w:r>
        <w:rPr>
          <w:rFonts w:eastAsia="Amiri" w:cs="Amiri" w:ascii="Amiri" w:hAnsi="Amiri"/>
          <w:color w:val="111111"/>
          <w:sz w:val="28"/>
          <w:szCs w:val="28"/>
          <w:rtl w:val="true"/>
          <w:lang w:bidi="ar-SA"/>
        </w:rPr>
        <w:t xml:space="preserve">» </w:t>
      </w:r>
      <w:r>
        <w:rPr>
          <w:rStyle w:val="FootnoteAnchor"/>
          <w:rtl w:val="true"/>
        </w:rPr>
        <w:footnoteReference w:id="8"/>
      </w:r>
      <w:r>
        <w:rPr>
          <w:rFonts w:ascii="Amiri" w:hAnsi="Amiri" w:eastAsia="Amiri" w:cs="Amiri"/>
          <w:color w:val="111111"/>
          <w:sz w:val="28"/>
          <w:sz w:val="28"/>
          <w:szCs w:val="28"/>
          <w:rtl w:val="true"/>
          <w:lang w:bidi="ar-SA"/>
        </w:rPr>
        <w:t>، و معلوم انصراف هذه العناوين إلى الأهلية، و لا ينصرف الذهن إلى الجبلية المعروفة بين الناس، بل هي من سنخ الظبي و أكبر منها جثة، و هو نحو من الحيوان قبال العناوين المزبورة،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ففي شمول دليل الجواز للوحشية المعروفة نظر جدا، إلّا مع فرض حكم العرف بوحدة الحقيقة، فإنه حينئذ لا بد من جعل إطلاق النص المزبور مخصصا لعموم الصيد، لو لا دعوى كون النسبة عموما من وجه، و الأصل في المجمع التساقط، فيكفي لا لحاقها بالأهلي أيضا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عمدة الكلام في إثبات التعميم المزبور، مع حفظ الوحدة في الحقيقة، كما لا يخفى</w:t>
      </w:r>
      <w:r>
        <w:rPr>
          <w:rFonts w:eastAsia="Amiri" w:cs="Amiri" w:ascii="Amiri" w:hAnsi="Amiri"/>
          <w:color w:val="111111"/>
          <w:sz w:val="28"/>
          <w:szCs w:val="28"/>
          <w:rtl w:val="true"/>
          <w:lang w:bidi="ar-SA"/>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 أيضا المشهور نفي الكفارة في السباع، أرادتك أم لم تردك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 فواضح، و ذلك لا للملازمة بين الحلية و نفي الكفارة، إذ ذلك إنما يتم في</w:t>
      </w:r>
    </w:p>
    <w:p>
      <w:pPr>
        <w:pStyle w:val="BookText"/>
        <w:rPr/>
      </w:pPr>
      <w:r>
        <w:rPr>
          <w:rFonts w:ascii="Amiri" w:hAnsi="Amiri" w:eastAsia="Amiri" w:cs="Amiri"/>
          <w:color w:val="111111"/>
          <w:sz w:val="28"/>
          <w:sz w:val="28"/>
          <w:szCs w:val="28"/>
          <w:rtl w:val="true"/>
          <w:lang w:bidi="ar-SA"/>
        </w:rPr>
        <w:t>الحلال الاقتضائي، و إلّا فمع الحرمة الاقتضائية، و لو كانت الحلية فعلية، ربما تثبت الكفارة، كما في موارد الجهل و الاضطرار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المعلوم انّ مناسبة الترخيص في ظرف إرادته إنما هي لمراعاة أهمية حفظ النفس، فتوجب كون الحلية في المقام بمناط المزاحمة، لا بملاك لا اقتضائية العمل للالتزام به فعلا أو تركا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فالملازمة المزبورة غير تامة في مثل المقام، كما 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للأصل، لوفاء عموم الملازمة المستفادة من النصوص السابقة لإثباته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يدّعى انّ المتيقن منه أيضا الملازمة بين الحرمة الفعلية و الكفارة، لا مطلقا، حتى يشمل الاقتضائية، فيبقى مثل المقام حينئذ تحت الأصل المزبور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مثل هذه الجهة أيضا وجه تسلّمهم في نفي الكفارة في هذه الصورة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الكلام في نفيها في صورة عدم الإرادة، حيث نفي بعض الأعاظم أيضا الكفارة عنه، بزعم عدم نص ناطق في خصوص السباع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إنما يتم في فرض عدم تمامية الملازمة بين الحرمة و الكفارة بالآية و الرواية، و إلّا فيكفي لإثبات الكفارة هذه القاعدة، بضميمة ورود النهي عن صيد السباع عند عدم الإرادة، و بعد ذلك لا مجال لجريان الأصل المذكور</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عليه فلا فرق في ثبوت الكفارة مع عدم الإرادة، بين الأسد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المحقق عدم الكفارة في هذه الصورة، إلّا في الأسد </w:t>
      </w:r>
      <w:r>
        <w:rPr>
          <w:rStyle w:val="FootnoteAnchor"/>
          <w:rtl w:val="true"/>
        </w:rPr>
        <w:footnoteReference w:id="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قاتله في الحرم كبش، لرواية أبي سعد المكاري الواردة في خصوص الحرم </w:t>
      </w:r>
      <w:r>
        <w:rPr>
          <w:rStyle w:val="FootnoteAnchor"/>
          <w:rtl w:val="true"/>
        </w:rPr>
        <w:footnoteReference w:id="10"/>
      </w:r>
      <w:r>
        <w:rPr>
          <w:rFonts w:ascii="Amiri" w:hAnsi="Amiri" w:eastAsia="Amiri" w:cs="Amiri"/>
          <w:color w:val="111111"/>
          <w:sz w:val="28"/>
          <w:sz w:val="28"/>
          <w:szCs w:val="28"/>
          <w:rtl w:val="true"/>
          <w:lang w:bidi="ar-SA"/>
        </w:rPr>
        <w:t>، و لكن ضعّفوها</w:t>
      </w:r>
    </w:p>
    <w:p>
      <w:pPr>
        <w:pStyle w:val="BookText"/>
        <w:rPr/>
      </w:pPr>
      <w:r>
        <w:rPr>
          <w:rFonts w:ascii="Amiri" w:hAnsi="Amiri" w:eastAsia="Amiri" w:cs="Amiri"/>
          <w:color w:val="111111"/>
          <w:sz w:val="28"/>
          <w:sz w:val="28"/>
          <w:szCs w:val="28"/>
          <w:rtl w:val="true"/>
          <w:lang w:bidi="ar-SA"/>
        </w:rPr>
        <w:t>سندا، لاعراضهم عنها، مع عدم صلاحية عمل المحقق وحده لجبرها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فالأمر يدور بين الأخذ بقاعدة الملازمة و الالتزام بثبوت الكفارة مطلقا في الأسد و غيره، و بين الأخذ بمقتضى الأصل بعد طرح هذا النص، و المصير إلى عدمها مطلقا، كما هو منسوب إلى المشهور،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لا حرمة و لا كفارة في قتل الحدأة و الغراب بجميع أقسامه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عدم الحرمة فلصحيحة الحلبي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يرجم الغراب و الحدأة رجما</w:t>
      </w:r>
      <w:r>
        <w:rPr>
          <w:rFonts w:eastAsia="Amiri" w:cs="Amiri" w:ascii="Amiri" w:hAnsi="Amiri"/>
          <w:color w:val="111111"/>
          <w:sz w:val="28"/>
          <w:szCs w:val="28"/>
          <w:rtl w:val="true"/>
          <w:lang w:bidi="ar-SA"/>
        </w:rPr>
        <w:t xml:space="preserve">» </w:t>
      </w:r>
      <w:r>
        <w:rPr>
          <w:rStyle w:val="FootnoteAnchor"/>
          <w:rtl w:val="true"/>
        </w:rPr>
        <w:footnoteReference w:id="11"/>
      </w:r>
      <w:r>
        <w:rPr>
          <w:rFonts w:ascii="Amiri" w:hAnsi="Amiri" w:eastAsia="Amiri" w:cs="Amiri"/>
          <w:color w:val="111111"/>
          <w:sz w:val="28"/>
          <w:sz w:val="28"/>
          <w:szCs w:val="28"/>
          <w:rtl w:val="true"/>
          <w:lang w:bidi="ar-SA"/>
        </w:rPr>
        <w:t>و ظاهره جواز رميه و إن أفضى إلى قتله، و في التعدّي إلى القتل بغير الرمي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ترفع اليد عن عموم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اجتنب في إحرامك صيد البر كله</w:t>
      </w:r>
      <w:r>
        <w:rPr>
          <w:rFonts w:eastAsia="Amiri" w:cs="Amiri" w:ascii="Amiri" w:hAnsi="Amiri"/>
          <w:color w:val="111111"/>
          <w:sz w:val="28"/>
          <w:szCs w:val="28"/>
          <w:rtl w:val="true"/>
          <w:lang w:bidi="ar-SA"/>
        </w:rPr>
        <w:t xml:space="preserve">» </w:t>
      </w:r>
      <w:r>
        <w:rPr>
          <w:rStyle w:val="FootnoteAnchor"/>
          <w:rtl w:val="true"/>
        </w:rPr>
        <w:footnoteReference w:id="12"/>
      </w:r>
      <w:r>
        <w:rPr>
          <w:rFonts w:ascii="Amiri" w:hAnsi="Amiri" w:eastAsia="Amiri" w:cs="Amiri"/>
          <w:color w:val="111111"/>
          <w:sz w:val="28"/>
          <w:sz w:val="28"/>
          <w:szCs w:val="28"/>
          <w:rtl w:val="true"/>
          <w:lang w:bidi="ar-SA"/>
        </w:rPr>
        <w:t xml:space="preserve">، و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فاتق اللّٰه في قتل الدواب كلها</w:t>
      </w:r>
      <w:r>
        <w:rPr>
          <w:rFonts w:eastAsia="Amiri" w:cs="Amiri" w:ascii="Amiri" w:hAnsi="Amiri"/>
          <w:color w:val="111111"/>
          <w:sz w:val="28"/>
          <w:szCs w:val="28"/>
          <w:rtl w:val="true"/>
          <w:lang w:bidi="ar-SA"/>
        </w:rPr>
        <w:t xml:space="preserve">» </w:t>
      </w:r>
      <w:r>
        <w:rPr>
          <w:rStyle w:val="FootnoteAnchor"/>
          <w:rtl w:val="true"/>
        </w:rPr>
        <w:footnoteReference w:id="13"/>
      </w:r>
      <w:r>
        <w:rPr>
          <w:rFonts w:ascii="IRNazanin" w:hAnsi="IRNazanin" w:eastAsia="IRNazanin"/>
          <w:color w:val="111111"/>
          <w:sz w:val="28"/>
          <w:sz w:val="28"/>
          <w:szCs w:val="28"/>
          <w:rtl w:val="true"/>
          <w:lang w:bidi="fa-IR"/>
        </w:rPr>
        <w:t>، و أمثالهما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عدم الكفارة فللأصل، و لو لم نقل بالملازمة في طرف الحلية،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في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شراء القماري و الدباسي، و إخراجهما من مكة، للنص المشتمل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أحب أن يخرج منهما شي‌ء</w:t>
      </w:r>
      <w:r>
        <w:rPr>
          <w:rFonts w:eastAsia="Amiri" w:cs="Amiri" w:ascii="Amiri" w:hAnsi="Amiri"/>
          <w:color w:val="111111"/>
          <w:sz w:val="28"/>
          <w:szCs w:val="28"/>
          <w:rtl w:val="true"/>
          <w:lang w:bidi="ar-SA"/>
        </w:rPr>
        <w:t xml:space="preserve">» </w:t>
      </w:r>
      <w:r>
        <w:rPr>
          <w:rStyle w:val="FootnoteAnchor"/>
          <w:rtl w:val="true"/>
        </w:rPr>
        <w:footnoteReference w:id="14"/>
      </w:r>
      <w:r>
        <w:rPr>
          <w:rFonts w:ascii="Amiri" w:hAnsi="Amiri" w:eastAsia="Amiri" w:cs="Amiri"/>
          <w:color w:val="111111"/>
          <w:sz w:val="28"/>
          <w:sz w:val="28"/>
          <w:szCs w:val="28"/>
          <w:rtl w:val="true"/>
          <w:lang w:bidi="ar-SA"/>
        </w:rPr>
        <w:t>، أي من مكة و المدينة، كما هو مورد سؤال الشراء و الإخراج، و ظاهره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قباله جملة روايات ظاهرة في حرمة الإخراج في كل طير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الجواهر حمل النواهي في خصوص القماري على الكراهة </w:t>
      </w:r>
      <w:r>
        <w:rPr>
          <w:rStyle w:val="FootnoteAnchor"/>
          <w:rtl w:val="true"/>
        </w:rPr>
        <w:footnoteReference w:id="16"/>
      </w:r>
      <w:r>
        <w:rPr>
          <w:rFonts w:ascii="Amiri" w:hAnsi="Amiri" w:eastAsia="Amiri" w:cs="Amiri"/>
          <w:color w:val="111111"/>
          <w:sz w:val="28"/>
          <w:sz w:val="28"/>
          <w:szCs w:val="28"/>
          <w:rtl w:val="true"/>
          <w:lang w:bidi="ar-SA"/>
        </w:rPr>
        <w:t>، و يتعدّى</w:t>
      </w:r>
    </w:p>
    <w:p>
      <w:pPr>
        <w:pStyle w:val="BookText"/>
        <w:rPr/>
      </w:pPr>
      <w:r>
        <w:rPr>
          <w:rFonts w:ascii="Amiri" w:hAnsi="Amiri" w:eastAsia="Amiri" w:cs="Amiri"/>
          <w:color w:val="111111"/>
          <w:sz w:val="28"/>
          <w:sz w:val="28"/>
          <w:szCs w:val="28"/>
          <w:rtl w:val="true"/>
          <w:lang w:bidi="ar-SA"/>
        </w:rPr>
        <w:t>إلى الدباسي بعدم القول بالفصل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الإنصاف انّ ظاهر النص كراهة إخراج كل منهما بلا اختصاصه بالقماري، فيدور الأمر بين تخصيص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بالقماري و ما يلحق به، أو 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الحرمة، لعدم القول بالكراهة في غير القماري و الدباسي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أقل من الإجمال، فيرجع الى إطلاقات الحرمة، و أن من دخله كان آمنا، و بهذا البيان أفاد الشيخ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أفيد مبني على 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عدم كون القماري منه قدرا متيقنا، و إلّا فلا يلزم فيه محذور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انه على فرض الإطلاق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بماله من 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معمول به، فلا مجال للمصير إليه، لشبهة اعراضهم عن سنده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فالمرجع حتى في القماري إطلاقات الحرمة، لعدم النص، لا لإجماله،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في التعدّي من الإخراج عن مكة إلى غيره من سائر التصرفات نظر، فيبقى تحت عمومات حرمة القتل و الأكل و غيرهما للمحرم مطلقا، و للمحل في الحرم، فتدبّر</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بعد ما اتضح ما ذكرنا من موارد نفي الكفارة في الصيد، و قبل الخوض فيه، ينبغي أولا نقل الخبر الشريف الذي فيه لوائح الصدق، و الموجب لازدياد البصيرة في المقام، و ذلك انّ القاضي يحيى بن أكثم استأذن المأمون أن يسأل أبا جعفر الجواد عليه السلام عن مسألة فأذن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w:t>
      </w:r>
    </w:p>
    <w:p>
      <w:pPr>
        <w:pStyle w:val="BookText"/>
        <w:rPr/>
      </w:pPr>
      <w:r>
        <w:rPr>
          <w:rFonts w:ascii="Amiri" w:hAnsi="Amiri" w:eastAsia="Amiri" w:cs="Amiri"/>
          <w:color w:val="111111"/>
          <w:sz w:val="28"/>
          <w:sz w:val="28"/>
          <w:szCs w:val="28"/>
          <w:rtl w:val="true"/>
          <w:lang w:bidi="ar-SA"/>
        </w:rPr>
        <w:t>محرم قتل صيدا؟</w:t>
      </w:r>
    </w:p>
    <w:p>
      <w:pPr>
        <w:pStyle w:val="BookText"/>
        <w:rPr/>
      </w:pPr>
      <w:r>
        <w:rPr>
          <w:rFonts w:ascii="Amiri" w:hAnsi="Amiri" w:eastAsia="Amiri" w:cs="Amiri"/>
          <w:color w:val="111111"/>
          <w:sz w:val="28"/>
          <w:sz w:val="28"/>
          <w:szCs w:val="28"/>
          <w:rtl w:val="true"/>
          <w:lang w:bidi="ar-SA"/>
        </w:rPr>
        <w:t>فقال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قتله في حل أو حرم، عالما كان المحرم أم جاهلا، قتله عمدا أو خطأ، حرا كان المحرم أو عبدا، صغيرا كان أو كبيرا، مبتدئا بالقتل أم معيدا، من ذوات الطير كان الصيد أم من غيره، من صغار الصيد كان أم من كبارها، مصرا كان أو نادما، في الليل كان قتله الصيد أم بالنهار، محرما كان بالعمرة إذ قتل أم بالحج كان محرما؟</w:t>
      </w:r>
    </w:p>
    <w:p>
      <w:pPr>
        <w:pStyle w:val="BookText"/>
        <w:rPr/>
      </w:pPr>
      <w:r>
        <w:rPr>
          <w:rFonts w:ascii="Amiri" w:hAnsi="Amiri" w:eastAsia="Amiri" w:cs="Amiri"/>
          <w:color w:val="111111"/>
          <w:sz w:val="28"/>
          <w:sz w:val="28"/>
          <w:szCs w:val="28"/>
          <w:rtl w:val="true"/>
          <w:lang w:bidi="ar-SA"/>
        </w:rPr>
        <w:t>فتحيّر يحيى بن أكثم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المأمون لأبي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رأيت جعلت فداك أن تذكر لنا الفقه فيما فصّلته من وجوه قتل المحرم، لنعلمه و نستفيده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المحرم إذا قتل صيدا في الحل، و كان الصيد من ذوات الطير، و كان الطير من كبارها، فعليه شاة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أصابه في المحرم، فعليه الجزاء مضاعفا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قتل فرخا في الحل، فعليه حمل فطم من اللبن، و إذا قتله في الحرم فعليه الحمل و قيمة الفرخ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من الوحش و كان حمار وحش، فعليه 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نعامة فعليه بدنة، و إن كان ظبيا فعليه شاة، و إن كان قتل من ذلك في الحرم فعليه الجزاء مضاعفا، هديا بالغ الكعبة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أصاب المحرم ما يجب عليه الهدي فيه و كان إحرامه بالحج نحره بمنى، و إن كان إحرامه، بالعمرة نحره بمكة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جزاء الصيد على العالم و الجاهل سواء، و في العمد عليه المأثم، و هو موضوع عنه في الخطأ</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الكفارة على الحر في نفسه، و على السيد في عبده، و الصغير لا كفارة</w:t>
      </w:r>
    </w:p>
    <w:p>
      <w:pPr>
        <w:pStyle w:val="BookText"/>
        <w:rPr/>
      </w:pPr>
      <w:r>
        <w:rPr>
          <w:rFonts w:ascii="Amiri" w:hAnsi="Amiri" w:eastAsia="Amiri" w:cs="Amiri"/>
          <w:color w:val="111111"/>
          <w:sz w:val="28"/>
          <w:sz w:val="28"/>
          <w:szCs w:val="28"/>
          <w:rtl w:val="true"/>
          <w:lang w:bidi="ar-SA"/>
        </w:rPr>
        <w:t>عليه، و هي على الكبير واجبة، و النادم يسقط ندمه عنه عقاب الآخرة، و المصر يجب عليه العقاب في الآخرة</w:t>
      </w:r>
      <w:r>
        <w:rPr>
          <w:rFonts w:eastAsia="Amiri" w:cs="Amiri" w:ascii="Amiri" w:hAnsi="Amiri"/>
          <w:color w:val="111111"/>
          <w:sz w:val="28"/>
          <w:szCs w:val="28"/>
          <w:rtl w:val="true"/>
          <w:lang w:bidi="ar-SA"/>
        </w:rPr>
        <w:t xml:space="preserve">»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نقل هذه الرواية في تحف العقول مشتملة على الخصوصيات الزائدة، حتى شرح المعيد للقتل و المبدئ، و تفصيل الليل و النهار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الحمار بدنة، فراجع الوسائل تجدها كما ذكرنا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حيث ظهر لك ذلك فليعلم أيضا انّ كلما لا يكون لفديته تقدير، ففي قتله قيمته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استشهد له بما في صحيح سليمان بن خالد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الظبي شاة، و في البقرة بقرة، و في الحمار بدنة، و في النعامة بدنة، و فيما سوى ذلك قيمته</w:t>
      </w:r>
      <w:r>
        <w:rPr>
          <w:rFonts w:eastAsia="Amiri" w:cs="Amiri" w:ascii="Amiri" w:hAnsi="Amiri"/>
          <w:color w:val="111111"/>
          <w:sz w:val="28"/>
          <w:szCs w:val="28"/>
          <w:rtl w:val="true"/>
          <w:lang w:bidi="ar-SA"/>
        </w:rPr>
        <w:t xml:space="preserve">»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الأصحاب أيضا فهموا من هذا العموم الكلية المتقدّمة السارية في الطيور، بل و تعدوا من الحيوانات إلى بيوضها، و لازمة تخصيص هذا العام بموارد متعددة ثبت فيها مقدر مخصوص كالحمامة ففيها الشاة، و غير ذلك مما نذكره في طي كلام المصنف، خصوصا مع عموم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قَتَلَهُ مِنْكُمْ مُتَعَمِّداً فَجَزٰاءٌ مِثْلُ مٰا قَتَلَ مِنَ النَّعَمِ </w:t>
      </w:r>
      <w:r>
        <w:rPr>
          <w:rStyle w:val="FootnoteAnchor"/>
          <w:rtl w:val="true"/>
        </w:rPr>
        <w:footnoteReference w:id="22"/>
      </w:r>
      <w:r>
        <w:rPr>
          <w:rFonts w:ascii="Amiri" w:hAnsi="Amiri" w:eastAsia="Amiri" w:cs="Amiri"/>
          <w:color w:val="111111"/>
          <w:sz w:val="28"/>
          <w:sz w:val="28"/>
          <w:szCs w:val="28"/>
          <w:rtl w:val="true"/>
          <w:lang w:bidi="ar-SA"/>
        </w:rPr>
        <w:t xml:space="preserve">، بعد حمل الأصحاب إياه على المماثلة من حيث الجثة، كما يومئ إليه صدر النص السابق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الظبي شاة، و في البقرة 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لو لا قرينة فهمهم من الرواية المزبورة ما ذكرنا من الكلية، كان للتشكيك في تعميمها بالنسبة إلى غير الوحوش، حتى من الطيور، فضلا عن</w:t>
      </w:r>
    </w:p>
    <w:p>
      <w:pPr>
        <w:pStyle w:val="BookText"/>
        <w:rPr/>
      </w:pPr>
      <w:r>
        <w:rPr>
          <w:rFonts w:ascii="Amiri" w:hAnsi="Amiri" w:eastAsia="Amiri" w:cs="Amiri"/>
          <w:color w:val="111111"/>
          <w:sz w:val="28"/>
          <w:sz w:val="28"/>
          <w:szCs w:val="28"/>
          <w:rtl w:val="true"/>
          <w:lang w:bidi="ar-SA"/>
        </w:rPr>
        <w:t>بيوضها، مجال، لصلاحية صدرها للقرينية، لصرف المشار إليه إلى ما كان من سنخها لا مطلقا، و مع اقتران الكلام بما يصلح للقرينية لا ينعقد له ظهور في الزائد عن مورده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فالعمدة في الكلية المزبورة أطباق كلمات الأصحاب و معاقد إجماعاتهم، الجارية لمثل هذه الكلية في البيوض أيضا، فضلا عن الطيور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أي حال، الظاهر من القيمة أيضا هي القيمة وقت تلف ما لا فداء مخصوص له من الصيود، كما انّ في كلماتهم أيضا تسلم هذا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فيما له بدل كلية اخرى، و هو انه مع التعذر ينتقل الى قيمته وقت الأداء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استفادوا ذلك أيضا من عموم نص آخر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لم يجد ما يكفّر من موضعه الذي أصاب فيه الصيد قوّم جزاؤه</w:t>
      </w:r>
      <w:r>
        <w:rPr>
          <w:rFonts w:eastAsia="Amiri" w:cs="Amiri" w:ascii="Amiri" w:hAnsi="Amiri"/>
          <w:color w:val="111111"/>
          <w:sz w:val="28"/>
          <w:szCs w:val="28"/>
          <w:rtl w:val="true"/>
          <w:lang w:bidi="ar-SA"/>
        </w:rPr>
        <w:t xml:space="preserve">» </w:t>
      </w:r>
      <w:r>
        <w:rPr>
          <w:rStyle w:val="FootnoteAnchor"/>
          <w:rtl w:val="true"/>
        </w:rPr>
        <w:footnoteReference w:id="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فهموا منه أيضا القيمة وقت الأداء لفرض كون جزائه في عهدته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معلوم انّ كلّ ما في العهدة لا بد في تقويمه من لحاظ قيمته يوم أدائه، كما هو الشأن في المثلي المتعذر في باب الضمان</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هذه الجهة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بضميمة ما ورد في الفداء بدل احداث العيب من كسر قرنه و فقأ العين، و جراحته </w:t>
      </w:r>
      <w:r>
        <w:rPr>
          <w:rStyle w:val="FootnoteAnchor"/>
          <w:rtl w:val="true"/>
        </w:rPr>
        <w:footnoteReference w:id="24"/>
      </w:r>
      <w:r>
        <w:rPr>
          <w:rFonts w:ascii="Amiri" w:hAnsi="Amiri" w:eastAsia="Amiri" w:cs="Amiri"/>
          <w:color w:val="111111"/>
          <w:sz w:val="28"/>
          <w:sz w:val="28"/>
          <w:szCs w:val="28"/>
          <w:rtl w:val="true"/>
          <w:lang w:bidi="ar-SA"/>
        </w:rPr>
        <w:t xml:space="preserve">، بل و بضميمة ما ورد من انه من كان معه صيد فأحرم وجب عليه إرساله، فلو مات قبل إرساله كان عليه الفداء، كما ورد مضمون ما ذكرنا في خبر أبي سعيد </w:t>
      </w:r>
      <w:r>
        <w:rPr>
          <w:rStyle w:val="FootnoteAnchor"/>
          <w:rtl w:val="true"/>
        </w:rPr>
        <w:footnoteReference w:id="25"/>
      </w:r>
      <w:r>
        <w:rPr>
          <w:rFonts w:ascii="Amiri" w:hAnsi="Amiri" w:eastAsia="Amiri" w:cs="Amiri"/>
          <w:color w:val="111111"/>
          <w:sz w:val="28"/>
          <w:sz w:val="28"/>
          <w:szCs w:val="28"/>
          <w:rtl w:val="true"/>
          <w:lang w:bidi="ar-SA"/>
        </w:rPr>
        <w:t xml:space="preserve">، و خبر بكر بن أعين </w:t>
      </w:r>
      <w:r>
        <w:rPr>
          <w:rStyle w:val="FootnoteAnchor"/>
          <w:rtl w:val="true"/>
        </w:rPr>
        <w:footnoteReference w:id="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أجرى</w:t>
      </w:r>
    </w:p>
    <w:p>
      <w:pPr>
        <w:pStyle w:val="BookText"/>
        <w:rPr/>
      </w:pPr>
      <w:r>
        <w:rPr>
          <w:rFonts w:ascii="Amiri" w:hAnsi="Amiri" w:eastAsia="Amiri" w:cs="Amiri"/>
          <w:color w:val="111111"/>
          <w:sz w:val="28"/>
          <w:sz w:val="28"/>
          <w:szCs w:val="28"/>
          <w:rtl w:val="true"/>
          <w:lang w:bidi="ar-SA"/>
        </w:rPr>
        <w:t>الأصحاب في المقام قواعد الضمان، بمقتضى اليد و الإتلاف في باب الضمان، و ذلك لا بمعنى كونه من باب الضمان الحقيقي، كي يلاحظ فيه المثلي و القيمي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و كثير من المثليات في المقام قيميات في باب الضمان، كما انّ بعض التقويمات الواردة في بعض المقامات، من الدرهم و نصفه و ربعه مثلا ليس من باب القيم السوقية، بل هي جميعا نحو من الجريمة و الكفارة المجعولة في هذه المقامات، فباب التقويمات في المقام، نظير جعل الأبدال المخصوصة في باب الكفارات المجعولة و الجرائم الثابتة، لمحض الاحترام للحرم أو جبرانا لحرمته و مفسدته على المحرم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من مجموع النصوص الواردة في الموارد المتعددة، أمكن استفادة اجراء الشارع شبه حكم الضمان على المورد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 في الضمان لا بد من نحو اضافة للمضمون الى أحد، و في المقام لا تكون المضمونات مضافة الى أحد فالتعبير بالضمان في أمثال الباب في مثل الشرائع و أمثاله، انما هو بنحو من العناية، و بضرب من المشابهة الصورية من بعض الجهات، و ستأتي تتمة الكلام في ذلك أيضا إن شاء اللّٰه</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ذلك كله حكم المحرم في الحل، و أما حكم المحل في الحرم، فمقتضى جملة من النصوص أنّ عليه قيمة التالف بقتله أو بجهة أخرى، ففي خبر معاوية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أصبت الصيد و أنت حرام في الحرم فالفداء مضاعف عليك، و إن أصبته و أنت حلال في الحرم فقيمة واحدة، و إن أصبته و أنت حرام في الحل فإنما عليك فداء واحد</w:t>
      </w:r>
      <w:r>
        <w:rPr>
          <w:rFonts w:eastAsia="Amiri" w:cs="Amiri" w:ascii="Amiri" w:hAnsi="Amiri"/>
          <w:color w:val="111111"/>
          <w:sz w:val="28"/>
          <w:szCs w:val="28"/>
          <w:rtl w:val="true"/>
          <w:lang w:bidi="ar-SA"/>
        </w:rPr>
        <w:t xml:space="preserve">»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صفوان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أصاب طيرا في الحرم و هو محل فعليه القيمة، درهم يشتري به علفا لحمام الحرم</w:t>
      </w:r>
      <w:r>
        <w:rPr>
          <w:rFonts w:eastAsia="Amiri" w:cs="Amiri" w:ascii="Amiri" w:hAnsi="Amiri"/>
          <w:color w:val="111111"/>
          <w:sz w:val="28"/>
          <w:szCs w:val="28"/>
          <w:rtl w:val="true"/>
          <w:lang w:bidi="ar-SA"/>
        </w:rPr>
        <w:t xml:space="preserve">»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خبر يونس بن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أغلق بابه على حمام الحرم و فراخ و بيض،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أغلق عليها قبل أن يحرم فإن عليه لكل طير درهما، و لكل فرخ نصف درهم، و لكل بيضة ربع درهم</w:t>
      </w:r>
      <w:r>
        <w:rPr>
          <w:rFonts w:eastAsia="Amiri" w:cs="Amiri" w:ascii="Amiri" w:hAnsi="Amiri"/>
          <w:color w:val="111111"/>
          <w:sz w:val="28"/>
          <w:szCs w:val="28"/>
          <w:rtl w:val="true"/>
          <w:lang w:bidi="ar-SA"/>
        </w:rPr>
        <w:t xml:space="preserve">» </w:t>
      </w:r>
      <w:r>
        <w:rPr>
          <w:rStyle w:val="FootnoteAnchor"/>
          <w:rtl w:val="true"/>
        </w:rPr>
        <w:footnoteReference w:id="29"/>
      </w:r>
      <w:r>
        <w:rPr>
          <w:rFonts w:ascii="Amiri" w:hAnsi="Amiri" w:eastAsia="Amiri" w:cs="Amiri"/>
          <w:color w:val="111111"/>
          <w:sz w:val="28"/>
          <w:sz w:val="28"/>
          <w:szCs w:val="28"/>
          <w:rtl w:val="true"/>
          <w:lang w:bidi="ar-SA"/>
        </w:rPr>
        <w:t>، إلى غير ذلك من النصوص الواردة في أبواب مختلفة في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الجواهر جعل القيمة على المحل في الحرام على الأصح، و تمسك بجملة من النصوص المزبورة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قباله ما عن المبسوط و غيره من أنه على المحل في صورة شركته في القتل مع المحرم القيمة، و عند انفراده الدم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ما عن الحلبي انّ على المحل مطلقا فداء بمثله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ورد الأول في الجواهر بعدم معروفية القول بالتفصيل، و الأولى ردهما بعدم دليل صالح في قبال النصوص السابقة، كما لا يخفى</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بمقتضى إطلاق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القيمة السوقية، سوى ما ورد في باب الحمام و فرخه و بيضه من الدرهم و نصفه و ربعه، فإنه من القيمة المجعولة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هذه نكتة تخصيص بعض حكم المحل بقيمة الحمامة و فرخها، و إلّا ففي ثبوت أصل القيمة في الجملة، لا اختصاص في المحل بباب الحمامة،</w:t>
      </w:r>
    </w:p>
    <w:p>
      <w:pPr>
        <w:pStyle w:val="BookText"/>
        <w:rPr/>
      </w:pPr>
      <w:r>
        <w:rPr>
          <w:rFonts w:ascii="Amiri" w:hAnsi="Amiri" w:eastAsia="Amiri" w:cs="Amiri"/>
          <w:color w:val="111111"/>
          <w:sz w:val="28"/>
          <w:sz w:val="28"/>
          <w:szCs w:val="28"/>
          <w:rtl w:val="true"/>
          <w:lang w:bidi="ar-SA"/>
        </w:rPr>
        <w:t>كما لا يخفى على من راجع النصوص و الكلمات،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المحرم في الحرم فيتضاعف، بل من أخبار التضاعف أيضا أمكن استفادة أنّ على المحل في الحرم فداء، بملاحظة أنّ مناط التضاعف هو الجمع بين احترام الحرم و الإحرام، بلا دخل للإحلال و الحل في الحكم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بهذه الملاحظة أمكن دعوى كونه على طبق قاعدة عدم تداخل الأسباب، بل و في النص في الحمام جمع بين الشاة و قيمته للمحرم في الحرم، فيتعدّى منه إلى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بمثله أيضا يستظهر وجه الكلية الأخرى في كلماتهم من أنّ على المحرم في الحرم الفداء و القيمة، و فيما لا فداء له تتضاعف القيمة، مجعولة أم سوقية، كما في مورد لم يقوم بحد مخصوص من درهم أو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التفصيل يحمل التضاعف الوارد في النصوص، كما لا يخفى على من راجع كلمات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سنشير إليه في طي كلام المصنف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حيث اتضح ذلك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الصيود الواردة فيها الكفارة تارة من القسم الذي لكفارته أيضا بدل مخصوص بنص مخصوص، و أخرى مما ليس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المراد من البدل المخصوص أيضا ما عيّنه الشارع بنص مخصوص، كما في كشف اللثام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ذلك لا ينافي مع الكلية السابقة من انه مع تعذر البدل ينتقل إلى القيمة بنحو العموم، بل و في الشاة أيضا ورد عموم إطعام عشرة مساكين أو صيام</w:t>
      </w:r>
      <w:bookmarkStart w:id="18" w:name="pg19818_203877"/>
    </w:p>
    <w:p>
      <w:pPr>
        <w:pStyle w:val="BookText"/>
        <w:rPr/>
      </w:pPr>
      <w:bookmarkEnd w:id="18"/>
      <w:r>
        <w:rPr>
          <w:rFonts w:ascii="Amiri" w:hAnsi="Amiri" w:eastAsia="Amiri" w:cs="Amiri"/>
          <w:color w:val="111111"/>
          <w:sz w:val="28"/>
          <w:sz w:val="28"/>
          <w:szCs w:val="28"/>
          <w:rtl w:val="true"/>
          <w:lang w:bidi="ar-SA"/>
        </w:rPr>
        <w:t>ثلاثة أيام، كما في نص عمار، على ما في كشف اللثام،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عليه شاة فلم يجد فليطعم عشرة مساكين، فمن لم يجد فصيام ثلاثة أيام</w:t>
      </w:r>
      <w:r>
        <w:rPr>
          <w:rFonts w:eastAsia="Amiri" w:cs="Amiri" w:ascii="Amiri" w:hAnsi="Amiri"/>
          <w:color w:val="111111"/>
          <w:sz w:val="28"/>
          <w:szCs w:val="28"/>
          <w:rtl w:val="true"/>
          <w:lang w:bidi="ar-SA"/>
        </w:rPr>
        <w:t xml:space="preserve">»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انّ الأمور التي لفدائها بدل منصوص بالخصوص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 الوحشية، و يلحق بها الحمار الوحشي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الضبي، و يلحقه به الثعلب و الأرنب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كسر بيض النعامة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كسر بيض القطا و القبج و الدراج و أمثالها جثة، على ما سيأتي جميعها في محالها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إلى ما أشرنا إليه أفاد المصنف أيضا بقوله</w:t>
      </w:r>
      <w:r>
        <w:rPr>
          <w:rFonts w:eastAsia="Amiri" w:cs="Amiri" w:ascii="Amiri" w:hAnsi="Amiri"/>
          <w:color w:val="111111"/>
          <w:sz w:val="28"/>
          <w:szCs w:val="28"/>
          <w:rtl w:val="true"/>
          <w:lang w:bidi="ar-SA"/>
        </w:rPr>
        <w:t>:</w:t>
      </w:r>
    </w:p>
    <w:p>
      <w:pPr>
        <w:pStyle w:val="Heading5"/>
        <w:numPr>
          <w:ilvl w:val="4"/>
          <w:numId w:val="1"/>
        </w:numPr>
        <w:rPr/>
      </w:pPr>
      <w:bookmarkStart w:id="19" w:name="__RefHeading___Toc3320700_2314609296"/>
      <w:bookmarkStart w:id="20" w:name="_Toc8"/>
      <w:bookmarkEnd w:id="19"/>
      <w:r>
        <w:rPr>
          <w:rtl w:val="true"/>
        </w:rPr>
        <w:t>(</w:t>
      </w:r>
      <w:r>
        <w:rPr>
          <w:rtl w:val="true"/>
        </w:rPr>
        <w:t>ففي النعامة بدنة</w:t>
      </w:r>
      <w:r>
        <w:rPr>
          <w:rtl w:val="true"/>
        </w:rPr>
        <w:t>)</w:t>
      </w:r>
      <w:r>
        <w:rPr>
          <w:rtl w:val="true"/>
        </w:rPr>
        <w:t>،</w:t>
      </w:r>
      <w:bookmarkEnd w:id="20"/>
    </w:p>
    <w:p>
      <w:pPr>
        <w:pStyle w:val="BookText"/>
        <w:rPr/>
      </w:pPr>
      <w:r>
        <w:rPr>
          <w:rFonts w:ascii="Amiri" w:hAnsi="Amiri" w:eastAsia="Amiri" w:cs="Amiri"/>
          <w:color w:val="111111"/>
          <w:sz w:val="28"/>
          <w:sz w:val="28"/>
          <w:szCs w:val="28"/>
          <w:rtl w:val="true"/>
          <w:lang w:bidi="ar-SA"/>
        </w:rPr>
        <w:t xml:space="preserve">للنصوص المستفيضة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لقد عرفت في النص السابق تصريح مولانا الجواد عليه السلام، بل في رواية تحف العقول أيضا التصريح به، و مع ذلك ففي بعض النصوص الجزور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مخالفة هذه مع البدنة فرع اختصاصها بالأنثى منه، و إلّا فلا اختلاف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فرض الاختلاف أمكن رفع اليد عن ظهور تعيين كل منهما، لو لا ضعف سند نص الجزور باعراض المشهور، كما لا يخفى</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مع العجز يفض ثمن البدنة على البر، للنص المشتمل على خصوصه </w:t>
      </w:r>
      <w:r>
        <w:rPr>
          <w:rStyle w:val="FootnoteAnchor"/>
          <w:rtl w:val="true"/>
        </w:rPr>
        <w:footnoteReference w:id="36"/>
      </w:r>
      <w:r>
        <w:rPr>
          <w:rFonts w:ascii="Amiri" w:hAnsi="Amiri" w:eastAsia="Amiri" w:cs="Amiri"/>
          <w:color w:val="111111"/>
          <w:sz w:val="28"/>
          <w:sz w:val="28"/>
          <w:szCs w:val="28"/>
          <w:rtl w:val="true"/>
          <w:lang w:bidi="ar-SA"/>
        </w:rPr>
        <w:t xml:space="preserve">، و يؤيده الفقه الرضوي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لكن في جملة أخرى اشتمالها على الطعام </w:t>
      </w:r>
      <w:r>
        <w:rPr>
          <w:rStyle w:val="FootnoteAnchor"/>
          <w:rtl w:val="true"/>
        </w:rPr>
        <w:footnoteReference w:id="38"/>
      </w:r>
      <w:r>
        <w:rPr>
          <w:rFonts w:ascii="Amiri" w:hAnsi="Amiri" w:eastAsia="Amiri" w:cs="Amiri"/>
          <w:color w:val="111111"/>
          <w:sz w:val="28"/>
          <w:sz w:val="28"/>
          <w:szCs w:val="28"/>
          <w:rtl w:val="true"/>
          <w:lang w:bidi="ar-SA"/>
        </w:rPr>
        <w:t>، و قضية وحدة المطلوب توجب المعارضة بينهما، الموجبة للجمع بينهما، إما بحمل البر على الفضيلة، أو تقييد إطلاق الطعام، و نظر المصنف إلى الجمع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تكملة أستاذنا العلّامة اختيار الجمع الأول، فتعدّى إلى غير البر أيضا مما يجزئ في الكفارة و لا يبعد قوة ما أفاده، نعم مع عدم الترجيح لأحد الجمعين يتعيّن البر، بقاعدة الاشتغال في التعيين و التخيير، و إن قلنا بالبراءة في الأكثر، كما هو المقرر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يطعم بالبر أو الطعام ستين مسكينا، لكل مسكين مد، لجملة من النصوص المستفيضة المشتملة على المد، و بها ترفع اليد عما اشتمل على نصف الصاع، بالحمل على الفضيلة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زاد عن ستين له، و لا يجب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تتميم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نقص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لما في صحيحة ابن مسلم من التصريح بكون المدار على أقل الأمرين من قيمة الفدية و إطعام ستين مسكينا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عجز عن الطعام المزبور صام عن كل مدين يوما، لما في النص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 لم يقدر على الطعام صام لكل نصف صاع يوما</w:t>
      </w:r>
      <w:r>
        <w:rPr>
          <w:rFonts w:eastAsia="Amiri" w:cs="Amiri" w:ascii="Amiri" w:hAnsi="Amiri"/>
          <w:color w:val="111111"/>
          <w:sz w:val="28"/>
          <w:szCs w:val="28"/>
          <w:rtl w:val="true"/>
          <w:lang w:bidi="ar-SA"/>
        </w:rPr>
        <w:t xml:space="preserve">»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لكن في نص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صام لكل طعام مسكين يوما</w:t>
      </w:r>
      <w:r>
        <w:rPr>
          <w:rFonts w:eastAsia="Amiri" w:cs="Amiri" w:ascii="Amiri" w:hAnsi="Amiri"/>
          <w:color w:val="111111"/>
          <w:sz w:val="28"/>
          <w:szCs w:val="28"/>
          <w:rtl w:val="true"/>
          <w:lang w:bidi="ar-SA"/>
        </w:rPr>
        <w:t xml:space="preserve">» </w:t>
      </w:r>
      <w:r>
        <w:rPr>
          <w:rStyle w:val="FootnoteAnchor"/>
          <w:rtl w:val="true"/>
        </w:rPr>
        <w:footnoteReference w:id="40"/>
      </w:r>
      <w:r>
        <w:rPr>
          <w:rFonts w:ascii="Amiri" w:hAnsi="Amiri" w:eastAsia="Amiri" w:cs="Amiri"/>
          <w:color w:val="111111"/>
          <w:sz w:val="28"/>
          <w:sz w:val="28"/>
          <w:szCs w:val="28"/>
          <w:rtl w:val="true"/>
          <w:lang w:bidi="ar-SA"/>
        </w:rPr>
        <w:t>، بناء على تحديده بالمد، و إليه ذهب البعض، و لا يبعد حمل الأخير على الفضيلة</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قد يتعارض الأول مع مطلقات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ثمانية عشر يوما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فيدور الأمر بين</w:t>
      </w:r>
    </w:p>
    <w:p>
      <w:pPr>
        <w:pStyle w:val="BookText"/>
        <w:rPr/>
      </w:pPr>
      <w:r>
        <w:rPr>
          <w:rFonts w:ascii="Amiri" w:hAnsi="Amiri" w:eastAsia="Amiri" w:cs="Amiri"/>
          <w:color w:val="111111"/>
          <w:sz w:val="28"/>
          <w:sz w:val="28"/>
          <w:szCs w:val="28"/>
          <w:rtl w:val="true"/>
          <w:lang w:bidi="ar-SA"/>
        </w:rPr>
        <w:t>تقييد إطلاق الثاني، أو حمل الأول على الفضيلة، و لا يبعد الأخير، لقوة الإطلاقات و كثرتها و كونها في مقام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احتمال فحوى الجمع ترجع المسألة إلى الأقل و الأكثر، فالمرجع في الزائد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العجب من الرياض حيث أوجب حينئذ الاحتياط، تحصيلا للبراءة اليقينية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إلّا أن يوجّه كلامه بأنّ العهدة بعد ما اشتغلت بالبدنة فيشك في سقوطها بإتيان بدلها، فأصالة عدم السقوط توجب تحصيل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اشتغال العهدة بالبدنة لا يجدي تكليفا مع عدم التمكن منه، فالتكليف الفعلي قهرا متوجه إلى بدله، و مع الشك في موضوعه يرجع الأمر إلى الأقل و الأكثر، و فيه لا مجرى إلّا البراءة،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ظهر وجه ما أفاده المصنف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عجز صام ثمانية عشر يوما، و لقد عرفت انّ في التقييد نظرا</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في فراخ النعامة نصا مشتملا على البدنة </w:t>
      </w:r>
      <w:r>
        <w:rPr>
          <w:rStyle w:val="FootnoteAnchor"/>
          <w:rtl w:val="true"/>
        </w:rPr>
        <w:footnoteReference w:id="42"/>
      </w:r>
      <w:r>
        <w:rPr>
          <w:rFonts w:ascii="Amiri" w:hAnsi="Amiri" w:eastAsia="Amiri" w:cs="Amiri"/>
          <w:color w:val="111111"/>
          <w:sz w:val="28"/>
          <w:sz w:val="28"/>
          <w:szCs w:val="28"/>
          <w:rtl w:val="true"/>
          <w:lang w:bidi="ar-SA"/>
        </w:rPr>
        <w:t xml:space="preserve">، و مرسلة أخرى مشتملة على الإبل الصغير </w:t>
      </w:r>
      <w:r>
        <w:rPr>
          <w:rStyle w:val="FootnoteAnchor"/>
          <w:rtl w:val="true"/>
        </w:rPr>
        <w:footnoteReference w:id="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يدل عليه عموم الآية الشريفة فَجَزٰاءٌ مِثْلُ مٰا قَتَلَ مِنَ النَّعَمِ </w:t>
      </w:r>
      <w:r>
        <w:rPr>
          <w:rStyle w:val="FootnoteAnchor"/>
          <w:rtl w:val="true"/>
        </w:rPr>
        <w:footnoteReference w:id="44"/>
      </w:r>
      <w:r>
        <w:rPr>
          <w:rFonts w:ascii="Amiri" w:hAnsi="Amiri" w:eastAsia="Amiri" w:cs="Amiri"/>
          <w:color w:val="111111"/>
          <w:sz w:val="28"/>
          <w:sz w:val="28"/>
          <w:szCs w:val="28"/>
          <w:rtl w:val="true"/>
          <w:lang w:bidi="ar-SA"/>
        </w:rPr>
        <w:t>، بناء على شمولها للماثلة سنا، و لا يبعد ترجيح المرسلة المجبورة، لصلاحية حمل نصل البدنة على الفضيلة و على فرض التكافؤ يرجح ما وافق الكتاب</w:t>
      </w:r>
      <w:r>
        <w:rPr>
          <w:rFonts w:eastAsia="Amiri" w:cs="Amiri" w:ascii="Amiri" w:hAnsi="Amiri"/>
          <w:color w:val="111111"/>
          <w:sz w:val="28"/>
          <w:szCs w:val="28"/>
          <w:rtl w:val="true"/>
          <w:lang w:bidi="ar-SA"/>
        </w:rPr>
        <w:t>.</w:t>
      </w:r>
      <w:bookmarkStart w:id="21" w:name="pg19818_203880"/>
    </w:p>
    <w:p>
      <w:pPr>
        <w:pStyle w:val="Heading5"/>
        <w:numPr>
          <w:ilvl w:val="4"/>
          <w:numId w:val="1"/>
        </w:numPr>
        <w:rPr/>
      </w:pPr>
      <w:bookmarkStart w:id="22" w:name="__RefHeading___Toc3320702_2314609296"/>
      <w:bookmarkStart w:id="23" w:name="_Toc9"/>
      <w:bookmarkEnd w:id="21"/>
      <w:bookmarkEnd w:id="22"/>
      <w:r>
        <w:rPr>
          <w:rtl w:val="true"/>
        </w:rPr>
        <w:t>و في بقرة الوحش و حماره بقرة</w:t>
      </w:r>
      <w:bookmarkEnd w:id="23"/>
    </w:p>
    <w:p>
      <w:pPr>
        <w:pStyle w:val="BookText"/>
        <w:rPr/>
      </w:pPr>
      <w:r>
        <w:rPr>
          <w:rFonts w:ascii="Amiri" w:hAnsi="Amiri" w:eastAsia="Amiri" w:cs="Amiri"/>
          <w:color w:val="111111"/>
          <w:sz w:val="28"/>
          <w:sz w:val="28"/>
          <w:szCs w:val="28"/>
          <w:rtl w:val="true"/>
          <w:lang w:bidi="ar-SA"/>
        </w:rPr>
        <w:t>على المشهور، و في المستفيضة اشتمالها على البقرة، و لكن في بعض النصوص بدنة لحمار الوحش، و الجمع بينهما بحمل البدنة على الفضيلة، لكونها أعلى قيمة، و إلّا فترفع اليد عن ظهور كل منهما في التعيين، فيتخير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أيضا على فرض عدم وهن سند البدنة باعراض المشهور، و إلّا فتتعين البقرة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لم يجد فضّ ثمنها على البر، و لم أر نصا بالبر في خصوص المقام، و لعله من جهة انصراف الطعام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منع، و لذا جعل في المختصر عنوان الطعام بدل البر </w:t>
      </w:r>
      <w:r>
        <w:rPr>
          <w:rStyle w:val="FootnoteAnchor"/>
          <w:rtl w:val="true"/>
        </w:rPr>
        <w:footnoteReference w:id="45"/>
      </w:r>
      <w:r>
        <w:rPr>
          <w:rFonts w:ascii="Amiri" w:hAnsi="Amiri" w:eastAsia="Amiri" w:cs="Amiri"/>
          <w:color w:val="111111"/>
          <w:sz w:val="28"/>
          <w:sz w:val="28"/>
          <w:szCs w:val="28"/>
          <w:rtl w:val="true"/>
          <w:lang w:bidi="ar-SA"/>
        </w:rPr>
        <w:t xml:space="preserve">، و إن خص به في الشرائع </w:t>
      </w:r>
      <w:r>
        <w:rPr>
          <w:rStyle w:val="FootnoteAnchor"/>
          <w:rtl w:val="true"/>
        </w:rPr>
        <w:footnoteReference w:id="46"/>
      </w:r>
      <w:r>
        <w:rPr>
          <w:rFonts w:ascii="Amiri" w:hAnsi="Amiri" w:eastAsia="Amiri" w:cs="Amiri"/>
          <w:color w:val="111111"/>
          <w:sz w:val="28"/>
          <w:sz w:val="28"/>
          <w:szCs w:val="28"/>
          <w:rtl w:val="true"/>
          <w:lang w:bidi="ar-SA"/>
        </w:rPr>
        <w:t>، و في تكملة أستاذنا العلّامة تعميم الحكم لغير البر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النصوص في المقام ناطقة بالطعام، فلا وجه للتخصيص بالبر و إن كان الأصل يقتضيه، لأنه من باب التعيين و التخيير، فالعمدة في المقام التشكيك في الانصراف المانع عن الإطلاق، و إلّا فلا وجه للتخصيص</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يطعم به ثلاثين مسكينا، لرواية أبي بصير </w:t>
      </w:r>
      <w:r>
        <w:rPr>
          <w:rStyle w:val="FootnoteAnchor"/>
          <w:rtl w:val="true"/>
        </w:rPr>
        <w:footnoteReference w:id="47"/>
      </w:r>
      <w:r>
        <w:rPr>
          <w:rFonts w:ascii="Amiri" w:hAnsi="Amiri" w:eastAsia="Amiri" w:cs="Amiri"/>
          <w:color w:val="111111"/>
          <w:sz w:val="28"/>
          <w:sz w:val="28"/>
          <w:szCs w:val="28"/>
          <w:rtl w:val="true"/>
          <w:lang w:bidi="ar-SA"/>
        </w:rPr>
        <w:t xml:space="preserve">و صحيحة معاوية </w:t>
      </w:r>
      <w:r>
        <w:rPr>
          <w:rStyle w:val="FootnoteAnchor"/>
          <w:rtl w:val="true"/>
        </w:rPr>
        <w:footnoteReference w:id="48"/>
      </w:r>
      <w:r>
        <w:rPr>
          <w:rFonts w:ascii="Amiri" w:hAnsi="Amiri" w:eastAsia="Amiri" w:cs="Amiri"/>
          <w:color w:val="111111"/>
          <w:sz w:val="28"/>
          <w:sz w:val="28"/>
          <w:szCs w:val="28"/>
          <w:rtl w:val="true"/>
          <w:lang w:bidi="ar-SA"/>
        </w:rPr>
        <w:t xml:space="preserve">لكل واحد مدان، لما في صحيحة أبي عبيدة من التحديد لكل مسكين نصف الصاع، المعادل للمدين </w:t>
      </w:r>
      <w:r>
        <w:rPr>
          <w:rStyle w:val="FootnoteAnchor"/>
          <w:rtl w:val="true"/>
        </w:rPr>
        <w:footnoteReference w:id="49"/>
      </w:r>
      <w:r>
        <w:rPr>
          <w:rFonts w:ascii="Amiri" w:hAnsi="Amiri" w:eastAsia="Amiri" w:cs="Amiri"/>
          <w:color w:val="111111"/>
          <w:sz w:val="28"/>
          <w:sz w:val="28"/>
          <w:szCs w:val="28"/>
          <w:rtl w:val="true"/>
          <w:lang w:bidi="ar-SA"/>
        </w:rPr>
        <w:t xml:space="preserve">، و لكن في بعض آخر في النعامة و حمار الوحش الصدقة، مد على كل مسكين، و في ذيله أيضا حكم بقرة الوحش و الظبي </w:t>
      </w:r>
      <w:r>
        <w:rPr>
          <w:rStyle w:val="FootnoteAnchor"/>
          <w:rtl w:val="true"/>
        </w:rPr>
        <w:footnoteReference w:id="50"/>
      </w:r>
      <w:r>
        <w:rPr>
          <w:rFonts w:ascii="Amiri" w:hAnsi="Amiri" w:eastAsia="Amiri" w:cs="Amiri"/>
          <w:color w:val="111111"/>
          <w:sz w:val="28"/>
          <w:sz w:val="28"/>
          <w:szCs w:val="28"/>
          <w:rtl w:val="true"/>
          <w:lang w:bidi="ar-SA"/>
        </w:rPr>
        <w:t>، و إن لم يعيّن بالمد أو بغيره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اتكاله على التحديد السابق، خصوصا مع كون سوقها بنحو الكلية على وجه لا اختصاص له بالنعامة و البقرة، و حينئذ فمقتضى الجمع بين ذلك و بين السابقة حمل نصف الصاع على الفضيلة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يجب عليه التتميم، و الفاضل له، و ذلك للجمع بين إطلاق الاجتزاء بالثلاثين و إن لم يبلغ قيمته </w:t>
      </w:r>
      <w:r>
        <w:rPr>
          <w:rStyle w:val="FootnoteAnchor"/>
          <w:rtl w:val="true"/>
        </w:rPr>
        <w:footnoteReference w:id="51"/>
      </w:r>
      <w:r>
        <w:rPr>
          <w:rFonts w:ascii="Amiri" w:hAnsi="Amiri" w:eastAsia="Amiri" w:cs="Amiri"/>
          <w:color w:val="111111"/>
          <w:sz w:val="28"/>
          <w:sz w:val="28"/>
          <w:szCs w:val="28"/>
          <w:rtl w:val="true"/>
          <w:lang w:bidi="ar-SA"/>
        </w:rPr>
        <w:t xml:space="preserve">، و ما في نص آخر من الاجتزاء بالقيمة و ان لم يبلغ ثلاثين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إن عجز عن الصدقة صام عن كل مدين يوما، و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عن كل مد </w:t>
      </w:r>
      <w:r>
        <w:rPr>
          <w:rStyle w:val="FootnoteAnchor"/>
          <w:rtl w:val="true"/>
        </w:rPr>
        <w:footnoteReference w:id="53"/>
      </w:r>
      <w:r>
        <w:rPr>
          <w:rFonts w:ascii="IRNazanin" w:hAnsi="IRNazanin" w:eastAsia="IRNazanin"/>
          <w:color w:val="111111"/>
          <w:sz w:val="28"/>
          <w:sz w:val="28"/>
          <w:szCs w:val="28"/>
          <w:rtl w:val="true"/>
          <w:lang w:bidi="fa-IR"/>
        </w:rPr>
        <w:t>، على البحث السابق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عمدة الوجه في الأول هي الكلية المستفادة من نص ابن محبوب كما في الوسائل من قول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أصاب المحرم الصيد و لم يجد ما يكفّر عن موضعه الذي أصاب فيه الصيد قوّم جزاؤه من النعم دراهم، ثم قوّمت الدراهم طعاما، ثم جعل لكل مسكين نصف صاع، فإن لم يقدر على الطعام صام لكل نصف صاع يوما</w:t>
      </w:r>
      <w:r>
        <w:rPr>
          <w:rFonts w:eastAsia="Amiri" w:cs="Amiri" w:ascii="Amiri" w:hAnsi="Amiri"/>
          <w:color w:val="111111"/>
          <w:sz w:val="28"/>
          <w:szCs w:val="28"/>
          <w:rtl w:val="true"/>
          <w:lang w:bidi="ar-SA"/>
        </w:rPr>
        <w:t xml:space="preserve">»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للأخير أيضا ما ورد بنحو الكلية، كما في الوسائل في قول الصادق عليه السلام أيضا على ما في تفسير العياشي في قول اللّٰه عز و جل فَجَزٰاءٌ مِثْلُ مٰا قَتَلَ مِنَ النَّعَمِ يَحْكُمُ بِهِ ذَوٰا عَدْلٍ مِنْكُمْ هَدْياً بٰالِغَ الْكَعْبَةِ أَوْ كَفّٰارَةٌ طَعٰامُ مَسٰاكِينَ، أَوْ عَدْلُ ذٰلِكَ صِيٰاماً </w:t>
      </w:r>
      <w:r>
        <w:rPr>
          <w:rStyle w:val="FootnoteAnchor"/>
          <w:rtl w:val="true"/>
        </w:rPr>
        <w:footnoteReference w:id="55"/>
      </w:r>
      <w:r>
        <w:rPr>
          <w:rFonts w:ascii="Amiri" w:hAnsi="Amiri" w:eastAsia="Amiri" w:cs="Amiri"/>
          <w:color w:val="111111"/>
          <w:sz w:val="28"/>
          <w:sz w:val="28"/>
          <w:szCs w:val="28"/>
          <w:rtl w:val="true"/>
          <w:lang w:bidi="ar-SA"/>
        </w:rPr>
        <w:t>ما هو؟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ينظر إلى الذي عليه بجزاء ما قتل، فإما أن يهديه، و إما أن يقوّم فيشتري به طعاما فيطعمه المساكين</w:t>
      </w:r>
    </w:p>
    <w:p>
      <w:pPr>
        <w:pStyle w:val="BookText"/>
        <w:rPr/>
      </w:pPr>
      <w:r>
        <w:rPr>
          <w:rFonts w:ascii="Amiri" w:hAnsi="Amiri" w:eastAsia="Amiri" w:cs="Amiri"/>
          <w:color w:val="111111"/>
          <w:sz w:val="28"/>
          <w:sz w:val="28"/>
          <w:szCs w:val="28"/>
          <w:rtl w:val="true"/>
          <w:lang w:bidi="ar-SA"/>
        </w:rPr>
        <w:t>يطعم كل مسكين مدا، و إما أن ينظركم يبلغ عدد ذلك من المساكين، فيصوم مكان كل مسكين يوما</w:t>
      </w:r>
      <w:r>
        <w:rPr>
          <w:rFonts w:eastAsia="Amiri" w:cs="Amiri" w:ascii="Amiri" w:hAnsi="Amiri"/>
          <w:color w:val="111111"/>
          <w:sz w:val="28"/>
          <w:szCs w:val="28"/>
          <w:rtl w:val="true"/>
          <w:lang w:bidi="ar-SA"/>
        </w:rPr>
        <w:t xml:space="preserve">»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يخفى ظهور النص الأخير في أنّ الصوم بدل ما يجب عليه من إطعام المسكين من المد، غاية الأمر بمقدار ما تفي به قيمته لا مطلقا، و هذا القيد لم يكن معهودا في كلماتهم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انّ الظاهر منه كون الصوم طرف التخيير من الصدقة، و ربما ذهب إليه بعض الأعاظم في كلية الأبدال، بملاحظة ظهور الآية، و في الرواية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كلما ورد في القرآن ب أو فهو للتخيير، و إن كان بكلمة إن لم يجد فهو للترتيب</w:t>
      </w:r>
      <w:r>
        <w:rPr>
          <w:rFonts w:eastAsia="Amiri" w:cs="Amiri" w:ascii="Amiri" w:hAnsi="Amiri"/>
          <w:color w:val="111111"/>
          <w:sz w:val="28"/>
          <w:szCs w:val="28"/>
          <w:rtl w:val="true"/>
          <w:lang w:bidi="ar-SA"/>
        </w:rPr>
        <w:t xml:space="preserve">»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المشهور ذهبوا إلى الترتيب في أمثال المقام، لظهور جملة من نصوصها في الترتيب، بل لا بد من رفع اليد عن ظهور كلمة إما في المقام في التخيير، لأنّ لازمة كون البدل في عرض المبدل، و لم يقل به أحد، فلا محيص حينئذ عن رفع اليد عن إطلاق الثاني فيحمل على صورة العجز عن الصدقة، و رفع اليد عن الإطلاق الأول بتنزيله على صورة بلوغ قيمته الثلاثين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أي حال لا يضر اشتمال النص على مثل هذه الجهات بمورد استشهادنا به، من حيث ظهوره في بدلية الصوم عن المد لكل مسكين</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عليه فيجمع بين هذه النصوص الواردة بنحو الكلية و النص السابق كذلك بحمله على الفضيلة، كما انّ في المدين يحمل الأول على الفضيلة، تحكيما لظهور الاجتزاء بالأقل في جهة، على ما دل على وجوب الأكثر على الفضيلة، صدقة كانت أو صوما</w:t>
      </w:r>
      <w:r>
        <w:rPr>
          <w:rFonts w:eastAsia="Amiri" w:cs="Amiri" w:ascii="Amiri" w:hAnsi="Amiri"/>
          <w:color w:val="111111"/>
          <w:sz w:val="28"/>
          <w:szCs w:val="28"/>
          <w:rtl w:val="true"/>
          <w:lang w:bidi="ar-SA"/>
        </w:rPr>
        <w:t>.</w:t>
      </w:r>
      <w:bookmarkStart w:id="24" w:name="pg19818_203883"/>
    </w:p>
    <w:p>
      <w:pPr>
        <w:pStyle w:val="BookText"/>
        <w:rPr/>
      </w:pPr>
      <w:bookmarkEnd w:id="24"/>
      <w:r>
        <w:rPr>
          <w:rFonts w:ascii="Amiri" w:hAnsi="Amiri" w:eastAsia="Amiri" w:cs="Amiri"/>
          <w:color w:val="111111"/>
          <w:sz w:val="28"/>
          <w:sz w:val="28"/>
          <w:szCs w:val="28"/>
          <w:rtl w:val="true"/>
          <w:lang w:bidi="ar-SA"/>
        </w:rPr>
        <w:t>بل و إن دققت النظر ترى مثل هذا الجمع بين مطلقات صوم تسعة أيام عند العجز عن الصدقة، و بين هذه النصوص، فتحمل النصوص المزبورة أيضا على الفضيلة لو لا احتمال الجمع بينهما بالتقييد، و حمل إطلاق صوم التسعة على صورة العجز عن الصيام بدل المد أو المدين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الإنصاف قوة إطلاق صوم التسعة، خصوصا مع اختلاف الصيام بدل المدين و المد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و في بعض نصوص حمار الوحش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صوم ثمانية عشر عند العجز عن الصدقة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لازمة إلحاق البقرة به أيضا بعدم الفصل، فيحمل حينئذ الجميع على مراتب الفضيلة، و انّ الاجتزاء يحصل بالتسعة بمحض العجز عن الصدقة، كما مر منا أيضا نظيره في بدل النعامة، كما 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ذكرنا ظهر ما أفاده المصنف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عجز صام تسعة أيام، لجملة من النصوص المطلقة من حيث الصيام بدل المد، المحمولة عند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بقرينة النصوص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صورة العجز عن الصوم بدل كل مدين، و لكن قد عرفت ما فيه فتدبّر</w:t>
      </w:r>
      <w:r>
        <w:rPr>
          <w:rFonts w:eastAsia="Amiri" w:cs="Amiri" w:ascii="Amiri" w:hAnsi="Amiri"/>
          <w:color w:val="111111"/>
          <w:sz w:val="28"/>
          <w:szCs w:val="28"/>
          <w:rtl w:val="true"/>
          <w:lang w:bidi="ar-SA"/>
        </w:rPr>
        <w:t>.</w:t>
      </w:r>
    </w:p>
    <w:p>
      <w:pPr>
        <w:pStyle w:val="Heading5"/>
        <w:numPr>
          <w:ilvl w:val="4"/>
          <w:numId w:val="1"/>
        </w:numPr>
        <w:rPr/>
      </w:pPr>
      <w:bookmarkStart w:id="25" w:name="__RefHeading___Toc3320704_2314609296"/>
      <w:bookmarkStart w:id="26" w:name="_Toc10"/>
      <w:bookmarkEnd w:id="25"/>
      <w:r>
        <w:rPr>
          <w:rtl w:val="true"/>
        </w:rPr>
        <w:t>و في الظبي و الثعلب و الأرنب شاة،</w:t>
      </w:r>
      <w:bookmarkEnd w:id="26"/>
    </w:p>
    <w:p>
      <w:pPr>
        <w:pStyle w:val="BookText"/>
        <w:rPr/>
      </w:pPr>
      <w:r>
        <w:rPr>
          <w:rFonts w:ascii="Amiri" w:hAnsi="Amiri" w:eastAsia="Amiri" w:cs="Amiri"/>
          <w:color w:val="111111"/>
          <w:sz w:val="28"/>
          <w:sz w:val="28"/>
          <w:szCs w:val="28"/>
          <w:rtl w:val="true"/>
          <w:lang w:bidi="ar-SA"/>
        </w:rPr>
        <w:t>أما الظبي فلما في خبر أبي بصير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أصاب ظبيا؟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شاة</w:t>
      </w:r>
      <w:r>
        <w:rPr>
          <w:rFonts w:eastAsia="Amiri" w:cs="Amiri" w:ascii="Amiri" w:hAnsi="Amiri"/>
          <w:color w:val="111111"/>
          <w:sz w:val="28"/>
          <w:szCs w:val="28"/>
          <w:rtl w:val="true"/>
          <w:lang w:bidi="ar-SA"/>
        </w:rPr>
        <w:t xml:space="preserve">» </w:t>
      </w:r>
      <w:r>
        <w:rPr>
          <w:rStyle w:val="FootnoteAnchor"/>
          <w:rtl w:val="true"/>
        </w:rPr>
        <w:footnoteReference w:id="58"/>
      </w:r>
      <w:r>
        <w:rPr>
          <w:rFonts w:ascii="Amiri" w:hAnsi="Amiri" w:eastAsia="Amiri" w:cs="Amiri"/>
          <w:color w:val="111111"/>
          <w:sz w:val="28"/>
          <w:sz w:val="28"/>
          <w:szCs w:val="28"/>
          <w:rtl w:val="true"/>
          <w:lang w:bidi="ar-SA"/>
        </w:rPr>
        <w:t>، بعد بيان حكم النعامة و البقرة و الحمار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في نص آخر بضميمة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الأرنب مثل ما في الثعلب</w:t>
      </w:r>
      <w:r>
        <w:rPr>
          <w:rFonts w:eastAsia="Amiri" w:cs="Amiri" w:ascii="Amiri" w:hAnsi="Amiri"/>
          <w:color w:val="111111"/>
          <w:sz w:val="28"/>
          <w:szCs w:val="28"/>
          <w:rtl w:val="true"/>
          <w:lang w:bidi="ar-SA"/>
        </w:rPr>
        <w:t xml:space="preserve">»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عجز فضّ ثمنها على البر بناء على التشكيك في إطلاق ما في</w:t>
      </w:r>
    </w:p>
    <w:p>
      <w:pPr>
        <w:pStyle w:val="BookText"/>
        <w:rPr/>
      </w:pPr>
      <w:r>
        <w:rPr>
          <w:rFonts w:ascii="Amiri" w:hAnsi="Amiri" w:eastAsia="Amiri" w:cs="Amiri"/>
          <w:color w:val="111111"/>
          <w:sz w:val="28"/>
          <w:sz w:val="28"/>
          <w:szCs w:val="28"/>
          <w:rtl w:val="true"/>
          <w:lang w:bidi="ar-SA"/>
        </w:rPr>
        <w:t>النص من الطعام، و إلّا فالمدار على إطلاقه، كما في التكملة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أطعم عشرة مساكين، لما في النص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كانت عليه شاة فلم يجدها فليطعم عشرة مساكين، فمن لم يجد صام ثلاثة أيام</w:t>
      </w:r>
      <w:r>
        <w:rPr>
          <w:rFonts w:eastAsia="Amiri" w:cs="Amiri" w:ascii="Amiri" w:hAnsi="Amiri"/>
          <w:color w:val="111111"/>
          <w:sz w:val="28"/>
          <w:szCs w:val="28"/>
          <w:rtl w:val="true"/>
          <w:lang w:bidi="ar-SA"/>
        </w:rPr>
        <w:t xml:space="preserve">»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لكل مسكين مدان، و لعله للنص السابق الصادر بنحو الكلية،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مسكين نصف صاع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قباله النص الآخر المشتمل على المد، علاوة عن الكلية المستفادة من قوله في نص أبي بصير السابق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الصدقة مدّ على كل مسكين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بعد ظهور عدم التحديد في البقرة و الظبي في اتكاله على الكلية السابقة، الجارية في غير الظبي أيضا، من الأرنب و الثعلب، و قد عرفت انّ مقتضى الجمع بين النصين حمل المدين على الفضيلة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الفاضل له، و لا يجب عليه التتميم، للجمع بين إطلاق عشرة مساكين و إن لم يبلغ تمام القيمة و كانت القيمة زائدة، و بين إطلاق نص ابن محبوب المتقدّم الوارد بنحو الكلية من تقوم جزائه دراهم بلا وجوب تتميم عليه، بل يومئ الى هذه الجهة ما في نص آخر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ينظر إن لم يبلغ عدد ذلك من المساكين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هو ظاهر في عدم وجوب الزائد من القيمة، فراجع الوسائل في باب ما يجب في بدل الكفارات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عجز عن الصدقة المزبورة صام عن كل مدين يوما، و في الجواهر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عن كل مد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عمدة الوجه في الأول إطلاق نص ابن محبوب السابقة، و في الثاني إطلاق ما في تفسير العياشي، و لقد تقدّم في المسألة السابقة تحكيم إطلاق صوم</w:t>
      </w:r>
      <w:bookmarkStart w:id="27" w:name="pg19818_203885"/>
    </w:p>
    <w:p>
      <w:pPr>
        <w:pStyle w:val="BookText"/>
        <w:rPr/>
      </w:pPr>
      <w:bookmarkEnd w:id="27"/>
      <w:r>
        <w:rPr>
          <w:rFonts w:ascii="Amiri" w:hAnsi="Amiri" w:eastAsia="Amiri" w:cs="Amiri"/>
          <w:color w:val="111111"/>
          <w:sz w:val="28"/>
          <w:sz w:val="28"/>
          <w:szCs w:val="28"/>
          <w:rtl w:val="true"/>
          <w:lang w:bidi="ar-SA"/>
        </w:rPr>
        <w:t>التسعة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المقام أيضا يحكم إطلاق صوم الثلاثة المترتبة على العجز عن الصدقة، فيجمع بين الجميع بالحمل على مراتب الفضيلة، لقوة إطلاق الثلاثة على كون ما ذكرنا من الجمع أولى من الجمع بالتقييد بحمل الثلاثة على صورة العجز عن الصوم بدل المد أو المدين،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من هنا ظهر وجه ما أفاده المصنف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عجز صام ثلاثة أيام، على اشكال في قيده و إن كان أحوط</w:t>
      </w:r>
      <w:r>
        <w:rPr>
          <w:rFonts w:eastAsia="Amiri" w:cs="Amiri" w:ascii="Amiri" w:hAnsi="Amiri"/>
          <w:color w:val="111111"/>
          <w:sz w:val="28"/>
          <w:szCs w:val="28"/>
          <w:rtl w:val="true"/>
          <w:lang w:bidi="ar-SA"/>
        </w:rPr>
        <w:t>.</w:t>
      </w:r>
    </w:p>
    <w:p>
      <w:pPr>
        <w:pStyle w:val="Heading5"/>
        <w:numPr>
          <w:ilvl w:val="4"/>
          <w:numId w:val="1"/>
        </w:numPr>
        <w:rPr/>
      </w:pPr>
      <w:bookmarkStart w:id="28" w:name="__RefHeading___Toc3320706_2314609296"/>
      <w:bookmarkStart w:id="29" w:name="_Toc11"/>
      <w:bookmarkEnd w:id="28"/>
      <w:r>
        <w:rPr>
          <w:rtl w:val="true"/>
        </w:rPr>
        <w:t>و في كسر بيض النعامة إذ تحرك الفرخ، لكل بيض بكرة من الإبل،</w:t>
      </w:r>
      <w:bookmarkEnd w:id="29"/>
    </w:p>
    <w:p>
      <w:pPr>
        <w:pStyle w:val="BookText"/>
        <w:rPr/>
      </w:pPr>
      <w:r>
        <w:rPr>
          <w:rFonts w:ascii="Amiri" w:hAnsi="Amiri" w:eastAsia="Amiri" w:cs="Amiri"/>
          <w:color w:val="111111"/>
          <w:sz w:val="28"/>
          <w:sz w:val="28"/>
          <w:szCs w:val="28"/>
          <w:rtl w:val="true"/>
          <w:lang w:bidi="ar-SA"/>
        </w:rPr>
        <w:t xml:space="preserve">للجمع بين النصين، المشتمل أحدهما لبكرة من الإبل، و كان مطلقا من حيث الحركة </w:t>
      </w:r>
      <w:r>
        <w:rPr>
          <w:rStyle w:val="FootnoteAnchor"/>
          <w:rtl w:val="true"/>
        </w:rPr>
        <w:footnoteReference w:id="63"/>
      </w:r>
      <w:r>
        <w:rPr>
          <w:rFonts w:ascii="Amiri" w:hAnsi="Amiri" w:eastAsia="Amiri" w:cs="Amiri"/>
          <w:color w:val="111111"/>
          <w:sz w:val="28"/>
          <w:sz w:val="28"/>
          <w:szCs w:val="28"/>
          <w:rtl w:val="true"/>
          <w:lang w:bidi="ar-SA"/>
        </w:rPr>
        <w:t xml:space="preserve">و ثانيهما مشتمل على صورة الحركة، مع إطلاقه من حيث البكارة </w:t>
      </w:r>
      <w:r>
        <w:rPr>
          <w:rStyle w:val="FootnoteAnchor"/>
          <w:rtl w:val="true"/>
        </w:rPr>
        <w:footnoteReference w:id="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فبملاحظة الجزم بوحدة المطلوب، لا بد من رفع اليد عن إطلاق كل واحد بتقييد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الأخذ بالإطلاق، و حمل القيد في البكارة على الاستحباب، نعم في ظرف حركة الفرخ لا محيص عن التقييد من جهة المفهوم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المشهور على الجمع الأول، و قيّدوا البدل بالبكارة، و لا يخلو ذلك عن تأمل، خصوصا مع كون المقام من قبيل الأقل و الأكثر لا التعيين و التخيير، فتدبّر</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لم يتحرك أرسل فحولة الإبل في إناث بعددها، فالنتايج هدي لبيت اللّٰه تعالى على المشهور، للمستفيضة المشتملة على ما ذكر، و منها صحيحة الكناني </w:t>
      </w:r>
      <w:r>
        <w:rPr>
          <w:rStyle w:val="FootnoteAnchor"/>
          <w:rtl w:val="true"/>
        </w:rPr>
        <w:footnoteReference w:id="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قضية إرجاع أمير المؤمنين جواب المسألة إلى</w:t>
      </w:r>
    </w:p>
    <w:p>
      <w:pPr>
        <w:pStyle w:val="BookText"/>
        <w:rPr/>
      </w:pPr>
      <w:r>
        <w:rPr>
          <w:rFonts w:ascii="Amiri" w:hAnsi="Amiri" w:eastAsia="Amiri" w:cs="Amiri"/>
          <w:color w:val="111111"/>
          <w:sz w:val="28"/>
          <w:sz w:val="28"/>
          <w:szCs w:val="28"/>
          <w:rtl w:val="true"/>
          <w:lang w:bidi="ar-SA"/>
        </w:rPr>
        <w:t xml:space="preserve">الحسن عليه السلام </w:t>
      </w:r>
      <w:r>
        <w:rPr>
          <w:rStyle w:val="FootnoteAnchor"/>
          <w:rtl w:val="true"/>
        </w:rPr>
        <w:footnoteReference w:id="66"/>
      </w:r>
      <w:r>
        <w:rPr>
          <w:rFonts w:ascii="Amiri" w:hAnsi="Amiri" w:eastAsia="Amiri" w:cs="Amiri"/>
          <w:color w:val="111111"/>
          <w:sz w:val="28"/>
          <w:sz w:val="28"/>
          <w:szCs w:val="28"/>
          <w:rtl w:val="true"/>
          <w:lang w:bidi="ar-SA"/>
        </w:rPr>
        <w:t>ظهور في اختصاص الحكم بقبل التحرك للفرخ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بمثله أيضا يقيّد إطلاق ما دل على انّ في بيض النعامة شاة على صورة العجز عما ذكرنا، بقرينة قوله في نص علي بن 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لم يجد إبلا فعليه لكل بيض شاة، فإن لم يجد فالصدقة على عشرة مساكين لكل مسكين مد، فإن لم يقدر فصيام ثلاثة أيام</w:t>
      </w:r>
      <w:r>
        <w:rPr>
          <w:rFonts w:eastAsia="Amiri" w:cs="Amiri" w:ascii="Amiri" w:hAnsi="Amiri"/>
          <w:color w:val="111111"/>
          <w:sz w:val="28"/>
          <w:szCs w:val="28"/>
          <w:rtl w:val="true"/>
          <w:lang w:bidi="ar-SA"/>
        </w:rPr>
        <w:t xml:space="preserve">»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هذا النص يظهر مبنى كلام المصنف من قوله فإن عجز فعن كل بيضة شاة، فإن عجز أطعم عشرة مساكين لكل مسكين مدا، فإن عجز صام ثلاثة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مجال في المقام لاحتمال صيام بدل المد أو المدين، لاختصاص الكلية المستفادة من النصين في إصابة نفس الصيد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لم يجعل المصنف مقامنا في عداد الفروض السابقة، من تقديم صيام بدل المد على العدد المخصوص، من صوم الثلاثة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أي، مقتضى النص السابق و كلمات المشهور تقديم الإطعام على الصيام</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عن الصدوق مصيره الى عكسه </w:t>
      </w:r>
      <w:r>
        <w:rPr>
          <w:rStyle w:val="FootnoteAnchor"/>
          <w:rtl w:val="true"/>
        </w:rPr>
        <w:footnoteReference w:id="68"/>
      </w:r>
      <w:r>
        <w:rPr>
          <w:rFonts w:ascii="Amiri" w:hAnsi="Amiri" w:eastAsia="Amiri" w:cs="Amiri"/>
          <w:color w:val="111111"/>
          <w:sz w:val="28"/>
          <w:sz w:val="28"/>
          <w:szCs w:val="28"/>
          <w:rtl w:val="true"/>
          <w:lang w:bidi="ar-SA"/>
        </w:rPr>
        <w:t xml:space="preserve">، مستندا إلى نص آخر عن أبي بصير </w:t>
      </w:r>
      <w:r>
        <w:rPr>
          <w:rStyle w:val="FootnoteAnchor"/>
          <w:rtl w:val="true"/>
        </w:rPr>
        <w:footnoteReference w:id="69"/>
      </w:r>
      <w:r>
        <w:rPr>
          <w:rFonts w:ascii="IRNazanin" w:hAnsi="IRNazanin" w:eastAsia="IRNazanin"/>
          <w:color w:val="111111"/>
          <w:sz w:val="28"/>
          <w:sz w:val="28"/>
          <w:szCs w:val="28"/>
          <w:rtl w:val="true"/>
          <w:lang w:bidi="fa-IR"/>
        </w:rPr>
        <w:t xml:space="preserve">و خبر الفضل </w:t>
      </w:r>
      <w:r>
        <w:rPr>
          <w:rStyle w:val="FootnoteAnchor"/>
          <w:rtl w:val="true"/>
        </w:rPr>
        <w:footnoteReference w:id="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لا وهنهما بمصير المشهور على خلافهما، أمكن الجمع بينهما و بين النص السابق، برفع اليد عن ظهور كل منهما في التعيين، و يحمل على التخيير، في تقديم كل واحد على الأخير</w:t>
      </w:r>
      <w:r>
        <w:rPr>
          <w:rFonts w:eastAsia="Amiri" w:cs="Amiri" w:ascii="Amiri" w:hAnsi="Amiri"/>
          <w:color w:val="111111"/>
          <w:sz w:val="28"/>
          <w:szCs w:val="28"/>
          <w:rtl w:val="true"/>
          <w:lang w:bidi="ar-SA"/>
        </w:rPr>
        <w:t>.</w:t>
      </w:r>
      <w:bookmarkStart w:id="30" w:name="pg19818_203887"/>
    </w:p>
    <w:p>
      <w:pPr>
        <w:pStyle w:val="BookText"/>
        <w:rPr/>
      </w:pPr>
      <w:bookmarkEnd w:id="30"/>
      <w:r>
        <w:rPr>
          <w:rFonts w:ascii="Amiri" w:hAnsi="Amiri" w:eastAsia="Amiri" w:cs="Amiri"/>
          <w:color w:val="111111"/>
          <w:sz w:val="28"/>
          <w:sz w:val="28"/>
          <w:szCs w:val="28"/>
          <w:rtl w:val="true"/>
          <w:lang w:bidi="ar-SA"/>
        </w:rPr>
        <w:t>ثم إنّ الظاهر من بعض بيانات الأخبار، من جعل ما يفسد من البيض من طروقة الفحل، قبال ما يفسد من البيض و ما يصح منه في قبال ما يصح من البيض، كون الغرض من الإرسال حفظ البدل في الموارد الصحيحة، فلو علم من الأول فساد البيض، أمكن دعوى انصراف دليل الإرسال عن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انه لو علم بتعيّش فرخه بعد كسر بيضه لا يشمل دليل الإبدال أيضا لمثله، إذ الظاهر كونه بدل الفروخ التالفة بوطئه، لا بدل مجرد كسر البيض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الظاهر من النصوص أن تكون الأنثى من الإبل بعدد البيض، و وجهه بحسب الاعتبار أيضا واضح</w:t>
      </w:r>
      <w:r>
        <w:rPr>
          <w:rFonts w:eastAsia="Amiri" w:cs="Amiri" w:ascii="Amiri" w:hAnsi="Amiri"/>
          <w:color w:val="111111"/>
          <w:sz w:val="28"/>
          <w:szCs w:val="28"/>
          <w:rtl w:val="true"/>
          <w:lang w:bidi="ar-SA"/>
        </w:rPr>
        <w:t>.</w:t>
      </w:r>
    </w:p>
    <w:p>
      <w:pPr>
        <w:pStyle w:val="Heading5"/>
        <w:numPr>
          <w:ilvl w:val="4"/>
          <w:numId w:val="1"/>
        </w:numPr>
        <w:rPr/>
      </w:pPr>
      <w:bookmarkStart w:id="31" w:name="__RefHeading___Toc3320708_2314609296"/>
      <w:bookmarkStart w:id="32" w:name="_Toc12"/>
      <w:bookmarkEnd w:id="31"/>
      <w:r>
        <w:rPr>
          <w:rtl w:val="true"/>
        </w:rPr>
        <w:t>و في بيض القطا و القبج إذا تحرك الفرخ لكل بيضة من صغار الغنم،</w:t>
      </w:r>
      <w:bookmarkEnd w:id="32"/>
    </w:p>
    <w:p>
      <w:pPr>
        <w:pStyle w:val="BookText"/>
        <w:rPr/>
      </w:pPr>
      <w:r>
        <w:rPr>
          <w:rFonts w:ascii="Amiri" w:hAnsi="Amiri" w:eastAsia="Amiri" w:cs="Amiri"/>
          <w:color w:val="111111"/>
          <w:sz w:val="28"/>
          <w:sz w:val="28"/>
          <w:szCs w:val="28"/>
          <w:rtl w:val="true"/>
          <w:lang w:bidi="ar-SA"/>
        </w:rPr>
        <w:t>و في تكملة أستاذنا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وفاقا للمحكي عن الخلاف </w:t>
      </w:r>
      <w:r>
        <w:rPr>
          <w:rStyle w:val="FootnoteAnchor"/>
          <w:rtl w:val="true"/>
        </w:rPr>
        <w:footnoteReference w:id="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الاقتصار على القطاة، لكن في الشرائع و المنافع إلحاق القبج به </w:t>
      </w:r>
      <w:r>
        <w:rPr>
          <w:rStyle w:val="FootnoteAnchor"/>
          <w:rtl w:val="true"/>
        </w:rPr>
        <w:footnoteReference w:id="72"/>
      </w:r>
      <w:r>
        <w:rPr>
          <w:rFonts w:ascii="Amiri" w:hAnsi="Amiri" w:eastAsia="Amiri" w:cs="Amiri"/>
          <w:color w:val="111111"/>
          <w:sz w:val="28"/>
          <w:sz w:val="28"/>
          <w:szCs w:val="28"/>
          <w:rtl w:val="true"/>
          <w:lang w:bidi="ar-SA"/>
        </w:rPr>
        <w:t xml:space="preserve">، و في القواعد إلحاق الدراج أيضا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النصوص في المقام مشتملة على القطا فقط، لكن في باب فداء أنفسها ورد النص بقوله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أصاب قطاة أو حجلة أو دراجة أو نظيرهن فعليه دم</w:t>
      </w:r>
      <w:r>
        <w:rPr>
          <w:rFonts w:eastAsia="Amiri" w:cs="Amiri" w:ascii="Amiri" w:hAnsi="Amiri"/>
          <w:color w:val="111111"/>
          <w:sz w:val="28"/>
          <w:szCs w:val="28"/>
          <w:rtl w:val="true"/>
          <w:lang w:bidi="ar-SA"/>
        </w:rPr>
        <w:t xml:space="preserve">» </w:t>
      </w:r>
      <w:r>
        <w:rPr>
          <w:rStyle w:val="FootnoteAnchor"/>
          <w:rtl w:val="true"/>
        </w:rPr>
        <w:footnoteReference w:id="74"/>
      </w:r>
      <w:r>
        <w:rPr>
          <w:rFonts w:ascii="Amiri" w:hAnsi="Amiri" w:eastAsia="Amiri" w:cs="Amiri"/>
          <w:color w:val="111111"/>
          <w:sz w:val="28"/>
          <w:sz w:val="28"/>
          <w:szCs w:val="28"/>
          <w:rtl w:val="true"/>
          <w:lang w:bidi="ar-SA"/>
        </w:rPr>
        <w:t>و ربما يكون تعديهم في بيضها إلى مثل القبج و الدراج من فحوى مثل هذه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حكم بيضها كحكم نفسها من حيث السراية إلى غيرها بالمشابهة الصورية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ذكرهم القطاة أو مع القبج أو مع الدراج من باب المثال، و إلّا فالحكم سار في كلية الأمثال جثة، فيلحق بها</w:t>
      </w:r>
    </w:p>
    <w:p>
      <w:pPr>
        <w:pStyle w:val="BookText"/>
        <w:rPr/>
      </w:pPr>
      <w:r>
        <w:rPr>
          <w:rFonts w:ascii="Amiri" w:hAnsi="Amiri" w:eastAsia="Amiri" w:cs="Amiri"/>
          <w:color w:val="111111"/>
          <w:sz w:val="28"/>
          <w:sz w:val="28"/>
          <w:szCs w:val="28"/>
          <w:rtl w:val="true"/>
          <w:lang w:bidi="ar-SA"/>
        </w:rPr>
        <w:t>الحجل أيضا كما في النص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مع ذلك كله ففي استفادة المناط من النص المزبور، على وجه يسري في حكم النص تأمل، و ذلك هو عمدة نكتة اقتصار التكملة على القطاة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أي حال فعمدة الوجه فيما ذكر من الحكم، ما ورد في الصحيحة المحكية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بيض القطاة كفارة كما في بيض النعام</w:t>
      </w:r>
      <w:r>
        <w:rPr>
          <w:rFonts w:eastAsia="Amiri" w:cs="Amiri" w:ascii="Amiri" w:hAnsi="Amiri"/>
          <w:color w:val="111111"/>
          <w:sz w:val="28"/>
          <w:szCs w:val="28"/>
          <w:rtl w:val="true"/>
          <w:lang w:bidi="ar-SA"/>
        </w:rPr>
        <w:t xml:space="preserve">»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مرسلة ابن رباط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بيض القطاة،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يصنع فيه في الغنم كما يصنع في بيض النعام في الإبل</w:t>
      </w:r>
      <w:r>
        <w:rPr>
          <w:rFonts w:eastAsia="Amiri" w:cs="Amiri" w:ascii="Amiri" w:hAnsi="Amiri"/>
          <w:color w:val="111111"/>
          <w:sz w:val="28"/>
          <w:szCs w:val="28"/>
          <w:rtl w:val="true"/>
          <w:lang w:bidi="ar-SA"/>
        </w:rPr>
        <w:t xml:space="preserve">»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صحيح سليمان بن خالد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بيض القطاة كفارة مثل ما في بيض النعام</w:t>
      </w:r>
      <w:r>
        <w:rPr>
          <w:rFonts w:eastAsia="Amiri" w:cs="Amiri" w:ascii="Amiri" w:hAnsi="Amiri"/>
          <w:color w:val="111111"/>
          <w:sz w:val="28"/>
          <w:szCs w:val="28"/>
          <w:rtl w:val="true"/>
          <w:lang w:bidi="ar-SA"/>
        </w:rPr>
        <w:t xml:space="preserve">»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يخفى أنّ المماثلة في الصحيح مطلقة، ربما يتعدّى منها الى جميع مراتب البدل، و لا يصلح صرف المماثلة في الأخيرين إلى جهة مخصوصة، مثل صرف إطلاق الأول إليه أيضا، بعد استقرار ظهوره</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أي حال فمقتضى النص السابق هو بكارة الغنم، و لعله المراد بما في المتن و غيره من صغار الغنم، و في بعض النصوص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إصابة بيض القطاة مخاض</w:t>
      </w:r>
      <w:r>
        <w:rPr>
          <w:rFonts w:eastAsia="Amiri" w:cs="Amiri" w:ascii="Amiri" w:hAnsi="Amiri"/>
          <w:color w:val="111111"/>
          <w:sz w:val="28"/>
          <w:szCs w:val="28"/>
          <w:rtl w:val="true"/>
          <w:lang w:bidi="ar-SA"/>
        </w:rPr>
        <w:t xml:space="preserve">» </w:t>
      </w:r>
      <w:r>
        <w:rPr>
          <w:rStyle w:val="FootnoteAnchor"/>
          <w:rtl w:val="true"/>
        </w:rPr>
        <w:footnoteReference w:id="78"/>
      </w:r>
      <w:r>
        <w:rPr>
          <w:rFonts w:ascii="Amiri" w:hAnsi="Amiri" w:eastAsia="Amiri" w:cs="Amiri"/>
          <w:color w:val="111111"/>
          <w:sz w:val="28"/>
          <w:sz w:val="28"/>
          <w:szCs w:val="28"/>
          <w:rtl w:val="true"/>
          <w:lang w:bidi="ar-SA"/>
        </w:rPr>
        <w:t>، و استبعدوا في ازدياد بدل اصابة البيض عن اصابة نفس القطاة، بأنه حمل فطيم، فوجه بنت المخاض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يحمل على الفضيلة، و لا بأس بالأخير للجمع بين النصين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لم يكن في البين استبعاد، فضلا عن وجوده، كما هو في محله إنصافا، لو لا قضية أبان في دية الأصابع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انّ الظاهر من المماثلة المطلقة، تقييد هذه المرتبة من البدل بصورة حركة فرخه فيه، كما هو الشأن في النعامة، و إلّا فلم أظفر بنص دال على التخصيص بصورة الحركة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هذا الإطلاق أيضا يستفاد حكم بقية الأبدال التي أشار إليه المصنف،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لم يتحرك أرسل فحولة الغنم في إناث بعددها فالناتج هدي لبيت اللّٰه، و في صحيح سليمان أيضا التصريح بذلك </w:t>
      </w:r>
      <w:r>
        <w:rPr>
          <w:rStyle w:val="FootnoteAnchor"/>
          <w:rtl w:val="true"/>
        </w:rPr>
        <w:footnoteReference w:id="80"/>
      </w:r>
      <w:r>
        <w:rPr>
          <w:rFonts w:ascii="Amiri" w:hAnsi="Amiri" w:eastAsia="Amiri" w:cs="Amiri"/>
          <w:color w:val="111111"/>
          <w:sz w:val="28"/>
          <w:sz w:val="28"/>
          <w:szCs w:val="28"/>
          <w:rtl w:val="true"/>
          <w:lang w:bidi="ar-SA"/>
        </w:rPr>
        <w:t>، و إطلاقه منزل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بقرينة المماثلة مع النعامة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صورة عدم الحركة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المماثلة المزبورة أيضا يستفاد أنه لو عجز كان كبيض النعام من كون بدل كل بيضة شاة، و مع العجز إطعام عشرة مساكين، و مع العجز صيام ثلاثة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المدارك منع ثبوت هذه الأحكام، لفقد النص </w:t>
      </w:r>
      <w:r>
        <w:rPr>
          <w:rStyle w:val="FootnoteAnchor"/>
          <w:rtl w:val="true"/>
        </w:rPr>
        <w:footnoteReference w:id="81"/>
      </w:r>
      <w:r>
        <w:rPr>
          <w:rFonts w:ascii="Amiri" w:hAnsi="Amiri" w:eastAsia="Amiri" w:cs="Amiri"/>
          <w:color w:val="111111"/>
          <w:sz w:val="28"/>
          <w:sz w:val="28"/>
          <w:szCs w:val="28"/>
          <w:rtl w:val="true"/>
          <w:lang w:bidi="ar-SA"/>
        </w:rPr>
        <w:t>، و الظاهر عدم تمامية إطلاق المماثلة عنده، على وجه يشمل هذه المراتب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لا وجه لمنع الأصحاب خصوصا إذا كان معاضدا لفهم جل الأصحاب، و لعله من هذه الجهة جعل في التكملة التنزل إليها 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العجز عن المرتبة الأولى ينتقل إلى قيمة البيض </w:t>
      </w:r>
      <w:r>
        <w:rPr>
          <w:rStyle w:val="FootnoteAnchor"/>
          <w:rtl w:val="true"/>
        </w:rPr>
        <w:footnoteReference w:id="82"/>
      </w:r>
      <w:r>
        <w:rPr>
          <w:rFonts w:ascii="Amiri" w:hAnsi="Amiri" w:eastAsia="Amiri" w:cs="Amiri"/>
          <w:color w:val="111111"/>
          <w:sz w:val="28"/>
          <w:sz w:val="28"/>
          <w:szCs w:val="28"/>
          <w:rtl w:val="true"/>
          <w:lang w:bidi="ar-SA"/>
        </w:rPr>
        <w:t>، و لعله لعموم صحيح سليمان بن خالد،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تعيين بعض الأبدال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فيما سوى ذلك قيمته</w:t>
      </w:r>
      <w:r>
        <w:rPr>
          <w:rFonts w:eastAsia="Amiri" w:cs="Amiri" w:ascii="Amiri" w:hAnsi="Amiri"/>
          <w:color w:val="111111"/>
          <w:sz w:val="28"/>
          <w:szCs w:val="28"/>
          <w:rtl w:val="true"/>
          <w:lang w:bidi="ar-SA"/>
        </w:rPr>
        <w:t xml:space="preserve">»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انه على فرض عمومه في مورد لا يكون له بدل الّا بدل متعذر، لا يتعدّى منه إلى مثل المقام، و ستأتي تتمة الكلام فيه مفصلا إن شاء اللّٰه</w:t>
      </w:r>
      <w:r>
        <w:rPr>
          <w:rFonts w:eastAsia="Amiri" w:cs="Amiri" w:ascii="Amiri" w:hAnsi="Amiri"/>
          <w:color w:val="111111"/>
          <w:sz w:val="28"/>
          <w:szCs w:val="28"/>
          <w:rtl w:val="true"/>
          <w:lang w:bidi="ar-SA"/>
        </w:rPr>
        <w:t>.</w:t>
      </w:r>
      <w:bookmarkStart w:id="33" w:name="pg19818_203890"/>
    </w:p>
    <w:p>
      <w:pPr>
        <w:pStyle w:val="BookText"/>
        <w:rPr/>
      </w:pPr>
      <w:bookmarkEnd w:id="33"/>
      <w:r>
        <w:rPr>
          <w:rFonts w:ascii="Amiri" w:hAnsi="Amiri" w:eastAsia="Amiri" w:cs="Amiri"/>
          <w:color w:val="111111"/>
          <w:sz w:val="28"/>
          <w:sz w:val="28"/>
          <w:szCs w:val="28"/>
          <w:rtl w:val="true"/>
          <w:lang w:bidi="ar-SA"/>
        </w:rPr>
        <w:t>فالعمدة حينئذ إتمام إطلاق المماثلة، فإن تم فينتقل إلى جميع المراتب المسطورة، و إلّا فلا ينتقل إلى شي‌ء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ليس لكفارته بدل مخصوص، و هو أيضا 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المصنف بقوله</w:t>
      </w:r>
      <w:r>
        <w:rPr>
          <w:rFonts w:eastAsia="Amiri" w:cs="Amiri" w:ascii="Amiri" w:hAnsi="Amiri"/>
          <w:color w:val="111111"/>
          <w:sz w:val="28"/>
          <w:szCs w:val="28"/>
          <w:rtl w:val="true"/>
          <w:lang w:bidi="ar-SA"/>
        </w:rPr>
        <w:t>:</w:t>
      </w:r>
    </w:p>
    <w:p>
      <w:pPr>
        <w:pStyle w:val="Heading5"/>
        <w:numPr>
          <w:ilvl w:val="4"/>
          <w:numId w:val="1"/>
        </w:numPr>
        <w:rPr/>
      </w:pPr>
      <w:bookmarkStart w:id="34" w:name="__RefHeading___Toc3320710_2314609296"/>
      <w:bookmarkStart w:id="35" w:name="_Toc13"/>
      <w:bookmarkEnd w:id="34"/>
      <w:r>
        <w:rPr>
          <w:rtl w:val="true"/>
        </w:rPr>
        <w:t>و في الحمامة</w:t>
      </w:r>
      <w:bookmarkEnd w:id="35"/>
    </w:p>
    <w:p>
      <w:pPr>
        <w:pStyle w:val="BookText"/>
        <w:rPr/>
      </w:pPr>
      <w:r>
        <w:rPr>
          <w:rFonts w:ascii="Amiri" w:hAnsi="Amiri" w:eastAsia="Amiri" w:cs="Amiri"/>
          <w:color w:val="111111"/>
          <w:sz w:val="28"/>
          <w:sz w:val="28"/>
          <w:szCs w:val="28"/>
          <w:rtl w:val="true"/>
          <w:lang w:bidi="ar-SA"/>
        </w:rPr>
        <w:t>نفسها شاة بلا اشكال فيه في الجملة، للنص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الكلام في المراد من الحمامة، فعن اللغويين تفسيرها بما كانت مطوقة، و عن الفقهاء بأنه ما يعب في الماء و يهدر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كثرة موارد الاختلاف بين المفهومين يبقى الكلام في ترجيح أي واحد، فمع حصول الجزم من مجموع الكلمات بمعناه فهو، و إلّا فالظن بمفهومه لا يغني عن الحق شيئا، إلّا بتمامية مقدمات الانسداد الصغير، و هو أيضا دونه خرط القتاد، فلا جرم يؤخذ بالمتيقن، و يرجع في التفرق من الطرفين الى قواعد العلم الإجمالي، كما لا يخفى</w:t>
      </w:r>
      <w:r>
        <w:rPr>
          <w:rFonts w:eastAsia="Amiri" w:cs="Amiri" w:ascii="Amiri" w:hAnsi="Amiri"/>
          <w:color w:val="111111"/>
          <w:sz w:val="28"/>
          <w:szCs w:val="28"/>
          <w:rtl w:val="true"/>
          <w:lang w:bidi="ar-SA"/>
        </w:rPr>
        <w:t>.</w:t>
      </w:r>
    </w:p>
    <w:p>
      <w:pPr>
        <w:pStyle w:val="Heading5"/>
        <w:numPr>
          <w:ilvl w:val="4"/>
          <w:numId w:val="1"/>
        </w:numPr>
        <w:rPr/>
      </w:pPr>
      <w:bookmarkStart w:id="36" w:name="__RefHeading___Toc3320712_2314609296"/>
      <w:bookmarkStart w:id="37" w:name="_Toc14"/>
      <w:bookmarkEnd w:id="36"/>
      <w:r>
        <w:rPr>
          <w:rtl w:val="true"/>
        </w:rPr>
        <w:t>و في فرخها حمل، و في بيضها درهم</w:t>
      </w:r>
      <w:bookmarkEnd w:id="37"/>
    </w:p>
    <w:p>
      <w:pPr>
        <w:pStyle w:val="BookText"/>
        <w:rPr/>
      </w:pPr>
      <w:r>
        <w:rPr>
          <w:rFonts w:ascii="Amiri" w:hAnsi="Amiri" w:eastAsia="Amiri" w:cs="Amiri"/>
          <w:color w:val="111111"/>
          <w:sz w:val="28"/>
          <w:sz w:val="28"/>
          <w:szCs w:val="28"/>
          <w:rtl w:val="true"/>
          <w:lang w:bidi="ar-SA"/>
        </w:rPr>
        <w:t>كل ذلك على المحرم في الحل، لما في الأخبار المستفيضة المشتملة، بعضها على أنّ المحرم إذا أصاب حمامة ففيها شاة، و إن قتل فراخه ففيه حمل، و إن وطأ البيض فعليه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إطلاقه من حيث الحل و الحرم مقيد بما يأتي من ثبوت الشاة و قيمة الحمامة على المحرم في الحرم، فيكشف ذلك عن أنّ الحكم المزبور للمحرم في الحل</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نص أبي بصير التصريح بقتله الفرخ في خارج الحرم، و في ذيله أيضا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شاة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قتل فرخا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Style w:val="FootnoteAnchor"/>
          <w:rtl w:val="true"/>
        </w:rPr>
        <w:footnoteReference w:id="84"/>
      </w:r>
    </w:p>
    <w:p>
      <w:pPr>
        <w:pStyle w:val="BookText"/>
        <w:rPr/>
      </w:pPr>
      <w:r>
        <w:rPr>
          <w:rFonts w:ascii="Amiri" w:hAnsi="Amiri" w:eastAsia="Amiri" w:cs="Amiri"/>
          <w:color w:val="111111"/>
          <w:sz w:val="28"/>
          <w:sz w:val="28"/>
          <w:szCs w:val="28"/>
          <w:rtl w:val="true"/>
          <w:lang w:bidi="ar-SA"/>
        </w:rPr>
        <w:t>الظاهر في حكم المحرم في خارج الحرم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تعرض له لحكم البيض، و ربما يلحق ذلك بهما بعدم الفصل بينهما من تلك الجهة،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المحل في الحرم على الحمامة درهم، و عن الفرخ نصف درهم، و عن البيضة ربع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الأصل في ذلك ما في صحيح ابن الحجّاج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الحمامة درهم، و في الفرخ نصف درهم، و في البيض ربع درهم</w:t>
      </w:r>
      <w:r>
        <w:rPr>
          <w:rFonts w:eastAsia="Amiri" w:cs="Amiri" w:ascii="Amiri" w:hAnsi="Amiri"/>
          <w:color w:val="111111"/>
          <w:sz w:val="28"/>
          <w:szCs w:val="28"/>
          <w:rtl w:val="true"/>
          <w:lang w:bidi="ar-SA"/>
        </w:rPr>
        <w:t xml:space="preserve">» </w:t>
      </w:r>
      <w:r>
        <w:rPr>
          <w:rStyle w:val="FootnoteAnchor"/>
          <w:rtl w:val="true"/>
        </w:rPr>
        <w:footnoteReference w:id="85"/>
      </w:r>
      <w:r>
        <w:rPr>
          <w:rFonts w:ascii="Amiri" w:hAnsi="Amiri" w:eastAsia="Amiri" w:cs="Amiri"/>
          <w:color w:val="111111"/>
          <w:sz w:val="28"/>
          <w:sz w:val="28"/>
          <w:szCs w:val="28"/>
          <w:rtl w:val="true"/>
          <w:lang w:bidi="ar-SA"/>
        </w:rPr>
        <w:t>و في النصوص المستفيضة التصريح بذلك في المحل في الحرم، و قضية وحدة المطلوب تقتضي حمل الإطلاق السابق عليه، مضافا إلى ما ورد في المحرم غير ذلك، فلا بد من حمل الإطلاق السابق على المحل في الحرم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كون مثل هذا التقويم تقويما متعارفا سوقيا، أو كونه تقويما شرعيا؟</w:t>
      </w:r>
    </w:p>
    <w:p>
      <w:pPr>
        <w:pStyle w:val="BookText"/>
        <w:rPr/>
      </w:pPr>
      <w:r>
        <w:rPr>
          <w:rFonts w:ascii="Amiri" w:hAnsi="Amiri" w:eastAsia="Amiri" w:cs="Amiri"/>
          <w:color w:val="111111"/>
          <w:sz w:val="28"/>
          <w:sz w:val="28"/>
          <w:szCs w:val="28"/>
          <w:rtl w:val="true"/>
          <w:lang w:bidi="ar-SA"/>
        </w:rPr>
        <w:t>وجهان، مقتضى الإطلاق هو الثاني، لو لا تنزيله على الغالب، من مساواته للقيمة السوقية، و حينئذ فيشكل الأخذ بكل منهما عند نقصه عن الآخر، لو لا البراءة عن الأكثر في مثل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يجتمعان أي الكفارتان من الشاة و قيمة الحمامة من الدرهم على المحرم في الحرم</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الأصل في ذلك حسنة الحلبي، المشتملة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قتلها و هو محرم</w:t>
      </w:r>
      <w:bookmarkStart w:id="38" w:name="pg19818_203892"/>
    </w:p>
    <w:p>
      <w:pPr>
        <w:pStyle w:val="BookText"/>
        <w:rPr/>
      </w:pPr>
      <w:bookmarkEnd w:id="38"/>
      <w:r>
        <w:rPr>
          <w:rFonts w:ascii="Amiri" w:hAnsi="Amiri" w:eastAsia="Amiri" w:cs="Amiri"/>
          <w:color w:val="111111"/>
          <w:sz w:val="28"/>
          <w:sz w:val="28"/>
          <w:szCs w:val="28"/>
          <w:rtl w:val="true"/>
          <w:lang w:bidi="ar-SA"/>
        </w:rPr>
        <w:t>في الحرم فعليه شاة و قيمة الحمامة</w:t>
      </w:r>
      <w:r>
        <w:rPr>
          <w:rFonts w:eastAsia="Amiri" w:cs="Amiri" w:ascii="Amiri" w:hAnsi="Amiri"/>
          <w:color w:val="111111"/>
          <w:sz w:val="28"/>
          <w:szCs w:val="28"/>
          <w:rtl w:val="true"/>
          <w:lang w:bidi="ar-SA"/>
        </w:rPr>
        <w:t xml:space="preserve">» </w:t>
      </w:r>
      <w:r>
        <w:rPr>
          <w:rStyle w:val="FootnoteAnchor"/>
          <w:rtl w:val="true"/>
        </w:rPr>
        <w:footnoteReference w:id="86"/>
      </w:r>
      <w:r>
        <w:rPr>
          <w:rFonts w:ascii="Amiri" w:hAnsi="Amiri" w:eastAsia="Amiri" w:cs="Amiri"/>
          <w:color w:val="111111"/>
          <w:sz w:val="28"/>
          <w:sz w:val="28"/>
          <w:szCs w:val="28"/>
          <w:rtl w:val="true"/>
          <w:lang w:bidi="ar-SA"/>
        </w:rPr>
        <w:t xml:space="preserve">، و نظيرها نص أبي بصير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عليه أيضا يحمل ما في بعض النصوص من مضاعفة الكفّارة، و بمثلها يقيد إطلاق النص السابق، المقتصر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بإطلاقه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الشاة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و من إطلاق القيمة للمحل في الحرم، و إطلاق الكفارة الخاصة للمحرم في الحل، يستفاد حكم الجهتين عند الاجتماع، بعد الجزم بكون الحكمين لاحترام الحرم و الإحرام، بلا دخل للإحلال و الحل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 اجتماع الجهتين، و إطلاق النصين، يستفاد حكم التضاعف المزبور في جميع المراتب، بلا اختصاصه بمورد النص السابق، من قتل الحمامة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إلى ذلك أشار في الجواهر من إجراء قاعدة عدم تداخل الأسباب </w:t>
      </w:r>
      <w:r>
        <w:rPr>
          <w:rStyle w:val="FootnoteAnchor"/>
          <w:rtl w:val="true"/>
        </w:rPr>
        <w:footnoteReference w:id="88"/>
      </w:r>
      <w:r>
        <w:rPr>
          <w:rFonts w:ascii="Amiri" w:hAnsi="Amiri" w:eastAsia="Amiri" w:cs="Amiri"/>
          <w:color w:val="111111"/>
          <w:sz w:val="28"/>
          <w:sz w:val="28"/>
          <w:szCs w:val="28"/>
          <w:rtl w:val="true"/>
          <w:lang w:bidi="ar-SA"/>
        </w:rPr>
        <w:t>،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ظاهر إطلاق صحيحة 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يتصدّق به أو يطعمه حمام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التخيير بين الإطعام و الصدقة في حمام الحرم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حماد التفصيل بين حمامة الحرم فعيّن فيه الإطعام، و حمامة غيره فعيّن الصدقة، فيدور الأمر حينئذ بين التقييد في الأول بالالتزام بالتفصيل بقرينة الثاني، أو حمل التفصيل فيه على الفضيلة بقرينة الثاني و لا يبعد الأول، لوهن إطلاقه في قبال التفصيل، الظاهر من الآخر، فتدبّر، و اللّٰه العالم</w:t>
      </w:r>
      <w:r>
        <w:rPr>
          <w:rFonts w:eastAsia="Amiri" w:cs="Amiri" w:ascii="Amiri" w:hAnsi="Amiri"/>
          <w:color w:val="111111"/>
          <w:sz w:val="28"/>
          <w:szCs w:val="28"/>
          <w:rtl w:val="true"/>
          <w:lang w:bidi="ar-SA"/>
        </w:rPr>
        <w:t>.</w:t>
      </w:r>
    </w:p>
    <w:p>
      <w:pPr>
        <w:pStyle w:val="Heading5"/>
        <w:numPr>
          <w:ilvl w:val="4"/>
          <w:numId w:val="1"/>
        </w:numPr>
        <w:rPr/>
      </w:pPr>
      <w:bookmarkStart w:id="39" w:name="__RefHeading___Toc3320714_2314609296"/>
      <w:bookmarkStart w:id="40" w:name="_Toc15"/>
      <w:bookmarkEnd w:id="39"/>
      <w:r>
        <w:rPr>
          <w:rtl w:val="true"/>
        </w:rPr>
        <w:t>و في الضب و القنفذ و اليربوع جدي</w:t>
      </w:r>
      <w:bookmarkEnd w:id="40"/>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المشهور بين الأصحاب،</w:t>
      </w:r>
      <w:bookmarkStart w:id="41" w:name="pg19818_203893"/>
    </w:p>
    <w:p>
      <w:pPr>
        <w:pStyle w:val="BookText"/>
        <w:rPr/>
      </w:pPr>
      <w:bookmarkEnd w:id="41"/>
      <w:r>
        <w:rPr>
          <w:rFonts w:ascii="Amiri" w:hAnsi="Amiri" w:eastAsia="Amiri" w:cs="Amiri"/>
          <w:color w:val="111111"/>
          <w:sz w:val="28"/>
          <w:sz w:val="28"/>
          <w:szCs w:val="28"/>
          <w:rtl w:val="true"/>
          <w:lang w:bidi="ar-SA"/>
        </w:rPr>
        <w:t xml:space="preserve">و الأصل فيه نص الحسن في اليربوع و الضب إذا أصابه المحرم فعليه جدي </w:t>
      </w:r>
      <w:r>
        <w:rPr>
          <w:rStyle w:val="FootnoteAnchor"/>
          <w:rtl w:val="true"/>
        </w:rPr>
        <w:footnoteReference w:id="89"/>
      </w:r>
      <w:r>
        <w:rPr>
          <w:rFonts w:ascii="Amiri" w:hAnsi="Amiri" w:eastAsia="Amiri" w:cs="Amiri"/>
          <w:color w:val="111111"/>
          <w:sz w:val="28"/>
          <w:sz w:val="28"/>
          <w:szCs w:val="28"/>
          <w:rtl w:val="true"/>
          <w:lang w:bidi="ar-SA"/>
        </w:rPr>
        <w:t>، و الجدي خير منه، و إنما جعل عليه هذا لكي ينكل عن قتل غيره، و قد يستظهر من ذيله تعدّي الحكم إلى غيرها مما يماثلها، و هو حسن لو كان الغرض كون جعل الجدي بخصوصه رادعا عن غيره لا بما هو كفارة و حينئذ لا وجه للتعدّي إلى غيرها في هذه الكفارة، كما لا يخفى</w:t>
      </w:r>
      <w:r>
        <w:rPr>
          <w:rFonts w:eastAsia="Amiri" w:cs="Amiri" w:ascii="Amiri" w:hAnsi="Amiri"/>
          <w:color w:val="111111"/>
          <w:sz w:val="28"/>
          <w:szCs w:val="28"/>
          <w:rtl w:val="true"/>
          <w:lang w:bidi="ar-SA"/>
        </w:rPr>
        <w:t>.</w:t>
      </w:r>
    </w:p>
    <w:p>
      <w:pPr>
        <w:pStyle w:val="Heading5"/>
        <w:numPr>
          <w:ilvl w:val="4"/>
          <w:numId w:val="1"/>
        </w:numPr>
        <w:rPr/>
      </w:pPr>
      <w:bookmarkStart w:id="42" w:name="__RefHeading___Toc3320716_2314609296"/>
      <w:bookmarkStart w:id="43" w:name="_Toc16"/>
      <w:bookmarkEnd w:id="42"/>
      <w:r>
        <w:rPr>
          <w:rtl w:val="true"/>
        </w:rPr>
        <w:t>و في القطا و الدراج و شبهه حمل فطيم</w:t>
      </w:r>
      <w:bookmarkEnd w:id="43"/>
    </w:p>
    <w:p>
      <w:pPr>
        <w:pStyle w:val="BookText"/>
        <w:rPr/>
      </w:pPr>
      <w:r>
        <w:rPr>
          <w:rFonts w:ascii="Amiri" w:hAnsi="Amiri" w:eastAsia="Amiri" w:cs="Amiri"/>
          <w:color w:val="111111"/>
          <w:sz w:val="28"/>
          <w:sz w:val="28"/>
          <w:szCs w:val="28"/>
          <w:rtl w:val="true"/>
          <w:lang w:bidi="ar-SA"/>
        </w:rPr>
        <w:t>، و حكي نفي الخلاف عنه، و النص فيه ما عن سليمان، المشتمل على قول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كتاب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أصاب قطاة أو حجلة أو دراجة و نظيرهن، فعليه دم</w:t>
      </w:r>
      <w:r>
        <w:rPr>
          <w:rFonts w:eastAsia="Amiri" w:cs="Amiri" w:ascii="Amiri" w:hAnsi="Amiri"/>
          <w:color w:val="111111"/>
          <w:sz w:val="28"/>
          <w:szCs w:val="28"/>
          <w:rtl w:val="true"/>
          <w:lang w:bidi="ar-SA"/>
        </w:rPr>
        <w:t xml:space="preserve">» </w:t>
      </w:r>
      <w:r>
        <w:rPr>
          <w:rStyle w:val="FootnoteAnchor"/>
          <w:rtl w:val="true"/>
        </w:rPr>
        <w:footnoteReference w:id="90"/>
      </w:r>
      <w:r>
        <w:rPr>
          <w:rFonts w:ascii="Amiri" w:hAnsi="Amiri" w:eastAsia="Amiri" w:cs="Amiri"/>
          <w:color w:val="111111"/>
          <w:sz w:val="28"/>
          <w:sz w:val="28"/>
          <w:szCs w:val="28"/>
          <w:rtl w:val="true"/>
          <w:lang w:bidi="ar-SA"/>
        </w:rPr>
        <w:t>، بعد حمل الدم على حمل قد فطم، بقرينة نص آخر وارد في قتل القطاة، فيسري مثل هذا الحكم في كل ما شابهه، بقرينة الرواية السابقة، ففي كل نص يرتفع الإجمال بالنص الآخر،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احتمال اختلاف أنحاء كل واحد، فلا يقتضي التعدّي من قتل القطا إلى غيره ضعيف جدا، بل الظاهر اشتراك الجميع في خصوصية الدم، فتعيينه بالحمل في القطا يكفي في السراية إلى غيره، كما لا يخفى</w:t>
      </w:r>
      <w:r>
        <w:rPr>
          <w:rFonts w:eastAsia="Amiri" w:cs="Amiri" w:ascii="Amiri" w:hAnsi="Amiri"/>
          <w:color w:val="111111"/>
          <w:sz w:val="28"/>
          <w:szCs w:val="28"/>
          <w:rtl w:val="true"/>
          <w:lang w:bidi="ar-SA"/>
        </w:rPr>
        <w:t>.</w:t>
      </w:r>
    </w:p>
    <w:p>
      <w:pPr>
        <w:pStyle w:val="Heading5"/>
        <w:numPr>
          <w:ilvl w:val="4"/>
          <w:numId w:val="1"/>
        </w:numPr>
        <w:rPr/>
      </w:pPr>
      <w:bookmarkStart w:id="44" w:name="__RefHeading___Toc3320718_2314609296"/>
      <w:bookmarkStart w:id="45" w:name="_Toc17"/>
      <w:bookmarkEnd w:id="44"/>
      <w:r>
        <w:rPr>
          <w:rtl w:val="true"/>
        </w:rPr>
        <w:t>و في العصفور و القبرة و الصعوة مد</w:t>
      </w:r>
      <w:bookmarkEnd w:id="45"/>
    </w:p>
    <w:p>
      <w:pPr>
        <w:pStyle w:val="BookText"/>
        <w:rPr/>
      </w:pPr>
      <w:r>
        <w:rPr>
          <w:rFonts w:ascii="Amiri" w:hAnsi="Amiri" w:eastAsia="Amiri" w:cs="Amiri"/>
          <w:color w:val="111111"/>
          <w:sz w:val="28"/>
          <w:sz w:val="28"/>
          <w:szCs w:val="28"/>
          <w:rtl w:val="true"/>
          <w:lang w:bidi="ar-SA"/>
        </w:rPr>
        <w:t>على المشهور، لمرسلة مجبورة بالعمل، المشتملة على المد في الثلاثة</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في صحيح ابن سنان في محرم ذبح طيرا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عليه دم شاة يهريقه، و إن كان فرخا فجدي أو حمل صغير من الضأن</w:t>
      </w:r>
      <w:r>
        <w:rPr>
          <w:rFonts w:eastAsia="Amiri" w:cs="Amiri" w:ascii="Amiri" w:hAnsi="Amiri"/>
          <w:color w:val="111111"/>
          <w:sz w:val="28"/>
          <w:szCs w:val="28"/>
          <w:rtl w:val="true"/>
          <w:lang w:bidi="ar-SA"/>
        </w:rPr>
        <w:t xml:space="preserve">»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bookmarkStart w:id="46" w:name="pg19818_203894"/>
    </w:p>
    <w:p>
      <w:pPr>
        <w:pStyle w:val="BookText"/>
        <w:rPr/>
      </w:pPr>
      <w:bookmarkEnd w:id="46"/>
      <w:r>
        <w:rPr>
          <w:rFonts w:ascii="Amiri" w:hAnsi="Amiri" w:eastAsia="Amiri" w:cs="Amiri"/>
          <w:color w:val="111111"/>
          <w:sz w:val="28"/>
          <w:sz w:val="28"/>
          <w:szCs w:val="28"/>
          <w:rtl w:val="true"/>
          <w:lang w:bidi="ar-SA"/>
        </w:rPr>
        <w:t>لكن المرسلة أخص منها دلالة، فتخصص الصحيحة المطلقة بالثلاثة المزبورة</w:t>
      </w:r>
      <w:r>
        <w:rPr>
          <w:rFonts w:eastAsia="Amiri" w:cs="Amiri" w:ascii="Amiri" w:hAnsi="Amiri"/>
          <w:color w:val="111111"/>
          <w:sz w:val="28"/>
          <w:szCs w:val="28"/>
          <w:rtl w:val="true"/>
          <w:lang w:bidi="ar-SA"/>
        </w:rPr>
        <w:t>.</w:t>
      </w:r>
    </w:p>
    <w:p>
      <w:pPr>
        <w:pStyle w:val="Heading5"/>
        <w:numPr>
          <w:ilvl w:val="4"/>
          <w:numId w:val="1"/>
        </w:numPr>
        <w:rPr/>
      </w:pPr>
      <w:bookmarkStart w:id="47" w:name="__RefHeading___Toc3320720_2314609296"/>
      <w:bookmarkStart w:id="48" w:name="_Toc18"/>
      <w:bookmarkEnd w:id="47"/>
      <w:r>
        <w:rPr>
          <w:rtl w:val="true"/>
        </w:rPr>
        <w:t>و في قتل الجرادة و القملة يلقيها من جسده كف من طعام،</w:t>
      </w:r>
      <w:bookmarkEnd w:id="48"/>
    </w:p>
    <w:p>
      <w:pPr>
        <w:pStyle w:val="BookText"/>
        <w:rPr/>
      </w:pPr>
      <w:r>
        <w:rPr>
          <w:rFonts w:ascii="Amiri" w:hAnsi="Amiri" w:eastAsia="Amiri" w:cs="Amiri"/>
          <w:color w:val="111111"/>
          <w:sz w:val="28"/>
          <w:sz w:val="28"/>
          <w:szCs w:val="28"/>
          <w:rtl w:val="true"/>
          <w:lang w:bidi="ar-SA"/>
        </w:rPr>
        <w:t xml:space="preserve">أما الأول فللصحيح المشتمل على كف من الطعام </w:t>
      </w:r>
      <w:r>
        <w:rPr>
          <w:rStyle w:val="FootnoteAnchor"/>
          <w:rtl w:val="true"/>
        </w:rPr>
        <w:footnoteReference w:id="92"/>
      </w:r>
      <w:r>
        <w:rPr>
          <w:rFonts w:ascii="Amiri" w:hAnsi="Amiri" w:eastAsia="Amiri" w:cs="Amiri"/>
          <w:color w:val="111111"/>
          <w:sz w:val="28"/>
          <w:sz w:val="28"/>
          <w:szCs w:val="28"/>
          <w:rtl w:val="true"/>
          <w:lang w:bidi="ar-SA"/>
        </w:rPr>
        <w:t xml:space="preserve">، و في قباله صحيح آخر مشتمل على التمرة، و انّ التمرة خير من جرادة </w:t>
      </w:r>
      <w:r>
        <w:rPr>
          <w:rStyle w:val="FootnoteAnchor"/>
          <w:rtl w:val="true"/>
        </w:rPr>
        <w:footnoteReference w:id="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رفع اليد عن إطلاق كل منهما، الظاهر في تعيينه بنص الآخر فيتخير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قبالهما ما في خبر حناط، من أنّ عليه دما </w:t>
      </w:r>
      <w:r>
        <w:rPr>
          <w:rStyle w:val="FootnoteAnchor"/>
          <w:rtl w:val="true"/>
        </w:rPr>
        <w:footnoteReference w:id="94"/>
      </w:r>
      <w:r>
        <w:rPr>
          <w:rFonts w:ascii="Amiri" w:hAnsi="Amiri" w:eastAsia="Amiri" w:cs="Amiri"/>
          <w:color w:val="111111"/>
          <w:sz w:val="28"/>
          <w:sz w:val="28"/>
          <w:szCs w:val="28"/>
          <w:rtl w:val="true"/>
          <w:lang w:bidi="ar-SA"/>
        </w:rPr>
        <w:t>، و لعله محمول على كثيره، بقرينة ما ورد بأنّ في كثيره شاة، كما سيأتي 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الثاني فلما في خبر ابن مسكان، بل فيه النهي عن إعادتها في محلها </w:t>
      </w:r>
      <w:r>
        <w:rPr>
          <w:rStyle w:val="FootnoteAnchor"/>
          <w:rtl w:val="true"/>
        </w:rPr>
        <w:footnoteReference w:id="95"/>
      </w:r>
      <w:r>
        <w:rPr>
          <w:rFonts w:ascii="Amiri" w:hAnsi="Amiri" w:eastAsia="Amiri" w:cs="Amiri"/>
          <w:color w:val="111111"/>
          <w:sz w:val="28"/>
          <w:sz w:val="28"/>
          <w:szCs w:val="28"/>
          <w:rtl w:val="true"/>
          <w:lang w:bidi="ar-SA"/>
        </w:rPr>
        <w:t>، و لكن في صحيح حماد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شي‌ء عليه</w:t>
      </w:r>
      <w:r>
        <w:rPr>
          <w:rFonts w:eastAsia="Amiri" w:cs="Amiri" w:ascii="Amiri" w:hAnsi="Amiri"/>
          <w:color w:val="111111"/>
          <w:sz w:val="28"/>
          <w:szCs w:val="28"/>
          <w:rtl w:val="true"/>
          <w:lang w:bidi="ar-SA"/>
        </w:rPr>
        <w:t xml:space="preserve">»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يجمع بينهما بالحمل على استحباب الكفارة، بل لا شي‌ء في قتله أيضا، لقوله في الصحيحة المزبورة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شي‌ء في القملة، و لا ينبغي أن يتعمد قتلها</w:t>
      </w:r>
      <w:r>
        <w:rPr>
          <w:rFonts w:eastAsia="Amiri" w:cs="Amiri" w:ascii="Amiri" w:hAnsi="Amiri"/>
          <w:color w:val="111111"/>
          <w:sz w:val="28"/>
          <w:szCs w:val="28"/>
          <w:rtl w:val="true"/>
          <w:lang w:bidi="ar-SA"/>
        </w:rPr>
        <w:t xml:space="preserve">» </w:t>
      </w:r>
      <w:r>
        <w:rPr>
          <w:rStyle w:val="FootnoteAnchor"/>
          <w:rtl w:val="true"/>
        </w:rPr>
        <w:footnoteReference w:id="97"/>
      </w:r>
      <w:r>
        <w:rPr>
          <w:rFonts w:ascii="Amiri" w:hAnsi="Amiri" w:eastAsia="Amiri" w:cs="Amiri"/>
          <w:color w:val="111111"/>
          <w:sz w:val="28"/>
          <w:sz w:val="28"/>
          <w:szCs w:val="28"/>
          <w:rtl w:val="true"/>
          <w:lang w:bidi="ar-SA"/>
        </w:rPr>
        <w:t>، الظاهر في كراهة قتلها أيضا، الملازم لعدم الكفارة جزما</w:t>
      </w:r>
      <w:r>
        <w:rPr>
          <w:rFonts w:eastAsia="Amiri" w:cs="Amiri" w:ascii="Amiri" w:hAnsi="Amiri"/>
          <w:color w:val="111111"/>
          <w:sz w:val="28"/>
          <w:szCs w:val="28"/>
          <w:rtl w:val="true"/>
          <w:lang w:bidi="ar-SA"/>
        </w:rPr>
        <w:t>.</w:t>
      </w:r>
    </w:p>
    <w:p>
      <w:pPr>
        <w:pStyle w:val="Heading5"/>
        <w:numPr>
          <w:ilvl w:val="4"/>
          <w:numId w:val="1"/>
        </w:numPr>
        <w:rPr/>
      </w:pPr>
      <w:bookmarkStart w:id="49" w:name="__RefHeading___Toc3320722_2314609296"/>
      <w:bookmarkStart w:id="50" w:name="_Toc19"/>
      <w:bookmarkEnd w:id="49"/>
      <w:r>
        <w:rPr>
          <w:rtl w:val="true"/>
        </w:rPr>
        <w:t>و في الجراد الكثير شاة</w:t>
      </w:r>
      <w:bookmarkEnd w:id="50"/>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ما حكي عن غير واحد، و في نص ابن سعيد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قتل كثيرا فشاة</w:t>
      </w:r>
      <w:r>
        <w:rPr>
          <w:rFonts w:eastAsia="Amiri" w:cs="Amiri" w:ascii="Amiri" w:hAnsi="Amiri"/>
          <w:color w:val="111111"/>
          <w:sz w:val="28"/>
          <w:szCs w:val="28"/>
          <w:rtl w:val="true"/>
          <w:lang w:bidi="ar-SA"/>
        </w:rPr>
        <w:t xml:space="preserve">» </w:t>
      </w:r>
      <w:r>
        <w:rPr>
          <w:rStyle w:val="FootnoteAnchor"/>
          <w:rtl w:val="true"/>
        </w:rPr>
        <w:footnoteReference w:id="98"/>
      </w:r>
      <w:r>
        <w:rPr>
          <w:rFonts w:ascii="Amiri" w:hAnsi="Amiri" w:eastAsia="Amiri" w:cs="Amiri"/>
          <w:color w:val="111111"/>
          <w:sz w:val="28"/>
          <w:sz w:val="28"/>
          <w:szCs w:val="28"/>
          <w:rtl w:val="true"/>
          <w:lang w:bidi="ar-SA"/>
        </w:rPr>
        <w:t>، مؤيدا بإطلاق رواية حماد المتقدمة المقيّدة</w:t>
      </w:r>
      <w:bookmarkStart w:id="51" w:name="pg19818_203895"/>
    </w:p>
    <w:p>
      <w:pPr>
        <w:pStyle w:val="BookText"/>
        <w:rPr/>
      </w:pPr>
      <w:bookmarkEnd w:id="51"/>
      <w:r>
        <w:rPr>
          <w:rFonts w:ascii="Amiri" w:hAnsi="Amiri" w:eastAsia="Amiri" w:cs="Amiri"/>
          <w:color w:val="111111"/>
          <w:sz w:val="28"/>
          <w:sz w:val="28"/>
          <w:szCs w:val="28"/>
          <w:rtl w:val="true"/>
          <w:lang w:bidi="ar-SA"/>
        </w:rPr>
        <w:t>بقليله، الخارج عنه، للنصوص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بد فيه من حفظ عنوان الكثرة، و في صدقها على الزائد من الواحد أو الاثنين 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مهما شك في صدقها فلا يرجع إلى أصالة عدم الاتصاف بها، لكون الشبهة مفهومية، لا تكون المرجع فيها هذا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 أصالة عدم وجوب الدم، معارضة بأصالة عدم وجوب الثمرة أو 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فقاعدة الاشتغال بأحد الأمرين تقتضي الجمع بينهما، لو لا إلحاق العرف أمثال المقام، الراجع إلى إضراره في المالية إلى الأقل و الأكثر، فيرجع في مثله إلى البراءة عن تحمل الضرر المشكوك زائدا عن المقدار المتيقن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أيضا لو لا احتمال مطلوبية إراقة الدم، الذي هو جهة أخرى زائدة من حيث الإضرار في المالية، فلا محيص حينئذ عن الجمع بين الوظيفتين،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ذلك كله مع التمكن من التحرز و لو لم يتمكن من التحرز عنه لم يكن عليه شي‌ء، لما في صحيح حريز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المحرم أن يتنكب الجراد إذا كان على طريقه، فإن لم يجد بدا فقتل فلا بأس</w:t>
      </w:r>
      <w:r>
        <w:rPr>
          <w:rFonts w:eastAsia="Amiri" w:cs="Amiri" w:ascii="Amiri" w:hAnsi="Amiri"/>
          <w:color w:val="111111"/>
          <w:sz w:val="28"/>
          <w:szCs w:val="28"/>
          <w:rtl w:val="true"/>
          <w:lang w:bidi="ar-SA"/>
        </w:rPr>
        <w:t xml:space="preserve">» </w:t>
      </w:r>
      <w:r>
        <w:rPr>
          <w:rStyle w:val="FootnoteAnchor"/>
          <w:rtl w:val="true"/>
        </w:rPr>
        <w:footnoteReference w:id="99"/>
      </w:r>
      <w:r>
        <w:rPr>
          <w:rFonts w:ascii="Amiri" w:hAnsi="Amiri" w:eastAsia="Amiri" w:cs="Amiri"/>
          <w:color w:val="111111"/>
          <w:sz w:val="28"/>
          <w:sz w:val="28"/>
          <w:szCs w:val="28"/>
          <w:rtl w:val="true"/>
          <w:lang w:bidi="ar-SA"/>
        </w:rPr>
        <w:t>، و في صحيحة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شي‌ء عليه</w:t>
      </w:r>
      <w:r>
        <w:rPr>
          <w:rFonts w:eastAsia="Amiri" w:cs="Amiri" w:ascii="Amiri" w:hAnsi="Amiri"/>
          <w:color w:val="111111"/>
          <w:sz w:val="28"/>
          <w:szCs w:val="28"/>
          <w:rtl w:val="true"/>
          <w:lang w:bidi="ar-SA"/>
        </w:rPr>
        <w:t xml:space="preserve">»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2" w:name="__RefHeading___Toc3320724_2314609296"/>
      <w:bookmarkStart w:id="53" w:name="_Toc20"/>
      <w:bookmarkEnd w:id="52"/>
      <w:r>
        <w:rPr>
          <w:rtl w:val="true"/>
        </w:rPr>
        <w:t>بقي في المقام أمران</w:t>
      </w:r>
      <w:r>
        <w:rPr>
          <w:rtl w:val="true"/>
        </w:rPr>
        <w:t>:</w:t>
      </w:r>
      <w:bookmarkEnd w:id="53"/>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قتل صيدا معيبا كالمكسور و أمثاله، فمقتضى الآية المشتملة على المماثلة، الاكتفاء بمثله</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حينئذ فلو فداه بصحيح أيضا جاز، لأنّ الآية في مقام نفي الاكتفاء بما</w:t>
      </w:r>
    </w:p>
    <w:p>
      <w:pPr>
        <w:pStyle w:val="BookText"/>
        <w:rPr/>
      </w:pPr>
      <w:r>
        <w:rPr>
          <w:rFonts w:ascii="IRNazanin" w:hAnsi="IRNazanin" w:eastAsia="IRNazanin"/>
          <w:color w:val="111111"/>
          <w:sz w:val="28"/>
          <w:sz w:val="28"/>
          <w:szCs w:val="28"/>
          <w:rtl w:val="true"/>
          <w:lang w:bidi="fa-IR"/>
        </w:rPr>
        <w:t>دونه، فهو نوع بر و إحسان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المماثلة في المقام هي المماثلة في الجهة المرغوبة، من حيث الخصوصية النوعية و المالية، لا المماثلة المعتبرة في المثليات في باب الضمان، كيف و لا معنى لا في الحيوانات، كما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فيمكن التسوية من هذه الجهة بين الأنوثة و الذكورة، لو لا موجبية اختلافهما في اللحم، أرغبية الذكور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لو لا خصوصيات أخرى في الإناث الفاقدة في الذكور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للتأمل في أمثال المقام مجال، و لذا تأمل فيه أيضا بعض الأعاظم للتشكيك في الجهات المزبورة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أكل المحرم في الحل ما قتله، كان عليه فداءان عند جل الأعاظم، للنصوص المستفيضة التي منها قوله عليه السلام في نص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أكل طعاما لا ينبغي أكله و هو محرم، متعمدا، فعليه دم شاة</w:t>
      </w:r>
      <w:r>
        <w:rPr>
          <w:rFonts w:eastAsia="Amiri" w:cs="Amiri" w:ascii="Amiri" w:hAnsi="Amiri"/>
          <w:color w:val="111111"/>
          <w:sz w:val="28"/>
          <w:szCs w:val="28"/>
          <w:rtl w:val="true"/>
          <w:lang w:bidi="ar-SA"/>
        </w:rPr>
        <w:t xml:space="preserve">» </w:t>
      </w:r>
      <w:r>
        <w:rPr>
          <w:rStyle w:val="FootnoteAnchor"/>
          <w:rtl w:val="true"/>
        </w:rPr>
        <w:footnoteReference w:id="101"/>
      </w:r>
      <w:r>
        <w:rPr>
          <w:rFonts w:ascii="Amiri" w:hAnsi="Amiri" w:eastAsia="Amiri" w:cs="Amiri"/>
          <w:color w:val="111111"/>
          <w:sz w:val="28"/>
          <w:sz w:val="28"/>
          <w:szCs w:val="28"/>
          <w:rtl w:val="true"/>
          <w:lang w:bidi="ar-SA"/>
        </w:rPr>
        <w:t>، و بمعناه جملة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ذهب في المقام جمع آخر إلى أنّ بالأكل يثبت قيمته، فمع قتله يجتمع القيمة و الفداء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تمسكوا ببعض نصوص اخرى مشتملة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أي قوم اجتمعوا على صيد، فأكلوا منه، فإنّ على كل واحد منهم قيمته، فإن اجتمعوا في صيد فعليهم مثل ذلك</w:t>
      </w:r>
      <w:r>
        <w:rPr>
          <w:rFonts w:eastAsia="Amiri" w:cs="Amiri" w:ascii="Amiri" w:hAnsi="Amiri"/>
          <w:color w:val="111111"/>
          <w:sz w:val="28"/>
          <w:szCs w:val="28"/>
          <w:rtl w:val="true"/>
          <w:lang w:bidi="ar-SA"/>
        </w:rPr>
        <w:t xml:space="preserve">»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اهدي لنا طائر مذبوح بمكة، فأكله أهلنا،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يرى به أهل مكة بأسا، فأي شي‌ء تقول أنت؟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عليهم ثمنه</w:t>
      </w:r>
      <w:r>
        <w:rPr>
          <w:rFonts w:eastAsia="Amiri" w:cs="Amiri" w:ascii="Amiri" w:hAnsi="Amiri"/>
          <w:color w:val="111111"/>
          <w:sz w:val="28"/>
          <w:szCs w:val="28"/>
          <w:rtl w:val="true"/>
          <w:lang w:bidi="ar-SA"/>
        </w:rPr>
        <w:t xml:space="preserve">»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لكن رماهما بعضهم بالضعف، بل جمعهما في الرياض </w:t>
      </w:r>
      <w:r>
        <w:rPr>
          <w:rStyle w:val="FootnoteAnchor"/>
          <w:rtl w:val="true"/>
        </w:rPr>
        <w:footnoteReference w:id="104"/>
      </w:r>
      <w:r>
        <w:rPr>
          <w:rFonts w:ascii="Amiri" w:hAnsi="Amiri" w:eastAsia="Amiri" w:cs="Amiri"/>
          <w:color w:val="111111"/>
          <w:sz w:val="28"/>
          <w:sz w:val="28"/>
          <w:szCs w:val="28"/>
          <w:rtl w:val="true"/>
          <w:lang w:bidi="ar-SA"/>
        </w:rPr>
        <w:t xml:space="preserve">مع السابقة بحمل القيمة في الأول على البدل المخصوص، بقرينة المماثلة في ذيله، المحمولة على الفداء جزما، و الثانية على المحل في الحرم، بقرينة نص آخر مصرح به في كشف اللثام </w:t>
      </w:r>
      <w:r>
        <w:rPr>
          <w:rStyle w:val="FootnoteAnchor"/>
          <w:rtl w:val="true"/>
        </w:rPr>
        <w:footnoteReference w:id="105"/>
      </w:r>
      <w:r>
        <w:rPr>
          <w:rFonts w:ascii="Amiri" w:hAnsi="Amiri" w:eastAsia="Amiri" w:cs="Amiri"/>
          <w:color w:val="111111"/>
          <w:sz w:val="28"/>
          <w:sz w:val="28"/>
          <w:szCs w:val="28"/>
          <w:rtl w:val="true"/>
          <w:lang w:bidi="ar-SA"/>
        </w:rPr>
        <w:t>، بعد ذكر هذه الرواية، في توجيه النص الثاني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فالثمن مستحب، بل بعد نقل الرواية الأولى، أفاد بأنّ الظاهر أنّ أهل مكة كانوا لا يرون بأسا، لأنّ الآكلين محلون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فرض كون المذبوح في الحرم حراما على المحلين أيضا، حتى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بمنزلة الميتة، و في النص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يدفن، بل ربما قيل بتقديم الميتة عليه في المخمصة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لا يعرف لهذا التوجيه وجه، و عليك بالتأمل فيه، لعلك ترى ما غفلنا عنه، فإن الإنسان يساوق السهو و النسيان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لا وجه لحمل الثمن في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حق المحل، بعد حرمة أكله من المذبوح في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الاستحباب، بعد ظهور الرواية في وجوبه، إلّا قيام إجماع على خلاف ظاهر النص، و لم يعرف مثل هذا المعنى من كلماتهم، بل أفتى بعض من أثق بتتبعه بكون الكفارة في حق المحل المزبور بالمضاعف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فللتأمل و التدبّر في المسألة، بالإضافة إلى أكل المحل ما هو حرام عليه من المذبوح في الحرم، مجال،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أكل ما ذبحه غيره ففداء واحدة من جهة أكله فقط، للنصوص السابقة</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اشترك جماعة في قتله، فعلى كل واحد فداء، و ذلك لما في المستفيضة الواردة في المحرمين في الحل، و إلّا ففي الحرم لا بد من تضاعف</w:t>
      </w:r>
    </w:p>
    <w:p>
      <w:pPr>
        <w:pStyle w:val="BookText"/>
        <w:rPr/>
      </w:pPr>
      <w:r>
        <w:rPr>
          <w:rFonts w:ascii="Amiri" w:hAnsi="Amiri" w:eastAsia="Amiri" w:cs="Amiri"/>
          <w:color w:val="111111"/>
          <w:sz w:val="28"/>
          <w:sz w:val="28"/>
          <w:szCs w:val="28"/>
          <w:rtl w:val="true"/>
          <w:lang w:bidi="ar-SA"/>
        </w:rPr>
        <w:t>الجزاء على ما تقدّم، من حفظ إطلاق حرمة الحرم و الإحرام، كما يستفاد من مجموع النصوص الواردة في تضاعف الكفارة في صيد المحرم في الحرم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و مثل هذا الحكم أيضا جار في المحل في الحرم، لأنّ المستفاد من النصوص المزبورة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المشاركة في القتل، مثل الاستقلال في السببية، لكفارة مستقلة، فيتعدّى حينئذ عن موردها إلى المحل في الحرم، حيث أثبتنا عليه قيمة كفارته، فراجع و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 من كان معه صيد، و يزول ملكه عنه بالإحرام على المشهور بين الأصحاب، خلافا لابن الجنيد و غيره، حيث منعوا زوال الملكية، و إنما الواجب عليه إرساله و إخراجه عن 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مستند خلافهم اختلافهم في فهم المراد من نص ابن سعيد المكاري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يحرم أحد و معه شي‌ء من الصيد، حتى يخرجه عن ملكه، فإن أدخله الحرم وجب عليه أن يخليه، فإن لم يفعل حتى يدخل الحرم فمات، لزمه الفداء</w:t>
      </w:r>
      <w:r>
        <w:rPr>
          <w:rFonts w:eastAsia="Amiri" w:cs="Amiri" w:ascii="Amiri" w:hAnsi="Amiri"/>
          <w:color w:val="111111"/>
          <w:sz w:val="28"/>
          <w:szCs w:val="28"/>
          <w:rtl w:val="true"/>
          <w:lang w:bidi="ar-SA"/>
        </w:rPr>
        <w:t xml:space="preserve">»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ذلك لأنّ الظاهر من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بقرينة نفي الإحرام إلّا بإخراج الصيد عن 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الإخراج مقدّمة لإحرامه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المعنى خلاف الإجماع، فلا بد أن يحمل على بيان المضادة بين الإحرام و بقاء الملكية، كما هو مذهب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على كون وجوب الإخراج من أحكام الإحرام، و إن بقي الإحرام، من باب نفي الملزوم بنفي لازمة، و هو مذهب ابن الجنيد</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إنصافا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أقربية المعنى الأخير من الأول، و لعلّه من جهة قوة هذه الشبهة جعل في تكملة أستاذنا العلّامة الحكم المزبور على اشكال</w:t>
      </w:r>
      <w:r>
        <w:rPr>
          <w:rFonts w:eastAsia="Amiri" w:cs="Amiri" w:ascii="Amiri" w:hAnsi="Amiri"/>
          <w:color w:val="111111"/>
          <w:sz w:val="28"/>
          <w:szCs w:val="28"/>
          <w:rtl w:val="true"/>
          <w:lang w:bidi="ar-SA"/>
        </w:rPr>
        <w:t>.</w:t>
      </w:r>
      <w:bookmarkStart w:id="54" w:name="pg19818_203899"/>
    </w:p>
    <w:p>
      <w:pPr>
        <w:pStyle w:val="BookText"/>
        <w:rPr/>
      </w:pPr>
      <w:bookmarkEnd w:id="54"/>
      <w:r>
        <w:rPr>
          <w:rFonts w:ascii="Amiri" w:hAnsi="Amiri" w:eastAsia="Amiri" w:cs="Amiri"/>
          <w:color w:val="111111"/>
          <w:sz w:val="28"/>
          <w:sz w:val="28"/>
          <w:szCs w:val="28"/>
          <w:rtl w:val="true"/>
          <w:lang w:bidi="ar-SA"/>
        </w:rPr>
        <w:t>ثم انه على مذهب ابن الجنيد يكفي في الطيور و كثير من الوحوش نفس إرساله، لأنه بمنزلة إتلافه المخرج عن ملكه، كالقائه في البحر، مما لا يمكن أخذه بعد الإرسال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من الأمور الخطيرة، فاعراضه عنه بإرساله كاف أيضا في الإخراج، و إلّا فيشكل الاكتفاء بإرساله، فلا بد من إخراجه عن ملكه بوجه من الوجوه، و لو بنقله إلى محل قابل لتملّكه،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التأمل في النص المزبور ظهر أيضا وجه ما أفاده المصنف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يجب عليه إرساله، فإن أمسكه ضمنه حسب الكلية المشار إليها سابقا، من أنّ كل ما لا تقدير لكفارته فكفارته قيمته</w:t>
      </w:r>
      <w:r>
        <w:rPr>
          <w:rFonts w:eastAsia="Amiri" w:cs="Amiri" w:ascii="Amiri" w:hAnsi="Amiri"/>
          <w:color w:val="111111"/>
          <w:sz w:val="28"/>
          <w:szCs w:val="28"/>
          <w:rtl w:val="true"/>
          <w:lang w:bidi="ar-SA"/>
        </w:rPr>
        <w:t>.</w:t>
      </w:r>
    </w:p>
    <w:p>
      <w:pPr>
        <w:pStyle w:val="Heading5"/>
        <w:numPr>
          <w:ilvl w:val="4"/>
          <w:numId w:val="1"/>
        </w:numPr>
        <w:rPr/>
      </w:pPr>
      <w:bookmarkStart w:id="55" w:name="__RefHeading___Toc3320726_2314609296"/>
      <w:bookmarkStart w:id="56" w:name="_Toc21"/>
      <w:bookmarkEnd w:id="55"/>
      <w:r>
        <w:rPr>
          <w:rtl w:val="true"/>
        </w:rPr>
        <w:t>مسائل</w:t>
      </w:r>
      <w:bookmarkEnd w:id="56"/>
    </w:p>
    <w:p>
      <w:pPr>
        <w:pStyle w:val="Heading6"/>
        <w:numPr>
          <w:ilvl w:val="5"/>
          <w:numId w:val="1"/>
        </w:numPr>
        <w:rPr/>
      </w:pPr>
      <w:bookmarkStart w:id="57" w:name="__RefHeading___Toc3320728_2314609296"/>
      <w:bookmarkStart w:id="58" w:name="_Toc22"/>
      <w:bookmarkEnd w:id="57"/>
      <w:r>
        <w:rPr>
          <w:rtl w:val="true"/>
        </w:rPr>
        <w:t>الأولى</w:t>
      </w:r>
      <w:r>
        <w:rPr>
          <w:rtl w:val="true"/>
        </w:rPr>
        <w:t xml:space="preserve">: </w:t>
      </w:r>
      <w:r>
        <w:rPr>
          <w:rtl w:val="true"/>
        </w:rPr>
        <w:t>المحرم في الحل يجب عليه الفداء</w:t>
      </w:r>
      <w:bookmarkEnd w:id="58"/>
    </w:p>
    <w:p>
      <w:pPr>
        <w:pStyle w:val="BookText"/>
        <w:rPr/>
      </w:pPr>
      <w:r>
        <w:rPr>
          <w:rFonts w:ascii="Amiri" w:hAnsi="Amiri" w:eastAsia="Amiri" w:cs="Amiri"/>
          <w:color w:val="111111"/>
          <w:sz w:val="28"/>
          <w:sz w:val="28"/>
          <w:szCs w:val="28"/>
          <w:rtl w:val="true"/>
          <w:lang w:bidi="ar-SA"/>
        </w:rPr>
        <w:t>فيما كان لفديته تقدير منصوص، و إلّا ففيه أيضا مثل ما في المحل في الحرم القيمة في كلية باب الصيد، و مرجع القيمة فيها إلى القيمة السوقية، إلّا في باب الحمامة و فرخها و بيضها، المتقدّم تحديد قيمتها من الشرع بالدرهم و نصفه و ربعه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تقدّم شرح الجميع في طي المقدّمة التي أسسناها في أول الشروع في كفارات الصيد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انه ظهر هناك أيضا وجه ما أفاده المصنف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يجتمعان على المحرم في الحرم زائدا على ما تقدّم أيضا في كفارة الحمامة و فرخها و بيضها، لقاعدة اجتماع السببين، من الإحرام و الحرم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أيضا ينزّل ما ورد في تضاعف الكفارة، في جملة من النصوص</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مقتضى جملة منها ثبوت المضاعفة، و إن بلغ الفداء بدنة، خلافا لما في المرسلة المعمول بها عند الجل، المشتملة على المضاعفة</w:t>
      </w:r>
      <w:r>
        <w:rPr>
          <w:rFonts w:eastAsia="Amiri" w:cs="Amiri" w:ascii="Amiri" w:hAnsi="Amiri"/>
          <w:color w:val="111111"/>
          <w:sz w:val="28"/>
          <w:szCs w:val="28"/>
          <w:rtl w:val="true"/>
          <w:lang w:bidi="ar-SA"/>
        </w:rPr>
        <w:t>.</w:t>
      </w:r>
      <w:bookmarkStart w:id="59" w:name="pg19818_203900"/>
    </w:p>
    <w:p>
      <w:pPr>
        <w:pStyle w:val="BookText"/>
        <w:rPr/>
      </w:pPr>
      <w:bookmarkEnd w:id="59"/>
      <w:r>
        <w:rPr>
          <w:rFonts w:ascii="Amiri" w:hAnsi="Amiri" w:eastAsia="Amiri" w:cs="Amiri"/>
          <w:color w:val="111111"/>
          <w:sz w:val="28"/>
          <w:sz w:val="28"/>
          <w:szCs w:val="28"/>
          <w:rtl w:val="true"/>
          <w:lang w:bidi="ar-SA"/>
        </w:rPr>
        <w:t>ما لم يبلغ بدنة فلا تتضاعف، لأنه أعظم ما تكون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جهة قوة الإطلاقات و ضعف سند المرسلة، جعل في تكملة أستاذنا العلّامة الحكم المزبور على الأحوط و إن اقتضت الأصول حينئذ عدم التضاعف</w:t>
      </w:r>
      <w:r>
        <w:rPr>
          <w:rFonts w:eastAsia="Amiri" w:cs="Amiri" w:ascii="Amiri" w:hAnsi="Amiri"/>
          <w:color w:val="111111"/>
          <w:sz w:val="28"/>
          <w:szCs w:val="28"/>
          <w:rtl w:val="true"/>
          <w:lang w:bidi="ar-SA"/>
        </w:rPr>
        <w:t>.</w:t>
      </w:r>
    </w:p>
    <w:p>
      <w:pPr>
        <w:pStyle w:val="Heading6"/>
        <w:numPr>
          <w:ilvl w:val="5"/>
          <w:numId w:val="1"/>
        </w:numPr>
        <w:rPr/>
      </w:pPr>
      <w:bookmarkStart w:id="60" w:name="__RefHeading___Toc3320730_2314609296"/>
      <w:bookmarkStart w:id="61" w:name="_Toc23"/>
      <w:bookmarkEnd w:id="60"/>
      <w:r>
        <w:rPr>
          <w:rtl w:val="true"/>
        </w:rPr>
        <w:t>الثانية</w:t>
      </w:r>
      <w:r>
        <w:rPr>
          <w:rtl w:val="true"/>
        </w:rPr>
        <w:t xml:space="preserve">: </w:t>
      </w:r>
      <w:r>
        <w:rPr>
          <w:rtl w:val="true"/>
        </w:rPr>
        <w:t>يضمن الصيد بالقتل عمدا و سهوا و جهلا</w:t>
      </w:r>
      <w:bookmarkEnd w:id="61"/>
    </w:p>
    <w:p>
      <w:pPr>
        <w:pStyle w:val="BookText"/>
        <w:rPr/>
      </w:pPr>
      <w:r>
        <w:rPr>
          <w:rFonts w:ascii="Amiri" w:hAnsi="Amiri" w:eastAsia="Amiri" w:cs="Amiri"/>
          <w:color w:val="111111"/>
          <w:sz w:val="28"/>
          <w:sz w:val="28"/>
          <w:szCs w:val="28"/>
          <w:rtl w:val="true"/>
          <w:lang w:bidi="ar-SA"/>
        </w:rPr>
        <w:t xml:space="preserve">بلا إشكال، لإطلاق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محرم أصاب صيدا،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الكفارة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عاد؟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عاد عليه كفارة</w:t>
      </w:r>
      <w:r>
        <w:rPr>
          <w:rFonts w:eastAsia="Amiri" w:cs="Amiri" w:ascii="Amiri" w:hAnsi="Amiri"/>
          <w:color w:val="111111"/>
          <w:sz w:val="28"/>
          <w:szCs w:val="28"/>
          <w:rtl w:val="true"/>
          <w:lang w:bidi="ar-SA"/>
        </w:rPr>
        <w:t xml:space="preserve">»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نظيره ما رويناه عن الإمام أبي جعفر عليه السلام فراجع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المحرم يصيد الصيد؟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الكفارة في كل ما أصاب</w:t>
      </w:r>
      <w:r>
        <w:rPr>
          <w:rFonts w:eastAsia="Amiri" w:cs="Amiri" w:ascii="Amiri" w:hAnsi="Amiri"/>
          <w:color w:val="111111"/>
          <w:sz w:val="28"/>
          <w:szCs w:val="28"/>
          <w:rtl w:val="true"/>
          <w:lang w:bidi="ar-SA"/>
        </w:rPr>
        <w:t xml:space="preserve">»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كله في المحرم في الحل، و هكذا المحل في الحرم، لإطلاق أدلته المذكورة في مقدمة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مقتضى إطلاقها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مثل المحرم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التكرار أيضا في الخطأ و العمد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 قبالها في المحرم المرسلة المعمول بها، المشتملة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أصاب الصيد في الحل خطأ فعليه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ما أصاب الكفارة، فإن عاد فأصاب ثانيا متعمدا فليس عليه الكفارة، و هو ممن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عٰادَ فَيَنْتَقِمُ اللّٰهُ مِنْهُ</w:t>
      </w:r>
      <w:r>
        <w:rPr>
          <w:rFonts w:eastAsia="Amiri" w:cs="Amiri" w:ascii="Amiri" w:hAnsi="Amiri"/>
          <w:color w:val="111111"/>
          <w:sz w:val="28"/>
          <w:szCs w:val="28"/>
          <w:rtl w:val="true"/>
          <w:lang w:bidi="ar-SA"/>
        </w:rPr>
        <w:t xml:space="preserve">» </w:t>
      </w:r>
      <w:r>
        <w:rPr>
          <w:rStyle w:val="FootnoteAnchor"/>
          <w:rtl w:val="true"/>
        </w:rPr>
        <w:footnoteReference w:id="110"/>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بمضمونها أيضا صحيحة الحلبي </w:t>
      </w:r>
      <w:r>
        <w:rPr>
          <w:rStyle w:val="FootnoteAnchor"/>
          <w:rtl w:val="true"/>
        </w:rPr>
        <w:footnoteReference w:id="111"/>
      </w:r>
      <w:r>
        <w:rPr>
          <w:rFonts w:ascii="Amiri" w:hAnsi="Amiri" w:eastAsia="Amiri" w:cs="Amiri"/>
          <w:color w:val="111111"/>
          <w:sz w:val="28"/>
          <w:sz w:val="28"/>
          <w:szCs w:val="28"/>
          <w:rtl w:val="true"/>
          <w:lang w:bidi="ar-SA"/>
        </w:rPr>
        <w:t>، و بهما تقيد الإطلاقات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شمول العائد للجاهل اشكال، و في الجواهر أيضا أدخله في المخطئ </w:t>
      </w:r>
      <w:r>
        <w:rPr>
          <w:rStyle w:val="FootnoteAnchor"/>
          <w:rtl w:val="true"/>
        </w:rPr>
        <w:footnoteReference w:id="112"/>
      </w:r>
      <w:r>
        <w:rPr>
          <w:rFonts w:ascii="Amiri" w:hAnsi="Amiri" w:eastAsia="Amiri" w:cs="Amiri"/>
          <w:color w:val="111111"/>
          <w:sz w:val="28"/>
          <w:sz w:val="28"/>
          <w:szCs w:val="28"/>
          <w:rtl w:val="true"/>
          <w:lang w:bidi="ar-SA"/>
        </w:rPr>
        <w:t>، و ان كان في المتردد الملتفت لا يخلو عن تأمل، لو لا دعوى أنّ التردد المستتبع للحكم بالارتكاب مستند في النهاية إلى خطائه، بخلاف ما لو استتبع لوجوب اجتنابه، فإنه متعمد، حيث انّ الشارع حينئذ ألغى اعتبار شكه، فلا يكون ارتكابه حينئذ مستندا إلى خطائه، بل مسبب عن سوء اختياره، كما هو الشأن في باب الخطأ و العمد في باب الصلاة،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ذكرنا ظهر وجه ما أفاده المصنف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تكرر الخطأ تكررت الكفارة، بلا اشكال و لا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العمد بمعنى أنّ في العمد الأول كفارة بلا اشكال، و إنما الكلام في العمد بعده، فإنه على الأشهر لا كفارة، للنصوص المستفيضة، خصوصا المرسلة المتقدمة، خلافا لجماعة فالتزموا فيه أيضا بتكرر الكفارة، للإطلاقات، و طرح المرسلة و غيرها سندا أو 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حكي وجهه في المطولات، خصوصا الجواهر </w:t>
      </w:r>
      <w:r>
        <w:rPr>
          <w:rStyle w:val="FootnoteAnchor"/>
          <w:rtl w:val="true"/>
        </w:rPr>
        <w:footnoteReference w:id="113"/>
      </w: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على أي حال، ففي التعدّي عن المحرم في الحل إلى المحل في الحرم، و لو للفحوى اشكال، و في تكملة أستاذنا العلّامة أيضا تقييد إطلاق الحكم المزبور بالمحل في الحرم، أخذا بمضمون المرسلة في المحرم في الحل، و عدم التعدّي منها الى غيرها</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هكذا في الجواهر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اختصاص ذلك بالمحرم دون المحل في الحرم، كما صرّح به ثاني الشهيدين </w:t>
      </w:r>
      <w:r>
        <w:rPr>
          <w:rStyle w:val="FootnoteAnchor"/>
          <w:rtl w:val="true"/>
        </w:rPr>
        <w:footnoteReference w:id="114"/>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bookmarkStart w:id="62" w:name="pg19818_203902"/>
    </w:p>
    <w:p>
      <w:pPr>
        <w:pStyle w:val="Heading6"/>
        <w:numPr>
          <w:ilvl w:val="5"/>
          <w:numId w:val="1"/>
        </w:numPr>
        <w:rPr/>
      </w:pPr>
      <w:bookmarkStart w:id="63" w:name="__RefHeading___Toc3320732_2314609296"/>
      <w:bookmarkStart w:id="64" w:name="_Toc24"/>
      <w:bookmarkEnd w:id="62"/>
      <w:bookmarkEnd w:id="63"/>
      <w:r>
        <w:rPr>
          <w:rtl w:val="true"/>
        </w:rPr>
        <w:t>الثالثة</w:t>
      </w:r>
      <w:r>
        <w:rPr>
          <w:rtl w:val="true"/>
        </w:rPr>
        <w:t xml:space="preserve">: </w:t>
      </w:r>
      <w:r>
        <w:rPr>
          <w:rtl w:val="true"/>
        </w:rPr>
        <w:t>لو اضطر إلى أكل الصيد أو الميتة أكل الصيد</w:t>
      </w:r>
      <w:bookmarkEnd w:id="64"/>
    </w:p>
    <w:p>
      <w:pPr>
        <w:pStyle w:val="BookText"/>
        <w:rPr/>
      </w:pPr>
      <w:r>
        <w:rPr>
          <w:rFonts w:ascii="Amiri" w:hAnsi="Amiri" w:eastAsia="Amiri" w:cs="Amiri"/>
          <w:color w:val="111111"/>
          <w:sz w:val="28"/>
          <w:sz w:val="28"/>
          <w:szCs w:val="28"/>
          <w:rtl w:val="true"/>
          <w:lang w:bidi="ar-SA"/>
        </w:rPr>
        <w:t>و فداه مع المكنة، و إلّا أكل الميتة، و ظاهره كون جواز أكله الصيد مشروط بتمكنه من الفداء، و مع عدم التمكن تقدّم الميتة، كما هو أحد الأقوال في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حمل الاستثناء على بيان عدم حرمة أكل الميتة حينئذ، و انّ قوله أكل الميتة لدفع توهم الحظر، فمفاده مع عدم التمكن يتخيّر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فيجعل ذلك سادس الأقوال، لو كان القول بالتخيير هو التخيير مطلقا،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أي حال، منشأ اختلاف الأقوال، اختلاف نصوص الباب </w:t>
      </w:r>
      <w:r>
        <w:rPr>
          <w:rStyle w:val="FootnoteAnchor"/>
          <w:rtl w:val="true"/>
        </w:rPr>
        <w:footnoteReference w:id="115"/>
      </w:r>
      <w:r>
        <w:rPr>
          <w:rFonts w:ascii="Amiri" w:hAnsi="Amiri" w:eastAsia="Amiri" w:cs="Amiri"/>
          <w:color w:val="111111"/>
          <w:sz w:val="28"/>
          <w:sz w:val="28"/>
          <w:szCs w:val="28"/>
          <w:rtl w:val="true"/>
          <w:lang w:bidi="ar-SA"/>
        </w:rPr>
        <w:t>، ففي جملة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تقديم الصيد و عليك الفداء </w:t>
      </w:r>
      <w:r>
        <w:rPr>
          <w:rStyle w:val="FootnoteAnchor"/>
          <w:rtl w:val="true"/>
        </w:rPr>
        <w:footnoteReference w:id="116"/>
      </w:r>
      <w:r>
        <w:rPr>
          <w:rFonts w:ascii="Amiri" w:hAnsi="Amiri" w:eastAsia="Amiri" w:cs="Amiri"/>
          <w:color w:val="111111"/>
          <w:sz w:val="28"/>
          <w:sz w:val="28"/>
          <w:szCs w:val="28"/>
          <w:rtl w:val="true"/>
          <w:lang w:bidi="ar-SA"/>
        </w:rPr>
        <w:t>، و في بعضها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فكل و أفده</w:t>
      </w:r>
      <w:r>
        <w:rPr>
          <w:rFonts w:eastAsia="Amiri" w:cs="Amiri" w:ascii="Amiri" w:hAnsi="Amiri"/>
          <w:color w:val="111111"/>
          <w:sz w:val="28"/>
          <w:szCs w:val="28"/>
          <w:rtl w:val="true"/>
          <w:lang w:bidi="ar-SA"/>
        </w:rPr>
        <w:t xml:space="preserve">»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ظاهر الأخير صورة التمكن من الفداء، بخلاف لسان الأول، فإنّ ظاهره كون الفداء على عهدته، و هو أعم من تمكنه فعلا أو مآلا أم لا، كما هو الشأن في كلية باب الضمانات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الدوران يؤخذ بلسان الأول، لأنه أوسع دائرة عن الثاني، بعد عدم استفادة التقييد منه، و إلّا فلا بد أن يقيّد، لثبوت وحدة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على فرض الأخذ بالمقيد، لا محيص عن حمل التمكن على التمكن مآلا، لا خصوص الفعلي منه، بشهادة نص يونس بن يعقوب، المشتمل ذيله على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يكن عندي مال،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تقضيه إذا رجعت إلى مالك</w:t>
      </w:r>
      <w:r>
        <w:rPr>
          <w:rFonts w:eastAsia="Amiri" w:cs="Amiri" w:ascii="Amiri" w:hAnsi="Amiri"/>
          <w:color w:val="111111"/>
          <w:sz w:val="28"/>
          <w:szCs w:val="28"/>
          <w:rtl w:val="true"/>
          <w:lang w:bidi="ar-SA"/>
        </w:rPr>
        <w:t xml:space="preserve">»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قبال هذه النصوص نص عبد الغفار الجازي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عن المحرم إذا اضطر إلى ميتة فوجدها و وجد صيدا،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يأكل الميتة و يترك</w:t>
      </w:r>
    </w:p>
    <w:p>
      <w:pPr>
        <w:pStyle w:val="BookText"/>
        <w:rPr/>
      </w:pPr>
      <w:r>
        <w:rPr>
          <w:rFonts w:ascii="Amiri" w:hAnsi="Amiri" w:eastAsia="Amiri" w:cs="Amiri"/>
          <w:color w:val="111111"/>
          <w:sz w:val="28"/>
          <w:sz w:val="28"/>
          <w:szCs w:val="28"/>
          <w:rtl w:val="true"/>
          <w:lang w:bidi="ar-SA"/>
        </w:rPr>
        <w:t>الصيد</w:t>
      </w:r>
      <w:r>
        <w:rPr>
          <w:rFonts w:eastAsia="Amiri" w:cs="Amiri" w:ascii="Amiri" w:hAnsi="Amiri"/>
          <w:color w:val="111111"/>
          <w:sz w:val="28"/>
          <w:szCs w:val="28"/>
          <w:rtl w:val="true"/>
          <w:lang w:bidi="ar-SA"/>
        </w:rPr>
        <w:t xml:space="preserve">»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نص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يأكل الميتة التي أحل اللّٰه له</w:t>
      </w:r>
      <w:r>
        <w:rPr>
          <w:rFonts w:eastAsia="Amiri" w:cs="Amiri" w:ascii="Amiri" w:hAnsi="Amiri"/>
          <w:color w:val="111111"/>
          <w:sz w:val="28"/>
          <w:szCs w:val="28"/>
          <w:rtl w:val="true"/>
          <w:lang w:bidi="ar-SA"/>
        </w:rPr>
        <w:t xml:space="preserve">»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مقتضى الجمع بين هذه الطائفة و الطائفة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الظاهرة في خصوص صورة القدرة على الفداء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تقييد هذه المطلقات بصورة القدرة كما هو أحد الأقوال في المسألة، و هو أيضا محتمل كلام المصنف، بل ظاهره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بعد كون المدار في الحجية على مفاد الطائفة الأولى، فلا محيص عن ملاحظة النسبة بينها، و من المعلوم انّ مقتضى إطلاقها التباين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مثله لا معنى للجمع المذكور، و لو بشهادة النصوص المختصة بحال القدرة، إذ ذلك من باب نفي الإطلاق لا من باب الظهور في التقييد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فلا محيص عن رفع اليد عن إطلاق هيئة كل واحد، و حملها على ثبوت الوجوب في الجملة، و لو تخييرا، و إلّا فلا محيص عن انتهاء الأمر إلى التعارض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لا محيص عن تقديم الطائفة الأولى على الثانية بمخالفة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كله أيضا بناء على الوثوق بسند الثانية، و لو من جهة الوثوق بأنّ منشأ التفصيل في الكلمات هو الجمع بين الطائفتين، و إلّا فبناء على ما أفاده في الجواهر، من ضعف الاسناد بنحو لا تقاوم الأولى، فلا تنتهي النوبة إلى التفصيلات المزبورة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بمثل هذه البيانات أيضا ظهر مدرك جملة من الأقوال</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مدرك القول بتقديم الميتة، مع كون الذبيحة ذبيحة المحرم، لأنه حينئذ ميتة و زيادة كونه صيدا حراما على المحرم، فتقدم الميتة من غير الصيد،</w:t>
      </w:r>
      <w:bookmarkStart w:id="65" w:name="pg19818_203904"/>
    </w:p>
    <w:p>
      <w:pPr>
        <w:pStyle w:val="BookText"/>
        <w:rPr/>
      </w:pPr>
      <w:bookmarkEnd w:id="65"/>
      <w:r>
        <w:rPr>
          <w:rFonts w:ascii="Amiri" w:hAnsi="Amiri" w:eastAsia="Amiri" w:cs="Amiri"/>
          <w:color w:val="111111"/>
          <w:sz w:val="28"/>
          <w:sz w:val="28"/>
          <w:szCs w:val="28"/>
          <w:rtl w:val="true"/>
          <w:lang w:bidi="ar-SA"/>
        </w:rPr>
        <w:t>فهو اجتهاد في قبال إطلاق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تحمل النصوص على فرض الدوران بين الصيد بما هو صيد، و الميتة، بلا نظر إلى صيرورته ميتة بجهته، و لذا ربما لا يشمل صيدا مات حتف أنفه بلا ذبح أحد إياه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أمكن دعوى تقديم الميتة بمناط المزاحمة على الصيد المزبور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الإنصاف إطلاق أخبار الصيد من هذه الجهة، فلا يبقى مجال للجمع بينهما بما ذكر، كما انه لا وجه لتقديم الميتة مطلقا، إلّا بطرح النصوص المستفيضة السابقة، و هو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فاردأ الأقوال هذا القول، ثم سابقه، ثم التفصيلات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فأقوى الأقوال مدركا هو التخيير مطلقا جمعا، أو تقديم الصيد مطلقا ترجيحا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عدم التمكن عن الفداء يبقى على عهدته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يؤخذ بإطلاق أدلة بقية الإبدال أيضا، مع عدم وجدان سابقه، إلى أن ينتهي إلى الصوم، كما لا يخفى، و اللّٰه العالم</w:t>
      </w:r>
      <w:r>
        <w:rPr>
          <w:rFonts w:eastAsia="Amiri" w:cs="Amiri" w:ascii="Amiri" w:hAnsi="Amiri"/>
          <w:color w:val="111111"/>
          <w:sz w:val="28"/>
          <w:szCs w:val="28"/>
          <w:rtl w:val="true"/>
          <w:lang w:bidi="ar-SA"/>
        </w:rPr>
        <w:t>.</w:t>
      </w:r>
    </w:p>
    <w:p>
      <w:pPr>
        <w:pStyle w:val="Heading6"/>
        <w:numPr>
          <w:ilvl w:val="5"/>
          <w:numId w:val="1"/>
        </w:numPr>
        <w:rPr/>
      </w:pPr>
      <w:bookmarkStart w:id="66" w:name="__RefHeading___Toc3320734_2314609296"/>
      <w:bookmarkStart w:id="67" w:name="_Toc25"/>
      <w:bookmarkEnd w:id="66"/>
      <w:r>
        <w:rPr>
          <w:rtl w:val="true"/>
        </w:rPr>
        <w:t>الرابعة</w:t>
      </w:r>
      <w:r>
        <w:rPr>
          <w:rtl w:val="true"/>
        </w:rPr>
        <w:t xml:space="preserve">: </w:t>
      </w:r>
      <w:r>
        <w:rPr>
          <w:rtl w:val="true"/>
        </w:rPr>
        <w:t>فداء الصيد المملوك لصاحبه،</w:t>
      </w:r>
      <w:bookmarkEnd w:id="67"/>
    </w:p>
    <w:p>
      <w:pPr>
        <w:pStyle w:val="BookText"/>
        <w:rPr/>
      </w:pPr>
      <w:r>
        <w:rPr>
          <w:rFonts w:ascii="Amiri" w:hAnsi="Amiri" w:eastAsia="Amiri" w:cs="Amiri"/>
          <w:color w:val="111111"/>
          <w:sz w:val="28"/>
          <w:sz w:val="28"/>
          <w:szCs w:val="28"/>
          <w:rtl w:val="true"/>
          <w:lang w:bidi="ar-SA"/>
        </w:rPr>
        <w:t>و غير المملوك يتصدّق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العبارة انه ليس على المحرم المتلف لمال الغير بد لأن، أحدهما للمالك و الآخر صدقة للفقراء، بل ليس عليه إلّا بدل واحد، و هو للمالك من دون فرق بين البدل المقدّر و غيره، و بين كون المقدّر زائدا عن مالية التالف بحسب السوق أم ناقصا أم مساويا</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الالتزام بهذا المعنى مستتبع لمحذور خلاف القواعد من جهات، بل مقتضى القواعد الجمع بين إعطاء القيمة للمالك، و كون المقدار</w:t>
      </w:r>
    </w:p>
    <w:p>
      <w:pPr>
        <w:pStyle w:val="BookText"/>
        <w:rPr/>
      </w:pPr>
      <w:r>
        <w:rPr>
          <w:rFonts w:ascii="Amiri" w:hAnsi="Amiri" w:eastAsia="Amiri" w:cs="Amiri"/>
          <w:color w:val="111111"/>
          <w:sz w:val="28"/>
          <w:sz w:val="28"/>
          <w:szCs w:val="28"/>
          <w:rtl w:val="true"/>
          <w:lang w:bidi="ar-SA"/>
        </w:rPr>
        <w:t xml:space="preserve">المقدر شرعا للّٰه تعالى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نسب هذا المعنى إلى جمع من الأعاظم، و قوّاه، جمعا بين إطلاقات ضمان المتلف للمالك، و بين إطلاقات ثبوت الكفارة بقتل الصيد، أو دلالته، أو أكله، و أمثال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أفيد إنما يتم بناء على ما حققناه سابقا من أنّ باب الكفارة باب جبران المفسدة أو الجريمة لا من باب الضمان المصطلح، و انّ إطلاق الضمان على مثله أحيانا بضرب من العناية، فإنه لا تنافي بين ثبوت الجهتين على المحرم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لو قلنا بمقتضى ظواهر كلماتهم، من انّ ثبوت الفداء المخصوص بإطلاق أدلته، من باب التضمين الحقيقي،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شبهة في عدم قابلية مال واحد لضمانين، غاية الأمر للشارع تحديد ماليته بمرتبة مخصوصة، منطبقة على ما عيّن له من الفداء زاد عن ماليته السوقية أم نقص، كما هو الشأن في تعيين قيمة الحمامة بدرهم، و فرخه بنصفه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من المعلوم انّ قيمة الشي‌ء ليست إلّا باعتبار ماليته، غاية الأمر مثل هذه المالية، مع عدم التحديد من مالك الملوك، تنصرف إلى قيمته السوقية، و أما مع تعيين المالك الحقيقي، فتتعيّن المالية و القيمة فيما عين</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بعد ذلك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قضية ضمان المتلف للمالك كون القيمة المعينة لمالكه، و انّ تعيين النصوص مثل هذه القيمة في مصرف معيّن راجع الى حقوق اللّٰه، و منصرف إلى صورة لا يزاحمها حق الناس، و إلّا فمع مزاحمة حق الناس تصرف القيمة المفروضة فيهم، دون حق اللّٰه من الصدقة أو الذبح في مكة أو منى، و ليس في مثل هذا المعنى حينئذ مخالفا لقاعدة، على وجه يقتضي</w:t>
      </w:r>
    </w:p>
    <w:p>
      <w:pPr>
        <w:pStyle w:val="BookText"/>
        <w:rPr/>
      </w:pPr>
      <w:r>
        <w:rPr>
          <w:rFonts w:ascii="Amiri" w:hAnsi="Amiri" w:eastAsia="Amiri" w:cs="Amiri"/>
          <w:color w:val="111111"/>
          <w:sz w:val="28"/>
          <w:sz w:val="28"/>
          <w:szCs w:val="28"/>
          <w:rtl w:val="true"/>
          <w:lang w:bidi="ar-SA"/>
        </w:rPr>
        <w:t>رفع اليد عن قواعد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انه في صورة التضاعف بالأكل و القتل، أو بكونه محرما في الحرم أو بالدلالة أو الشركة في القتل، أيضا لا بد أن تحدد ماليته بمرتبة أخرى، منطبقة على ما قيل من التضاعف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فمستحق الجمع بالمزاحمة السابقة هو مالك العين، لأنه مستحق تمام المالية للعين، فإذا عيّن ذلك في هذه الصورة بالتضاعف المزبور، فلا بد أن يكون المستحق له بتمامه هو المالك لا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لكن الإنصاف انّ مثل هذا المعنى أيضا خلاف ظاهر كلماتهم من جهة أخرى، إذ الظاهر منهم انّ كل واحد من السببين موجب لضمان مستقل، غير الضمان الحاصل بالسبب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البديهي أنّ المال الواحد لا يصلح لضمانين، إذ ليس له إلّا مالية واحدة في عهدة صاحبه، و المالية الواحدة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قدرت بالقيمة السوقية أم بغيرها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تستعد إلّا لعهدة واحدة، تسمّى بالضمان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فيمكن جعل مثل هذه الجهة قرينة على عدم إرادتهم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تعبيراتهم في المقام بالضمان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الضمان المصطلح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لا وجه لرفع اليد عن مقتضى أدلتها، فإطلاق كون أمثال هذه المجعولات الإلهية من حقوق اللّٰه لها مصرف مخصوص، غير مرتبط بباب الضمان لمال الغير، غاية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بملاحظة إتلاف مال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تجي‌ء قواعد الضمان بلا مزاحمة حينئذ بين الحقين، كي تقتضي تقديم حقوق الناس على حقوقه تعالى، بإطلاق معاقد الإجماعات في أمثال الباب من المزاحمات، بل يؤتى كل ذي حق حقه</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لئن شك في انّ المقام أيضا من أي الوجهين، فقضية إطلاق القاعدة أيضا هو حفظ الحقين، لأنّ كون الفداء من باب الضمان موجب لتخصيص إطلاقات صرفها في سبيل اللّٰه، و لو للمزاحمة السابقة، و مع عدم إحراز هذه</w:t>
      </w:r>
      <w:bookmarkStart w:id="68" w:name="pg19818_203907"/>
    </w:p>
    <w:p>
      <w:pPr>
        <w:pStyle w:val="BookText"/>
        <w:rPr/>
      </w:pPr>
      <w:bookmarkEnd w:id="68"/>
      <w:r>
        <w:rPr>
          <w:rFonts w:ascii="Amiri" w:hAnsi="Amiri" w:eastAsia="Amiri" w:cs="Amiri"/>
          <w:color w:val="111111"/>
          <w:sz w:val="28"/>
          <w:sz w:val="28"/>
          <w:szCs w:val="28"/>
          <w:rtl w:val="true"/>
          <w:lang w:bidi="ar-SA"/>
        </w:rPr>
        <w:t>الجهة فنفس إطلاق الدليل كاف في صرفه في مصرفه، مع عدم منافاته أيضا مع اقتضاء قاعدة الضمان بالإتلاف أيضا لإعطاء قيمته للمالك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هذه الصورة أيضا لا وجه لتقدير ضمانه بمقدر شرعي، إذ المقدرات الشرعية محمولة على مصارفها المعيّنة، فجهة ضمانه للمالك تبقى بإطلاقها تحت القواعد، من الضمان بالقيمة السوقية، كما هو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التأمل فيما ذكرنا ظهر انّ الفداء المخصوص ليس في جميع المقامات إلّا في مصرف واحد من الصدقة، كان له مالك أم لا، غاية الأمر لو كان له مالك، كان له ضمان آخر بقيمته السوقية على حدة،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إليه أيضا ذهب أستاذنا العلّامة في تكملته،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ما فيه الفداء إن كان نفس قيمته، فمقتضى الإطلاقات التصدّق به مطلقا، و إن كان دما، من بدنة أو غيرها، فسيأتي حكمه، من انه يذبح في مكة أو في منى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لم يجد الدم فينتقل إلى قيمة البدل، ففيه أيضا مصرف مخصوص، من إطعام ستين مسكينا، أو ثلاثين، أو عشرة، على ما تقدّم شرح كل واحد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غير حمام الحرم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من حمام الحرم، يشتري بقيمته علف لحمامه و قد تقدّم شرح ذلك في ذيل اصابة المحرم في الحرم، فراجع</w:t>
      </w:r>
      <w:r>
        <w:rPr>
          <w:rFonts w:eastAsia="Amiri" w:cs="Amiri" w:ascii="Amiri" w:hAnsi="Amiri"/>
          <w:color w:val="111111"/>
          <w:sz w:val="28"/>
          <w:szCs w:val="28"/>
          <w:rtl w:val="true"/>
          <w:lang w:bidi="ar-SA"/>
        </w:rPr>
        <w:t>.</w:t>
      </w:r>
    </w:p>
    <w:p>
      <w:pPr>
        <w:pStyle w:val="Heading6"/>
        <w:numPr>
          <w:ilvl w:val="5"/>
          <w:numId w:val="1"/>
        </w:numPr>
        <w:rPr/>
      </w:pPr>
      <w:bookmarkStart w:id="69" w:name="__RefHeading___Toc3320736_2314609296"/>
      <w:bookmarkStart w:id="70" w:name="_Toc26"/>
      <w:bookmarkEnd w:id="69"/>
      <w:r>
        <w:rPr>
          <w:rtl w:val="true"/>
        </w:rPr>
        <w:t>الخامسة</w:t>
      </w:r>
      <w:r>
        <w:rPr>
          <w:rtl w:val="true"/>
        </w:rPr>
        <w:t xml:space="preserve">: </w:t>
      </w:r>
      <w:r>
        <w:rPr>
          <w:rtl w:val="true"/>
        </w:rPr>
        <w:t>ما يلزمه من الدم في إحرام الحج ينحره بمنى،</w:t>
      </w:r>
      <w:bookmarkEnd w:id="70"/>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كان معتمرا في مكة بالموضع المعروف بالحزورة، أما حكم المحرم بالحج، فالظاهر عدم الاشكال فيه فتوى، مطلقين فيه بين فداء الصيد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w:t>
      </w:r>
    </w:p>
    <w:p>
      <w:pPr>
        <w:pStyle w:val="BookText"/>
        <w:rPr/>
      </w:pPr>
      <w:r>
        <w:rPr>
          <w:rFonts w:ascii="Amiri" w:hAnsi="Amiri" w:eastAsia="Amiri" w:cs="Amiri"/>
          <w:color w:val="111111"/>
          <w:sz w:val="28"/>
          <w:sz w:val="28"/>
          <w:szCs w:val="28"/>
          <w:rtl w:val="true"/>
          <w:lang w:bidi="ar-SA"/>
        </w:rPr>
        <w:t xml:space="preserve">يتمسك له بإطلاق رواية ريان من كلام الجواد عليه السلام في مجلس المأمون في جواب يحيى بن أكثم </w:t>
      </w:r>
      <w:r>
        <w:rPr>
          <w:rStyle w:val="FootnoteAnchor"/>
          <w:rtl w:val="true"/>
        </w:rPr>
        <w:footnoteReference w:id="1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نظيره ما عن تحف العقول، من نقل هذه القضية بتغيير جزئي </w:t>
      </w:r>
      <w:r>
        <w:rPr>
          <w:rStyle w:val="FootnoteAnchor"/>
          <w:rtl w:val="true"/>
        </w:rPr>
        <w:footnoteReference w:id="123"/>
      </w:r>
      <w:r>
        <w:rPr>
          <w:rFonts w:ascii="Amiri" w:hAnsi="Amiri" w:eastAsia="Amiri" w:cs="Amiri"/>
          <w:color w:val="111111"/>
          <w:sz w:val="28"/>
          <w:sz w:val="28"/>
          <w:szCs w:val="28"/>
          <w:rtl w:val="true"/>
          <w:lang w:bidi="ar-SA"/>
        </w:rPr>
        <w:t>، كما أشرنا إليه سابقا، عند التعرض لهذه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أظن أنّ ما حكي عن علي بن إبراهيم عين هذه الفقرة، لا أنه رواية أخرى، و لا أقل من احتماله، كما هو الشأن في غالب المرسلات المتحدة مضمونا مع المسند، فلا وثوق في كونها رواية أخرى، قبال النصين السابقين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ذلك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ظهور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صدرا و ذيلا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كون الامام بصدد بيان أحكام الشقوق التي فصلها في جواب سؤال يحيى، عن حكم الصيد، لا يبقى إطلاق لمثل هذه الفقرة في طي هذا الجواب ليشمل حكم غير الصيد، فلا يكاد يتم مثل هذا الدليل على مدعاهم، فإن تم حينئذ إطلاق الحكم المزبور إجماعا فهو، و إلّا فللنظر فيما تمسكوا به من الإطلاقات مجال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قصارى ما يمكن أن يقال حينئذ هو انّ جواز ذبحه في منى إجماعي، و إنما الاحتمال لو كان في التخيير بينه و بين مكة مثل المحرم في العمرة، و أما احتمال خصوص مكة للمحرم بالحج، فلا أظن يلتزم به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فيرجع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الجزم بتقييد الحكم بأحد المكانين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التعيين و التخيير، و الأصل فيه هو التعيين</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كان المقام من باب الشك في التقييد بأصل المكان و عدمه، كان المورد من صغريات الأقل و الأكثر، كما يومئ إليه بعض الإطلاقات من النصوص، مثل قوله في كفارة النعامة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أصاب المحرم الصيد و لم يكفّر في موضعه الذي أصاب فيه الصيد، قوّم جزاءه</w:t>
      </w:r>
      <w:r>
        <w:rPr>
          <w:rFonts w:eastAsia="Amiri" w:cs="Amiri" w:ascii="Amiri" w:hAnsi="Amiri"/>
          <w:color w:val="111111"/>
          <w:sz w:val="28"/>
          <w:szCs w:val="28"/>
          <w:rtl w:val="true"/>
          <w:lang w:bidi="ar-SA"/>
        </w:rPr>
        <w:t xml:space="preserve">»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فليتصدق مكانه</w:t>
      </w:r>
      <w:r>
        <w:rPr>
          <w:rFonts w:eastAsia="Amiri" w:cs="Amiri" w:ascii="Amiri" w:hAnsi="Amiri"/>
          <w:color w:val="111111"/>
          <w:sz w:val="28"/>
          <w:szCs w:val="28"/>
          <w:rtl w:val="true"/>
          <w:lang w:bidi="ar-SA"/>
        </w:rPr>
        <w:t xml:space="preserve">»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مقطوعة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يفدي المحرم فداء الصيد من حيث صاد</w:t>
      </w:r>
      <w:r>
        <w:rPr>
          <w:rFonts w:eastAsia="Amiri" w:cs="Amiri" w:ascii="Amiri" w:hAnsi="Amiri"/>
          <w:color w:val="111111"/>
          <w:sz w:val="28"/>
          <w:szCs w:val="28"/>
          <w:rtl w:val="true"/>
          <w:lang w:bidi="ar-SA"/>
        </w:rPr>
        <w:t xml:space="preserve">»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حكى الفتوى به عن الأردبيلي </w:t>
      </w:r>
      <w:r>
        <w:rPr>
          <w:rStyle w:val="FootnoteAnchor"/>
          <w:rtl w:val="true"/>
        </w:rPr>
        <w:footnoteReference w:id="127"/>
      </w:r>
      <w:r>
        <w:rPr>
          <w:rFonts w:ascii="Amiri" w:hAnsi="Amiri" w:eastAsia="Amiri" w:cs="Amiri"/>
          <w:color w:val="111111"/>
          <w:sz w:val="28"/>
          <w:sz w:val="28"/>
          <w:szCs w:val="28"/>
          <w:rtl w:val="true"/>
          <w:lang w:bidi="ar-SA"/>
        </w:rPr>
        <w:t xml:space="preserve">، كما انّ في المدارك مصيره إلى عدم اشتراط المكان في غير كفارة الصيد، لاختصاص الصحاح المفصلة بين الحج و العمرة في كفارة الصيد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لا اعراض المشهور، و الوثوق بإطباق الأعاظم على طرح مثل هذه النصوص، لكان ما أفاده الأردبيلي في غاية المتانة، لقوة الإطلاقات على وجه يصلح قرينة لحمل المفصلات على الفضيلة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انّ ما أفاده المدارك في غير كفارة الصيد، من عدم شرطية المكان، فرع التشبث بمثل هذه الإطلاقات، بعد تقييدها بكفارة الصيد للصحيحة، أو بعدم الوثوق بتحصيل الإجماع في باب إحرام الحج، من تعيين مني، أو لا أقل من احتمال تعيينه على الوجه المتقدّم، كما هو مقتضى الانصاف، و إلّا فالأصل أيضا يقتضي ما أفاده في غير كفارة الصيد، حتى في الحج، من البراءة، فيتم ذلك في كفارة الصيد بمقتضى صحيحة ابن سنان، و خبر زرارة</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حينئذ لا بد من تعيين كفارة الحج بمنى، نعم في كفارة العمرة المفردة ورد نص آخر بأفضلية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يلحق غيرها بها، بعدم الفصل بين أقسام العمرة لو تم، و إلّا فيبقى المتمتع بها تحت إطلاق الصحيحة، من تعيين مكة، و إطلاقها من حيث كفارة الصيد و غيره، و إن كان قابلا للتخصيص بالصحيح السابق، لكن التصرف في هيئة الصحيحة في العمرة، بحملها على</w:t>
      </w:r>
      <w:bookmarkStart w:id="71" w:name="pg19818_203910"/>
    </w:p>
    <w:p>
      <w:pPr>
        <w:pStyle w:val="BookText"/>
        <w:rPr/>
      </w:pPr>
      <w:bookmarkEnd w:id="71"/>
      <w:r>
        <w:rPr>
          <w:rFonts w:ascii="Amiri" w:hAnsi="Amiri" w:eastAsia="Amiri" w:cs="Amiri"/>
          <w:color w:val="111111"/>
          <w:sz w:val="28"/>
          <w:sz w:val="28"/>
          <w:szCs w:val="28"/>
          <w:rtl w:val="true"/>
          <w:lang w:bidi="ar-SA"/>
        </w:rPr>
        <w:t>الفضيلة، ليس بأدون من التصرف في إطلاق الأخير،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فتصير النتيجة وجوب إيصال كفارة الحج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للإجماعات أو أصالة التعين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منى، و كفارة العمرة لصيده إلى مكة بنحو الفضيلة، على اشكال في المتمتع بها، و إلّا فيجزئ في منى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غير كفارة الصيد يجزئ حيث شاء، حتى في المتمتع بها، للأصل، بعد عدم الوثوق بالإجماع للتقييد بأحد المكانين في باب العمرة دون باب الحج،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لا يخفى انّ ذيل رواية معاوية بن عمار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كان عليه شاة فلم يجد فليطعم عشرة مساكين، فمن لم يجد فصيام ثلاثة أيام</w:t>
      </w:r>
      <w:r>
        <w:rPr>
          <w:rFonts w:eastAsia="Amiri" w:cs="Amiri" w:ascii="Amiri" w:hAnsi="Amiri"/>
          <w:color w:val="111111"/>
          <w:sz w:val="28"/>
          <w:szCs w:val="28"/>
          <w:rtl w:val="true"/>
          <w:lang w:bidi="ar-SA"/>
        </w:rPr>
        <w:t xml:space="preserve">» </w:t>
      </w:r>
      <w:r>
        <w:rPr>
          <w:rStyle w:val="FootnoteAnchor"/>
          <w:rtl w:val="true"/>
        </w:rPr>
        <w:footnoteReference w:id="129"/>
      </w:r>
      <w:r>
        <w:rPr>
          <w:rFonts w:ascii="Amiri" w:hAnsi="Amiri" w:eastAsia="Amiri" w:cs="Amiri"/>
          <w:color w:val="111111"/>
          <w:sz w:val="28"/>
          <w:sz w:val="28"/>
          <w:szCs w:val="28"/>
          <w:rtl w:val="true"/>
          <w:lang w:bidi="ar-SA"/>
        </w:rPr>
        <w:t>، و إطلاقه يشمل المعتمر و الحاج، و صدره مختص بمن أصاب الصيد، و لا يشمل غيره، لأنه المتيقن في مقام التخاطب، المانع عن الإطلاق، كما لا يخفى</w:t>
      </w:r>
      <w:r>
        <w:rPr>
          <w:rFonts w:eastAsia="Amiri" w:cs="Amiri" w:ascii="Amiri" w:hAnsi="Amiri"/>
          <w:color w:val="111111"/>
          <w:sz w:val="28"/>
          <w:szCs w:val="28"/>
          <w:rtl w:val="true"/>
          <w:lang w:bidi="ar-SA"/>
        </w:rPr>
        <w:t>.</w:t>
      </w:r>
    </w:p>
    <w:p>
      <w:pPr>
        <w:pStyle w:val="Heading6"/>
        <w:numPr>
          <w:ilvl w:val="5"/>
          <w:numId w:val="1"/>
        </w:numPr>
        <w:rPr/>
      </w:pPr>
      <w:bookmarkStart w:id="72" w:name="__RefHeading___Toc3320738_2314609296"/>
      <w:bookmarkStart w:id="73" w:name="_Toc27"/>
      <w:bookmarkEnd w:id="72"/>
      <w:r>
        <w:rPr>
          <w:rtl w:val="true"/>
        </w:rPr>
        <w:t>السادسة</w:t>
      </w:r>
      <w:r>
        <w:rPr>
          <w:rtl w:val="true"/>
        </w:rPr>
        <w:t xml:space="preserve">: </w:t>
      </w:r>
      <w:r>
        <w:rPr>
          <w:rtl w:val="true"/>
        </w:rPr>
        <w:t>حد الحرم بريد في بريد،</w:t>
      </w:r>
      <w:bookmarkEnd w:id="73"/>
    </w:p>
    <w:p>
      <w:pPr>
        <w:pStyle w:val="BookText"/>
        <w:rPr/>
      </w:pPr>
      <w:r>
        <w:rPr>
          <w:rFonts w:ascii="Amiri" w:hAnsi="Amiri" w:eastAsia="Amiri" w:cs="Amiri"/>
          <w:color w:val="111111"/>
          <w:sz w:val="28"/>
          <w:sz w:val="28"/>
          <w:szCs w:val="28"/>
          <w:rtl w:val="true"/>
          <w:lang w:bidi="ar-SA"/>
        </w:rPr>
        <w:t>فمن أصاب فيه صيدا ضمنه بلا إشكال</w:t>
      </w:r>
      <w:r>
        <w:rPr>
          <w:rFonts w:eastAsia="Amiri" w:cs="Amiri" w:ascii="Amiri" w:hAnsi="Amiri"/>
          <w:color w:val="111111"/>
          <w:sz w:val="28"/>
          <w:szCs w:val="28"/>
          <w:rtl w:val="true"/>
          <w:lang w:bidi="ar-SA"/>
        </w:rPr>
        <w:t>.</w:t>
      </w:r>
    </w:p>
    <w:p>
      <w:pPr>
        <w:pStyle w:val="Heading6"/>
        <w:numPr>
          <w:ilvl w:val="5"/>
          <w:numId w:val="1"/>
        </w:numPr>
        <w:rPr/>
      </w:pPr>
      <w:bookmarkStart w:id="74" w:name="__RefHeading___Toc3320740_2314609296"/>
      <w:bookmarkStart w:id="75" w:name="_Toc28"/>
      <w:bookmarkEnd w:id="74"/>
      <w:r>
        <w:rPr>
          <w:rtl w:val="true"/>
        </w:rPr>
        <w:t>السابعة</w:t>
      </w:r>
      <w:r>
        <w:rPr>
          <w:rtl w:val="true"/>
        </w:rPr>
        <w:t xml:space="preserve">: </w:t>
      </w:r>
      <w:r>
        <w:rPr>
          <w:rtl w:val="true"/>
        </w:rPr>
        <w:t>لو رمى المحرم صيدا و علم بعدم تأثيره فيه فلا شي‌ء عليه،</w:t>
      </w:r>
      <w:bookmarkEnd w:id="75"/>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يستدل له بنص أبي بصير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مشى عليها و رعى و هو ينظر اليه فلا شي‌ء عليه</w:t>
      </w:r>
      <w:r>
        <w:rPr>
          <w:rFonts w:eastAsia="Amiri" w:cs="Amiri" w:ascii="Amiri" w:hAnsi="Amiri"/>
          <w:color w:val="111111"/>
          <w:sz w:val="28"/>
          <w:szCs w:val="28"/>
          <w:rtl w:val="true"/>
          <w:lang w:bidi="ar-SA"/>
        </w:rPr>
        <w:t xml:space="preserve">» </w:t>
      </w:r>
      <w:r>
        <w:rPr>
          <w:rStyle w:val="FootnoteAnchor"/>
          <w:rtl w:val="true"/>
        </w:rPr>
        <w:footnoteReference w:id="1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يخفى انّ مورده صورة إيراد العرج عليه، و نفي الشي‌ء في الرواية حينئذ لا يناسب الكلمات الظاهرة في ثبوت الأرش و لو مع التئامه، فلا يصلح حجة على المدّعي، إلّا بحمله على صورة كون عرجه لوجعه،</w:t>
      </w:r>
    </w:p>
    <w:p>
      <w:pPr>
        <w:pStyle w:val="BookText"/>
        <w:rPr/>
      </w:pPr>
      <w:r>
        <w:rPr>
          <w:rFonts w:ascii="Amiri" w:hAnsi="Amiri" w:eastAsia="Amiri" w:cs="Amiri"/>
          <w:color w:val="111111"/>
          <w:sz w:val="28"/>
          <w:sz w:val="28"/>
          <w:szCs w:val="28"/>
          <w:rtl w:val="true"/>
          <w:lang w:bidi="ar-SA"/>
        </w:rPr>
        <w:t>لا لتأثير الرمي في كسره أو عرجه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عن نسخة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فجرح و عرج، و عليه فلا بد من حمل نفي الشي‌ء على نفي تمام القيمة، و إلّا فيطرح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مثل هذا الاختلال في متنه لا يصلح دليلا على المدعى، فالأولى التشبث بأصل البراءة، مع عدم دليل في مثل هذا الفرض،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أثّر الرمي بكسر شي‌ء منه، مع علمه به، فالظاهر من المحقق في شرائعه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عليه أرشه بقواعد الضمان </w:t>
      </w:r>
      <w:r>
        <w:rPr>
          <w:rStyle w:val="FootnoteAnchor"/>
          <w:rtl w:val="true"/>
        </w:rPr>
        <w:footnoteReference w:id="131"/>
      </w:r>
      <w:r>
        <w:rPr>
          <w:rFonts w:ascii="Amiri" w:hAnsi="Amiri" w:eastAsia="Amiri" w:cs="Amiri"/>
          <w:color w:val="111111"/>
          <w:sz w:val="28"/>
          <w:sz w:val="28"/>
          <w:szCs w:val="28"/>
          <w:rtl w:val="true"/>
          <w:lang w:bidi="ar-SA"/>
        </w:rPr>
        <w:t>،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ربع قيمته، لصحيح علي بن جعفر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عرفت أنّ قواعد الضمان غير جارية في المقام، بل الجاري في أمثال المورد صورة الضمان بمقدار اقتضاء نصوص الباب، و من المعلوم انّ النص في المقام ربع القيمة، فلا وجه للتعدّي عنه إلى الأرش حقيقة إلّا بطرح النص، و الأخذ بفحوى النصوص الواردة في المقام، على وجه يستفاد اجراء كلية أحكام الضمان في باب الصيد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طرح النص، مع عمل جمع به مشكل، كما انّ اجراء جميع قواعد الضمان، من النصوص الواردة في باب الصيد و جزائه أشكل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فالأولى الالتزام بربع القيمة، خصوصا مع كونه غالبا أزيد من أرشه، فإنّ الاحتياط حينئذ لا ينبغي تركه</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 في كون المراد من الصحيحة ربع قيمة الصيد أو ربع قيمة فدائه كلام آخر، و ربما يؤيد الأخير ما في نص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ربع الفداء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يجمع مع</w:t>
      </w:r>
    </w:p>
    <w:p>
      <w:pPr>
        <w:pStyle w:val="BookText"/>
        <w:rPr/>
      </w:pPr>
      <w:r>
        <w:rPr>
          <w:rFonts w:ascii="Amiri" w:hAnsi="Amiri" w:eastAsia="Amiri" w:cs="Amiri"/>
          <w:color w:val="111111"/>
          <w:sz w:val="28"/>
          <w:sz w:val="28"/>
          <w:szCs w:val="28"/>
          <w:rtl w:val="true"/>
          <w:lang w:bidi="ar-SA"/>
        </w:rPr>
        <w:t>النص السابق بالاجتزاء بربع قيمة فدائه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لا يبقى مجال لاحتمال ربع قيمة الأصل، خصوصا إذا كان أزيد من ربع قيمة الفداء، لأنّ الأصل حينئذ أيضا ينفيه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في رواية أبي بصير، في كسر قرني الغزال، نصف قيمته، و كذا في إحدى رجليه </w:t>
      </w:r>
      <w:r>
        <w:rPr>
          <w:rStyle w:val="FootnoteAnchor"/>
          <w:rtl w:val="true"/>
        </w:rPr>
        <w:footnoteReference w:id="1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عمل به جمع، و طرحه آخرون لضعف سنده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على أي حال يختص هذا الحكم بالغزال، و إلّا ففي غيره يكون مقتضى القاعدة هو الأرش، بناء على تمامية قاعدة الضمان، و إلّا فمسمّى الصدقة أو ربع قيمة البدل، لما ستعرف في كلية غير المنصوص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من المنصوص أيضا نتف ريش حمامة الحرم، بأن عليه 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إعطائها باليد الناتفة </w:t>
      </w:r>
      <w:r>
        <w:rPr>
          <w:rStyle w:val="FootnoteAnchor"/>
          <w:rtl w:val="true"/>
        </w:rPr>
        <w:footnoteReference w:id="134"/>
      </w:r>
      <w:r>
        <w:rPr>
          <w:rFonts w:ascii="Amiri" w:hAnsi="Amiri" w:eastAsia="Amiri" w:cs="Amiri"/>
          <w:color w:val="111111"/>
          <w:sz w:val="28"/>
          <w:sz w:val="28"/>
          <w:szCs w:val="28"/>
          <w:rtl w:val="true"/>
          <w:lang w:bidi="ar-SA"/>
        </w:rPr>
        <w:t>، و حمل خصوصية اليد على الاستحباب، و فيه نظر، لعدم ما يصلح لرفع اليد عن ظهور وجوبه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النص مختص بالكسر، و في التعدّي عنه إلى الجرح 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تقوية الاقتصار على مضمون النصوص، و اجراء قواعد الأرش في الجرح </w:t>
      </w:r>
      <w:r>
        <w:rPr>
          <w:rStyle w:val="FootnoteAnchor"/>
          <w:rtl w:val="true"/>
        </w:rPr>
        <w:footnoteReference w:id="1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انه فرع استفادة كون المقام من صغريات باب الضمان، أو ما هو بحكمه، حتى من تلك الجهة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استفادة كل منهما في غاية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لا استفادة فحوى نص الكسر في الجرح لا وجه لثبوت شي‌ء على الجرح</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فالأولى الالتزام بفحوى النصوص المزبورة، و انّ المقصود بالكسر تأثير رميه بأي وجه، و لو جرحا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ذلك لا تخلو المسألة عن تأمل و اشكال، بل يمكن</w:t>
      </w:r>
    </w:p>
    <w:p>
      <w:pPr>
        <w:pStyle w:val="BookText"/>
        <w:rPr/>
      </w:pPr>
      <w:r>
        <w:rPr>
          <w:rFonts w:ascii="Amiri" w:hAnsi="Amiri" w:eastAsia="Amiri" w:cs="Amiri"/>
          <w:color w:val="111111"/>
          <w:sz w:val="28"/>
          <w:sz w:val="28"/>
          <w:szCs w:val="28"/>
          <w:rtl w:val="true"/>
          <w:lang w:bidi="ar-SA"/>
        </w:rPr>
        <w:t>دعوى الجزم بثبوت الكفارة في الجرح من مجموع الكلمات، و إنما الكلام في مقداره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فمقتضى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التردد بين شي‌ء من الصدقة، بناء على إطلاق قوله في رواية السكوني في كسر قرن الصيد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صدقة، أو الأرش، أو ربع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الأخذ بالأقل للبراءة من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مع الدوران بين الربع المزبور و الأرش، و لو بطرح رواية السكوني و إجمالها، كان مقتضى الأصل أقل الأمرين، و الاحتياط أكثرهما،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لكنه بمعزل عن التحقيق، فالمتيقن حينئذ أن يتصدّق 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لاحتماله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يبلغ الأرش و لا الربع المعهود،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من التأمل فيما ذكرنا، ظهر حكم كسر بيض غير المنصوص عليه، إذ في إلحاقها بالمنصوص عليه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انه مع الشك ينتهي الأمر إلى نفي شي‌ء رأسا، أو الأرش أو الصدقة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تقدّم الكلام فيه الجاري في المقام حرفا بحرف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صورة كسر ما هو أعظم من المنصوص عليه، لا يبقى مجال للاقتصار على الأقل من المنصوص عليه، بل لا بد من ملاحظة التساوي أو الأزيد، لانغراس الذهن بأنّ مرتبة الكفارات في المعاصي لا تكاد تنحط عن مرتبة العصيان، فتأمل</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بعين هذه البيانات نلتزم في المحل في الحرم، و ذلك 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استفادة حكم إتلاف مثل هذه الجهات من إتلاف أصل الحيوان جريا لقواعد الضمان فيه، بضميمة حمل نص عبد الغفار الوارد في المحل في الحرم،</w:t>
      </w:r>
    </w:p>
    <w:p>
      <w:pPr>
        <w:pStyle w:val="BookText"/>
        <w:rPr/>
      </w:pP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تصدق بصدقة</w:t>
      </w:r>
      <w:r>
        <w:rPr>
          <w:rFonts w:eastAsia="Amiri" w:cs="Amiri" w:ascii="Amiri" w:hAnsi="Amiri"/>
          <w:color w:val="111111"/>
          <w:sz w:val="28"/>
          <w:szCs w:val="28"/>
          <w:rtl w:val="true"/>
          <w:lang w:bidi="ar-SA"/>
        </w:rPr>
        <w:t xml:space="preserve">» </w:t>
      </w:r>
      <w:r>
        <w:rPr>
          <w:rStyle w:val="FootnoteAnchor"/>
          <w:rtl w:val="true"/>
        </w:rPr>
        <w:footnoteReference w:id="136"/>
      </w:r>
      <w:r>
        <w:rPr>
          <w:rFonts w:ascii="Amiri" w:hAnsi="Amiri" w:eastAsia="Amiri" w:cs="Amiri"/>
          <w:color w:val="111111"/>
          <w:sz w:val="28"/>
          <w:sz w:val="28"/>
          <w:szCs w:val="28"/>
          <w:rtl w:val="true"/>
          <w:lang w:bidi="ar-SA"/>
        </w:rPr>
        <w:t>على الإجمال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فالواجب وجوب الأرش في كلية غير المنصوص عليه بالخصوص، كما هو أيضا مذهب الجواهر في المسألة السابقة </w:t>
      </w:r>
      <w:r>
        <w:rPr>
          <w:rStyle w:val="FootnoteAnchor"/>
          <w:rtl w:val="true"/>
        </w:rPr>
        <w:footnoteReference w:id="137"/>
      </w:r>
      <w:r>
        <w:rPr>
          <w:rFonts w:ascii="Amiri" w:hAnsi="Amiri" w:eastAsia="Amiri" w:cs="Amiri"/>
          <w:color w:val="111111"/>
          <w:sz w:val="28"/>
          <w:sz w:val="28"/>
          <w:szCs w:val="28"/>
          <w:rtl w:val="true"/>
          <w:lang w:bidi="ar-SA"/>
        </w:rPr>
        <w:t>، جريا على وفق ما استفادة من مجموع نصوص الباب، بإجراء جميع قواعد الضمان في مثل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بناء على التشكيك في هذه الكلية، لا محيص عن المصير إلى وجوب شي‌ء، و مع احتمال كونه شيئا من الصدقة، يقتصر عليه، و إلّا فلا بد أن ينتهي إلى أقل الأمرين، من ربع القيمة أو الأرش، للأصل، بناء على التعدّي عن نصوص ربع القيمة إلى المقام أيضا، من دون دخل لتقدير قيمته بفداء مخصوص،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المسألة بهذه الخصوصية و إن لم نجدها محررة في كلمات الأعلام، إلّا انه يمكن استفادتها من فحاويها، كما لا يخفى على البصير بمذاقهم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ذلك كله مع العلم بمقدار عيبه، و لو لم يدر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جرح أو 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على أي حال، لزمه فداء كامل، و ذلك لما في نص أبي بصير و غيره،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يدري ما صنع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فعليه فداء كامل</w:t>
      </w:r>
      <w:r>
        <w:rPr>
          <w:rFonts w:eastAsia="Amiri" w:cs="Amiri" w:ascii="Amiri" w:hAnsi="Amiri"/>
          <w:color w:val="111111"/>
          <w:sz w:val="28"/>
          <w:szCs w:val="28"/>
          <w:rtl w:val="true"/>
          <w:lang w:bidi="ar-SA"/>
        </w:rPr>
        <w:t xml:space="preserve">» </w:t>
      </w:r>
      <w:r>
        <w:rPr>
          <w:rStyle w:val="FootnoteAnchor"/>
          <w:rtl w:val="true"/>
        </w:rPr>
        <w:footnoteReference w:id="138"/>
      </w:r>
      <w:r>
        <w:rPr>
          <w:rFonts w:ascii="Amiri" w:hAnsi="Amiri" w:eastAsia="Amiri" w:cs="Amiri"/>
          <w:color w:val="111111"/>
          <w:sz w:val="28"/>
          <w:sz w:val="28"/>
          <w:szCs w:val="28"/>
          <w:rtl w:val="true"/>
          <w:lang w:bidi="ar-SA"/>
        </w:rPr>
        <w:t>، معللا ذلك في خبر أبي بصير،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لأنه لا يدري لعله قد 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موضوع هذا النص صورة الجرح، بناء على نسخة اخرى</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بناء على نسخة الاقتصار على العرج، المحتمل كونه لشدة وجعه لكسره و جرحه، كما هو مورد استشهادهم بنفي الشي‌ء فيه على صورة العلم</w:t>
      </w:r>
      <w:bookmarkStart w:id="76" w:name="pg19818_203915"/>
    </w:p>
    <w:p>
      <w:pPr>
        <w:pStyle w:val="BookText"/>
        <w:rPr/>
      </w:pPr>
      <w:bookmarkEnd w:id="76"/>
      <w:r>
        <w:rPr>
          <w:rFonts w:ascii="Amiri" w:hAnsi="Amiri" w:eastAsia="Amiri" w:cs="Amiri"/>
          <w:color w:val="111111"/>
          <w:sz w:val="28"/>
          <w:sz w:val="28"/>
          <w:szCs w:val="28"/>
          <w:rtl w:val="true"/>
          <w:lang w:bidi="ar-SA"/>
        </w:rPr>
        <w:t>بعدم تأثيره، فلا بد أن يكون موضوع الرواية صورة احتمال عدم التأثير رأسا، لكن مع اختلال المتن لا حجية للنص في هذه الصورة، لو لا عموم علّته، و هو أيضا كاف في المدّعى،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فاحتمال بعضهم عدم شي‌ء عليه في فرض الشك في أصل التأثير، بتوهم اختصاص النصوص بصورة الكسر، الملحق بها فرض جرحه أيضا، و في غير مورد النص الأصل البراءة، منظور فيه، إذ يكفي حجة في قبال الأصل المزبور عموم العلة المزبورة،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في التعدّي في مثل هذا الحكم الوارد على خلاف القاعدة، لكونه من باب إيجاب الاحتياط في الشبهة الموضوعية البدوية، التي هي خلاف عموم أدلّة البراءة عقلا و نقلا، إلى المحل في الحرم، 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أر كلماتهم في هذه الجهة كي نستضي‌ء بنورها، و حينئذ فللتأمل فيها بعد مجال</w:t>
      </w:r>
      <w:r>
        <w:rPr>
          <w:rFonts w:eastAsia="Amiri" w:cs="Amiri" w:ascii="Amiri" w:hAnsi="Amiri"/>
          <w:color w:val="111111"/>
          <w:sz w:val="28"/>
          <w:szCs w:val="28"/>
          <w:rtl w:val="true"/>
          <w:lang w:bidi="ar-SA"/>
        </w:rPr>
        <w:t>.</w:t>
      </w:r>
    </w:p>
    <w:p>
      <w:pPr>
        <w:pStyle w:val="Heading6"/>
        <w:numPr>
          <w:ilvl w:val="5"/>
          <w:numId w:val="1"/>
        </w:numPr>
        <w:rPr/>
      </w:pPr>
      <w:bookmarkStart w:id="77" w:name="__RefHeading___Toc3320742_2314609296"/>
      <w:bookmarkStart w:id="78" w:name="_Toc29"/>
      <w:bookmarkEnd w:id="77"/>
      <w:r>
        <w:rPr>
          <w:rtl w:val="true"/>
        </w:rPr>
        <w:t>الثامنة</w:t>
      </w:r>
      <w:r>
        <w:rPr>
          <w:rtl w:val="true"/>
        </w:rPr>
        <w:t xml:space="preserve">: </w:t>
      </w:r>
      <w:r>
        <w:rPr>
          <w:rtl w:val="true"/>
        </w:rPr>
        <w:t>قيل يحرم قتل المحل صيدا يؤم الحرم،</w:t>
      </w:r>
      <w:bookmarkEnd w:id="78"/>
    </w:p>
    <w:p>
      <w:pPr>
        <w:pStyle w:val="BookText"/>
        <w:rPr/>
      </w:pPr>
      <w:r>
        <w:rPr>
          <w:rFonts w:ascii="Amiri" w:hAnsi="Amiri" w:eastAsia="Amiri" w:cs="Amiri"/>
          <w:color w:val="111111"/>
          <w:sz w:val="28"/>
          <w:sz w:val="28"/>
          <w:szCs w:val="28"/>
          <w:rtl w:val="true"/>
          <w:lang w:bidi="ar-SA"/>
        </w:rPr>
        <w:t xml:space="preserve">لمرسل ابن أبي عمير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يكره أن يرمي الصيد و هو يؤم الحرم و يقصده</w:t>
      </w:r>
      <w:r>
        <w:rPr>
          <w:rFonts w:eastAsia="Amiri" w:cs="Amiri" w:ascii="Amiri" w:hAnsi="Amiri"/>
          <w:color w:val="111111"/>
          <w:sz w:val="28"/>
          <w:szCs w:val="28"/>
          <w:rtl w:val="true"/>
          <w:lang w:bidi="ar-SA"/>
        </w:rPr>
        <w:t xml:space="preserve">» </w:t>
      </w:r>
      <w:r>
        <w:rPr>
          <w:rStyle w:val="FootnoteAnchor"/>
          <w:rtl w:val="true"/>
        </w:rPr>
        <w:footnoteReference w:id="139"/>
      </w:r>
      <w:r>
        <w:rPr>
          <w:rFonts w:ascii="Amiri" w:hAnsi="Amiri" w:eastAsia="Amiri" w:cs="Amiri"/>
          <w:color w:val="111111"/>
          <w:sz w:val="28"/>
          <w:sz w:val="28"/>
          <w:szCs w:val="28"/>
          <w:rtl w:val="true"/>
          <w:lang w:bidi="ar-SA"/>
        </w:rPr>
        <w:t xml:space="preserve">، و ذهب المتأخرون إلى كراهته، جمعا بين المرسلة و صحيح ابن الحجاج، المشتمل ذيله على نفي شي‌ء عليه تارة، و نفي الجزاء اخرى </w:t>
      </w:r>
      <w:r>
        <w:rPr>
          <w:rStyle w:val="FootnoteAnchor"/>
          <w:rtl w:val="true"/>
        </w:rPr>
        <w:footnoteReference w:id="140"/>
      </w:r>
      <w:r>
        <w:rPr>
          <w:rFonts w:ascii="Amiri" w:hAnsi="Amiri" w:eastAsia="Amiri" w:cs="Amiri"/>
          <w:color w:val="111111"/>
          <w:sz w:val="28"/>
          <w:sz w:val="28"/>
          <w:szCs w:val="28"/>
          <w:rtl w:val="true"/>
          <w:lang w:bidi="ar-SA"/>
        </w:rPr>
        <w:t>، و ظاهر تمثيله في ذيله بنصب الشبكة صريح في حرمته أيضا</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يدل أيضا انه لو أصابه و دخل الحرم فمات فيه أيضا لم يضمن بجزاء، و بمثله يجمع بينه و بين نص عقبة </w:t>
      </w:r>
      <w:r>
        <w:rPr>
          <w:rStyle w:val="FootnoteAnchor"/>
          <w:rtl w:val="true"/>
        </w:rPr>
        <w:footnoteReference w:id="141"/>
      </w:r>
      <w:r>
        <w:rPr>
          <w:rFonts w:ascii="Amiri" w:hAnsi="Amiri" w:eastAsia="Amiri" w:cs="Amiri"/>
          <w:color w:val="111111"/>
          <w:sz w:val="28"/>
          <w:sz w:val="28"/>
          <w:szCs w:val="28"/>
          <w:rtl w:val="true"/>
          <w:lang w:bidi="ar-SA"/>
        </w:rPr>
        <w:t xml:space="preserve">و صحيح الحلبي </w:t>
      </w:r>
      <w:r>
        <w:rPr>
          <w:rStyle w:val="FootnoteAnchor"/>
          <w:rtl w:val="true"/>
        </w:rPr>
        <w:footnoteReference w:id="142"/>
      </w:r>
      <w:r>
        <w:rPr>
          <w:rFonts w:ascii="Amiri" w:hAnsi="Amiri" w:eastAsia="Amiri" w:cs="Amiri"/>
          <w:color w:val="111111"/>
          <w:sz w:val="28"/>
          <w:sz w:val="28"/>
          <w:szCs w:val="28"/>
          <w:rtl w:val="true"/>
          <w:lang w:bidi="ar-SA"/>
        </w:rPr>
        <w:t>، المشتملين على</w:t>
      </w:r>
      <w:bookmarkStart w:id="79" w:name="pg19818_203916"/>
    </w:p>
    <w:p>
      <w:pPr>
        <w:pStyle w:val="BookText"/>
        <w:rPr/>
      </w:pPr>
      <w:bookmarkEnd w:id="79"/>
      <w:r>
        <w:rPr>
          <w:rFonts w:ascii="Amiri" w:hAnsi="Amiri" w:eastAsia="Amiri" w:cs="Amiri"/>
          <w:color w:val="111111"/>
          <w:sz w:val="28"/>
          <w:sz w:val="28"/>
          <w:szCs w:val="28"/>
          <w:rtl w:val="true"/>
          <w:lang w:bidi="ar-SA"/>
        </w:rPr>
        <w:t>الضمان و الجزاء، بحمل الأخيرين على الندب،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الأخبار النافية بفحواها يشمل ما لو أصاب بين البريد و الحرم، و يسمّى بحريم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يستفاد منها بضم المثبتة منها الكراهة فيه أيضا، و كذا استحباب جزائه</w:t>
      </w:r>
      <w:r>
        <w:rPr>
          <w:rFonts w:eastAsia="Amiri" w:cs="Amiri" w:ascii="Amiri" w:hAnsi="Amiri"/>
          <w:color w:val="111111"/>
          <w:sz w:val="28"/>
          <w:szCs w:val="28"/>
          <w:rtl w:val="true"/>
          <w:lang w:bidi="ar-SA"/>
        </w:rPr>
        <w:t>.</w:t>
      </w:r>
    </w:p>
    <w:p>
      <w:pPr>
        <w:pStyle w:val="Heading6"/>
        <w:numPr>
          <w:ilvl w:val="5"/>
          <w:numId w:val="1"/>
        </w:numPr>
        <w:rPr/>
      </w:pPr>
      <w:bookmarkStart w:id="80" w:name="__RefHeading___Toc3320744_2314609296"/>
      <w:bookmarkStart w:id="81" w:name="_Toc30"/>
      <w:bookmarkEnd w:id="80"/>
      <w:r>
        <w:rPr>
          <w:rtl w:val="true"/>
        </w:rPr>
        <w:t>التاسعة</w:t>
      </w:r>
      <w:r>
        <w:rPr>
          <w:rtl w:val="true"/>
        </w:rPr>
        <w:t xml:space="preserve">: </w:t>
      </w:r>
      <w:r>
        <w:rPr>
          <w:rtl w:val="true"/>
        </w:rPr>
        <w:t>لو ربط صيدا في الحل فدخل الحرم، يجوز إخراجه، حتى من المحل،</w:t>
      </w:r>
      <w:bookmarkEnd w:id="81"/>
    </w:p>
    <w:p>
      <w:pPr>
        <w:pStyle w:val="BookText"/>
        <w:rPr/>
      </w:pPr>
      <w:r>
        <w:rPr>
          <w:rFonts w:ascii="Amiri" w:hAnsi="Amiri" w:eastAsia="Amiri" w:cs="Amiri"/>
          <w:color w:val="111111"/>
          <w:sz w:val="28"/>
          <w:sz w:val="28"/>
          <w:szCs w:val="28"/>
          <w:rtl w:val="true"/>
          <w:lang w:bidi="ar-SA"/>
        </w:rPr>
        <w:t xml:space="preserve">و لو بجر رباطه الملازم لجره و إخراجه من الحرم، بلا اشكال فتوى و نصا، و يكفى من النص قوله تعالى وَ مَنْ دَخَلَهُ كٰانَ آمِناً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الصحيح أيضا في موضوع الفرض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ثمنه و لحمه حرام</w:t>
      </w:r>
      <w:r>
        <w:rPr>
          <w:rFonts w:eastAsia="Amiri" w:cs="Amiri" w:ascii="Amiri" w:hAnsi="Amiri"/>
          <w:color w:val="111111"/>
          <w:sz w:val="28"/>
          <w:szCs w:val="28"/>
          <w:rtl w:val="true"/>
          <w:lang w:bidi="ar-SA"/>
        </w:rPr>
        <w:t xml:space="preserve">»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نظيره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الرجل في الحل فرمى صيدا في الحرم فعليه فداؤه</w:t>
      </w:r>
      <w:r>
        <w:rPr>
          <w:rFonts w:eastAsia="Amiri" w:cs="Amiri" w:ascii="Amiri" w:hAnsi="Amiri"/>
          <w:color w:val="111111"/>
          <w:sz w:val="28"/>
          <w:szCs w:val="28"/>
          <w:rtl w:val="true"/>
          <w:lang w:bidi="ar-SA"/>
        </w:rPr>
        <w:t xml:space="preserve">»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دخل من الوحش و الطير في الحرم كان آمنا من أن يهاج و يؤذى، حتى يخرج من الحرم</w:t>
      </w:r>
      <w:r>
        <w:rPr>
          <w:rFonts w:eastAsia="Amiri" w:cs="Amiri" w:ascii="Amiri" w:hAnsi="Amiri"/>
          <w:color w:val="111111"/>
          <w:sz w:val="28"/>
          <w:szCs w:val="28"/>
          <w:rtl w:val="true"/>
          <w:lang w:bidi="ar-SA"/>
        </w:rPr>
        <w:t xml:space="preserve">» </w:t>
      </w:r>
      <w:r>
        <w:rPr>
          <w:rStyle w:val="FootnoteAnchor"/>
          <w:rtl w:val="true"/>
        </w:rPr>
        <w:footnoteReference w:id="1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 ذيله كون خروجه بتمامه محلا لا بذاته، فيشرح به دخوله في صدره، و لو بدخول جزء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فلو كان بعضه في الحل و بعضه في الحرم يحرم ايذاؤه و لو بإصابة جزئه الواقع في الحل، فضلا عما هو واقع في الحرم، كما لا يخفى</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و لو كانت شجرة أصلها في الحرم و فرعها في الحل، و على فرعها طير فأصابه رمي من المحل، كان أيضا حراما، للنص المعلّق بكون أصلها في</w:t>
      </w:r>
    </w:p>
    <w:p>
      <w:pPr>
        <w:pStyle w:val="BookText"/>
        <w:rPr/>
      </w:pPr>
      <w:r>
        <w:rPr>
          <w:rFonts w:ascii="IRNazanin" w:hAnsi="IRNazanin" w:eastAsia="IRNazanin"/>
          <w:color w:val="111111"/>
          <w:sz w:val="28"/>
          <w:sz w:val="28"/>
          <w:szCs w:val="28"/>
          <w:rtl w:val="true"/>
          <w:lang w:bidi="fa-IR"/>
        </w:rPr>
        <w:t xml:space="preserve">الحرم </w:t>
      </w:r>
      <w:r>
        <w:rPr>
          <w:rStyle w:val="FootnoteAnchor"/>
          <w:rtl w:val="true"/>
        </w:rPr>
        <w:footnoteReference w:id="1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الأمر بالعكس، ففي استفادة حلية الصيد من هذا النص اشكال، لو لا إطلاق مفهومه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يؤيده نص آخر في نفس الشجرة و فرعها، و صرّح بأنّ المدار في الحرمة على أصلها لا فروعها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مما ذكرنا أيضا ظهر حكم من دخل بصيد في الحرم وجب عليه إرساله، بل لو أخرجه فتلف كان ضامنا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استدل له بجملة من النصوص غير الشاملة لحكم التلف بعد الإخراج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يتشبث باستصحاب ضمانه، بعد الجزم بحصوله بالإدخال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في السبع كالفهد و غيره قام النص بجواز إخراجه،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 أدخلت من السبع الحرم أسيرا فلك أن تخرجه</w:t>
      </w:r>
      <w:r>
        <w:rPr>
          <w:rFonts w:eastAsia="Amiri" w:cs="Amiri" w:ascii="Amiri" w:hAnsi="Amiri"/>
          <w:color w:val="111111"/>
          <w:sz w:val="28"/>
          <w:szCs w:val="28"/>
          <w:rtl w:val="true"/>
          <w:lang w:bidi="ar-SA"/>
        </w:rPr>
        <w:t xml:space="preserve">»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لو كان الطائر مقصوصا وجب حفظه حتى يكمل ريشه ثم يرسله، لصحيح البختري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الصحيح أيضا 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ذبح الصيد في الحل ثم جي‌ء به مذبوحا في الحرم لا يحرم على المحل</w:t>
      </w:r>
      <w:r>
        <w:rPr>
          <w:rFonts w:eastAsia="Amiri" w:cs="Amiri" w:ascii="Amiri" w:hAnsi="Amiri"/>
          <w:color w:val="111111"/>
          <w:sz w:val="28"/>
          <w:szCs w:val="28"/>
          <w:rtl w:val="true"/>
          <w:lang w:bidi="ar-SA"/>
        </w:rPr>
        <w:t xml:space="preserve">» </w:t>
      </w:r>
      <w:r>
        <w:rPr>
          <w:rStyle w:val="FootnoteAnchor"/>
          <w:rtl w:val="true"/>
        </w:rPr>
        <w:footnoteReference w:id="151"/>
      </w:r>
      <w:r>
        <w:rPr>
          <w:rFonts w:ascii="Amiri" w:hAnsi="Amiri" w:eastAsia="Amiri" w:cs="Amiri"/>
          <w:color w:val="111111"/>
          <w:sz w:val="28"/>
          <w:sz w:val="28"/>
          <w:szCs w:val="28"/>
          <w:rtl w:val="true"/>
          <w:lang w:bidi="ar-SA"/>
        </w:rPr>
        <w:t>، و عليه الفتوى أيضا، فلا اشكال</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أنه لو رمى بسهم في الحل و دخل السهم في الحرم، ثم خرج و قتل صيدا في الحل، فلا حرمة و لا ضمان، للأصل و لا يقاس ذلك بما لو رمي من الحرم فأصاب صيدا في الحل، فإنّ في النص حرمته و ضمانه أيضا، للتعليل بأنّ الآفة جاءته من الحرم، إذ المنصرف منه صورة كون أصل الرمي منه،</w:t>
      </w:r>
      <w:bookmarkStart w:id="82" w:name="pg19818_203918"/>
    </w:p>
    <w:p>
      <w:pPr>
        <w:pStyle w:val="BookText"/>
        <w:rPr/>
      </w:pPr>
      <w:bookmarkEnd w:id="82"/>
      <w:r>
        <w:rPr>
          <w:rFonts w:ascii="Amiri" w:hAnsi="Amiri" w:eastAsia="Amiri" w:cs="Amiri"/>
          <w:color w:val="111111"/>
          <w:sz w:val="28"/>
          <w:sz w:val="28"/>
          <w:szCs w:val="28"/>
          <w:rtl w:val="true"/>
          <w:lang w:bidi="ar-SA"/>
        </w:rPr>
        <w:t>لا مثل المقام، و لا أقل من الشك في شموله فيرجع إلى البراءة</w:t>
      </w:r>
      <w:r>
        <w:rPr>
          <w:rFonts w:eastAsia="Amiri" w:cs="Amiri" w:ascii="Amiri" w:hAnsi="Amiri"/>
          <w:color w:val="111111"/>
          <w:sz w:val="28"/>
          <w:szCs w:val="28"/>
          <w:rtl w:val="true"/>
          <w:lang w:bidi="ar-SA"/>
        </w:rPr>
        <w:t>.</w:t>
      </w:r>
    </w:p>
    <w:p>
      <w:pPr>
        <w:pStyle w:val="Heading6"/>
        <w:numPr>
          <w:ilvl w:val="5"/>
          <w:numId w:val="1"/>
        </w:numPr>
        <w:rPr/>
      </w:pPr>
      <w:bookmarkStart w:id="83" w:name="__RefHeading___Toc3320746_2314609296"/>
      <w:bookmarkStart w:id="84" w:name="_Toc31"/>
      <w:bookmarkEnd w:id="83"/>
      <w:r>
        <w:rPr>
          <w:rtl w:val="true"/>
        </w:rPr>
        <w:t>العاشرة</w:t>
      </w:r>
      <w:r>
        <w:rPr>
          <w:rtl w:val="true"/>
        </w:rPr>
        <w:t xml:space="preserve">: </w:t>
      </w:r>
      <w:r>
        <w:rPr>
          <w:rtl w:val="true"/>
        </w:rPr>
        <w:t>السائق للدابة يضمن ما تجنيه دابته بأي جزء منه،</w:t>
      </w:r>
      <w:bookmarkEnd w:id="84"/>
    </w:p>
    <w:p>
      <w:pPr>
        <w:pStyle w:val="BookText"/>
        <w:rPr/>
      </w:pPr>
      <w:r>
        <w:rPr>
          <w:rFonts w:ascii="Amiri" w:hAnsi="Amiri" w:eastAsia="Amiri" w:cs="Amiri"/>
          <w:color w:val="111111"/>
          <w:sz w:val="28"/>
          <w:sz w:val="28"/>
          <w:szCs w:val="28"/>
          <w:rtl w:val="true"/>
          <w:lang w:bidi="ar-SA"/>
        </w:rPr>
        <w:t>لاستناد الإتلاف إليه، و كذا الراكب إذا وقف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إذا سار ضمن ما يجنيه بيدها و رأسها كالقائد، و في صحيح أبي الصباح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وطئته بعيرك أو دابتك و أنت محرم فعليك فداؤه</w:t>
      </w:r>
      <w:r>
        <w:rPr>
          <w:rFonts w:eastAsia="Amiri" w:cs="Amiri" w:ascii="Amiri" w:hAnsi="Amiri"/>
          <w:color w:val="111111"/>
          <w:sz w:val="28"/>
          <w:szCs w:val="28"/>
          <w:rtl w:val="true"/>
          <w:lang w:bidi="ar-SA"/>
        </w:rPr>
        <w:t xml:space="preserve">» </w:t>
      </w:r>
      <w:r>
        <w:rPr>
          <w:rStyle w:val="FootnoteAnchor"/>
          <w:rtl w:val="true"/>
        </w:rPr>
        <w:footnoteReference w:id="152"/>
      </w:r>
      <w:r>
        <w:rPr>
          <w:rFonts w:ascii="Amiri" w:hAnsi="Amiri" w:eastAsia="Amiri" w:cs="Amiri"/>
          <w:color w:val="111111"/>
          <w:sz w:val="28"/>
          <w:sz w:val="28"/>
          <w:szCs w:val="28"/>
          <w:rtl w:val="true"/>
          <w:lang w:bidi="ar-SA"/>
        </w:rPr>
        <w:t>، و إطلاقه يقتضي الضمان مطلقا في الراكب و غيره، برأسه أو برجليه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قائل بعمومه، و لعلهم قاسوا المقام بباب الإتلاف في كتاب الغصب، و هم ملتزمون فيه بالتفصيل المزبور، جارين ذاك التفصيل في المقام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من استفادة التشكيك في صدق الإتلاف بالنسبة إلى الراكب و القائد في غير التلف برأسه أو بدنه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تتمة الكلام مبني على تلك المسألة، فإن تم التشكيك المزبور فهو، و إلّا فللنظر في إلحاق الباب بما هناك مجال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المدار في الجزاء و الحرمة في المقام على صدق إسناد الإتلاف إليه و لو تسبيبا، الذي منها تلف الطفل بإمساك امه، و لو في الحل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إتلاف الصيد بإرساله كلية من الحرم، سواء أصابه في الحل أو الحرم، بل في الأخير تتضاعف الكفارة من المحرم، و هكذا لو تلف بتنفيره أو أخذه جارح، بل و لو وقع الصيد في شبكة، و أراد تخليصه، فتعيّب بتخليصه،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 و قيل بعدم الضمان، لقاعدة الإحسان</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تنافي بين قاعدة الإحسان و الضمان بعموم مقتضيه، من صدق الإتلاف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bookmarkStart w:id="85" w:name="pg19818_203919"/>
    </w:p>
    <w:p>
      <w:pPr>
        <w:pStyle w:val="BookText"/>
        <w:rPr/>
      </w:pPr>
      <w:bookmarkEnd w:id="85"/>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كذلك لو لا اقتضاء نفي السبيل على المحسن لنفي ضمانه، و إلّا فهو حاكم على عمومات الضمان في المقام و في سائر الموارد، إذ هو ناظر إلى نفي ما هو بمقتضاه، لو لا الإحسان ثابتا، فلا وجه لإثباته في المقام، مع صدق الإحسان في حقه</w:t>
      </w:r>
      <w:r>
        <w:rPr>
          <w:rFonts w:eastAsia="Amiri" w:cs="Amiri" w:ascii="Amiri" w:hAnsi="Amiri"/>
          <w:color w:val="111111"/>
          <w:sz w:val="28"/>
          <w:szCs w:val="28"/>
          <w:rtl w:val="true"/>
          <w:lang w:bidi="ar-SA"/>
        </w:rPr>
        <w:t>.</w:t>
      </w:r>
    </w:p>
    <w:p>
      <w:pPr>
        <w:pStyle w:val="Heading6"/>
        <w:numPr>
          <w:ilvl w:val="5"/>
          <w:numId w:val="1"/>
        </w:numPr>
        <w:rPr/>
      </w:pPr>
      <w:bookmarkStart w:id="86" w:name="__RefHeading___Toc3320748_2314609296"/>
      <w:bookmarkStart w:id="87" w:name="_Toc32"/>
      <w:bookmarkEnd w:id="86"/>
      <w:r>
        <w:rPr>
          <w:rtl w:val="true"/>
        </w:rPr>
        <w:t>الحادية عشرة</w:t>
      </w:r>
      <w:r>
        <w:rPr>
          <w:rtl w:val="true"/>
        </w:rPr>
        <w:t xml:space="preserve">: </w:t>
      </w:r>
      <w:r>
        <w:rPr>
          <w:rtl w:val="true"/>
        </w:rPr>
        <w:t>من دل على صيد و هو في الحرم مطلقا، أو من المحل في الحرم، فقتل، ضمن،</w:t>
      </w:r>
      <w:bookmarkEnd w:id="87"/>
    </w:p>
    <w:p>
      <w:pPr>
        <w:pStyle w:val="BookText"/>
        <w:rPr/>
      </w:pPr>
      <w:r>
        <w:rPr>
          <w:rFonts w:ascii="Amiri" w:hAnsi="Amiri" w:eastAsia="Amiri" w:cs="Amiri"/>
          <w:color w:val="111111"/>
          <w:sz w:val="28"/>
          <w:sz w:val="28"/>
          <w:szCs w:val="28"/>
          <w:rtl w:val="true"/>
          <w:lang w:bidi="ar-SA"/>
        </w:rPr>
        <w:t>لصحيح الحلبي المشتمل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تدلن عليه محلا و لا محرما فيصطاده، و لا تشر اليه فيستحل من أجلك، فإنّ فيه فداء لمن تعمده</w:t>
      </w:r>
      <w:r>
        <w:rPr>
          <w:rFonts w:eastAsia="Amiri" w:cs="Amiri" w:ascii="Amiri" w:hAnsi="Amiri"/>
          <w:color w:val="111111"/>
          <w:sz w:val="28"/>
          <w:szCs w:val="28"/>
          <w:rtl w:val="true"/>
          <w:lang w:bidi="ar-SA"/>
        </w:rPr>
        <w:t xml:space="preserve">» </w:t>
      </w:r>
      <w:r>
        <w:rPr>
          <w:rStyle w:val="FootnoteAnchor"/>
          <w:rtl w:val="true"/>
        </w:rPr>
        <w:footnoteReference w:id="154"/>
      </w:r>
      <w:r>
        <w:rPr>
          <w:rFonts w:ascii="IRNazanin" w:hAnsi="IRNazanin" w:eastAsia="IRNazanin"/>
          <w:color w:val="111111"/>
          <w:sz w:val="28"/>
          <w:sz w:val="28"/>
          <w:szCs w:val="28"/>
          <w:rtl w:val="true"/>
          <w:lang w:bidi="fa-IR"/>
        </w:rPr>
        <w:t>، و ظاهره الفداء على الدال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آخر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دل فقتل فعليه الفداء</w:t>
      </w:r>
      <w:r>
        <w:rPr>
          <w:rFonts w:eastAsia="Amiri" w:cs="Amiri" w:ascii="Amiri" w:hAnsi="Amiri"/>
          <w:color w:val="111111"/>
          <w:sz w:val="28"/>
          <w:szCs w:val="28"/>
          <w:rtl w:val="true"/>
          <w:lang w:bidi="ar-SA"/>
        </w:rPr>
        <w:t xml:space="preserve">» </w:t>
      </w:r>
      <w:r>
        <w:rPr>
          <w:rStyle w:val="FootnoteAnchor"/>
          <w:rtl w:val="true"/>
        </w:rPr>
        <w:footnoteReference w:id="155"/>
      </w:r>
      <w:r>
        <w:rPr>
          <w:rFonts w:ascii="Amiri" w:hAnsi="Amiri" w:eastAsia="Amiri" w:cs="Amiri"/>
          <w:color w:val="111111"/>
          <w:sz w:val="28"/>
          <w:sz w:val="28"/>
          <w:szCs w:val="28"/>
          <w:rtl w:val="true"/>
          <w:lang w:bidi="ar-SA"/>
        </w:rPr>
        <w:t>، و الظاهر إلحاق الجرح و الكسر بالقتل، إذ المنساق من الرواية عدم كون التلف من أجلك، من دون خصوصية لأنحاء التلف، من تلف جزء أو وصف صحته، أو تلف تمامه بهلاكه</w:t>
      </w:r>
      <w:r>
        <w:rPr>
          <w:rFonts w:eastAsia="Amiri" w:cs="Amiri" w:ascii="Amiri" w:hAnsi="Amiri"/>
          <w:color w:val="111111"/>
          <w:sz w:val="28"/>
          <w:szCs w:val="28"/>
          <w:rtl w:val="true"/>
          <w:lang w:bidi="ar-SA"/>
        </w:rPr>
        <w:t>.</w:t>
      </w:r>
    </w:p>
    <w:p>
      <w:pPr>
        <w:pStyle w:val="Heading6"/>
        <w:numPr>
          <w:ilvl w:val="5"/>
          <w:numId w:val="1"/>
        </w:numPr>
        <w:rPr/>
      </w:pPr>
      <w:bookmarkStart w:id="88" w:name="__RefHeading___Toc3320750_2314609296"/>
      <w:bookmarkStart w:id="89" w:name="_Toc33"/>
      <w:bookmarkEnd w:id="88"/>
      <w:r>
        <w:rPr>
          <w:rtl w:val="true"/>
        </w:rPr>
        <w:t>الثانية عشرة</w:t>
      </w:r>
      <w:r>
        <w:rPr>
          <w:rtl w:val="true"/>
        </w:rPr>
        <w:t xml:space="preserve">: </w:t>
      </w:r>
      <w:r>
        <w:rPr>
          <w:rtl w:val="true"/>
        </w:rPr>
        <w:t>إذا قتل المحرم حيوانا، و شك في انه صيد أم غير صيد،</w:t>
      </w:r>
      <w:bookmarkEnd w:id="89"/>
    </w:p>
    <w:p>
      <w:pPr>
        <w:pStyle w:val="BookText"/>
        <w:rPr/>
      </w:pPr>
      <w:r>
        <w:rPr>
          <w:rFonts w:ascii="Amiri" w:hAnsi="Amiri" w:eastAsia="Amiri" w:cs="Amiri"/>
          <w:color w:val="111111"/>
          <w:sz w:val="28"/>
          <w:sz w:val="28"/>
          <w:szCs w:val="28"/>
          <w:rtl w:val="true"/>
          <w:lang w:bidi="ar-SA"/>
        </w:rPr>
        <w:t>لا يضمن، للأصل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لو شك في كونه في الحرم، أو في الحل، بالنسبة إلى المحل أو المحرم في تضاعف كفارته، كل ذلك للأصل، كما لا يخفى</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كذلك لو كان صيدا و شك انه صيد بر أو بحر، لو لا إطلاق حرمة الصيد، و إنما الخارج صيد البحر، فإنّ أصالة عدم البحرية تثبت الحرمة و الضمان، كما لا يخفى، و اللّٰه العالم</w:t>
      </w:r>
      <w:r>
        <w:rPr>
          <w:rFonts w:eastAsia="Amiri" w:cs="Amiri" w:ascii="Amiri" w:hAnsi="Amiri"/>
          <w:color w:val="111111"/>
          <w:sz w:val="28"/>
          <w:szCs w:val="28"/>
          <w:rtl w:val="true"/>
          <w:lang w:bidi="ar-SA"/>
        </w:rPr>
        <w:t>.</w:t>
      </w:r>
      <w:bookmarkStart w:id="90" w:name="pg19818_203920"/>
    </w:p>
    <w:p>
      <w:pPr>
        <w:pStyle w:val="BookText"/>
        <w:rPr/>
      </w:pPr>
      <w:bookmarkEnd w:id="90"/>
      <w:r>
        <w:rPr>
          <w:rFonts w:ascii="Amiri" w:hAnsi="Amiri" w:eastAsia="Amiri" w:cs="Amiri"/>
          <w:color w:val="111111"/>
          <w:sz w:val="28"/>
          <w:sz w:val="28"/>
          <w:szCs w:val="28"/>
          <w:rtl w:val="true"/>
          <w:lang w:bidi="ar-SA"/>
        </w:rPr>
        <w:t>هذا كله حكم جزاء الصيد</w:t>
      </w:r>
      <w:r>
        <w:rPr>
          <w:rFonts w:eastAsia="Amiri" w:cs="Amiri" w:ascii="Amiri" w:hAnsi="Amiri"/>
          <w:color w:val="111111"/>
          <w:sz w:val="28"/>
          <w:szCs w:val="28"/>
          <w:rtl w:val="true"/>
          <w:lang w:bidi="ar-SA"/>
        </w:rPr>
        <w:t>.</w:t>
      </w:r>
    </w:p>
    <w:p>
      <w:pPr>
        <w:pStyle w:val="Heading4"/>
        <w:numPr>
          <w:ilvl w:val="3"/>
          <w:numId w:val="1"/>
        </w:numPr>
        <w:rPr/>
      </w:pPr>
      <w:bookmarkStart w:id="91" w:name="__RefHeading___Toc3320752_2314609296"/>
      <w:bookmarkStart w:id="92" w:name="_Toc34"/>
      <w:bookmarkEnd w:id="91"/>
      <w:r>
        <w:rPr>
          <w:rtl w:val="true"/>
        </w:rPr>
        <w:t>الفصل الثاني</w:t>
      </w:r>
      <w:r>
        <w:rPr>
          <w:rtl w:val="true"/>
        </w:rPr>
        <w:t xml:space="preserve">: </w:t>
      </w:r>
      <w:r>
        <w:rPr>
          <w:rtl w:val="true"/>
        </w:rPr>
        <w:t>في باقي المحظورات</w:t>
      </w:r>
      <w:bookmarkEnd w:id="92"/>
    </w:p>
    <w:p>
      <w:pPr>
        <w:pStyle w:val="Heading5"/>
        <w:numPr>
          <w:ilvl w:val="4"/>
          <w:numId w:val="1"/>
        </w:numPr>
        <w:rPr/>
      </w:pPr>
      <w:bookmarkStart w:id="93" w:name="__RefHeading___Toc3320754_2314609296"/>
      <w:bookmarkStart w:id="94" w:name="_Toc35"/>
      <w:bookmarkEnd w:id="93"/>
      <w:r>
        <w:rPr>
          <w:rtl w:val="true"/>
        </w:rPr>
        <w:t>اشارة</w:t>
      </w:r>
      <w:bookmarkEnd w:id="9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مسائل</w:t>
      </w:r>
      <w:r>
        <w:rPr>
          <w:rFonts w:eastAsia="Amiri" w:cs="Amiri" w:ascii="Amiri" w:hAnsi="Amiri"/>
          <w:color w:val="111111"/>
          <w:sz w:val="28"/>
          <w:szCs w:val="28"/>
          <w:rtl w:val="true"/>
          <w:lang w:bidi="ar-SA"/>
        </w:rPr>
        <w:t>):</w:t>
      </w:r>
    </w:p>
    <w:p>
      <w:pPr>
        <w:pStyle w:val="Heading5"/>
        <w:numPr>
          <w:ilvl w:val="4"/>
          <w:numId w:val="1"/>
        </w:numPr>
        <w:rPr/>
      </w:pPr>
      <w:bookmarkStart w:id="95" w:name="__RefHeading___Toc3320756_2314609296"/>
      <w:bookmarkStart w:id="96" w:name="_Toc36"/>
      <w:bookmarkEnd w:id="95"/>
      <w:r>
        <w:rPr>
          <w:rtl w:val="true"/>
        </w:rPr>
        <w:t>(</w:t>
      </w:r>
      <w:r>
        <w:rPr>
          <w:rtl w:val="true"/>
        </w:rPr>
        <w:t>الأولى</w:t>
      </w:r>
      <w:r>
        <w:rPr>
          <w:rtl w:val="true"/>
        </w:rPr>
        <w:t>) (</w:t>
      </w:r>
      <w:r>
        <w:rPr>
          <w:rtl w:val="true"/>
        </w:rPr>
        <w:t>من جامع امرأته قبل الموقفين</w:t>
      </w:r>
      <w:r>
        <w:rPr>
          <w:rtl w:val="true"/>
        </w:rPr>
        <w:t>)</w:t>
      </w:r>
      <w:bookmarkEnd w:id="96"/>
    </w:p>
    <w:p>
      <w:pPr>
        <w:pStyle w:val="Heading6"/>
        <w:numPr>
          <w:ilvl w:val="5"/>
          <w:numId w:val="1"/>
        </w:numPr>
        <w:rPr/>
      </w:pPr>
      <w:bookmarkStart w:id="97" w:name="__RefHeading___Toc3320758_2314609296"/>
      <w:bookmarkStart w:id="98" w:name="_Toc37"/>
      <w:bookmarkEnd w:id="97"/>
      <w:r>
        <w:rPr>
          <w:rtl w:val="true"/>
        </w:rPr>
        <w:t>اشارة</w:t>
      </w:r>
      <w:bookmarkEnd w:id="98"/>
    </w:p>
    <w:p>
      <w:pPr>
        <w:pStyle w:val="BookText"/>
        <w:rPr/>
      </w:pPr>
      <w:r>
        <w:rPr>
          <w:rFonts w:ascii="Amiri" w:hAnsi="Amiri" w:eastAsia="Amiri" w:cs="Amiri"/>
          <w:color w:val="111111"/>
          <w:sz w:val="28"/>
          <w:sz w:val="28"/>
          <w:szCs w:val="28"/>
          <w:rtl w:val="true"/>
          <w:lang w:bidi="ar-SA"/>
        </w:rPr>
        <w:t>أو في أثنائهما قبلا أو دبرا، عامدا عالما بالتحريم بطل حجة، و عليه إتمامه و القضاء من قابل و بدنة و الأصل في ذلك ما في المستفيضة فيمن واقع أهله، و في بعضها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إن كان جاهلا فلا شي‌ء عليه، و إن لم يكن جاهلا فإن عليه أن يسوق بدنة، و يفرّق بينهما حتى يقضيا المناسك و يرجعا إلى المكان الذي أصابا فيه ما أصابا، و عليهما الحج من قابل</w:t>
      </w:r>
      <w:r>
        <w:rPr>
          <w:rFonts w:eastAsia="Amiri" w:cs="Amiri" w:ascii="Amiri" w:hAnsi="Amiri"/>
          <w:color w:val="111111"/>
          <w:sz w:val="28"/>
          <w:szCs w:val="28"/>
          <w:rtl w:val="true"/>
          <w:lang w:bidi="ar-SA"/>
        </w:rPr>
        <w:t xml:space="preserve">»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نص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لم يجد بدنة فإطعام ستين مسكينا، و إن لم يقدر على الإطعام فصيام عشرة أيام، و عليها أيضا مثله إن لم تكن مكرهة</w:t>
      </w:r>
      <w:r>
        <w:rPr>
          <w:rFonts w:eastAsia="Amiri" w:cs="Amiri" w:ascii="Amiri" w:hAnsi="Amiri"/>
          <w:color w:val="111111"/>
          <w:sz w:val="28"/>
          <w:szCs w:val="28"/>
          <w:rtl w:val="true"/>
          <w:lang w:bidi="ar-SA"/>
        </w:rPr>
        <w:t xml:space="preserve">»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التصريح بأنّ على المكره فداءان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الحجتين لهما؟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الأولى التي أحدثا فيها ما أحدثا، و الأخرى عليهما عقوبة</w:t>
      </w:r>
      <w:r>
        <w:rPr>
          <w:rFonts w:eastAsia="Amiri" w:cs="Amiri" w:ascii="Amiri" w:hAnsi="Amiri"/>
          <w:color w:val="111111"/>
          <w:sz w:val="28"/>
          <w:szCs w:val="28"/>
          <w:rtl w:val="true"/>
          <w:lang w:bidi="ar-SA"/>
        </w:rPr>
        <w:t xml:space="preserve">»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يخفى انّ صريح هذا النص صحة الحج الأول، و كون الباقي عقوبة،</w:t>
      </w:r>
    </w:p>
    <w:p>
      <w:pPr>
        <w:pStyle w:val="BookText"/>
        <w:rPr/>
      </w:pPr>
      <w:r>
        <w:rPr>
          <w:rFonts w:ascii="Amiri" w:hAnsi="Amiri" w:eastAsia="Amiri" w:cs="Amiri"/>
          <w:color w:val="111111"/>
          <w:sz w:val="28"/>
          <w:sz w:val="28"/>
          <w:szCs w:val="28"/>
          <w:rtl w:val="true"/>
          <w:lang w:bidi="ar-SA"/>
        </w:rPr>
        <w:t>و إليه أيضا ذهب جمع من الأعاظم، و لازمة الاجتزاء به في القضاء عنه وليه، أو استحقاق النائب بمثله الأجرة، برء نذره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في بعض النصوص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الرفث فساد الحج</w:t>
      </w:r>
      <w:r>
        <w:rPr>
          <w:rFonts w:eastAsia="Amiri" w:cs="Amiri" w:ascii="Amiri" w:hAnsi="Amiri"/>
          <w:color w:val="111111"/>
          <w:sz w:val="28"/>
          <w:szCs w:val="28"/>
          <w:rtl w:val="true"/>
          <w:lang w:bidi="ar-SA"/>
        </w:rPr>
        <w:t xml:space="preserve">» </w:t>
      </w:r>
      <w:r>
        <w:rPr>
          <w:rStyle w:val="FootnoteAnchor"/>
          <w:rtl w:val="true"/>
        </w:rPr>
        <w:footnoteReference w:id="160"/>
      </w:r>
      <w:r>
        <w:rPr>
          <w:rFonts w:ascii="Amiri" w:hAnsi="Amiri" w:eastAsia="Amiri" w:cs="Amiri"/>
          <w:color w:val="111111"/>
          <w:sz w:val="28"/>
          <w:sz w:val="28"/>
          <w:szCs w:val="28"/>
          <w:rtl w:val="true"/>
          <w:lang w:bidi="ar-SA"/>
        </w:rPr>
        <w:t>، و يؤيد تعبير فساده بالجماع في كثير من الفتاوى و المتون، و لازمة عدم ترتيب الآثار المزبورة إلّا على الثاني لا الأول، بل يجب إتمامه عقوبة، أو من جهة عدم خروجه عن إحرامه إلّا بإتيان محللاته، المنوطة بإتيان مناسكه في محلها، كي به يقدر على إحرام جديد لحج مستأنف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حمل الفساد في النص و الفتوى على الفساد الحكمي، بملاحظة عدم جواز الاقتصار عليه، و وجوب إعادته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من الممكن نقص الأولى و فسادها على وجه قابل للتدارك بالإعادة، نظير تدارك نقص الصلاة بسجدتي السهو أو ركعتي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المعنى أطلق عليه أنه لهما، و انه لا يتم إلّا بالثانية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إطلاق العقوبة أيضا بهذه العناية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لازمة ترتب الآثار المزبورة بتمام الثانية، لا بصرف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الإنصاف انّ كون الثانية عقوبة لا يلائم هذا المعنى، إذ مرجعه إلى كونه جريمة، و مرجع ما ذكرنا إلى كونه جابرا، و الجبران غير الجريمة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فالتوجيه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مقام الجمع بين النصين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 من الثاني</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مثله أيضا يلائم مع كون الجماع مثل سائر المحرمات مضرا بالحج، و إنما شدة مفسدته توجب حجا آخر عقوبة، فإطلاق الفساد عليه بهذه العناية،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إطلاق الأخبار يشمل الحج الواجب و المندوب، كما انّ إتيان الأهل أعم من الدائمة و المنقطعة، بل و ملك اليمين، لصدق أهله عليه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جريان الحكم مع الزنا اشكال، لو لا دعوى شمول الجماع المفسر به الرفث، الذي به فساد الحج لمثله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تسليم الحكم في الزنا، ففي جريانه في اللواط أشكل، لانصراف الجماع عنه، و لذا استشكل فيه الحلبي و لم يوجب فيه إلّا البدنة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الجواهر أيضا الإشكال في وجوب البدنة </w:t>
      </w:r>
      <w:r>
        <w:rPr>
          <w:rStyle w:val="FootnoteAnchor"/>
          <w:rtl w:val="true"/>
        </w:rPr>
        <w:footnoteReference w:id="162"/>
      </w:r>
      <w:r>
        <w:rPr>
          <w:rFonts w:ascii="Amiri" w:hAnsi="Amiri" w:eastAsia="Amiri" w:cs="Amiri"/>
          <w:color w:val="111111"/>
          <w:sz w:val="28"/>
          <w:sz w:val="28"/>
          <w:szCs w:val="28"/>
          <w:rtl w:val="true"/>
          <w:lang w:bidi="ar-SA"/>
        </w:rPr>
        <w:t>، لأنه مقتضى صرف النصوص عنه مع ان ثبوته إجماعي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فكأنه يؤيد ثبوت بقية الأحكام فيه، و فيه 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فالمسألة لا تخلو عن اشكال، و أشكل منه وطء الحيوانات للأصل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في شمول النصوص لوطء الدبر تأمل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الانصاف عدم قصور في شمول عنوان إتيان الأهل لمثله، لأنه أحد المأتيين، كما في النص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أيضا مقتضى النصوص اختصاص الحكم المزبور بالعالم العامد، فالجاهل و الناسي و الساهي لا شي‌ء عليه، فيصح حجه بلا اعادة، فلو جهل أحدهما دون الآخر، يختص العالم بالحكم المزبور لا الجاهل</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إطلاق النص و الفتوى يشمل الجاهل بالموضوع أو الحكم، و لذا عبّروا بالعامد، بعنوان الجماع عالما بالتحريم، و كونه محرما، فلو انتفى واحد منها لا تشمله الإطلاقات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انّ الظاهر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جامعت بعد وقوفك بالمشعر فعليك بدنة و ليس عليك الحج من قابل</w:t>
      </w:r>
      <w:r>
        <w:rPr>
          <w:rFonts w:eastAsia="Amiri" w:cs="Amiri" w:ascii="Amiri" w:hAnsi="Amiri"/>
          <w:color w:val="111111"/>
          <w:sz w:val="28"/>
          <w:szCs w:val="28"/>
          <w:rtl w:val="true"/>
          <w:lang w:bidi="ar-SA"/>
        </w:rPr>
        <w:t xml:space="preserve">» </w:t>
      </w:r>
      <w:r>
        <w:rPr>
          <w:rStyle w:val="FootnoteAnchor"/>
          <w:rtl w:val="true"/>
        </w:rPr>
        <w:footnoteReference w:id="164"/>
      </w:r>
      <w:r>
        <w:rPr>
          <w:rFonts w:ascii="Amiri" w:hAnsi="Amiri" w:eastAsia="Amiri" w:cs="Amiri"/>
          <w:color w:val="111111"/>
          <w:sz w:val="28"/>
          <w:sz w:val="28"/>
          <w:szCs w:val="28"/>
          <w:rtl w:val="true"/>
          <w:lang w:bidi="ar-SA"/>
        </w:rPr>
        <w:t>انّ الحكم مختص بالجماع قبل إتمام الوقوف بالمشعر، و ستأتي تتمة الكلام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التأمل فيما ذكرنا ظهر وجه ما أفاده المصنف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الحج فرضا أو نفلا، لما عرفت من إطلاق المستفيضة، و أن عليها مثل ذلك إن طاوعته كما هو مصرّح به في بعض النصوص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عليهما الافتراق و هو أن لا ينفرد بالاجتماع إن حجا من قابل في موضع المعصية إلى، أن يفرغا من المناسك، كما هو المنصوص في صحيح ابن عمار </w:t>
      </w:r>
      <w:r>
        <w:rPr>
          <w:rStyle w:val="FootnoteAnchor"/>
          <w:rtl w:val="true"/>
        </w:rPr>
        <w:footnoteReference w:id="165"/>
      </w:r>
      <w:r>
        <w:rPr>
          <w:rFonts w:ascii="IRNazanin" w:hAnsi="IRNazanin" w:eastAsia="IRNazanin"/>
          <w:color w:val="111111"/>
          <w:sz w:val="28"/>
          <w:sz w:val="28"/>
          <w:szCs w:val="28"/>
          <w:rtl w:val="true"/>
          <w:lang w:bidi="fa-IR"/>
        </w:rPr>
        <w:t xml:space="preserve">، و مرفوع أبان </w:t>
      </w:r>
      <w:r>
        <w:rPr>
          <w:rStyle w:val="FootnoteAnchor"/>
          <w:rtl w:val="true"/>
        </w:rPr>
        <w:footnoteReference w:id="166"/>
      </w:r>
      <w:r>
        <w:rPr>
          <w:rFonts w:ascii="Amiri" w:hAnsi="Amiri" w:eastAsia="Amiri" w:cs="Amiri"/>
          <w:color w:val="111111"/>
          <w:sz w:val="28"/>
          <w:sz w:val="28"/>
          <w:szCs w:val="28"/>
          <w:rtl w:val="true"/>
          <w:lang w:bidi="ar-SA"/>
        </w:rPr>
        <w:t xml:space="preserve">، و مرفوعة أخرى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أيضا لو أكرهها صح حجها و يتحمل عنها الكفارة بلا اشكال، و في بعض النصوص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عليها شي‌ء</w:t>
      </w:r>
      <w:r>
        <w:rPr>
          <w:rFonts w:eastAsia="Amiri" w:cs="Amiri" w:ascii="Amiri" w:hAnsi="Amiri"/>
          <w:color w:val="111111"/>
          <w:sz w:val="28"/>
          <w:szCs w:val="28"/>
          <w:rtl w:val="true"/>
          <w:lang w:bidi="ar-SA"/>
        </w:rPr>
        <w:t xml:space="preserve">» </w:t>
      </w:r>
      <w:r>
        <w:rPr>
          <w:rStyle w:val="FootnoteAnchor"/>
          <w:rtl w:val="true"/>
        </w:rPr>
        <w:footnoteReference w:id="168"/>
      </w:r>
      <w:r>
        <w:rPr>
          <w:rFonts w:ascii="Amiri" w:hAnsi="Amiri" w:eastAsia="Amiri" w:cs="Amiri"/>
          <w:color w:val="111111"/>
          <w:sz w:val="28"/>
          <w:sz w:val="28"/>
          <w:szCs w:val="28"/>
          <w:rtl w:val="true"/>
          <w:lang w:bidi="ar-SA"/>
        </w:rPr>
        <w:t>، و إطلاقه يشمل نفي اعادة الحج و البدنة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النص الآخر عند كونها مستكرهة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الرجل البدنتان، و عليهما الحج من قابل</w:t>
      </w:r>
      <w:r>
        <w:rPr>
          <w:rFonts w:eastAsia="Amiri" w:cs="Amiri" w:ascii="Amiri" w:hAnsi="Amiri"/>
          <w:color w:val="111111"/>
          <w:sz w:val="28"/>
          <w:szCs w:val="28"/>
          <w:rtl w:val="true"/>
          <w:lang w:bidi="ar-SA"/>
        </w:rPr>
        <w:t xml:space="preserve">» </w:t>
      </w:r>
      <w:r>
        <w:rPr>
          <w:rStyle w:val="FootnoteAnchor"/>
          <w:rtl w:val="true"/>
        </w:rPr>
        <w:footnoteReference w:id="169"/>
      </w:r>
      <w:r>
        <w:rPr>
          <w:rFonts w:ascii="Amiri" w:hAnsi="Amiri" w:eastAsia="Amiri" w:cs="Amiri"/>
          <w:color w:val="111111"/>
          <w:sz w:val="28"/>
          <w:sz w:val="28"/>
          <w:szCs w:val="28"/>
          <w:rtl w:val="true"/>
          <w:lang w:bidi="ar-SA"/>
        </w:rPr>
        <w:t>و ذيله يحمل على الاستحباب، بقرينة النص الأول</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كان الجماع بعد الموقفين صح الحج، و وجبت البدنة على كل منهما مع اختيارهما، كما في النص المشار إليه آنفا، بعد جبر سنده</w:t>
      </w:r>
    </w:p>
    <w:p>
      <w:pPr>
        <w:pStyle w:val="BookText"/>
        <w:rPr/>
      </w:pPr>
      <w:r>
        <w:rPr>
          <w:rFonts w:ascii="Amiri" w:hAnsi="Amiri" w:eastAsia="Amiri" w:cs="Amiri"/>
          <w:color w:val="111111"/>
          <w:sz w:val="28"/>
          <w:sz w:val="28"/>
          <w:szCs w:val="28"/>
          <w:rtl w:val="true"/>
          <w:lang w:bidi="ar-SA"/>
        </w:rPr>
        <w:t>بفتوى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يؤيده مفهوم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أن يأتي المزدلفة، بعد تقييده ببعد إتمام الوقوف فيها، لا في أثنائها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من جهة ما في بعض النصوص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واقع يوم النحر قبل طواف الزيارة،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بشهوة فبدنة، و إلّا فبقرة أو شاة</w:t>
      </w:r>
      <w:r>
        <w:rPr>
          <w:rFonts w:eastAsia="Amiri" w:cs="Amiri" w:ascii="Amiri" w:hAnsi="Amiri"/>
          <w:color w:val="111111"/>
          <w:sz w:val="28"/>
          <w:szCs w:val="28"/>
          <w:rtl w:val="true"/>
          <w:lang w:bidi="ar-SA"/>
        </w:rPr>
        <w:t xml:space="preserve">» </w:t>
      </w:r>
      <w:r>
        <w:rPr>
          <w:rStyle w:val="FootnoteAnchor"/>
          <w:rtl w:val="true"/>
        </w:rPr>
        <w:footnoteReference w:id="170"/>
      </w:r>
      <w:r>
        <w:rPr>
          <w:rFonts w:ascii="Amiri" w:hAnsi="Amiri" w:eastAsia="Amiri" w:cs="Amiri"/>
          <w:color w:val="111111"/>
          <w:sz w:val="28"/>
          <w:sz w:val="28"/>
          <w:szCs w:val="28"/>
          <w:rtl w:val="true"/>
          <w:lang w:bidi="ar-SA"/>
        </w:rPr>
        <w:t>بناء على جعل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بشهوة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كناية عن تعمده بالجماع، عالما بالتحريم، و أنّ المراد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فإن لم يتمكن من البدنة، لا فإن لم يكن بشهوة، و إلّا فلا بد من طرحه، لعدم القول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 الاحتمال الأول ما في خبر علي بن جعفر في تفسير الرفث،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رفث فعليه بدنة، و إن عجز فعليه شاة</w:t>
      </w:r>
      <w:r>
        <w:rPr>
          <w:rFonts w:eastAsia="Amiri" w:cs="Amiri" w:ascii="Amiri" w:hAnsi="Amiri"/>
          <w:color w:val="111111"/>
          <w:sz w:val="28"/>
          <w:szCs w:val="28"/>
          <w:rtl w:val="true"/>
          <w:lang w:bidi="ar-SA"/>
        </w:rPr>
        <w:t xml:space="preserve">» </w:t>
      </w:r>
      <w:r>
        <w:rPr>
          <w:rStyle w:val="FootnoteAnchor"/>
          <w:rtl w:val="true"/>
        </w:rPr>
        <w:footnoteReference w:id="171"/>
      </w:r>
      <w:r>
        <w:rPr>
          <w:rFonts w:ascii="Amiri" w:hAnsi="Amiri" w:eastAsia="Amiri" w:cs="Amiri"/>
          <w:color w:val="111111"/>
          <w:sz w:val="28"/>
          <w:sz w:val="28"/>
          <w:szCs w:val="28"/>
          <w:rtl w:val="true"/>
          <w:lang w:bidi="ar-SA"/>
        </w:rPr>
        <w:t>، بناء على حمل إطلاقه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بقرينة الرواية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بعد الوقوف بالمشعر، كما انّ إطلاق تعيين الشاة أيضا ينزل على عدم اختيار البقرة بشهادة النص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انّ بهذا النص يحمل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السابقة على عدم التمكن من البدنة، لا عدم الشهوة، فبكل نص ترفع اليد عن ظاهر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ذلك كله لو لا شبهة وهن السند في أمثال هذه النصوص، بعدم عامل بظاهر كل واحد، و تردد ذلك بين بنائهم على الجمع المزبور، أو على الطرح و الاعراض عن السند</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هذا الاحتمال لا يبقى وثوق بالسند، كي ينتهي الأمر إلى الجمع بينهما بما ذكر، و لعله لذلك قال في المدارك بعدم ظفره، على مستند الرجوع الى بدل البدنة </w:t>
      </w:r>
      <w:r>
        <w:rPr>
          <w:rStyle w:val="FootnoteAnchor"/>
          <w:rtl w:val="true"/>
        </w:rPr>
        <w:footnoteReference w:id="172"/>
      </w:r>
      <w:r>
        <w:rPr>
          <w:rFonts w:ascii="Amiri" w:hAnsi="Amiri" w:eastAsia="Amiri" w:cs="Amiri"/>
          <w:color w:val="111111"/>
          <w:sz w:val="28"/>
          <w:sz w:val="28"/>
          <w:szCs w:val="28"/>
          <w:rtl w:val="true"/>
          <w:lang w:bidi="ar-SA"/>
        </w:rPr>
        <w:t>، خصوصا مع ما في بعض النصوص في ظرف العجز عن الجزور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لأصحابه أن يجمعوا له و لا يفسدوا حجه، ساكنا عن بدله رأسا</w:t>
      </w:r>
      <w:r>
        <w:rPr>
          <w:rFonts w:eastAsia="Amiri" w:cs="Amiri" w:ascii="Amiri" w:hAnsi="Amiri"/>
          <w:color w:val="111111"/>
          <w:sz w:val="28"/>
          <w:szCs w:val="28"/>
          <w:rtl w:val="true"/>
          <w:lang w:bidi="ar-SA"/>
        </w:rPr>
        <w:t>.</w:t>
      </w:r>
      <w:bookmarkStart w:id="99" w:name="pg19818_203925"/>
    </w:p>
    <w:p>
      <w:pPr>
        <w:pStyle w:val="BookText"/>
        <w:rPr/>
      </w:pPr>
      <w:bookmarkEnd w:id="99"/>
      <w:r>
        <w:rPr>
          <w:rFonts w:ascii="Amiri" w:hAnsi="Amiri" w:eastAsia="Amiri" w:cs="Amiri"/>
          <w:color w:val="111111"/>
          <w:sz w:val="28"/>
          <w:sz w:val="28"/>
          <w:szCs w:val="28"/>
          <w:rtl w:val="true"/>
          <w:lang w:bidi="ar-SA"/>
        </w:rPr>
        <w:t>و لقد جعل في تكملة استاذنا أيضا التنزل إلى البقرة 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التنزل إلى الشاة في ظرف العجز عن البقرة، و لعل نظرهم الى فحوى ما ورد في الجماع قبل طواف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سيأتي بيانه، لكن على فرض دلالته على الترتيب المزبور يمنع فحواه على وجه يجري في المقام، و اللّٰه العالم</w:t>
      </w:r>
      <w:r>
        <w:rPr>
          <w:rFonts w:eastAsia="Amiri" w:cs="Amiri" w:ascii="Amiri" w:hAnsi="Amiri"/>
          <w:color w:val="111111"/>
          <w:sz w:val="28"/>
          <w:szCs w:val="28"/>
          <w:rtl w:val="true"/>
          <w:lang w:bidi="ar-SA"/>
        </w:rPr>
        <w:t>.</w:t>
      </w:r>
    </w:p>
    <w:p>
      <w:pPr>
        <w:pStyle w:val="Heading6"/>
        <w:numPr>
          <w:ilvl w:val="5"/>
          <w:numId w:val="1"/>
        </w:numPr>
        <w:rPr/>
      </w:pPr>
      <w:bookmarkStart w:id="100" w:name="__RefHeading___Toc3320760_2314609296"/>
      <w:bookmarkStart w:id="101" w:name="_Toc38"/>
      <w:bookmarkEnd w:id="100"/>
      <w:r>
        <w:rPr>
          <w:rtl w:val="true"/>
        </w:rPr>
        <w:t>و لو جامع قبل طواف النساء لزمه بدنة و صح حجه،</w:t>
      </w:r>
      <w:bookmarkEnd w:id="101"/>
    </w:p>
    <w:p>
      <w:pPr>
        <w:pStyle w:val="BookText"/>
        <w:rPr/>
      </w:pPr>
      <w:r>
        <w:rPr>
          <w:rFonts w:ascii="Amiri" w:hAnsi="Amiri" w:eastAsia="Amiri" w:cs="Amiri"/>
          <w:color w:val="111111"/>
          <w:sz w:val="28"/>
          <w:sz w:val="28"/>
          <w:szCs w:val="28"/>
          <w:rtl w:val="true"/>
          <w:lang w:bidi="ar-SA"/>
        </w:rPr>
        <w:t xml:space="preserve">لإطلاق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جامعت بعد وقوف المشعر فعليك بدنة و لا حج عليك</w:t>
      </w:r>
      <w:r>
        <w:rPr>
          <w:rFonts w:eastAsia="Amiri" w:cs="Amiri" w:ascii="Amiri" w:hAnsi="Amiri"/>
          <w:color w:val="111111"/>
          <w:sz w:val="28"/>
          <w:szCs w:val="28"/>
          <w:rtl w:val="true"/>
          <w:lang w:bidi="ar-SA"/>
        </w:rPr>
        <w:t xml:space="preserve">»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إن عجز عنها فعليه بقرة أو شاة، و لعله من جهة ما في نص خالد في الجماع قبل طواف النساء، المشتمل على جواب الإمام تارة بالبدنة و اخرى بالبقرة، و ثالثة بشاة، معتذرا عن ذلك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موسر عليك بدنة، و على الوسط بقرة و على الفقير شاة</w:t>
      </w:r>
      <w:r>
        <w:rPr>
          <w:rFonts w:eastAsia="Amiri" w:cs="Amiri" w:ascii="Amiri" w:hAnsi="Amiri"/>
          <w:color w:val="111111"/>
          <w:sz w:val="28"/>
          <w:szCs w:val="28"/>
          <w:rtl w:val="true"/>
          <w:lang w:bidi="ar-SA"/>
        </w:rPr>
        <w:t xml:space="preserve">»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يخفى أن استفادة التخيير بين البقرة و الشاة، إنما هو مبني على إطلاق الفقرتين، و 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يوهمه التفصيل بين الفقير و المتوسط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الشاة في ظرف العجز عن البقرة، و مع هذا الإيهام لا يكون في هذه الفقرات حجة على التخيير، فينتهي الأمر حينئذ إلى التعيين و التخيير، كما لا يخفى، و اللّٰه العالم</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كان قد طاف منه أي من طواف النساء خمسا فلا كفارة، لرواية حمران المشتملة على نفي الشي‌ء بمضي خمسة أشواط، مع جعل البدنة في الثلاثة </w:t>
      </w:r>
      <w:r>
        <w:rPr>
          <w:rStyle w:val="FootnoteAnchor"/>
          <w:rtl w:val="true"/>
        </w:rPr>
        <w:footnoteReference w:id="175"/>
      </w:r>
      <w:r>
        <w:rPr>
          <w:rFonts w:ascii="Amiri" w:hAnsi="Amiri" w:eastAsia="Amiri" w:cs="Amiri"/>
          <w:color w:val="111111"/>
          <w:sz w:val="28"/>
          <w:sz w:val="28"/>
          <w:szCs w:val="28"/>
          <w:rtl w:val="true"/>
          <w:lang w:bidi="ar-SA"/>
        </w:rPr>
        <w:t>، فإنه في غاية الظهور في توجه نفي الشي‌ء في الخمسة حينئذ إلى البدنة</w:t>
      </w:r>
      <w:r>
        <w:rPr>
          <w:rFonts w:eastAsia="Amiri" w:cs="Amiri" w:ascii="Amiri" w:hAnsi="Amiri"/>
          <w:color w:val="111111"/>
          <w:sz w:val="28"/>
          <w:szCs w:val="28"/>
          <w:rtl w:val="true"/>
          <w:lang w:bidi="ar-SA"/>
        </w:rPr>
        <w:t>.</w:t>
      </w:r>
      <w:bookmarkStart w:id="102" w:name="pg19818_203926"/>
    </w:p>
    <w:p>
      <w:pPr>
        <w:pStyle w:val="BookText"/>
        <w:rPr/>
      </w:pPr>
      <w:bookmarkEnd w:id="102"/>
      <w:r>
        <w:rPr>
          <w:rFonts w:ascii="Amiri" w:hAnsi="Amiri" w:eastAsia="Amiri" w:cs="Amiri"/>
          <w:color w:val="111111"/>
          <w:sz w:val="28"/>
          <w:sz w:val="28"/>
          <w:szCs w:val="28"/>
          <w:rtl w:val="true"/>
          <w:lang w:bidi="ar-SA"/>
        </w:rPr>
        <w:t>نعم في بعض النصوص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أن يقرب النساء إذا زاد على النصف</w:t>
      </w:r>
      <w:r>
        <w:rPr>
          <w:rFonts w:eastAsia="Amiri" w:cs="Amiri" w:ascii="Amiri" w:hAnsi="Amiri"/>
          <w:color w:val="111111"/>
          <w:sz w:val="28"/>
          <w:szCs w:val="28"/>
          <w:rtl w:val="true"/>
          <w:lang w:bidi="ar-SA"/>
        </w:rPr>
        <w:t xml:space="preserve">» </w:t>
      </w:r>
      <w:r>
        <w:rPr>
          <w:rStyle w:val="FootnoteAnchor"/>
          <w:rtl w:val="true"/>
        </w:rPr>
        <w:footnoteReference w:id="176"/>
      </w:r>
      <w:r>
        <w:rPr>
          <w:rFonts w:ascii="Amiri" w:hAnsi="Amiri" w:eastAsia="Amiri" w:cs="Amiri"/>
          <w:color w:val="111111"/>
          <w:sz w:val="28"/>
          <w:sz w:val="28"/>
          <w:szCs w:val="28"/>
          <w:rtl w:val="true"/>
          <w:lang w:bidi="ar-SA"/>
        </w:rPr>
        <w:t>، فإن سلمنا الملازمة بين الجواز و نفي الكفارة، كانت هذه الرواية قرينة على التصرف في السابقة، بتخصيص ما دل على ثبوت البدنة بالجماع بعد الوقوف بالمشعر بهذه الصورة، و إلّا فالمرجع العموم المزبور إلى أن تمضي الخمسة بالنص المزبور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فعمدة الإشكال في الملازمة المزبورة، و لقد اعترف بها العلّامة الأستاذ قدّس سرّه في تكملته، و المسألة لا تخلو عن اشكال، و اللّٰه العالم</w:t>
      </w:r>
      <w:r>
        <w:rPr>
          <w:rFonts w:eastAsia="Amiri" w:cs="Amiri" w:ascii="Amiri" w:hAnsi="Amiri"/>
          <w:color w:val="111111"/>
          <w:sz w:val="28"/>
          <w:szCs w:val="28"/>
          <w:rtl w:val="true"/>
          <w:lang w:bidi="ar-SA"/>
        </w:rPr>
        <w:t>.</w:t>
      </w:r>
    </w:p>
    <w:p>
      <w:pPr>
        <w:pStyle w:val="Heading6"/>
        <w:numPr>
          <w:ilvl w:val="5"/>
          <w:numId w:val="1"/>
        </w:numPr>
        <w:rPr/>
      </w:pPr>
      <w:bookmarkStart w:id="103" w:name="__RefHeading___Toc3320762_2314609296"/>
      <w:bookmarkStart w:id="104" w:name="_Toc39"/>
      <w:bookmarkEnd w:id="103"/>
      <w:r>
        <w:rPr>
          <w:rtl w:val="true"/>
        </w:rPr>
        <w:t>و لو جامع في إحرام العمرة قبل السعي بطلت</w:t>
      </w:r>
      <w:bookmarkEnd w:id="104"/>
    </w:p>
    <w:p>
      <w:pPr>
        <w:pStyle w:val="BookText"/>
        <w:rPr/>
      </w:pPr>
      <w:r>
        <w:rPr>
          <w:rFonts w:ascii="Amiri" w:hAnsi="Amiri" w:eastAsia="Amiri" w:cs="Amiri"/>
          <w:color w:val="111111"/>
          <w:sz w:val="28"/>
          <w:sz w:val="28"/>
          <w:szCs w:val="28"/>
          <w:rtl w:val="true"/>
          <w:lang w:bidi="ar-SA"/>
        </w:rPr>
        <w:t xml:space="preserve">عمرته، و عليه بدنة و قضاؤها، أي العمرة و إتمامها، بلا اشكال ظاهرا في العمرة المفردة، و تكفي له المستفيضة المشتملة بعضها على إفساد الجماع قبل أن يفرغ من طوافه و سعيه </w:t>
      </w:r>
      <w:r>
        <w:rPr>
          <w:rStyle w:val="FootnoteAnchor"/>
          <w:rtl w:val="true"/>
        </w:rPr>
        <w:footnoteReference w:id="177"/>
      </w:r>
      <w:r>
        <w:rPr>
          <w:rFonts w:ascii="Amiri" w:hAnsi="Amiri" w:eastAsia="Amiri" w:cs="Amiri"/>
          <w:color w:val="111111"/>
          <w:sz w:val="28"/>
          <w:sz w:val="28"/>
          <w:szCs w:val="28"/>
          <w:rtl w:val="true"/>
          <w:lang w:bidi="ar-SA"/>
        </w:rPr>
        <w:t xml:space="preserve">، و في آخر قبل سعيه </w:t>
      </w:r>
      <w:r>
        <w:rPr>
          <w:rStyle w:val="FootnoteAnchor"/>
          <w:rtl w:val="true"/>
        </w:rPr>
        <w:footnoteReference w:id="178"/>
      </w:r>
      <w:r>
        <w:rPr>
          <w:rFonts w:ascii="Amiri" w:hAnsi="Amiri" w:eastAsia="Amiri" w:cs="Amiri"/>
          <w:color w:val="111111"/>
          <w:sz w:val="28"/>
          <w:sz w:val="28"/>
          <w:szCs w:val="28"/>
          <w:rtl w:val="true"/>
          <w:lang w:bidi="ar-SA"/>
        </w:rPr>
        <w:t>، و إطلاق الأول يشمل حال دخوله في سعيه قبل الفراغ منه، و هو المحكم، لعدم المعارضة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عن المصنف من التقييد بقبل السعي منظور فيه، إلّا أن يحمل على ما قبل فراغه منه</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موضوع نصوص الباب طرا العمرة المفردة، و في التعدّي إلى المتمتع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ظاهر إطلاق المصنف و الشرائع </w:t>
      </w:r>
      <w:r>
        <w:rPr>
          <w:rStyle w:val="FootnoteAnchor"/>
          <w:rtl w:val="true"/>
        </w:rPr>
        <w:footnoteReference w:id="179"/>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إشكال، و لعله لفحوى ما ورد في صحيحة معاوية 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متمتع وقع على امرأته و لم يقصّر،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ينحر جزورا، و قد خشيت أن يكون ثلم حجه إن كان عالما، و إن كان جاهلا فلا شي‌ء عليه</w:t>
      </w:r>
      <w:r>
        <w:rPr>
          <w:rFonts w:eastAsia="Amiri" w:cs="Amiri" w:ascii="Amiri" w:hAnsi="Amiri"/>
          <w:color w:val="111111"/>
          <w:sz w:val="28"/>
          <w:szCs w:val="28"/>
          <w:rtl w:val="true"/>
          <w:lang w:bidi="ar-SA"/>
        </w:rPr>
        <w:t xml:space="preserve">» </w:t>
      </w:r>
      <w:r>
        <w:rPr>
          <w:rStyle w:val="FootnoteAnchor"/>
          <w:rtl w:val="true"/>
        </w:rPr>
        <w:footnoteReference w:id="180"/>
      </w:r>
      <w:r>
        <w:rPr>
          <w:rFonts w:ascii="Amiri" w:hAnsi="Amiri" w:eastAsia="Amiri" w:cs="Amiri"/>
          <w:color w:val="111111"/>
          <w:sz w:val="28"/>
          <w:sz w:val="28"/>
          <w:szCs w:val="28"/>
          <w:rtl w:val="true"/>
          <w:lang w:bidi="ar-SA"/>
        </w:rPr>
        <w:t>بتقريب أن الخوف من تطرق الفساد بهذا الجماع</w:t>
      </w:r>
    </w:p>
    <w:p>
      <w:pPr>
        <w:pStyle w:val="BookText"/>
        <w:rPr/>
      </w:pPr>
      <w:r>
        <w:rPr>
          <w:rFonts w:ascii="Amiri" w:hAnsi="Amiri" w:eastAsia="Amiri" w:cs="Amiri"/>
          <w:color w:val="111111"/>
          <w:sz w:val="28"/>
          <w:sz w:val="28"/>
          <w:szCs w:val="28"/>
          <w:rtl w:val="true"/>
          <w:lang w:bidi="ar-SA"/>
        </w:rPr>
        <w:t>يقتضي عرفا تحققه قبل ذلك، و هو قبل الفراغ عن السعي، و فيه 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و من المحتمل أن حكمه جعل الكفارة، لئلا يتجرأ من بعد ذلك فيفسد حجه بالجماع قبل الوقوفين، و حينئذ لا اقتضاء فيه لفساد عمرته أصلا، و من جهة هذه التشكيكات في النص المزبور اختار العلّامة الأستاذ في تكملته أيضا عدم التعدّي من العمرة المفردة إلى المتمتع بها،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لو بنينا على فساد العمرة المتمتع بها، ففي وجوب إتمامها بحجها و إعادتها في القابل اشكال آخر، من كون العمرة مرتبطة بالحج فإتمامها ملازم مع الإتيان بحجها، و من انّ الارتباط في الصحيح منه دون الفاسد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يدّعي انّ إطلاق الفساد عليها كإطلاقه في الجماع قبل الوقوفين في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أنّ صريح النص أن الأول له و الثاني عقوبة، فيتعدّى منه بالفحوى، فيجب إتمام حجه جزما، و إعادتهما عقوبة من قابل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الجواهر التشكيك في أصل فساد العمرة </w:t>
      </w:r>
      <w:r>
        <w:rPr>
          <w:rStyle w:val="FootnoteAnchor"/>
          <w:rtl w:val="true"/>
        </w:rPr>
        <w:footnoteReference w:id="181"/>
      </w:r>
      <w:r>
        <w:rPr>
          <w:rFonts w:ascii="Amiri" w:hAnsi="Amiri" w:eastAsia="Amiri" w:cs="Amiri"/>
          <w:color w:val="111111"/>
          <w:sz w:val="28"/>
          <w:sz w:val="28"/>
          <w:szCs w:val="28"/>
          <w:rtl w:val="true"/>
          <w:lang w:bidi="ar-SA"/>
        </w:rPr>
        <w:t>، و على فرض الفساد فالتشكيك في وجوب إتمام حجه، بتوهم كون الأول فاسدا، فلا يشمل ذلك دليل الارتباط</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أجاد فيما أفاده أولا، لكن فيما أفاده أخيرا نظر و تأمل، لقوة جريان فحوى ما دل على أنّ الثاني في الحج عقوبة في المقام أيضا، و لازمة بقاء دليل الارتباط بحاله، فيجب إتمام حجه أيضا ثم إعادتهما عقوبة، و انّ إطلاق الفساد عليه بعناية لزوم الإعادة، بل و على فرض ورود نقص فيه قابل للجبر بالثانية، كان دليل الارتباط أيضا وافيا بإتمام حجه أيضا، بلا وجه لدعوى انصرافه إلى الحج التمام الكامل، غير المحتاج الى الجبر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قلنا بالفساد رأسا، كان لما أفيد من انصراف دليل الارتباط عن المقام وجه، لكن أتى لنا بإثباته،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في جملة من النصوص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عليه أن يقيم بمكة محلا حتى يخرج الشهر الذي اعتمر فيه، فيخرج إلى الوقت الذي وقّته رسول اللّٰه، فيحرم منه و يعتمر</w:t>
      </w:r>
      <w:r>
        <w:rPr>
          <w:rFonts w:eastAsia="Amiri" w:cs="Amiri" w:ascii="Amiri" w:hAnsi="Amiri"/>
          <w:color w:val="111111"/>
          <w:sz w:val="28"/>
          <w:szCs w:val="28"/>
          <w:rtl w:val="true"/>
          <w:lang w:bidi="ar-SA"/>
        </w:rPr>
        <w:t xml:space="preserve">»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نص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يقيم إلى الشهر الآتي فيعتمر</w:t>
      </w:r>
      <w:r>
        <w:rPr>
          <w:rFonts w:eastAsia="Amiri" w:cs="Amiri" w:ascii="Amiri" w:hAnsi="Amiri"/>
          <w:color w:val="111111"/>
          <w:sz w:val="28"/>
          <w:szCs w:val="28"/>
          <w:rtl w:val="true"/>
          <w:lang w:bidi="ar-SA"/>
        </w:rPr>
        <w:t xml:space="preserve">» </w:t>
      </w:r>
      <w:r>
        <w:rPr>
          <w:rStyle w:val="FootnoteAnchor"/>
          <w:rtl w:val="true"/>
        </w:rPr>
        <w:footnoteReference w:id="183"/>
      </w:r>
      <w:r>
        <w:rPr>
          <w:rFonts w:ascii="Amiri" w:hAnsi="Amiri" w:eastAsia="Amiri" w:cs="Amiri"/>
          <w:color w:val="111111"/>
          <w:sz w:val="28"/>
          <w:sz w:val="28"/>
          <w:szCs w:val="28"/>
          <w:rtl w:val="true"/>
          <w:lang w:bidi="ar-SA"/>
        </w:rPr>
        <w:t>، و لازمة إتمام هذه العمرة مقدمة لإحرام جديد، بناء على فسادها، و إلّا فيجب إتمامها 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في وجوب العمرة في خصوص الشهر الآتي متصلا بهذا الشهر نظر، من ظهور الخبر الثاني، و من إطلاق الأول لو لا ظهور الفاء في التعقيب بالاتصال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الإجمال فرضا يرجع الشك إلى الأقل و الأكثر، للشك في التقييد بالشهر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علم بتقييده بشهر مردد بين الأول أو أحد الشهور بنحو التخيير، كانت المسألة من صغريات مسألة التعيين و التخيير، و الأصل فيها التعيين كما لا يخفى،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مقتضى إطلاق الأمر بالإعادة، كفاية أول وجود الطبيعة في امتثال الأمر بالإعادة، عن قبل إفساد حجه أو عمرته</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حينئذ فلو أفسد حجة المعاد أيضا، تجزئه حجة واحدة صحيحة بعده،</w:t>
      </w:r>
    </w:p>
    <w:p>
      <w:pPr>
        <w:pStyle w:val="BookText"/>
        <w:rPr/>
      </w:pPr>
      <w:r>
        <w:rPr>
          <w:rFonts w:ascii="Amiri" w:hAnsi="Amiri" w:eastAsia="Amiri" w:cs="Amiri"/>
          <w:color w:val="111111"/>
          <w:sz w:val="28"/>
          <w:sz w:val="28"/>
          <w:szCs w:val="28"/>
          <w:rtl w:val="true"/>
          <w:lang w:bidi="ar-SA"/>
        </w:rPr>
        <w:t>لإفساده الأولى، بلا اقتضاء الحج المعاد عقوبة لإعادة أخرى، لأنّ المنصرف من الإطلاقات كون الإعادة بإفساد فريضته الأصلية، أو المستحب عليه بأصل الشرع، لا ما وجب عليه عقوبة، إذ لا ينصرف الذهن إلى عقوبة أخرى للعقوبة، كما انه لو بنينا على كون الثاني حجة المشروع فريضة أو ندبا، لا قصور أيضا في اقتضاء الإطلاقات الاكتفاء بحجة واحدة صحيحة، امتثالا لأمر فرضه أو ندبه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فالاختلاف في الحج من كونه عقوبة أو فريضة، لا ينتج في المقام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انه لو قلنا بوجوب البدنة بالجماع في كل حج صحيح أو عمرة صحيحة لازمة تكرار البدنة بتكرار الإفساد، لعدم تداخل الأسباب، إلّا أن يقال بانصراف دليل البدنة إلى إفساد فريضة أو مندوبة بأصل الشرع، فينتج النزاع السابق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الجواهر بعد التزامه بكفاية حج واحد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البدنة ففي تكررها أوجه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لو جامع بعد الفراغ من سعي العمرة المفردة، فالمشهور أنه لا اعادة عليه، و عليه البدنة، و لعله لمفهوم النصوص الواردة، من عدم الفساد بالجماع بعد الفراغ من السعي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فرض منع المفهوم، يكفي في نفي وجوب الإعادة الأصل، و أما وجوب البدنة فلما ورد في العمرة المتمتع بها من صحيح معاوية بن عمار، حيث أثبت فيه الجزور بجماعة قبل تقصيره، بضميمة التعدّي عنه إلى العمرة المفردة، بعدم الفصل بينهما في الكلمات من تلك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لكن يظهر من تكملة أستاذنا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أعلى اللّٰه مقامه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التعدّي إلى العمرة المفردة، بل في المتمتع بها أيضا التزم بالتخيير بين البدنة و البقرة و الشاة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لعله للجمع بين النص المزبور مع ما في صحيح الحلبي من بقرة أو شاة </w:t>
      </w:r>
      <w:r>
        <w:rPr>
          <w:rStyle w:val="FootnoteAnchor"/>
          <w:rtl w:val="true"/>
        </w:rPr>
        <w:footnoteReference w:id="185"/>
      </w:r>
      <w:r>
        <w:rPr>
          <w:rFonts w:ascii="Amiri" w:hAnsi="Amiri" w:eastAsia="Amiri" w:cs="Amiri"/>
          <w:color w:val="111111"/>
          <w:sz w:val="28"/>
          <w:sz w:val="28"/>
          <w:szCs w:val="28"/>
          <w:rtl w:val="true"/>
          <w:lang w:bidi="ar-SA"/>
        </w:rPr>
        <w:t xml:space="preserve">، و صحيح عمران من دم شاة </w:t>
      </w:r>
      <w:r>
        <w:rPr>
          <w:rStyle w:val="FootnoteAnchor"/>
          <w:rtl w:val="true"/>
        </w:rPr>
        <w:footnoteReference w:id="186"/>
      </w:r>
      <w:r>
        <w:rPr>
          <w:rFonts w:ascii="Amiri" w:hAnsi="Amiri" w:eastAsia="Amiri" w:cs="Amiri"/>
          <w:color w:val="111111"/>
          <w:sz w:val="28"/>
          <w:sz w:val="28"/>
          <w:szCs w:val="28"/>
          <w:rtl w:val="true"/>
          <w:lang w:bidi="ar-SA"/>
        </w:rPr>
        <w:t>، فترفع اليد عن تعيين كل واحد بالحمل على 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فعلى فرض تمامية عدم الفصل يجي‌ء في المفردة التخيير المزبور، لكنه لم يعهد في كلماتهم ذلك، و ربما يوهن مثل هذه دعوى عدم الفصل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ففي وجوب البدنة بعد مضي السعي اشكال، خصوصا على فرض المفهوم للنصوص، لكن الانصاف منع تمامية المفهوم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دعوى جريان استصحاب ملازمة الجماع مع البدنة سابقا، و يشك في ارتفاعها بتمام السعي، و ذلك بدعوى تجريد العرف التقييد بقبل السعي عن موضوع الملازمة، و يجعل ذلك من قيود علمه بها، و طرفا، لثبوت الملازمة المزبورة نظير تجريد الغليان في إضافته إلى العنب في الحكم بملازمته مع النجاسة، المستصحبة إلى زمان الزبيبية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بناء على جريان هذا الأصل، يلزم الحكم بوجوب الإعادة أيضا بالاستصحاب، بعين التقريب المزبور و لا يبقى معه مجال للأصل النافي كما توهم</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الذي يسهّل الخطب في المقام إطباقهم على عدم الإعادة، و ذلك يكفي في نفي جريان الاستصحاب المزبور</w:t>
      </w:r>
      <w:r>
        <w:rPr>
          <w:rFonts w:eastAsia="Amiri" w:cs="Amiri" w:ascii="Amiri" w:hAnsi="Amiri"/>
          <w:color w:val="111111"/>
          <w:sz w:val="28"/>
          <w:szCs w:val="28"/>
          <w:rtl w:val="true"/>
          <w:lang w:bidi="ar-SA"/>
        </w:rPr>
        <w:t>.</w:t>
      </w:r>
      <w:bookmarkStart w:id="105" w:name="pg19818_203931"/>
    </w:p>
    <w:p>
      <w:pPr>
        <w:pStyle w:val="BookText"/>
        <w:rPr/>
      </w:pPr>
      <w:bookmarkEnd w:id="105"/>
      <w:r>
        <w:rPr>
          <w:rFonts w:ascii="Amiri" w:hAnsi="Amiri" w:eastAsia="Amiri" w:cs="Amiri"/>
          <w:color w:val="111111"/>
          <w:sz w:val="28"/>
          <w:sz w:val="28"/>
          <w:szCs w:val="28"/>
          <w:rtl w:val="true"/>
          <w:lang w:bidi="ar-SA"/>
        </w:rPr>
        <w:t>و أما البدنة فالمشهور على إثباتهم و إن لم يبلغ إلى حد الإجماع، و لكن يكفي فيه استصحاب ثبوتها بالتقريب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أنّ المحكي عن ابن عقيل فتواه بعدم الإعادة و وجوب البدنة في فرض الجماع قبل السعي، و عدم فتواه بشي‌ء في فرض الجماع قبله، معتذرا بعدم حفظه عن الأئمة شيئا في هذا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المعلوم أنّ الظاهر من ذلك كون فتواه في الشق الأول مستندة إلى رواية عن الأئمة واصلة إليه، و حينئذ كان ذلك بمنزلة مرسلة بالنسبة إلينا، محكية إجمالا، مع الجزم بعدم استفادته الحكم من مفهوم النصوص المزبورة، و إلّا فهي صريحة في حكم الفرض الأخير، فلا معنى لعدم حفظه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مثل هذا الظهور لا بأس بالاتكال على مثلها، إذا كانت منجبرة بالشهرة، فتدبّر،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مؤيدا ذلك بما في النص الآتي في اللعب بامرأته، بأنّ عليه الكفارة، و انه مثل الذي يجامع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الظاهر من ذلك كون الجماع ملزوم الكفارة إلّا ما خرج</w:t>
      </w:r>
      <w:r>
        <w:rPr>
          <w:rFonts w:eastAsia="Amiri" w:cs="Amiri" w:ascii="Amiri" w:hAnsi="Amiri"/>
          <w:color w:val="111111"/>
          <w:sz w:val="28"/>
          <w:szCs w:val="28"/>
          <w:rtl w:val="true"/>
          <w:lang w:bidi="ar-SA"/>
        </w:rPr>
        <w:t>.</w:t>
      </w:r>
    </w:p>
    <w:p>
      <w:pPr>
        <w:pStyle w:val="Heading6"/>
        <w:numPr>
          <w:ilvl w:val="5"/>
          <w:numId w:val="1"/>
        </w:numPr>
        <w:rPr/>
      </w:pPr>
      <w:bookmarkStart w:id="106" w:name="__RefHeading___Toc3320764_2314609296"/>
      <w:bookmarkStart w:id="107" w:name="_Toc40"/>
      <w:bookmarkEnd w:id="106"/>
      <w:r>
        <w:rPr>
          <w:rtl w:val="true"/>
        </w:rPr>
        <w:t>و لو نظر إلى غير أهله فأمنى كان عليه بدنة،</w:t>
      </w:r>
      <w:bookmarkEnd w:id="107"/>
    </w:p>
    <w:p>
      <w:pPr>
        <w:pStyle w:val="BookText"/>
        <w:rPr/>
      </w:pPr>
      <w:r>
        <w:rPr>
          <w:rFonts w:ascii="Amiri" w:hAnsi="Amiri" w:eastAsia="Amiri" w:cs="Amiri"/>
          <w:color w:val="111111"/>
          <w:sz w:val="28"/>
          <w:sz w:val="28"/>
          <w:szCs w:val="28"/>
          <w:rtl w:val="true"/>
          <w:lang w:bidi="ar-SA"/>
        </w:rPr>
        <w:t xml:space="preserve">فإن عجز فبقرة، فإن عجز فشاة، كما عن جملة من الأعاظم، بل في الجواهر نسب إلى المشهور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يدل عليه موثقة أبي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محرم نظر إلى ساق امرأة فأمنى،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موسرا فعليه بدنة، و إن كان متوسطا فعليه بقرة، و إن كان فقيرا فعليه شاة</w:t>
      </w:r>
      <w:r>
        <w:rPr>
          <w:rFonts w:eastAsia="Amiri" w:cs="Amiri" w:ascii="Amiri" w:hAnsi="Amiri"/>
          <w:color w:val="111111"/>
          <w:sz w:val="28"/>
          <w:szCs w:val="28"/>
          <w:rtl w:val="true"/>
          <w:lang w:bidi="ar-SA"/>
        </w:rPr>
        <w:t xml:space="preserve">»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رواية معاوية في محرم نظر إلى غير أهله،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دم</w:t>
      </w:r>
      <w:r>
        <w:rPr>
          <w:rFonts w:eastAsia="Amiri" w:cs="Amiri" w:ascii="Amiri" w:hAnsi="Amiri"/>
          <w:color w:val="111111"/>
          <w:sz w:val="28"/>
          <w:szCs w:val="28"/>
          <w:rtl w:val="true"/>
          <w:lang w:bidi="ar-SA"/>
        </w:rPr>
        <w:t xml:space="preserve">»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صحيح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بدنة أو بقرة، و إن لم يجد فشاة</w:t>
      </w:r>
      <w:r>
        <w:rPr>
          <w:rFonts w:eastAsia="Amiri" w:cs="Amiri" w:ascii="Amiri" w:hAnsi="Amiri"/>
          <w:color w:val="111111"/>
          <w:sz w:val="28"/>
          <w:szCs w:val="28"/>
          <w:rtl w:val="true"/>
          <w:lang w:bidi="ar-SA"/>
        </w:rPr>
        <w:t xml:space="preserve">»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يخفى أنّ الأمر يدور بين رفع اليد عن الإطلاق في الأخيرين، و حمل التفصيل على الفضيلة، أو تقييده بالمفصل بين الأمور الثلاثة، و انّ التخيير الثاني أيضا محمول على الترديد في فرض وجود أحد الموضوعين، وجهان، لا يبعد ترجيح الثاني، لضعف الإطلاقات، خصوصا إطلاق الدم، لقوة كونه في مقام الإهمال من هذه الجهة،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ذيل الرواية الأخيرة ظاهر في كون عنوان الموضوع هو الفقير غير الواجد، بخلاف الاولى حيث أخذ العنوان فيه الفقر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فالأمر يدور بين حمل عنوان الفقير عليه تنزيلا، للإطلاق على الغالب، أو حمل عدم الوجدان على الفقير بعين هذا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حيث لا ترجيح، مع الجزم بوحدة المناط لمثل هذا الحكم، يسقطان عن ظهورهما في الفقر أو مجرد عدم الوجدان، فالمرجع في غير المجمع هو الأصل، لأنه من باب العلم الإجمالي بين شخصين، فلا يكون منجزا للحكم في واحد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لكن الإنصاف أن التعبير باليسار في رواية البدنة كناية عن التمكن من تحصيلها لا الغناء و لو لا يتمكن، فينزل الفقير في ذيله على من لا يسار له، فيصير تمام المدار على الوجدان و عدمه، كما عن المصنف و جماعة</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الشرائع جعل العنوان الموسر و المعسر، و هو أيضا يساوق ما في المتن، فتدبّر</w:t>
      </w:r>
      <w:r>
        <w:rPr>
          <w:rFonts w:eastAsia="Amiri" w:cs="Amiri" w:ascii="Amiri" w:hAnsi="Amiri"/>
          <w:color w:val="111111"/>
          <w:sz w:val="28"/>
          <w:szCs w:val="28"/>
          <w:rtl w:val="true"/>
          <w:lang w:bidi="ar-SA"/>
        </w:rPr>
        <w:t>.</w:t>
      </w:r>
      <w:bookmarkStart w:id="108" w:name="pg19818_203933"/>
    </w:p>
    <w:p>
      <w:pPr>
        <w:pStyle w:val="BookText"/>
        <w:rPr/>
      </w:pPr>
      <w:bookmarkEnd w:id="108"/>
      <w:r>
        <w:rPr>
          <w:rFonts w:ascii="Amiri" w:hAnsi="Amiri" w:eastAsia="Amiri" w:cs="Amiri"/>
          <w:color w:val="111111"/>
          <w:sz w:val="28"/>
          <w:sz w:val="28"/>
          <w:szCs w:val="28"/>
          <w:rtl w:val="true"/>
          <w:lang w:bidi="ar-SA"/>
        </w:rPr>
        <w:t>ثم انه مع عدم التمكن من الشاة، قيل ينتقل الفرض إلى صوم ثلاثة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للتعدّي عما ورد في كفارة الصيد، بل في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تعليله بأنه أصل عام </w:t>
      </w:r>
      <w:r>
        <w:rPr>
          <w:rStyle w:val="FootnoteAnchor"/>
          <w:rtl w:val="true"/>
        </w:rPr>
        <w:footnoteReference w:id="1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وجه له، لعدم مساعدة دليل عليه،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أجاد في الجواهر في إنكاره مثل هذا الأصل على الرياض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نظر إلى أهله بغير شهوة فأمنى فلا شي‌ء عليه بلا خلاف ظاهر، و إن كان بشهوة فجزور على ما نسب إلى جملة من الأعاظم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عمدة الوجه في هذا التفصيل الجمع بين النصين، المشتمل أحدهما على نفي الشي‌ء بإطلاقه </w:t>
      </w:r>
      <w:r>
        <w:rPr>
          <w:rStyle w:val="FootnoteAnchor"/>
          <w:rtl w:val="true"/>
        </w:rPr>
        <w:footnoteReference w:id="193"/>
      </w:r>
      <w:r>
        <w:rPr>
          <w:rFonts w:ascii="Amiri" w:hAnsi="Amiri" w:eastAsia="Amiri" w:cs="Amiri"/>
          <w:color w:val="111111"/>
          <w:sz w:val="28"/>
          <w:sz w:val="28"/>
          <w:szCs w:val="28"/>
          <w:rtl w:val="true"/>
          <w:lang w:bidi="ar-SA"/>
        </w:rPr>
        <w:t xml:space="preserve">، و الآخر على النظر بشهوة إلى امرأته فجزور </w:t>
      </w:r>
      <w:r>
        <w:rPr>
          <w:rStyle w:val="FootnoteAnchor"/>
          <w:rtl w:val="true"/>
        </w:rPr>
        <w:footnoteReference w:id="1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بمثلهما ترفع اليد عن إطلاق المرأة في النصوص السابقة، بحملها على الأجنبية، لو لم نقل بانصراف مثل هذا التعبير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نص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نفي الشي‌ء في نظره الى امرأته بشهوة أيضا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إعراض الأصحاب يوهن سنده، و إلّا فيكون قرينة حمل الجزور على الفضيلة</w:t>
      </w:r>
      <w:r>
        <w:rPr>
          <w:rFonts w:eastAsia="Amiri" w:cs="Amiri" w:ascii="Amiri" w:hAnsi="Amiri"/>
          <w:color w:val="111111"/>
          <w:sz w:val="28"/>
          <w:szCs w:val="28"/>
          <w:rtl w:val="true"/>
          <w:lang w:bidi="ar-SA"/>
        </w:rPr>
        <w:t>.</w:t>
      </w:r>
    </w:p>
    <w:p>
      <w:pPr>
        <w:pStyle w:val="Heading6"/>
        <w:numPr>
          <w:ilvl w:val="5"/>
          <w:numId w:val="1"/>
        </w:numPr>
        <w:rPr/>
      </w:pPr>
      <w:bookmarkStart w:id="109" w:name="__RefHeading___Toc3320766_2314609296"/>
      <w:bookmarkStart w:id="110" w:name="_Toc41"/>
      <w:bookmarkEnd w:id="109"/>
      <w:r>
        <w:rPr>
          <w:rtl w:val="true"/>
        </w:rPr>
        <w:t>و كذا لو أمنى عند الملاعبة</w:t>
      </w:r>
      <w:bookmarkEnd w:id="110"/>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امرأته كان عليه الجزور، بل و على المرأة أيضا مع المطاوعة، لصحيح ابن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يبعث بامرأته حتى يمني و هو محرم من غير جماع، الى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عليهما جميعا الكفارة مثل ما على الذي يجامع</w:t>
      </w:r>
      <w:r>
        <w:rPr>
          <w:rFonts w:eastAsia="Amiri" w:cs="Amiri" w:ascii="Amiri" w:hAnsi="Amiri"/>
          <w:color w:val="111111"/>
          <w:sz w:val="28"/>
          <w:szCs w:val="28"/>
          <w:rtl w:val="true"/>
          <w:lang w:bidi="ar-SA"/>
        </w:rPr>
        <w:t xml:space="preserve">» </w:t>
      </w:r>
      <w:r>
        <w:rPr>
          <w:rStyle w:val="FootnoteAnchor"/>
          <w:rtl w:val="true"/>
        </w:rPr>
        <w:footnoteReference w:id="196"/>
      </w:r>
      <w:r>
        <w:rPr>
          <w:rFonts w:ascii="Amiri" w:hAnsi="Amiri" w:eastAsia="Amiri" w:cs="Amiri"/>
          <w:color w:val="111111"/>
          <w:sz w:val="28"/>
          <w:sz w:val="28"/>
          <w:szCs w:val="28"/>
          <w:rtl w:val="true"/>
          <w:lang w:bidi="ar-SA"/>
        </w:rPr>
        <w:t>بناء على حمل الجزور على البدنة، و إلّا فعلى الجماع بدنة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ظاهر الاقتصار في صدره على الكفارة يكشف عن المماثلة للجماع في خصوصها، لا الإعادة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توهم انّ الإعادة حكم جماع خاص، مما كان حكم الجماع مطلقا هو الكفارة في الإحرام للعمرة أو الحج، مدفوع بأنّ الكفارة أيضا حكم جماع خاص، و هو الجماع قبل خمسة أشواط في طواف النساء، فالأولى ما ذكرنا في وجه التفكيك بين الإعادة و الكفارة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ورد النص في باب الاستمناء باليد،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محرم عبث بذكره فأمنى؟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أرى عليه مثل ما على من أتى أهله و هو محرم، بدنة و الحج من قابل</w:t>
      </w:r>
      <w:r>
        <w:rPr>
          <w:rFonts w:eastAsia="Amiri" w:cs="Amiri" w:ascii="Amiri" w:hAnsi="Amiri"/>
          <w:color w:val="111111"/>
          <w:sz w:val="28"/>
          <w:szCs w:val="28"/>
          <w:rtl w:val="true"/>
          <w:lang w:bidi="ar-SA"/>
        </w:rPr>
        <w:t xml:space="preserve">» </w:t>
      </w:r>
      <w:r>
        <w:rPr>
          <w:rStyle w:val="FootnoteAnchor"/>
          <w:rtl w:val="true"/>
        </w:rPr>
        <w:footnoteReference w:id="1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إليه ذهب جمع غفير، و في الشرائع قوى عدمه، جمعا بينه و بين صحيح ابن عمار من عدم القضاء لو جامع دون الفرج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لكن ذلك صحيح لو كان المراد من العبث بذكره مطلق اللعب به، و لو بوضعه فيما دون الفرج، و إلّا فلو كان المراد العبث به بيده الفعل الشنيع المعروف، فهو موضوع آخر غير الملاعبة مع الأهل، و لو بوضع ذكره فيما دون الفرج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فيحتاج الجمع المزبور على إحراز وحدة الحكمين من الخارج، و إلّا فلا مانع من تخصيص الملاعبة المعروفة ملحقا، بالجماع لشناعته في اقتضاء القضاء أيضا</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الانصاف منع اختصاص الملاعبة بالذكر بغير الوضع فيما دون الفرج، بل هو أيضا من مصاديقه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ذلك يمكن دعوى الجزم بعدم</w:t>
      </w:r>
    </w:p>
    <w:p>
      <w:pPr>
        <w:pStyle w:val="BookText"/>
        <w:rPr/>
      </w:pPr>
      <w:r>
        <w:rPr>
          <w:rFonts w:ascii="Amiri" w:hAnsi="Amiri" w:eastAsia="Amiri" w:cs="Amiri"/>
          <w:color w:val="111111"/>
          <w:sz w:val="28"/>
          <w:sz w:val="28"/>
          <w:szCs w:val="28"/>
          <w:rtl w:val="true"/>
          <w:lang w:bidi="ar-SA"/>
        </w:rPr>
        <w:t>التفصيل في مصاديق عنوان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يصلح صحيح ابن عمار شاهدا على نفي القضاء في مطلق العبث بالذكر، كما هو مختار المحقق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مس امرأته بغير شهوة، أمنى أم لم يمن، لم يكن عليه شي‌ء، و إن مس امرأته بشهوة أمنى أم لم يمن فعليه 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كما في النص عن الحلبي المفصل بين المس بلا شهوة،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يصلح خمارها</w:t>
      </w:r>
      <w:r>
        <w:rPr>
          <w:rFonts w:eastAsia="Amiri" w:cs="Amiri" w:ascii="Amiri" w:hAnsi="Amiri"/>
          <w:color w:val="111111"/>
          <w:sz w:val="28"/>
          <w:szCs w:val="28"/>
          <w:rtl w:val="true"/>
          <w:lang w:bidi="ar-SA"/>
        </w:rPr>
        <w:t xml:space="preserve">» </w:t>
      </w:r>
      <w:r>
        <w:rPr>
          <w:rStyle w:val="FootnoteAnchor"/>
          <w:rtl w:val="true"/>
        </w:rPr>
        <w:footnoteReference w:id="199"/>
      </w:r>
      <w:r>
        <w:rPr>
          <w:rFonts w:ascii="Amiri" w:hAnsi="Amiri" w:eastAsia="Amiri" w:cs="Amiri"/>
          <w:color w:val="111111"/>
          <w:sz w:val="28"/>
          <w:sz w:val="28"/>
          <w:szCs w:val="28"/>
          <w:rtl w:val="true"/>
          <w:lang w:bidi="ar-SA"/>
        </w:rPr>
        <w:t>، و بشهوة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يهريق دم شاة</w:t>
      </w:r>
      <w:r>
        <w:rPr>
          <w:rFonts w:eastAsia="Amiri" w:cs="Amiri" w:ascii="Amiri" w:hAnsi="Amiri"/>
          <w:color w:val="111111"/>
          <w:sz w:val="28"/>
          <w:szCs w:val="28"/>
          <w:rtl w:val="true"/>
          <w:lang w:bidi="ar-SA"/>
        </w:rPr>
        <w:t xml:space="preserve">» </w:t>
      </w:r>
      <w:r>
        <w:rPr>
          <w:rStyle w:val="FootnoteAnchor"/>
          <w:rtl w:val="true"/>
        </w:rPr>
        <w:footnoteReference w:id="2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نص آخر، التصريح بنفي الشي‌ء في المس بلا شهوة و في الشهوة يهريق دما، و ما في نسخة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 شاة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قبّل امرأته بغير شهوة فعليه شاة، و لو كان بشهوة فعليه جزور، لجملة من النصوص المثبت للجزور في التقبيل بنحو الإطلاق، بضميمة نص آخر مصرح بأنّ في التقبيل بغير شهوة شاة، نعم في ذيله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بشهوة فأمنى فجزور</w:t>
      </w:r>
      <w:r>
        <w:rPr>
          <w:rFonts w:eastAsia="Amiri" w:cs="Amiri" w:ascii="Amiri" w:hAnsi="Amiri"/>
          <w:color w:val="111111"/>
          <w:sz w:val="28"/>
          <w:szCs w:val="28"/>
          <w:rtl w:val="true"/>
          <w:lang w:bidi="ar-SA"/>
        </w:rPr>
        <w:t xml:space="preserve">»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لكن لا ينافي مع الإطلاق السابق، بعد قابلية حمل الثاني على الغالب، مع فوران الشهوة، و إليه أيضا ذهب في الشرائع </w:t>
      </w:r>
      <w:r>
        <w:rPr>
          <w:rStyle w:val="FootnoteAnchor"/>
          <w:rtl w:val="true"/>
        </w:rPr>
        <w:footnoteReference w:id="203"/>
      </w:r>
      <w:r>
        <w:rPr>
          <w:rFonts w:ascii="Amiri" w:hAnsi="Amiri" w:eastAsia="Amiri" w:cs="Amiri"/>
          <w:color w:val="111111"/>
          <w:sz w:val="28"/>
          <w:sz w:val="28"/>
          <w:szCs w:val="28"/>
          <w:rtl w:val="true"/>
          <w:lang w:bidi="ar-SA"/>
        </w:rPr>
        <w:t xml:space="preserve">، و هو مختار الجواهر أيضا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بمثل هذه النصوص يشرح ما ورد بأنّ في القبلة دم شاة، بالحمل على غير</w:t>
      </w:r>
    </w:p>
    <w:p>
      <w:pPr>
        <w:pStyle w:val="BookText"/>
        <w:rPr/>
      </w:pPr>
      <w:r>
        <w:rPr>
          <w:rFonts w:ascii="Amiri" w:hAnsi="Amiri" w:eastAsia="Amiri" w:cs="Amiri"/>
          <w:color w:val="111111"/>
          <w:sz w:val="28"/>
          <w:sz w:val="28"/>
          <w:szCs w:val="28"/>
          <w:rtl w:val="true"/>
          <w:lang w:bidi="ar-SA"/>
        </w:rPr>
        <w:t>الشهوة، كما انّ إطلاق الدم في النص آخر أيضا يفسر بما ذكر،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استمع لمن يجامع فأمنى من غير نظر، لم يلزمه شي‌ء، للنص الوارد بهذا المضمون في موثق سماعة </w:t>
      </w:r>
      <w:r>
        <w:rPr>
          <w:rStyle w:val="FootnoteAnchor"/>
          <w:rtl w:val="true"/>
        </w:rPr>
        <w:footnoteReference w:id="205"/>
      </w:r>
      <w:r>
        <w:rPr>
          <w:rFonts w:ascii="Amiri" w:hAnsi="Amiri" w:eastAsia="Amiri" w:cs="Amiri"/>
          <w:color w:val="111111"/>
          <w:sz w:val="28"/>
          <w:sz w:val="28"/>
          <w:szCs w:val="28"/>
          <w:rtl w:val="true"/>
          <w:lang w:bidi="ar-SA"/>
        </w:rPr>
        <w:t>، و حكي دعوى نفي الخلاف فيه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انهم لم يتعرضوا لحكم النظر إلى الأجنبية، أو تقبيلها، أو مسها و في التعدّي من حكم امرأته إليها إشكال، لإمكان كون جبرانه لشدة شناعته موكول إلى الآخرة، فلا شي‌ء عليه في هذه النشأة، بل الأصل البراءة بعد عدم شمول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أر من تعرض له، فكأنّ سكوتهم كاشفا عما ذكرنا، خصوصا مع تعرضهم لذلك في فرع النظر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لخفة عصيانه بالنسبة إلى بقية العناوين، فكان قابلا للجبران بالكفارة 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يؤيد ما ذكرنا ما ورد من تكرار الكفارة في قتل الصيد خطأ، و عدم تكررها في عمده، مع أنّ الثاني أعظم،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لا مجال لجعل الأشنعية من معصية أخرى منشأ لإسراء حكم كفارتها كما لا يخفى، فما في جملة من الكلمات في بعض المقامات، في إثبات الكفارة في مورد، بمناط الأشنعية منظور فيه، فراجع كلماتهم في المطولات، و اللّٰه العالم</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حج أو اعتمر ندبا فأفسده ثم أحصر، كان عليه بدنة للإفساد، لإطلاق النصوص السابقة، و دم للإحصار، لما سيأتي من إطلاق نصوصه لمثل المقام، بملاحظة دخل إراقة الدم في تحلله، و كفاه قضاء واحد لعمرته في شهر</w:t>
      </w:r>
      <w:bookmarkStart w:id="111" w:name="pg19818_203937"/>
    </w:p>
    <w:p>
      <w:pPr>
        <w:pStyle w:val="BookText"/>
        <w:rPr/>
      </w:pPr>
      <w:bookmarkEnd w:id="111"/>
      <w:r>
        <w:rPr>
          <w:rFonts w:ascii="Amiri" w:hAnsi="Amiri" w:eastAsia="Amiri" w:cs="Amiri"/>
          <w:color w:val="111111"/>
          <w:sz w:val="28"/>
          <w:sz w:val="28"/>
          <w:szCs w:val="28"/>
          <w:rtl w:val="true"/>
          <w:lang w:bidi="ar-SA"/>
        </w:rPr>
        <w:t>آخر أو لحجة في سنة أخرى، لعموم وجوب القضاء عقوبة، حتى في إفساد المندوب، الشامل بإطلاقه أيضا للمقام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حجه واجبا بأصل الشرع، يجب عليه أيضا إتيان حجه زائدا عن قضائه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الفرق انّ المندوب غير واجب في نفسه، و إنما يجب إتمامه بملاحظة احتياج تحلله إلى مناسكه، لا أنه بنفسه 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المفروض حصول تحلله بالإحلال الصدّي، فلا يجب عليه إلّا القضاء بالإفساد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بخلاف الحج الواجب عليه بالشرع أو غيره، فإنه يجب عليه في القابل حجان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قضاء لما أفسد، و الآخر امتثالا لأمر حجه، لإطلاق دليلهما لمثل المقام المقتضي لعدم التداخل، و اللّٰه العالم</w:t>
      </w:r>
      <w:r>
        <w:rPr>
          <w:rFonts w:eastAsia="Amiri" w:cs="Amiri" w:ascii="Amiri" w:hAnsi="Amiri"/>
          <w:color w:val="111111"/>
          <w:sz w:val="28"/>
          <w:szCs w:val="28"/>
          <w:rtl w:val="true"/>
          <w:lang w:bidi="ar-SA"/>
        </w:rPr>
        <w:t>.</w:t>
      </w:r>
    </w:p>
    <w:p>
      <w:pPr>
        <w:pStyle w:val="Heading6"/>
        <w:numPr>
          <w:ilvl w:val="5"/>
          <w:numId w:val="1"/>
        </w:numPr>
        <w:rPr/>
      </w:pPr>
      <w:bookmarkStart w:id="112" w:name="__RefHeading___Toc3320768_2314609296"/>
      <w:bookmarkStart w:id="113" w:name="_Toc42"/>
      <w:bookmarkEnd w:id="112"/>
      <w:r>
        <w:rPr>
          <w:rtl w:val="true"/>
        </w:rPr>
        <w:t>و لو عقد المحرم لمحرم فدخل كان عليهما كفارتان</w:t>
      </w:r>
      <w:bookmarkEnd w:id="113"/>
    </w:p>
    <w:p>
      <w:pPr>
        <w:pStyle w:val="BookText"/>
        <w:rPr/>
      </w:pPr>
      <w:r>
        <w:rPr>
          <w:rFonts w:ascii="Amiri" w:hAnsi="Amiri" w:eastAsia="Amiri" w:cs="Amiri"/>
          <w:color w:val="111111"/>
          <w:sz w:val="28"/>
          <w:sz w:val="28"/>
          <w:szCs w:val="28"/>
          <w:rtl w:val="true"/>
          <w:lang w:bidi="ar-SA"/>
        </w:rPr>
        <w:t>بلا خلاف ظاهرا، و يدل عليه أيضا فحوى موثقة سماعة الواردة في عقد المحل لمحرم،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ينبغي للرجل الحلال أن يزوج محرما، و هو يعلم أنه لا يحل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فعل فدخل بها المحرم،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كانا عالمين، فإنّ على كل واحد منهما بدنة</w:t>
      </w:r>
      <w:r>
        <w:rPr>
          <w:rFonts w:eastAsia="Amiri" w:cs="Amiri" w:ascii="Amiri" w:hAnsi="Amiri"/>
          <w:color w:val="111111"/>
          <w:sz w:val="28"/>
          <w:szCs w:val="28"/>
          <w:rtl w:val="true"/>
          <w:lang w:bidi="ar-SA"/>
        </w:rPr>
        <w:t xml:space="preserve">» </w:t>
      </w:r>
      <w:r>
        <w:rPr>
          <w:rStyle w:val="FootnoteAnchor"/>
          <w:rtl w:val="true"/>
        </w:rPr>
        <w:footnoteReference w:id="2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تضعيف بعض لسند الرواية مع موافقتها لمذهب المشهور، منظور فيه، فلا بأس الأخذ بها منطوقا و فحوى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يستفاد حكم المحلل أيضا، و إطلاقه يشمل لو كان العاقد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توهم الانصراف مدفوع، و على فرض تسليم الانصراف يتعدّى إلى عقد نفسه أيضا بالفحوى، كما لا يخفى، هذا</w:t>
      </w:r>
      <w:r>
        <w:rPr>
          <w:rFonts w:eastAsia="Amiri" w:cs="Amiri" w:ascii="Amiri" w:hAnsi="Amiri"/>
          <w:color w:val="111111"/>
          <w:sz w:val="28"/>
          <w:szCs w:val="28"/>
          <w:rtl w:val="true"/>
          <w:lang w:bidi="ar-SA"/>
        </w:rPr>
        <w:t>.</w:t>
      </w:r>
    </w:p>
    <w:p>
      <w:pPr>
        <w:pStyle w:val="Heading5"/>
        <w:numPr>
          <w:ilvl w:val="4"/>
          <w:numId w:val="1"/>
        </w:numPr>
        <w:rPr/>
      </w:pPr>
      <w:bookmarkStart w:id="114" w:name="__RefHeading___Toc3320770_2314609296"/>
      <w:bookmarkStart w:id="115" w:name="_Toc43"/>
      <w:bookmarkEnd w:id="114"/>
      <w:r>
        <w:rPr>
          <w:rtl w:val="true"/>
        </w:rPr>
        <w:t>الثانية</w:t>
      </w:r>
      <w:r>
        <w:rPr>
          <w:rtl w:val="true"/>
        </w:rPr>
        <w:t xml:space="preserve">: </w:t>
      </w:r>
      <w:r>
        <w:rPr>
          <w:rtl w:val="true"/>
        </w:rPr>
        <w:t>من تطيّب لزمه شاة،</w:t>
      </w:r>
      <w:bookmarkEnd w:id="115"/>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سواء الصبغ و الاطلاء و البخور</w:t>
      </w:r>
    </w:p>
    <w:p>
      <w:pPr>
        <w:pStyle w:val="BookText"/>
        <w:rPr/>
      </w:pPr>
      <w:r>
        <w:rPr>
          <w:rFonts w:ascii="Amiri" w:hAnsi="Amiri" w:eastAsia="Amiri" w:cs="Amiri"/>
          <w:color w:val="111111"/>
          <w:sz w:val="28"/>
          <w:sz w:val="28"/>
          <w:szCs w:val="28"/>
          <w:rtl w:val="true"/>
          <w:lang w:bidi="ar-SA"/>
        </w:rPr>
        <w:t xml:space="preserve">و الأكل، بلا خلاف على المحكي، عدا ما عن المقنعة </w:t>
      </w:r>
      <w:r>
        <w:rPr>
          <w:rStyle w:val="FootnoteAnchor"/>
          <w:rtl w:val="true"/>
        </w:rPr>
        <w:footnoteReference w:id="207"/>
      </w:r>
      <w:r>
        <w:rPr>
          <w:rFonts w:ascii="Amiri" w:hAnsi="Amiri" w:eastAsia="Amiri" w:cs="Amiri"/>
          <w:color w:val="111111"/>
          <w:sz w:val="28"/>
          <w:sz w:val="28"/>
          <w:szCs w:val="28"/>
          <w:rtl w:val="true"/>
          <w:lang w:bidi="ar-SA"/>
        </w:rPr>
        <w:t xml:space="preserve">في الاستبصار، حيث أفتى بمضمون جملة من النصوص الآمرة بالتصدّق بمقدار ما صنع تارة </w:t>
      </w:r>
      <w:r>
        <w:rPr>
          <w:rStyle w:val="FootnoteAnchor"/>
          <w:rtl w:val="true"/>
        </w:rPr>
        <w:footnoteReference w:id="208"/>
      </w:r>
      <w:r>
        <w:rPr>
          <w:rFonts w:ascii="IRNazanin" w:hAnsi="IRNazanin" w:eastAsia="IRNazanin"/>
          <w:color w:val="111111"/>
          <w:sz w:val="28"/>
          <w:sz w:val="28"/>
          <w:szCs w:val="28"/>
          <w:rtl w:val="true"/>
          <w:lang w:bidi="fa-IR"/>
        </w:rPr>
        <w:t xml:space="preserve">، و بالإطلاق أخرى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نص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تخصيص ذلك بحال السهو، و أما عمدا فدم شاة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نص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ناسيا أو جاهلا فلا شي‌ء، و إن كان عامدا فعليه دم شاة</w:t>
      </w:r>
      <w:r>
        <w:rPr>
          <w:rFonts w:eastAsia="Amiri" w:cs="Amiri" w:ascii="Amiri" w:hAnsi="Amiri"/>
          <w:color w:val="111111"/>
          <w:sz w:val="28"/>
          <w:szCs w:val="28"/>
          <w:rtl w:val="true"/>
          <w:lang w:bidi="ar-SA"/>
        </w:rPr>
        <w:t xml:space="preserve">»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الروايات المفصلة قرينة على حمل مثل هذه الأوامر على صورة السهو، كما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بقرينة نص مشتمل على نفي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محمول على الاستحباب،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ثم انّ في الروايات المشتملة على الدم التصريح بالأكل و التداوي في القرحة بمثل اطلائه، و يتعدى منهما إلى سائر استعمالاته المذكورة في المتن، بل في نصوص الصدقة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المحمولة على السهو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النهي عن مسه و التلذذ به و الإمساك بأنفه عن الاستشمام، فيتعدّى بمثلها إلى حرمتها متعمدا، و انّ عليه دم الشاة، لعدم الفصل</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بأس بخلوق الكعبة و إن كان فيه زعفران، لما في صحيح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المحرم يصيب ثيابه زعفران من الكعبة،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يضره</w:t>
      </w:r>
      <w:bookmarkStart w:id="116" w:name="pg19818_203939"/>
    </w:p>
    <w:p>
      <w:pPr>
        <w:pStyle w:val="BookText"/>
        <w:rPr/>
      </w:pPr>
      <w:bookmarkEnd w:id="116"/>
      <w:r>
        <w:rPr>
          <w:rFonts w:ascii="Amiri" w:hAnsi="Amiri" w:eastAsia="Amiri" w:cs="Amiri"/>
          <w:color w:val="111111"/>
          <w:sz w:val="28"/>
          <w:sz w:val="28"/>
          <w:szCs w:val="28"/>
          <w:rtl w:val="true"/>
          <w:lang w:bidi="ar-SA"/>
        </w:rPr>
        <w:t>و لا يغسله</w:t>
      </w:r>
      <w:r>
        <w:rPr>
          <w:rFonts w:eastAsia="Amiri" w:cs="Amiri" w:ascii="Amiri" w:hAnsi="Amiri"/>
          <w:color w:val="111111"/>
          <w:sz w:val="28"/>
          <w:szCs w:val="28"/>
          <w:rtl w:val="true"/>
          <w:lang w:bidi="ar-SA"/>
        </w:rPr>
        <w:t xml:space="preserve">» </w:t>
      </w:r>
      <w:r>
        <w:rPr>
          <w:rStyle w:val="FootnoteAnchor"/>
          <w:rtl w:val="true"/>
        </w:rPr>
        <w:footnoteReference w:id="212"/>
      </w:r>
      <w:r>
        <w:rPr>
          <w:rFonts w:ascii="Amiri" w:hAnsi="Amiri" w:eastAsia="Amiri" w:cs="Amiri"/>
          <w:color w:val="111111"/>
          <w:sz w:val="28"/>
          <w:sz w:val="28"/>
          <w:szCs w:val="28"/>
          <w:rtl w:val="true"/>
          <w:lang w:bidi="ar-SA"/>
        </w:rPr>
        <w:t>، و قد تقدّم الكلام فيه في تروك الإحرام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لا بأس بأكل الفواكه و إن كانت رائحتها طيبة، كالسفرجل و التفاح، و في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نفي البأس عنها معلّلا بأنها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طعام و ليس من الطيب</w:t>
      </w:r>
      <w:r>
        <w:rPr>
          <w:rFonts w:eastAsia="Amiri" w:cs="Amiri" w:ascii="Amiri" w:hAnsi="Amiri"/>
          <w:color w:val="111111"/>
          <w:sz w:val="28"/>
          <w:szCs w:val="28"/>
          <w:rtl w:val="true"/>
          <w:lang w:bidi="ar-SA"/>
        </w:rPr>
        <w:t xml:space="preserve">»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7" w:name="__RefHeading___Toc3320772_2314609296"/>
      <w:bookmarkStart w:id="118" w:name="_Toc44"/>
      <w:bookmarkEnd w:id="117"/>
      <w:r>
        <w:rPr>
          <w:rtl w:val="true"/>
        </w:rPr>
        <w:t>الثالثة</w:t>
      </w:r>
      <w:r>
        <w:rPr>
          <w:rtl w:val="true"/>
        </w:rPr>
        <w:t xml:space="preserve">: </w:t>
      </w:r>
      <w:r>
        <w:rPr>
          <w:rtl w:val="true"/>
        </w:rPr>
        <w:t>في تقليم كل ظفر مد من طعام، و في يديه و رجليه شاة مع اتحاد المجلس، و لو تعدد فشاتان</w:t>
      </w:r>
      <w:bookmarkEnd w:id="118"/>
    </w:p>
    <w:p>
      <w:pPr>
        <w:pStyle w:val="BookText"/>
        <w:rPr/>
      </w:pPr>
      <w:r>
        <w:rPr>
          <w:rFonts w:ascii="Amiri" w:hAnsi="Amiri" w:eastAsia="Amiri" w:cs="Amiri"/>
          <w:color w:val="111111"/>
          <w:sz w:val="28"/>
          <w:sz w:val="28"/>
          <w:szCs w:val="28"/>
          <w:rtl w:val="true"/>
          <w:lang w:bidi="ar-SA"/>
        </w:rPr>
        <w:t>على المشهور، لنص أبي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الجواهر </w:t>
      </w:r>
      <w:r>
        <w:rPr>
          <w:rStyle w:val="FootnoteAnchor"/>
          <w:rtl w:val="true"/>
        </w:rPr>
        <w:footnoteReference w:id="2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المشتمل على التفصيل المزبور،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قلم ظفرا من أظفاره و هو محرم،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مد من طعام حتى يبلغ العشرة، و إن قلم أصابع يديه كلها فعليه دم شاة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قلم أصابع يديه و رجليه جميعا،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فعل ذلك في مجلس واحد فعليه دم، و إن كان فعله متفرقا في مجلسين فعليه دمان</w:t>
      </w:r>
      <w:r>
        <w:rPr>
          <w:rFonts w:eastAsia="Amiri" w:cs="Amiri" w:ascii="Amiri" w:hAnsi="Amiri"/>
          <w:color w:val="111111"/>
          <w:sz w:val="28"/>
          <w:szCs w:val="28"/>
          <w:rtl w:val="true"/>
          <w:lang w:bidi="ar-SA"/>
        </w:rPr>
        <w:t xml:space="preserve">» </w:t>
      </w:r>
      <w:r>
        <w:rPr>
          <w:rStyle w:val="FootnoteAnchor"/>
          <w:rtl w:val="true"/>
        </w:rPr>
        <w:footnoteReference w:id="215"/>
      </w:r>
      <w:r>
        <w:rPr>
          <w:rFonts w:ascii="Amiri" w:hAnsi="Amiri" w:eastAsia="Amiri" w:cs="Amiri"/>
          <w:color w:val="111111"/>
          <w:sz w:val="28"/>
          <w:sz w:val="28"/>
          <w:szCs w:val="28"/>
          <w:rtl w:val="true"/>
          <w:lang w:bidi="ar-SA"/>
        </w:rPr>
        <w:t>، و في نسخة بدل المد قيمته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المشهور أخذوا بالمد، خصوصا مع اشتمال بقية النصوص أيضا على المد، نعم في بعض النصوص تحديد البلوغ إلى دم شاة بالخمسة </w:t>
      </w:r>
      <w:r>
        <w:rPr>
          <w:rStyle w:val="FootnoteAnchor"/>
          <w:rtl w:val="true"/>
        </w:rPr>
        <w:footnoteReference w:id="216"/>
      </w:r>
      <w:r>
        <w:rPr>
          <w:rFonts w:ascii="Amiri" w:hAnsi="Amiri" w:eastAsia="Amiri" w:cs="Amiri"/>
          <w:color w:val="111111"/>
          <w:sz w:val="28"/>
          <w:sz w:val="28"/>
          <w:szCs w:val="28"/>
          <w:rtl w:val="true"/>
          <w:lang w:bidi="ar-SA"/>
        </w:rPr>
        <w:t>، و به أفتى الإسكافي، بل و خيّر بين المد و قيمته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في الأخير أخذ بالنصين، الوارد أحدهما بالقيمة و الآخر بالمد، و في الأول استند بجملة من النصوص، المشتملة على التحديد بخمسة</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لا يخفى انّ النصوص المشتملة على الخمس محمولة على الاستحباب</w:t>
      </w:r>
    </w:p>
    <w:p>
      <w:pPr>
        <w:pStyle w:val="BookText"/>
        <w:rPr/>
      </w:pPr>
      <w:r>
        <w:rPr>
          <w:rFonts w:ascii="Amiri" w:hAnsi="Amiri" w:eastAsia="Amiri" w:cs="Amiri"/>
          <w:color w:val="111111"/>
          <w:sz w:val="28"/>
          <w:sz w:val="28"/>
          <w:szCs w:val="28"/>
          <w:rtl w:val="true"/>
          <w:lang w:bidi="ar-SA"/>
        </w:rPr>
        <w:t>بقرينة النصوص السابقة المحددة بالعشر، و أما الأخذ بالتخيير بين المد و قيمته، فإنما يصح بناء على ثبوت النصين، لأنّ قضية جمعهما رفع اليد عن إطلاق الهيئة، الظاهرة في التعيين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الكلام في كون المقام من صغريات تعارض الخبرين، بل من القوي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أقل من الاحتمال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المقام من باب اختلال متن رواية واحدة، و مع هذا الاحتمال لا يبقى مجال لإحراز سند آخر للآخر، كي يشمله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لازمة الرجوع إلى أصالة عدم الغفلة، الجارية في كل منهما، فتتعارضان و تتساقطان، فينتهي الأمر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شهادة النصوص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التعيين و التخيير، و الأصل هو التعيين،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حينئذ فالمشهور هو المنصور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المفتي إذا قلم المستفتي فأدمى إصبعه شاة، لرواية إسحاق </w:t>
      </w:r>
      <w:r>
        <w:rPr>
          <w:rStyle w:val="FootnoteAnchor"/>
          <w:rtl w:val="true"/>
        </w:rPr>
        <w:footnoteReference w:id="217"/>
      </w:r>
      <w:r>
        <w:rPr>
          <w:rFonts w:ascii="Amiri" w:hAnsi="Amiri" w:eastAsia="Amiri" w:cs="Amiri"/>
          <w:color w:val="111111"/>
          <w:sz w:val="28"/>
          <w:sz w:val="28"/>
          <w:szCs w:val="28"/>
          <w:rtl w:val="true"/>
          <w:lang w:bidi="ar-SA"/>
        </w:rPr>
        <w:t xml:space="preserve">المنجبرة بدعوى نفي الخلاف فيه، كما في الجواهر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نص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دم شاة</w:t>
      </w:r>
      <w:r>
        <w:rPr>
          <w:rFonts w:eastAsia="Amiri" w:cs="Amiri" w:ascii="Amiri" w:hAnsi="Amiri"/>
          <w:color w:val="111111"/>
          <w:sz w:val="28"/>
          <w:szCs w:val="28"/>
          <w:rtl w:val="true"/>
          <w:lang w:bidi="ar-SA"/>
        </w:rPr>
        <w:t xml:space="preserve">» </w:t>
      </w:r>
      <w:r>
        <w:rPr>
          <w:rStyle w:val="FootnoteAnchor"/>
          <w:rtl w:val="true"/>
        </w:rPr>
        <w:footnoteReference w:id="219"/>
      </w:r>
      <w:r>
        <w:rPr>
          <w:rFonts w:ascii="Amiri" w:hAnsi="Amiri" w:eastAsia="Amiri" w:cs="Amiri"/>
          <w:color w:val="111111"/>
          <w:sz w:val="28"/>
          <w:sz w:val="28"/>
          <w:szCs w:val="28"/>
          <w:rtl w:val="true"/>
          <w:lang w:bidi="ar-SA"/>
        </w:rPr>
        <w:t>في من قلّم أظفاره بفتوى مفتيه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فيه رجوع الضمير على المستفتي المقلّم، و لكن النص الأول، و فهم الأصحاب يرجعه إلى المفتي، كما انّ إطلاقه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منزّل بشهادة النص السابق مع وحدة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صورة الإدماء، و إلّا فالنص المزبور بإطلاقه غير معمول به، كما لا يخفى</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قد يتوهم انّ المراد من المفتي في المقام المظهر للفتوى على المحرم على</w:t>
      </w:r>
      <w:bookmarkStart w:id="119" w:name="pg19818_203941"/>
    </w:p>
    <w:p>
      <w:pPr>
        <w:pStyle w:val="BookText"/>
        <w:rPr/>
      </w:pPr>
      <w:bookmarkEnd w:id="119"/>
      <w:r>
        <w:rPr>
          <w:rFonts w:ascii="Amiri" w:hAnsi="Amiri" w:eastAsia="Amiri" w:cs="Amiri"/>
          <w:color w:val="111111"/>
          <w:sz w:val="28"/>
          <w:sz w:val="28"/>
          <w:szCs w:val="28"/>
          <w:rtl w:val="true"/>
          <w:lang w:bidi="ar-SA"/>
        </w:rPr>
        <w:t>وجه يكون باعتقاده حجة عليه و يكون داعيه في اقدامه، سواء كان المظهر المزبور مقلدا له أيضا أم مجتهدا غير من يقلّده، و انّ توهم الانصراف إلى من يقلّده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منظور فيه، لظهور النص و الفتوى في كون المفتي المزبور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بملاحظة تغريره إياه بالفتوى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يقلده فكان ضمانه عليه، و هذه الجهة لا يفرّق فيها بين المجتهد الناقل لفتوى مقلّده بالفتح أو المقلّد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المناسبة موجبة لتسرية مثل هذا التغرير في سائر موارد الكفارة، و الأصحاب غير ملتزمين بذلك، و إنما التزموا بخصوص المورد، للنص المزبور، فيقتضي عدم فهمهم مثل هذا المناط من فتوى المفتي، و عليه فظاهر المفتي ينصرف إلى الفتوى عن قبل نفسه، بنحو يكون باعتقاد المستفتي حجة عليه، و إن كان بإبراز المقلّد إياه بنحو التسلم و الإجماعية، على نحو يعتقد المستفتي بحجيته لديه، و على أي حال لا خصوصية لفتوى مفتيه المجتهد واقعا، كما لا يخفى</w:t>
      </w:r>
      <w:r>
        <w:rPr>
          <w:rFonts w:eastAsia="Amiri" w:cs="Amiri" w:ascii="Amiri" w:hAnsi="Amiri"/>
          <w:color w:val="111111"/>
          <w:sz w:val="28"/>
          <w:szCs w:val="28"/>
          <w:rtl w:val="true"/>
          <w:lang w:bidi="ar-SA"/>
        </w:rPr>
        <w:t>.</w:t>
      </w:r>
    </w:p>
    <w:p>
      <w:pPr>
        <w:pStyle w:val="Heading5"/>
        <w:numPr>
          <w:ilvl w:val="4"/>
          <w:numId w:val="1"/>
        </w:numPr>
        <w:rPr/>
      </w:pPr>
      <w:bookmarkStart w:id="120" w:name="__RefHeading___Toc3320774_2314609296"/>
      <w:bookmarkStart w:id="121" w:name="_Toc45"/>
      <w:bookmarkEnd w:id="120"/>
      <w:r>
        <w:rPr>
          <w:rtl w:val="true"/>
        </w:rPr>
        <w:t>الرابعة</w:t>
      </w:r>
      <w:r>
        <w:rPr>
          <w:rtl w:val="true"/>
        </w:rPr>
        <w:t xml:space="preserve">: </w:t>
      </w:r>
      <w:r>
        <w:rPr>
          <w:rtl w:val="true"/>
        </w:rPr>
        <w:t>في لبس المخيط شاة، و إن كان لضرورة</w:t>
      </w:r>
      <w:bookmarkEnd w:id="121"/>
    </w:p>
    <w:p>
      <w:pPr>
        <w:pStyle w:val="BookText"/>
        <w:rPr/>
      </w:pPr>
      <w:r>
        <w:rPr>
          <w:rFonts w:ascii="Amiri" w:hAnsi="Amiri" w:eastAsia="Amiri" w:cs="Amiri"/>
          <w:color w:val="111111"/>
          <w:sz w:val="28"/>
          <w:sz w:val="28"/>
          <w:szCs w:val="28"/>
          <w:rtl w:val="true"/>
          <w:lang w:bidi="ar-SA"/>
        </w:rPr>
        <w:t>بلا اشكال ظاهرا فتوى و نصا، و في النص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لبس ثوبا لا ينبغي له لبسه و هو محرم، ففعل ذلك ناسيا أو جاهلا أو ساهيا فلا شي‌ء، و من فعله متعمدا فعليه دم</w:t>
      </w:r>
      <w:r>
        <w:rPr>
          <w:rFonts w:eastAsia="Amiri" w:cs="Amiri" w:ascii="Amiri" w:hAnsi="Amiri"/>
          <w:color w:val="111111"/>
          <w:sz w:val="28"/>
          <w:szCs w:val="28"/>
          <w:rtl w:val="true"/>
          <w:lang w:bidi="ar-SA"/>
        </w:rPr>
        <w:t xml:space="preserve">» </w:t>
      </w:r>
      <w:r>
        <w:rPr>
          <w:rStyle w:val="FootnoteAnchor"/>
          <w:rtl w:val="true"/>
        </w:rPr>
        <w:footnoteReference w:id="220"/>
      </w:r>
      <w:r>
        <w:rPr>
          <w:rFonts w:ascii="Amiri" w:hAnsi="Amiri" w:eastAsia="Amiri" w:cs="Amiri"/>
          <w:color w:val="111111"/>
          <w:sz w:val="28"/>
          <w:sz w:val="28"/>
          <w:szCs w:val="28"/>
          <w:rtl w:val="true"/>
          <w:lang w:bidi="ar-SA"/>
        </w:rPr>
        <w:t>، و إطلاقه يشمل المضطر</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في نص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المحرم إذا احتاج إلى ضروب من الثياب فلبسها،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لكل صنف فيها فداء</w:t>
      </w:r>
      <w:r>
        <w:rPr>
          <w:rFonts w:eastAsia="Amiri" w:cs="Amiri" w:ascii="Amiri" w:hAnsi="Amiri"/>
          <w:color w:val="111111"/>
          <w:sz w:val="28"/>
          <w:szCs w:val="28"/>
          <w:rtl w:val="true"/>
          <w:lang w:bidi="ar-SA"/>
        </w:rPr>
        <w:t xml:space="preserve">» </w:t>
      </w:r>
      <w:r>
        <w:rPr>
          <w:rStyle w:val="FootnoteAnchor"/>
          <w:rtl w:val="true"/>
        </w:rPr>
        <w:footnoteReference w:id="2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تفسير الفداء بالدم، بقرينة</w:t>
      </w:r>
      <w:bookmarkStart w:id="122" w:name="pg19818_203942"/>
    </w:p>
    <w:p>
      <w:pPr>
        <w:pStyle w:val="BookText"/>
        <w:rPr/>
      </w:pPr>
      <w:bookmarkEnd w:id="122"/>
      <w:r>
        <w:rPr>
          <w:rFonts w:ascii="Amiri" w:hAnsi="Amiri" w:eastAsia="Amiri" w:cs="Amiri"/>
          <w:color w:val="111111"/>
          <w:sz w:val="28"/>
          <w:sz w:val="28"/>
          <w:szCs w:val="28"/>
          <w:rtl w:val="true"/>
          <w:lang w:bidi="ar-SA"/>
        </w:rPr>
        <w:t>إطلاق السابقة أو من جهة الإجماع على عدم الفصل بين الدم و ثبوت الفداء،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بمثله ترفع اليد عن عموم رفع آثار الاضطرار التي منها الكفارة امتنانا</w:t>
      </w:r>
      <w:r>
        <w:rPr>
          <w:rFonts w:eastAsia="Amiri" w:cs="Amiri" w:ascii="Amiri" w:hAnsi="Amiri"/>
          <w:color w:val="111111"/>
          <w:sz w:val="28"/>
          <w:szCs w:val="28"/>
          <w:rtl w:val="true"/>
          <w:lang w:bidi="ar-SA"/>
        </w:rPr>
        <w:t>.</w:t>
      </w:r>
    </w:p>
    <w:p>
      <w:pPr>
        <w:pStyle w:val="Heading5"/>
        <w:numPr>
          <w:ilvl w:val="4"/>
          <w:numId w:val="1"/>
        </w:numPr>
        <w:rPr/>
      </w:pPr>
      <w:bookmarkStart w:id="123" w:name="__RefHeading___Toc3320776_2314609296"/>
      <w:bookmarkStart w:id="124" w:name="_Toc46"/>
      <w:bookmarkEnd w:id="123"/>
      <w:r>
        <w:rPr>
          <w:rtl w:val="true"/>
        </w:rPr>
        <w:t>الخامسة</w:t>
      </w:r>
      <w:r>
        <w:rPr>
          <w:rtl w:val="true"/>
        </w:rPr>
        <w:t xml:space="preserve">: </w:t>
      </w:r>
      <w:r>
        <w:rPr>
          <w:rtl w:val="true"/>
        </w:rPr>
        <w:t>في حلق الشعر</w:t>
      </w:r>
      <w:bookmarkEnd w:id="124"/>
    </w:p>
    <w:p>
      <w:pPr>
        <w:pStyle w:val="BookText"/>
        <w:rPr/>
      </w:pPr>
      <w:r>
        <w:rPr>
          <w:rFonts w:ascii="Amiri" w:hAnsi="Amiri" w:eastAsia="Amiri" w:cs="Amiri"/>
          <w:color w:val="111111"/>
          <w:sz w:val="28"/>
          <w:sz w:val="28"/>
          <w:szCs w:val="28"/>
          <w:rtl w:val="true"/>
          <w:lang w:bidi="ar-SA"/>
        </w:rPr>
        <w:t>عند المصنف رحمه اللّٰه شاة، أو إطعام عشرة مساكين لكل مسكين مد، أو صيام ثلاثة أيام، و إن كان مضطرا، و الذي ظفرت عليه من النصوص صحيحة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حلق رأسه أو نتف إبطه ناسيا أو ساهيا أو جاهلا فلا شي‌ء عليه، و من فعله متعمدا فعليه دم</w:t>
      </w:r>
      <w:r>
        <w:rPr>
          <w:rFonts w:eastAsia="Amiri" w:cs="Amiri" w:ascii="Amiri" w:hAnsi="Amiri"/>
          <w:color w:val="111111"/>
          <w:sz w:val="28"/>
          <w:szCs w:val="28"/>
          <w:rtl w:val="true"/>
          <w:lang w:bidi="ar-SA"/>
        </w:rPr>
        <w:t xml:space="preserve">»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نص آخر منه كذلك بالنسبة إلى نتف الإبط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ربما يتعدّى منه إلى إزالة مطلق الشعر من بدنه بالفحوى، كما أنّ من النتف أيضا يتعدّى الى مطلق الإزالة، فلا اختصاص له بالحلق، نعم ظاهرهما تعيين 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قبالهما نصان آخران في تفسير الآية فَمَنْ كٰانَ مِنْكُمْ مَرِيضاً </w:t>
      </w:r>
      <w:r>
        <w:rPr>
          <w:rStyle w:val="FootnoteAnchor"/>
          <w:rtl w:val="true"/>
        </w:rPr>
        <w:footnoteReference w:id="224"/>
      </w:r>
      <w:r>
        <w:rPr>
          <w:rFonts w:ascii="Amiri" w:hAnsi="Amiri" w:eastAsia="Amiri" w:cs="Amiri"/>
          <w:color w:val="111111"/>
          <w:sz w:val="28"/>
          <w:sz w:val="28"/>
          <w:szCs w:val="28"/>
          <w:rtl w:val="true"/>
          <w:lang w:bidi="ar-SA"/>
        </w:rPr>
        <w:t xml:space="preserve">التصريح في أحدهما بالتخيير بين صيام الثلاثة، أو الصدقة بمدين لكل مسكين، على ستة مساكين، أو الدم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التخيير بين صيام الثلاثة و الصدقة على عشرة مساكين يشبعهم من الطعام، و دم شاة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مقتضى الجمع بين الأخيرين من حيث إطعام ستة أو عشرة، حمل العشرة على الفضيلة، كما انّ الإشباع غالبا يحصل بالمد، فيحمل المدان على الفضيلة أيضا، ثم يحمل اختصاص الأخيرين بحلق الرأس، على انه من باب الاتفاق، في مورد ابتلاء السائل، و إلّا فلا اختصاص له، لمعلوم النصين السابقين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مثلهما أيضا ترفع اليد عن ظهور السابقين في تعيين الدم، فيحمل على التخيير، فكان المقام من باب رفع اليد عن ظاهر كل واحد بنص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لازم هذا الجمع جريان التخيير المزبور في النتف أيضا، بل ليس للنتف حينئذ خصوصية، بل تمام الموضوع ازالة الشعر عن البدن، و الحال انّ الأصحاب غير ملتزمين بذلك، بل مصرحين في النتف بتعيين الدم للنصين السابقين بعد حمل إطلاقهما على نتف الإبطين، و إلّا ففي إبط واحد ملتزمين بإطعام ثلاثة مساكين، لا الدم، لنص آخر ظاهر فيه، و ذلك كله شاهد على عدم تعدّي الأصحاب من عنوان نتف الإبط إلى إزالة الشعر عن بقية البدن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فليس في غير الإبط إلّا عنوان حلق الرأس، و في نصه التخيير بين الثلاثة من الدم و الطعام و الصيام، و بمثله ترفع اليد عن ظهور التعيين في صحيح زرارة في تعيين الدم في حلق الرأس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ففي التعدّي عن حلق الرأس إلى مطلق ازالة شعر مطلق البدن غير الإبط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تكملة أستاذنا العلّامة التعدّي عن الحلق الى مطلق الإزالة، مع تخصيص الحكم بالرأس، و اجراء التخيير بين الإطعام بمدين على ستة و بين صيام الثلاثة، مع جعله الدم بخصوصه 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يخلو ما أفاد عن تأمل، و اللّٰه العالم</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الشرائع تخصيص العنوان بالحلق </w:t>
      </w:r>
      <w:r>
        <w:rPr>
          <w:rStyle w:val="FootnoteAnchor"/>
          <w:rtl w:val="true"/>
        </w:rPr>
        <w:footnoteReference w:id="227"/>
      </w:r>
      <w:r>
        <w:rPr>
          <w:rFonts w:ascii="Amiri" w:hAnsi="Amiri" w:eastAsia="Amiri" w:cs="Amiri"/>
          <w:color w:val="111111"/>
          <w:sz w:val="28"/>
          <w:sz w:val="28"/>
          <w:szCs w:val="28"/>
          <w:rtl w:val="true"/>
          <w:lang w:bidi="ar-SA"/>
        </w:rPr>
        <w:t>، مع تعميم الشعر لغير الرأس</w:t>
      </w:r>
    </w:p>
    <w:p>
      <w:pPr>
        <w:pStyle w:val="BookText"/>
        <w:rPr/>
      </w:pPr>
      <w:r>
        <w:rPr>
          <w:rFonts w:ascii="Amiri" w:hAnsi="Amiri" w:eastAsia="Amiri" w:cs="Amiri"/>
          <w:color w:val="111111"/>
          <w:sz w:val="28"/>
          <w:sz w:val="28"/>
          <w:szCs w:val="28"/>
          <w:rtl w:val="true"/>
          <w:lang w:bidi="ar-SA"/>
        </w:rPr>
        <w:t>بإطلاقه كالمصنف، فإن تم إجماع على التعدّي المزبور فهو، و إلّا فللنظر فيه مجال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ذكرنا ظهر وجه ما أفاده المصنف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نتف الإبطين شاة، و في أحدهما إطعام ثلاثة مساكين، جمعا بين مرسلة حريز في نتف إبطيه شاة </w:t>
      </w:r>
      <w:r>
        <w:rPr>
          <w:rStyle w:val="FootnoteAnchor"/>
          <w:rtl w:val="true"/>
        </w:rPr>
        <w:footnoteReference w:id="228"/>
      </w:r>
      <w:r>
        <w:rPr>
          <w:rFonts w:ascii="Amiri" w:hAnsi="Amiri" w:eastAsia="Amiri" w:cs="Amiri"/>
          <w:color w:val="111111"/>
          <w:sz w:val="28"/>
          <w:sz w:val="28"/>
          <w:szCs w:val="28"/>
          <w:rtl w:val="true"/>
          <w:lang w:bidi="ar-SA"/>
        </w:rPr>
        <w:t>، و بين خبر عبد اللّٰه في محرم نتف إبطه،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يطعم ثلاثة مساكين</w:t>
      </w:r>
      <w:r>
        <w:rPr>
          <w:rFonts w:eastAsia="Amiri" w:cs="Amiri" w:ascii="Amiri" w:hAnsi="Amiri"/>
          <w:color w:val="111111"/>
          <w:sz w:val="28"/>
          <w:szCs w:val="28"/>
          <w:rtl w:val="true"/>
          <w:lang w:bidi="ar-SA"/>
        </w:rPr>
        <w:t xml:space="preserve">» </w:t>
      </w:r>
      <w:r>
        <w:rPr>
          <w:rStyle w:val="FootnoteAnchor"/>
          <w:rtl w:val="true"/>
        </w:rPr>
        <w:footnoteReference w:id="2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بمثلهما يفسّر الإبط في نصي زرارة، بحملهما على تعيين الدم على الجنس من نتف الإبط، لا نتف إبط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 نص حريز اختلال المتن، ففي نسخة نتف الإبط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فيمكن الجمع بين النصين برفع اليد عن تعيين كل منهما بالحمل على التخيير، خصوصا لو ضم إليهما صحيحا زرارة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توهم انصراف الإبط إلى الإبطين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بمقتضى الغلبة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مشترك الورود في جميع النصوص، فلا وجه لحمل أحدهما على نتف إبط واحد و البقية على الجنس المنطبق على الإبطين، فيفصل في حكمهما، فلو لا حجية فهم الأصحاب و تسلمهم، الكاشف عن الإجماع على التفصيل المزبور، كان للنظر فيه مجال</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قصارى ما يمكن أن يقال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بإجمال النصوص، من جهة احتفاف عنوان الإبط بما يصلح للقرينية، من الغلبة المزبورة، على وجه يبلغ انصرافه إلى الحد المضر بظهوره الإجمالي، لا مبين للعدم، و لا التشكيك البدوي، فتصير النصوص من تلك الجهة مجملة، و لازمة الاولى التعيين و التخيير، بضم الجزم باحتمال تعيين الدم في الإبطين، و تعيين الإطعام في إبط</w:t>
      </w:r>
    </w:p>
    <w:p>
      <w:pPr>
        <w:pStyle w:val="BookText"/>
        <w:rPr/>
      </w:pPr>
      <w:r>
        <w:rPr>
          <w:rFonts w:ascii="Amiri" w:hAnsi="Amiri" w:eastAsia="Amiri" w:cs="Amiri"/>
          <w:color w:val="111111"/>
          <w:sz w:val="28"/>
          <w:sz w:val="28"/>
          <w:szCs w:val="28"/>
          <w:rtl w:val="true"/>
          <w:lang w:bidi="ar-SA"/>
        </w:rPr>
        <w:t>واحد، فمقتضى أصالة التعيين في كل واحد الأخذ بمقتضى التعيين في كل واحد، و نتيجة التفصيل الإطعام المزبور،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سقط من رأسه أو لحيته شي‌ء بمسه تصدّق بكف من طعام على ما نسب إلى قطع الأصحاب، و في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وضع أحدكم يده على رأسه أو لحيته و هو محرم فسقط شي‌ء من الشعر فليتصدق بكف من طعام أو كف من سويق</w:t>
      </w:r>
      <w:r>
        <w:rPr>
          <w:rFonts w:eastAsia="Amiri" w:cs="Amiri" w:ascii="Amiri" w:hAnsi="Amiri"/>
          <w:color w:val="111111"/>
          <w:sz w:val="28"/>
          <w:szCs w:val="28"/>
          <w:rtl w:val="true"/>
          <w:lang w:bidi="ar-SA"/>
        </w:rPr>
        <w:t xml:space="preserve">»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نص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بكف أو كفين</w:t>
      </w:r>
      <w:r>
        <w:rPr>
          <w:rFonts w:eastAsia="Amiri" w:cs="Amiri" w:ascii="Amiri" w:hAnsi="Amiri"/>
          <w:color w:val="111111"/>
          <w:sz w:val="28"/>
          <w:szCs w:val="28"/>
          <w:rtl w:val="true"/>
          <w:lang w:bidi="ar-SA"/>
        </w:rPr>
        <w:t xml:space="preserve">» </w:t>
      </w:r>
      <w:r>
        <w:rPr>
          <w:rStyle w:val="FootnoteAnchor"/>
          <w:rtl w:val="true"/>
        </w:rPr>
        <w:footnoteReference w:id="231"/>
      </w:r>
      <w:r>
        <w:rPr>
          <w:rFonts w:ascii="Amiri" w:hAnsi="Amiri" w:eastAsia="Amiri" w:cs="Amiri"/>
          <w:color w:val="111111"/>
          <w:sz w:val="28"/>
          <w:sz w:val="28"/>
          <w:szCs w:val="28"/>
          <w:rtl w:val="true"/>
          <w:lang w:bidi="ar-SA"/>
        </w:rPr>
        <w:t>، فيحمل الأخير على الفضيلة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في نص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تمرة خير من شعرة</w:t>
      </w:r>
      <w:r>
        <w:rPr>
          <w:rFonts w:eastAsia="Amiri" w:cs="Amiri" w:ascii="Amiri" w:hAnsi="Amiri"/>
          <w:color w:val="111111"/>
          <w:sz w:val="28"/>
          <w:szCs w:val="28"/>
          <w:rtl w:val="true"/>
          <w:lang w:bidi="ar-SA"/>
        </w:rPr>
        <w:t xml:space="preserve">»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يضره</w:t>
      </w:r>
      <w:r>
        <w:rPr>
          <w:rFonts w:eastAsia="Amiri" w:cs="Amiri" w:ascii="Amiri" w:hAnsi="Amiri"/>
          <w:color w:val="111111"/>
          <w:sz w:val="28"/>
          <w:szCs w:val="28"/>
          <w:rtl w:val="true"/>
          <w:lang w:bidi="ar-SA"/>
        </w:rPr>
        <w:t xml:space="preserve">»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مقتضى الجمع بين المجموع الحمل على مراتب الاستحباب، لكن الذي يوهن الأخيرين اعراضهم عنهما، فيبقى خبر الكف بلا معارض</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كان سقوط الشعر في الوضوء فلا شي‌ء عليه، للنص المشتمل على نفي الشي‌ء على سقوطه بإسباغ الوضوء، معللا بعموم نفي الحرج </w:t>
      </w:r>
      <w:r>
        <w:rPr>
          <w:rStyle w:val="FootnoteAnchor"/>
          <w:rtl w:val="true"/>
        </w:rPr>
        <w:footnoteReference w:id="2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بمقتضى التعليل يتعدّى إلى مطلق الطهارات الثلاث، و لو لغير الصلاة، بل و لازمة التعدّي الى غير باب الطهارات أيضا من سائر الكفارات، إلّا ما خرج بتصريح نص بالخصوص، أو إجماع على التعميم، مع الاضطرار،</w:t>
      </w:r>
      <w:bookmarkStart w:id="125" w:name="pg19818_203946"/>
    </w:p>
    <w:p>
      <w:pPr>
        <w:pStyle w:val="BookText"/>
        <w:rPr/>
      </w:pPr>
      <w:bookmarkEnd w:id="125"/>
      <w:r>
        <w:rPr>
          <w:rFonts w:ascii="Amiri" w:hAnsi="Amiri" w:eastAsia="Amiri" w:cs="Amiri"/>
          <w:color w:val="111111"/>
          <w:sz w:val="28"/>
          <w:sz w:val="28"/>
          <w:szCs w:val="28"/>
          <w:rtl w:val="true"/>
          <w:lang w:bidi="ar-SA"/>
        </w:rPr>
        <w:t>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بمثله أيضا يخرج عن حكم التخيير في الكفارة عن ازالة مطلق الشعر عن البدن على القول به، مع ما فيه من الاشكال، كما تقدم، و اللّٰه العالم</w:t>
      </w:r>
      <w:r>
        <w:rPr>
          <w:rFonts w:eastAsia="Amiri" w:cs="Amiri" w:ascii="Amiri" w:hAnsi="Amiri"/>
          <w:color w:val="111111"/>
          <w:sz w:val="28"/>
          <w:szCs w:val="28"/>
          <w:rtl w:val="true"/>
          <w:lang w:bidi="ar-SA"/>
        </w:rPr>
        <w:t>.</w:t>
      </w:r>
    </w:p>
    <w:p>
      <w:pPr>
        <w:pStyle w:val="Heading5"/>
        <w:numPr>
          <w:ilvl w:val="4"/>
          <w:numId w:val="1"/>
        </w:numPr>
        <w:rPr/>
      </w:pPr>
      <w:bookmarkStart w:id="126" w:name="__RefHeading___Toc3320778_2314609296"/>
      <w:bookmarkStart w:id="127" w:name="_Toc47"/>
      <w:bookmarkEnd w:id="126"/>
      <w:r>
        <w:rPr>
          <w:rtl w:val="true"/>
        </w:rPr>
        <w:t>السادسة</w:t>
      </w:r>
      <w:r>
        <w:rPr>
          <w:rtl w:val="true"/>
        </w:rPr>
        <w:t xml:space="preserve">: </w:t>
      </w:r>
      <w:r>
        <w:rPr>
          <w:rtl w:val="true"/>
        </w:rPr>
        <w:t>في التظليل سائرا شاة</w:t>
      </w:r>
      <w:bookmarkEnd w:id="127"/>
    </w:p>
    <w:p>
      <w:pPr>
        <w:pStyle w:val="BookText"/>
        <w:rPr/>
      </w:pPr>
      <w:r>
        <w:rPr>
          <w:rFonts w:ascii="Amiri" w:hAnsi="Amiri" w:eastAsia="Amiri" w:cs="Amiri"/>
          <w:color w:val="111111"/>
          <w:sz w:val="28"/>
          <w:sz w:val="28"/>
          <w:szCs w:val="28"/>
          <w:rtl w:val="true"/>
          <w:lang w:bidi="ar-SA"/>
        </w:rPr>
        <w:t>على ما نسب إلى الأكثر، بل المشهور، للمستفيضة المشتملة على الشاة، ففي نص إبراهيم بن أبي محمود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 الفداء؟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شاة</w:t>
      </w:r>
      <w:r>
        <w:rPr>
          <w:rFonts w:eastAsia="Amiri" w:cs="Amiri" w:ascii="Amiri" w:hAnsi="Amiri"/>
          <w:color w:val="111111"/>
          <w:sz w:val="28"/>
          <w:szCs w:val="28"/>
          <w:rtl w:val="true"/>
          <w:lang w:bidi="ar-SA"/>
        </w:rPr>
        <w:t xml:space="preserve">»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صحيح علي بن جعفر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 الكفارة</w:t>
      </w:r>
      <w:r>
        <w:rPr>
          <w:rFonts w:eastAsia="Amiri" w:cs="Amiri" w:ascii="Amiri" w:hAnsi="Amiri"/>
          <w:color w:val="111111"/>
          <w:sz w:val="28"/>
          <w:szCs w:val="28"/>
          <w:rtl w:val="true"/>
          <w:lang w:bidi="ar-SA"/>
        </w:rPr>
        <w:t xml:space="preserve">» </w:t>
      </w:r>
      <w:r>
        <w:rPr>
          <w:rStyle w:val="FootnoteAnchor"/>
          <w:rtl w:val="true"/>
        </w:rPr>
        <w:footnoteReference w:id="236"/>
      </w:r>
      <w:r>
        <w:rPr>
          <w:rFonts w:ascii="Amiri" w:hAnsi="Amiri" w:eastAsia="Amiri" w:cs="Amiri"/>
          <w:color w:val="111111"/>
          <w:sz w:val="28"/>
          <w:sz w:val="28"/>
          <w:szCs w:val="28"/>
          <w:rtl w:val="true"/>
          <w:lang w:bidi="ar-SA"/>
        </w:rPr>
        <w:t>، فيحمل على الشاة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علي بن جعفر نحر بدنة لكفارة الظل، و لعله فهم من قول الامام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 الكفارة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البدنة، و فهمه ليس بحجة 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في قبالها نصوص أخرى مشتملة على التصدّق بمد لكل يوم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نص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التصريح بالتخيير بين الصيام و الصدقة و النسك، المفسر بالشاة </w:t>
      </w:r>
      <w:r>
        <w:rPr>
          <w:rStyle w:val="FootnoteAnchor"/>
          <w:rtl w:val="true"/>
        </w:rPr>
        <w:footnoteReference w:id="2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مقتضى الجمع بين النصوص، هو حمل الأول على التخيير، و لكن ضعف مثل هذه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بالعراض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يوجب طرحها و العمل بالمستفيضة، الحاكمة بتعيين الشاة</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 مقتضى إطلاق رواية علي بن جعفر، هو شمول الحكم للمختار أيضا، فلا يضرّه تخصيص الحكم في البقية بالمضطر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لا ذلك لم يكن مجال لدعوى الفحوى من هذه الجهة، بما ورد من تكرار الكفارة في تكرار الصيد خطأ لا عمدا، على ما تقدّم، و لو بملاحظة أنّ شدة العصيان موجبة</w:t>
      </w:r>
    </w:p>
    <w:p>
      <w:pPr>
        <w:pStyle w:val="BookText"/>
        <w:rPr/>
      </w:pPr>
      <w:r>
        <w:rPr>
          <w:rFonts w:ascii="Amiri" w:hAnsi="Amiri" w:eastAsia="Amiri" w:cs="Amiri"/>
          <w:color w:val="111111"/>
          <w:sz w:val="28"/>
          <w:sz w:val="28"/>
          <w:szCs w:val="28"/>
          <w:rtl w:val="true"/>
          <w:lang w:bidi="ar-SA"/>
        </w:rPr>
        <w:t>لعدم صلاحية تطهيره في الدنيا بالكفارة، بل عقوبته منحصرة بعذاب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ظلل في إحرام العمرة و الحج، كان عليه دمان، لعدم تداخل الأسباب بعد إطلاق النصوص للمحرم مطلقا، مضافا إلى التصريح به في مضمرة علي بن راشد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صورة استدامة التظليل، لا شبهة في كونه تظليلا واحدا، و ليس عليه إلّا كفارة واحدة، لظهور دليلها في ترتيبها على عنوان التظليل، المعلوم عدم صدق تكرر السبب فيه، إلّا بتخلل العدم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هذا التظليل الطويل ليس محرما شخصيا بحيث لا يوجب إلّا عقوبة شخصية مترتبة على أول وجوده، بل هو نظير شرب واحد للخمر طويلا، في انحلال نهيه إلى نواه متعددة، على وجه يستحق بكل مرتبة عقوبة مستقلّة، فباجتماع المراتب تحت وجود فاصلة واحدة، تجتمع العقوبات أيضا تحت حد شديد، قابل لأن يقال بأنه عقوبة واحدة، منحلة إلى مراتب من العقوبة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ترتب العقوبات العديدة بعدد المراتب التحليلية، المنطبقة عليه أول مرتبة من وجود المعصية، و نظائر هذه المحرمات كثيرة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تلك الجهة غير مرتبطة بباب سببية وجودها لترتب الكفارة، فإنه حينئذ تابع لصدق وحدة الوجود و تكرره، فما لم يتخلل العدم ليس إلّا سببا واحدا طال ما طال</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كذا يجب شاة في تغطية الرأس و إن كان لضرورة، و حكي نفي الخلاف فيه، و استدل عليه بالمرسلة المنجبرة في من غطّى رأسه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الفداء</w:t>
      </w:r>
      <w:r>
        <w:rPr>
          <w:rFonts w:eastAsia="Amiri" w:cs="Amiri" w:ascii="Amiri" w:hAnsi="Amiri"/>
          <w:color w:val="111111"/>
          <w:sz w:val="28"/>
          <w:szCs w:val="28"/>
          <w:rtl w:val="true"/>
          <w:lang w:bidi="ar-SA"/>
        </w:rPr>
        <w:t xml:space="preserve">» </w:t>
      </w:r>
      <w:r>
        <w:rPr>
          <w:rStyle w:val="FootnoteAnchor"/>
          <w:rtl w:val="true"/>
        </w:rPr>
        <w:footnoteReference w:id="240"/>
      </w:r>
      <w:r>
        <w:rPr>
          <w:rFonts w:ascii="Amiri" w:hAnsi="Amiri" w:eastAsia="Amiri" w:cs="Amiri"/>
          <w:color w:val="111111"/>
          <w:sz w:val="28"/>
          <w:sz w:val="28"/>
          <w:szCs w:val="28"/>
          <w:rtl w:val="true"/>
          <w:lang w:bidi="ar-SA"/>
        </w:rPr>
        <w:t>، بضم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لكل شي‌ء خرجت به من حجك فعليك دم</w:t>
      </w:r>
    </w:p>
    <w:p>
      <w:pPr>
        <w:pStyle w:val="BookText"/>
        <w:rPr/>
      </w:pPr>
      <w:r>
        <w:rPr>
          <w:rFonts w:ascii="Amiri" w:hAnsi="Amiri" w:eastAsia="Amiri" w:cs="Amiri"/>
          <w:color w:val="111111"/>
          <w:sz w:val="28"/>
          <w:sz w:val="28"/>
          <w:szCs w:val="28"/>
          <w:rtl w:val="true"/>
          <w:lang w:bidi="ar-SA"/>
        </w:rPr>
        <w:t>تهريقه</w:t>
      </w:r>
      <w:r>
        <w:rPr>
          <w:rFonts w:eastAsia="Amiri" w:cs="Amiri" w:ascii="Amiri" w:hAnsi="Amiri"/>
          <w:color w:val="111111"/>
          <w:sz w:val="28"/>
          <w:szCs w:val="28"/>
          <w:rtl w:val="true"/>
          <w:lang w:bidi="ar-SA"/>
        </w:rPr>
        <w:t xml:space="preserve">» </w:t>
      </w:r>
      <w:r>
        <w:rPr>
          <w:rStyle w:val="FootnoteAnchor"/>
          <w:rtl w:val="true"/>
        </w:rPr>
        <w:footnoteReference w:id="2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مثل هذا أصل في المحرمات إلّا ما 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المراد من خروجه عن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خروجه عما جعل له من الحدود تكليفا و وضعا، و محرمات الإحرام من حدوده التكليفية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يتعدّى من الحج الى حدود العمرة أيضا، خصوصا في المتمتع بها بضم إلحاق المفرد بعمرة المتعة بعدم الفصل، فيكون مثل هذا العام أصلا في باب محرمات مطلق الإحرام، فيتبع في غير موارد قيام النص و الإجماع على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لئن أريد من الدم مطلقها، يلزم قلة التخصيص أيضا و حينئذ يرجع المقام إلى دوران الأمر بين الشاة و فوقها، و من المعلوم انّ المقام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بنظر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الأقل و الأكثر، لو لا تعيين الشاة، و احتمال عدم الإجزاء بالبدنة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فحينئذ يكون المقام من المتبائنين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ذلك على فرض إجمال الدم، و إلّا فمقتضى إطلاقه الاجتزاء بالشاة إلّا مع قيام قرينة على تعيين الطبيعة بفرد مخصوص، و لازمة الاجتزاء بغيره من سائر الدماء أيضا، و لا أظن التزامهم بعدمه في أمثال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مع انّ مقتضى إجمال دليل الفداء، لو لا هذه الكلية أيضا، رجوع الأمر إلى التعيين و التخيير، بعد الجزم بعدم تعيين أمر آخر، للإجماعات المدعاة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يدّعى أنها على فرض حجيتها تكفي قرينة لتعيين الفداء بالشاة، و إلّا فلا طريق إلى نفي تعيين غيرها، فلا يبقى مجال للمصير إلى تعيين خصوص الشاة، فتدبّر</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 ظاهر المرسلة تغطية تمام الرأس بأي سبب، و لا يشمل تغطية بعضه</w:t>
      </w:r>
      <w:bookmarkStart w:id="128" w:name="pg19818_203949"/>
    </w:p>
    <w:p>
      <w:pPr>
        <w:pStyle w:val="BookText"/>
        <w:rPr/>
      </w:pPr>
      <w:bookmarkEnd w:id="128"/>
      <w:r>
        <w:rPr>
          <w:rFonts w:ascii="Amiri" w:hAnsi="Amiri" w:eastAsia="Amiri" w:cs="Amiri"/>
          <w:color w:val="111111"/>
          <w:sz w:val="28"/>
          <w:sz w:val="28"/>
          <w:szCs w:val="28"/>
          <w:rtl w:val="true"/>
          <w:lang w:bidi="ar-SA"/>
        </w:rPr>
        <w:t>للأصل، لو لا دعوى شمول إطلاق النص تغطية البعض المعتد به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يشمل تغطية بعضه الذي لا اعتداد به عرفا، كتغطيته بوقوع نقطة طين أو حبل القربة و أمثالهما، فالأصل في مثلها محكم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أي حال لا فرق في التغطية بين رقيق الشي‌ء أو غليظة، حناء أو غيره، لا أن تبلغ الرقة بدرجة لا يحكم في مثله بالتغطية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انّ المنصرف من التغطية أيضا التغطية بغير أجزاء بدنه، من يده أو شعره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النص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بأن يستر بعض جسده ببعض</w:t>
      </w:r>
      <w:r>
        <w:rPr>
          <w:rFonts w:eastAsia="Amiri" w:cs="Amiri" w:ascii="Amiri" w:hAnsi="Amiri"/>
          <w:color w:val="111111"/>
          <w:sz w:val="28"/>
          <w:szCs w:val="28"/>
          <w:rtl w:val="true"/>
          <w:lang w:bidi="ar-SA"/>
        </w:rPr>
        <w:t xml:space="preserve">» </w:t>
      </w:r>
      <w:r>
        <w:rPr>
          <w:rStyle w:val="FootnoteAnchor"/>
          <w:rtl w:val="true"/>
        </w:rPr>
        <w:footnoteReference w:id="242"/>
      </w:r>
      <w:r>
        <w:rPr>
          <w:rFonts w:ascii="Amiri" w:hAnsi="Amiri" w:eastAsia="Amiri" w:cs="Amiri"/>
          <w:color w:val="111111"/>
          <w:sz w:val="28"/>
          <w:sz w:val="28"/>
          <w:szCs w:val="28"/>
          <w:rtl w:val="true"/>
          <w:lang w:bidi="ar-SA"/>
        </w:rPr>
        <w:t xml:space="preserve">، و نظيره نص آخر في قبال النهي عن الستر بالثوب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انّ ذلك مختص بحال الاختيار، و لا يشمل الضرورة، إذ مضافا إلى عموم رفع الاضطرار، قد ورد نص ابن عمار، المشتمل على استثناء المريض و من به علة أو لا يطيق حر الشمس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في استفادة نفي الكفارة من مثله نظر، فلو لا عموم التعليل في النص السابق الوارد في سقوط الشعر في الوضوء، أشكل أمر سقوط الكفارة في المقام، بمقتضى إطلاق النص السابق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حينئذ فما في المتن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لضرورة لا يخلو عن تأمل، و اللّٰه العالم، هذا</w:t>
      </w:r>
      <w:r>
        <w:rPr>
          <w:rFonts w:eastAsia="Amiri" w:cs="Amiri" w:ascii="Amiri" w:hAnsi="Amiri"/>
          <w:color w:val="111111"/>
          <w:sz w:val="28"/>
          <w:szCs w:val="28"/>
          <w:rtl w:val="true"/>
          <w:lang w:bidi="ar-SA"/>
        </w:rPr>
        <w:t>.</w:t>
      </w:r>
    </w:p>
    <w:p>
      <w:pPr>
        <w:pStyle w:val="Heading5"/>
        <w:numPr>
          <w:ilvl w:val="4"/>
          <w:numId w:val="1"/>
        </w:numPr>
        <w:rPr/>
      </w:pPr>
      <w:bookmarkStart w:id="129" w:name="__RefHeading___Toc3320780_2314609296"/>
      <w:bookmarkStart w:id="130" w:name="_Toc48"/>
      <w:bookmarkEnd w:id="129"/>
      <w:r>
        <w:rPr>
          <w:rtl w:val="true"/>
        </w:rPr>
        <w:t>السابعة</w:t>
      </w:r>
      <w:r>
        <w:rPr>
          <w:rtl w:val="true"/>
        </w:rPr>
        <w:t xml:space="preserve">: </w:t>
      </w:r>
      <w:r>
        <w:rPr>
          <w:rtl w:val="true"/>
        </w:rPr>
        <w:t>في الجدال صادقا ثلاثا شاة،</w:t>
      </w:r>
      <w:bookmarkEnd w:id="130"/>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في الكاذب مرة، و لو</w:t>
      </w:r>
    </w:p>
    <w:p>
      <w:pPr>
        <w:pStyle w:val="BookText"/>
        <w:rPr/>
      </w:pPr>
      <w:r>
        <w:rPr>
          <w:rFonts w:ascii="Amiri" w:hAnsi="Amiri" w:eastAsia="Amiri" w:cs="Amiri"/>
          <w:color w:val="111111"/>
          <w:sz w:val="28"/>
          <w:sz w:val="28"/>
          <w:szCs w:val="28"/>
          <w:rtl w:val="true"/>
          <w:lang w:bidi="ar-SA"/>
        </w:rPr>
        <w:t xml:space="preserve">ثنّى فبقرة، و لو ثلّث فبدنة على المشهور بين الأصحاب، و ورد على هذا التفصيل الفقه الرضوي </w:t>
      </w:r>
      <w:r>
        <w:rPr>
          <w:rStyle w:val="FootnoteAnchor"/>
          <w:rtl w:val="true"/>
        </w:rPr>
        <w:footnoteReference w:id="245"/>
      </w:r>
      <w:r>
        <w:rPr>
          <w:rFonts w:ascii="Amiri" w:hAnsi="Amiri" w:eastAsia="Amiri" w:cs="Amiri"/>
          <w:color w:val="111111"/>
          <w:sz w:val="28"/>
          <w:sz w:val="28"/>
          <w:szCs w:val="28"/>
          <w:rtl w:val="true"/>
          <w:lang w:bidi="ar-SA"/>
        </w:rPr>
        <w:t>، بل هو مضمون فتوى ابن بابويه الذي هو مرجع الأصحاب عند اعوازهم النصوص، فإن تم ذلك المقدار وثوقا بصدور مثل هذا المضمون عن مصادر الوحي، فهو، و إلّا ففي استفادتها من مجموع النصوص الواردة في الباب نظر، إذ النصوص بين ما اشتمل على الشاة للصادق فوق مرتين، و البقرة للكاذب، و بين ما اشتمل على مطلق الدم للصادق ثلاثا، و للكاذب واحدا، و بين إثبات الدم أيضا مطلقا للجادل ثلاثا مطلقا و بين إثبات الجزور لجدال المحرم كاذبا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خبر يونس بن يعقوب نفي الشي‌ء على الجدال الواحد الصادق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المعلوم انّ المستفاد من المجموع ثبوت الشاة في الصدق ثلاثا، و في الكذب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يقيّد إطلاق خبر الجزور، بل إطلاق الجادل ثلاثا، بصورة الصدق في الأخير، و بغير الجدال الواحد في الأول، فيلزمه ثبوت الجزور على الزائد عن الواحد و البقرة في الزائد على الاثنين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حيث إنّ البقرة أخف من الجزور فلا بد من الالتزام بحمل الجزور في الثلاث على الاستحباب، كما انه يحمل الجزور في الثاني أيضا على الاستحباب بالفحوى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اقتضاؤه ثبوت البقرة في المرة الثانية، فلا يكاد يثبت إلّا بدعوى ملازمة مشروعية البدنة في الثانية للاجتزاء بالبقرة، و هو أول الدعوى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لا تثبت البقرة في الثانية، و لا الجزور في الثالثة بنحو اللزوم</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قد يدعى ثبوت البقرة في الثانية برواية عبد الحميد المشتملة على قوله</w:t>
      </w:r>
    </w:p>
    <w:p>
      <w:pPr>
        <w:pStyle w:val="BookText"/>
        <w:rPr/>
      </w:pP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جادل في الحج فعليه إطعام ستين مسكينا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عاد مرتين فعلى الصادق شاة و على الكاذب بقرة</w:t>
      </w:r>
      <w:r>
        <w:rPr>
          <w:rFonts w:eastAsia="Amiri" w:cs="Amiri" w:ascii="Amiri" w:hAnsi="Amiri"/>
          <w:color w:val="111111"/>
          <w:sz w:val="28"/>
          <w:szCs w:val="28"/>
          <w:rtl w:val="true"/>
          <w:lang w:bidi="ar-SA"/>
        </w:rPr>
        <w:t xml:space="preserve">» </w:t>
      </w:r>
      <w:r>
        <w:rPr>
          <w:rStyle w:val="FootnoteAnchor"/>
          <w:rtl w:val="true"/>
        </w:rPr>
        <w:footnoteReference w:id="247"/>
      </w:r>
      <w:r>
        <w:rPr>
          <w:rFonts w:ascii="Amiri" w:hAnsi="Amiri" w:eastAsia="Amiri" w:cs="Amiri"/>
          <w:color w:val="111111"/>
          <w:sz w:val="28"/>
          <w:sz w:val="28"/>
          <w:szCs w:val="28"/>
          <w:rtl w:val="true"/>
          <w:lang w:bidi="ar-SA"/>
        </w:rPr>
        <w:t>، بدعوى التبعيض في فقرأت الرواية بأخذ الأخيرة و طرح البقية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انّ ذلك صحيح لو كان المراد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عاد 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بلوغ جداله بعوده مرتين، و هو خلاف ظاهر الرواية، بل الظاهر بلوغ عوده مرتين، و لازمة ثبوت البقرة في الثالثة، بتوافق النصوص السابقة، بل و على هذا المعنى لا يحتاج إلى طرح فقرة إثبات الشاة، لعوده مرتين في الصادق، و لا أقل من احتمال هذا المعنى، فالنص المزبور من تلك الجهة مجمل لا شهادة فيه على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إن تمّ الرضوي، بضميمة فتوى ابن بابويه سندا، أمكن تقييد المطلقات الواردة في المقام على وجه يستفاد من المجموع التفصيل المزبور، و إلّا فللنظر فيه مجال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بعض النصوص في المجادلة ثلاثا في الصادق مطلق، و في بعضها التقييد بكونها ولاء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قضية وحدة المطلوب توجب التقييد و إن لم يكن للقيد مفهوم، إلّا أنّ اعراض المشهور عن الخبر المقيّد أوجب الوهن فيه، فيؤخذ بالإطلاق</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أيضا مقتضى الإطلاقات ثبوت الكفارة حتى في صورة الاضطرار لإثبات حق أو نفي باطل، لكن عمومات رفع الاضطرار، بل و التعليل الوارد في سقوط الشعر في الوضوء، تقتضي عدم الكفارة، لأنّ في رفعها كمال الامتنان على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أيضا لا كفارة في إكرام أخيه، و في النص أيضا نفي الكفارة عنه معلّلا بأنه إنما أراد بهذا إكرام أخيه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أيضا نفي وجوب الكفارة عن أقل من الثلاث في الصادق لا يقتضي نفي حرمته الثابتة باطلاقاته، فيستغفر اللّٰه عن ذنبه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انّ الظاهر كون الشاة على اليمين الواحدة، و البقرة على المرتين، و البدنة على الثلاثة، كون الوحدة المأخوذة في الشاة هي الوحدة بشرط لا، من دون فرق بين أن تكون اليمين الثانية على المطلب الأول أو على مطلب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لازمة انقلاب الفرض من الشاة إلى البقرة بمجرد ضم يمين أخرى إلى اليمين الاولى، سواء كفّر عن الأولى أم لا، غاية الأمر مع وقوع التكفير يكشف عن عدم وقوعه في محلّه، بل فرضه في علم اللّٰه هو البقرة أو البدنة، و عليه فلا يسقط التكفير بشاة عن التكفير بالبقرة و البدنة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الموضوع فيه الوحدة السارية في ضمن جميع الوحدات، يلزمه ثبوت الشاة في كل مرة، غاية الأمر في المرة الثانية البقرة أيضا، و كذلك البدنة في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استقرب في الجواهر هذا المعنى </w:t>
      </w:r>
      <w:r>
        <w:rPr>
          <w:rStyle w:val="FootnoteAnchor"/>
          <w:rtl w:val="true"/>
        </w:rPr>
        <w:footnoteReference w:id="249"/>
      </w:r>
      <w:r>
        <w:rPr>
          <w:rFonts w:ascii="Amiri" w:hAnsi="Amiri" w:eastAsia="Amiri" w:cs="Amiri"/>
          <w:color w:val="111111"/>
          <w:sz w:val="28"/>
          <w:sz w:val="28"/>
          <w:szCs w:val="28"/>
          <w:rtl w:val="true"/>
          <w:lang w:bidi="ar-SA"/>
        </w:rPr>
        <w:t>، لو لا قيام إجماع على الخلاف</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جعل الوحدة موضوعا للشاة هي الوحدة السارية، و لو في الوحدات الثلاث، و لازمة جعل الاثنين موضوعا للبقرة، و هكذا الثلاثة موضوعا للبدنة، الاثنان و الثلاث الساريان، و لو في ضمن خمسين، و لازمة لزوم بقرة أخرى في الرابعة أيضا، و بدنة أخرى في السادسة، بل و ثلاث</w:t>
      </w:r>
    </w:p>
    <w:p>
      <w:pPr>
        <w:pStyle w:val="BookText"/>
        <w:rPr/>
      </w:pPr>
      <w:r>
        <w:rPr>
          <w:rFonts w:ascii="Amiri" w:hAnsi="Amiri" w:eastAsia="Amiri" w:cs="Amiri"/>
          <w:color w:val="111111"/>
          <w:sz w:val="28"/>
          <w:sz w:val="28"/>
          <w:szCs w:val="28"/>
          <w:rtl w:val="true"/>
          <w:lang w:bidi="ar-SA"/>
        </w:rPr>
        <w:t>بقرات و ستة شياه أيضا، و لا أظن التزامه من أحد، فذلك يكشف عن أنّ الاثنين و الثلاث أريد بهما صرف وجودهما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الأمر لا يشترط من حيث الزيادة، و لازمة أخذ الوحدة أيضا كذلك، و مقتضاه عدم ثبوت أزيد من شاة واحدة إلى أن يبلغ الخمسين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يسقط فرض الشاة ببلوغ اثنين أو الثلاث، و لازمة مع التكفير بشاة عدم ثبوت شي‌ء على الاثنين إلّا البقرة، و في الثلاثة إلّا البدنة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مع عدم التكفير بشاة يثبت ضم شاة واحدة إلى البقرة و البدنة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أي حال لا يكاد يتم مذهب الجواهر لو لا قيام الإجماع، و لا مذهب غير واحد من التفصيل بين التكفير عن كل واحد بشاة و لو في الثلاثة، فلا تجب البقرة و لا البدنة، و مع عدم التكفير رأسا يكتفي في الثانية بالبقرة محضا، و في الثالثة بالبدنة محضا بلا شاة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انّ الشاة كذلك في البقرة في الثالثة، إذ مثل هذه النتائج لا تناسب واحدا من المبنيين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تتم استفادة الجواهر لو جعلنا الوحدة سارية دون الاثنين و الثلاث في البقرة و البدنة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لعمري انّ مثل هذا التفكيك في مضمون الرضوي، و فتوى ابن بابويه في منتهى الركاكة، فالأمر فيها يدور بين أحد الوجهين، إما بجعل كل واحد بشرط لا، بحيث في كل حد لا يجب إلّا شي‌ء واحد، كفّر أم لم يكفّر، أو بجعل كل واحد من العناوين لا بشرط، بالنسبة إلى الزائد عنه، فيلزم التفصيل بين الفداء في المرتبة الأولى و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يلزم إلّا فداء المرتبة الثانية في الأول، و إلّا فيجب الجمع بين الفداءين، و هكذا في الثانية بالنسبة إلى الثالثة</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عليه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الفداء في المرتبة الأخيرة، حيث أخذ صرف وجوده</w:t>
      </w:r>
    </w:p>
    <w:p>
      <w:pPr>
        <w:pStyle w:val="BookText"/>
        <w:rPr/>
      </w:pPr>
      <w:r>
        <w:rPr>
          <w:rFonts w:ascii="Amiri" w:hAnsi="Amiri" w:eastAsia="Amiri" w:cs="Amiri"/>
          <w:color w:val="111111"/>
          <w:sz w:val="28"/>
          <w:sz w:val="28"/>
          <w:szCs w:val="28"/>
          <w:rtl w:val="true"/>
          <w:lang w:bidi="ar-SA"/>
        </w:rPr>
        <w:t>لا بشرط عن الزيادة، و إلّا فيلزم سقوطه في الرابعة، و هو كما ترى، فليكن الأمر كذلك في البقية، و لازمة ما ذكرنا من النتيجة الأخيرة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لكن التحقيق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الحكم في كل واحد من العناوين، بعد ما لم يكن من قبيل الطبيعة السارية، بل يصرف وجوده، كما هو طبع الإطلاق،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تعليق الحكم على كل عنوان يقتضي كونه تمام الموضوع، و العلة للحكم الشخصي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تم من الخارج وحدة المطلوب، كان لا محيص عن تقييد إطلاق حكم الأقل من حيث الانضمام بأكثره، بثبوت حكم آخر في الأكثر، فلا جرم يصير موضوع الأقل بشرط لا، عن ثبوت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حيث إن لا حكم فوق الثالثة، فلا مقتضى لرفع اليد عن إطلاقه، حتى من حيث الانضمام، فيبقى هو على إطلاقه، و يكون موضوعه الثلاثة لا بشرط عن الزيادة، بخلاف البقية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لا يصلح لا بشرطية الأخيرة قرينة على مثلها في البقية، نعم لو لم يثبت من الخارج وحدة المطلوب في مرتبة من المراتب، تبقى كل مرتبة على إطلاقها، و لازمة النتيجة الأخيرة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حيث إنّ وحدة المطلوب بعد غير ثابتة، لا وجه للمصير إلى المشرب الأول، بل لا محيص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بمقتضى الصناعة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المصير إلى المشرب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ان تم إجماع على ما أفاده غير واحد، فهو، و إلّا فللنظر فيه مجال، بل لا محيص عن المصير إلى ما ذكرنا، لا ما أفاده في الجواهر أيضا، و عليك بالتأمل في المقام، فإنه من مزال الأقدام</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كله في الجدال، و أما الفسوق ففيه نص مشتمل على التصدّق بشي‌ء </w:t>
      </w:r>
      <w:r>
        <w:rPr>
          <w:rStyle w:val="FootnoteAnchor"/>
          <w:rtl w:val="true"/>
        </w:rPr>
        <w:footnoteReference w:id="250"/>
      </w:r>
      <w:r>
        <w:rPr>
          <w:rFonts w:ascii="Amiri" w:hAnsi="Amiri" w:eastAsia="Amiri" w:cs="Amiri"/>
          <w:color w:val="111111"/>
          <w:sz w:val="28"/>
          <w:sz w:val="28"/>
          <w:szCs w:val="28"/>
          <w:rtl w:val="true"/>
          <w:lang w:bidi="ar-SA"/>
        </w:rPr>
        <w:t xml:space="preserve">، و نص آخر مشتمل على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يجعل اللّٰه له حدا، يستغفر اللّٰه</w:t>
      </w:r>
      <w:bookmarkStart w:id="131" w:name="pg19818_203955"/>
    </w:p>
    <w:p>
      <w:pPr>
        <w:pStyle w:val="BookText"/>
        <w:rPr/>
      </w:pPr>
      <w:bookmarkEnd w:id="131"/>
      <w:r>
        <w:rPr>
          <w:rFonts w:ascii="Amiri" w:hAnsi="Amiri" w:eastAsia="Amiri" w:cs="Amiri"/>
          <w:color w:val="111111"/>
          <w:sz w:val="28"/>
          <w:sz w:val="28"/>
          <w:szCs w:val="28"/>
          <w:rtl w:val="true"/>
          <w:lang w:bidi="ar-SA"/>
        </w:rPr>
        <w:t>و يلبي</w:t>
      </w:r>
      <w:r>
        <w:rPr>
          <w:rFonts w:eastAsia="Amiri" w:cs="Amiri" w:ascii="Amiri" w:hAnsi="Amiri"/>
          <w:color w:val="111111"/>
          <w:sz w:val="28"/>
          <w:szCs w:val="28"/>
          <w:rtl w:val="true"/>
          <w:lang w:bidi="ar-SA"/>
        </w:rPr>
        <w:t xml:space="preserve">» </w:t>
      </w:r>
      <w:r>
        <w:rPr>
          <w:rStyle w:val="FootnoteAnchor"/>
          <w:rtl w:val="true"/>
        </w:rPr>
        <w:footnoteReference w:id="251"/>
      </w:r>
      <w:r>
        <w:rPr>
          <w:rFonts w:ascii="Amiri" w:hAnsi="Amiri" w:eastAsia="Amiri" w:cs="Amiri"/>
          <w:color w:val="111111"/>
          <w:sz w:val="28"/>
          <w:sz w:val="28"/>
          <w:szCs w:val="28"/>
          <w:rtl w:val="true"/>
          <w:lang w:bidi="ar-SA"/>
        </w:rPr>
        <w:t>، و الجمع يقتضي حمل الأول على الاستحباب كما لا يخفى، و ذلك أيضا منسوب إلى ظاهر الأصحاب، و اللّٰه العالم</w:t>
      </w:r>
      <w:r>
        <w:rPr>
          <w:rFonts w:eastAsia="Amiri" w:cs="Amiri" w:ascii="Amiri" w:hAnsi="Amiri"/>
          <w:color w:val="111111"/>
          <w:sz w:val="28"/>
          <w:szCs w:val="28"/>
          <w:rtl w:val="true"/>
          <w:lang w:bidi="ar-SA"/>
        </w:rPr>
        <w:t>.</w:t>
      </w:r>
    </w:p>
    <w:p>
      <w:pPr>
        <w:pStyle w:val="Heading5"/>
        <w:numPr>
          <w:ilvl w:val="4"/>
          <w:numId w:val="1"/>
        </w:numPr>
        <w:rPr/>
      </w:pPr>
      <w:bookmarkStart w:id="132" w:name="__RefHeading___Toc3320782_2314609296"/>
      <w:bookmarkStart w:id="133" w:name="_Toc49"/>
      <w:bookmarkEnd w:id="132"/>
      <w:r>
        <w:rPr>
          <w:rtl w:val="true"/>
        </w:rPr>
        <w:t>الثامنة</w:t>
      </w:r>
      <w:r>
        <w:rPr>
          <w:rtl w:val="true"/>
        </w:rPr>
        <w:t xml:space="preserve">: </w:t>
      </w:r>
      <w:r>
        <w:rPr>
          <w:rtl w:val="true"/>
        </w:rPr>
        <w:t>في الدهن الطيب و قلع الضرس شاة</w:t>
      </w:r>
      <w:bookmarkEnd w:id="133"/>
    </w:p>
    <w:p>
      <w:pPr>
        <w:pStyle w:val="BookText"/>
        <w:rPr/>
      </w:pPr>
      <w:r>
        <w:rPr>
          <w:rFonts w:ascii="Amiri" w:hAnsi="Amiri" w:eastAsia="Amiri" w:cs="Amiri"/>
          <w:color w:val="111111"/>
          <w:sz w:val="28"/>
          <w:sz w:val="28"/>
          <w:szCs w:val="28"/>
          <w:rtl w:val="true"/>
          <w:lang w:bidi="ar-SA"/>
        </w:rPr>
        <w:t>، أما الأول فلمضمرة ابن أبي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محرم كانت به قرحة فداواها بدهن بنفسج،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فعله بجهالة فعليه إطعام مسكين، و إن كان بعمد فعليه دم شاة</w:t>
      </w:r>
      <w:r>
        <w:rPr>
          <w:rFonts w:eastAsia="Amiri" w:cs="Amiri" w:ascii="Amiri" w:hAnsi="Amiri"/>
          <w:color w:val="111111"/>
          <w:sz w:val="28"/>
          <w:szCs w:val="28"/>
          <w:rtl w:val="true"/>
          <w:lang w:bidi="ar-SA"/>
        </w:rPr>
        <w:t xml:space="preserve">»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حمل صدره على الاستحباب بقرينة نص آخر، من نفي الشي‌ء على فعله بجهالة في مطلق استعمال الطيب غير ضائر بذيله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يتعدّى من دهن البنفسج إلى كل دهن فيه طيب، كما انّ من تداويه في القرحة يتعدى إلى مطلق الاستعمال، لعدم توهم الفصل بين هذه الجهات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 فلخبر محمد بن عيسى المشتمل على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محرم قلع ضرسه، فكتب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يهريق دما</w:t>
      </w:r>
      <w:r>
        <w:rPr>
          <w:rFonts w:eastAsia="Amiri" w:cs="Amiri" w:ascii="Amiri" w:hAnsi="Amiri"/>
          <w:color w:val="111111"/>
          <w:sz w:val="28"/>
          <w:szCs w:val="28"/>
          <w:rtl w:val="true"/>
          <w:lang w:bidi="ar-SA"/>
        </w:rPr>
        <w:t xml:space="preserve">» </w:t>
      </w:r>
      <w:r>
        <w:rPr>
          <w:rStyle w:val="FootnoteAnchor"/>
          <w:rtl w:val="true"/>
        </w:rPr>
        <w:footnoteReference w:id="253"/>
      </w:r>
      <w:r>
        <w:rPr>
          <w:rFonts w:ascii="Amiri" w:hAnsi="Amiri" w:eastAsia="Amiri" w:cs="Amiri"/>
          <w:color w:val="111111"/>
          <w:sz w:val="28"/>
          <w:sz w:val="28"/>
          <w:szCs w:val="28"/>
          <w:rtl w:val="true"/>
          <w:lang w:bidi="ar-SA"/>
        </w:rPr>
        <w:t>، بناء على حمل الدم على الشاة كما هو الشأن في أمثاله، لو لا إطلاقه المنطبق على أقل المراتب، الذي هو الشاة في باب الكفارات، و ضعف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كسابقها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منجبر بالشهرة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قد تعارض الثانية ببعض النصوص النافية للبأس عنه، و في الجواهر طرحها لإعراض المشهور أو حملها على صورة الاضطرار، مؤيدا بقاعدة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ما اضطروا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أشرنا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إلحاق السن بالضرس وجه</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أيضا تقدّم انه لا يجوز الادهان بما ليس فيه طيب</w:t>
      </w:r>
      <w:r>
        <w:rPr>
          <w:rFonts w:eastAsia="Amiri" w:cs="Amiri" w:ascii="Amiri" w:hAnsi="Amiri"/>
          <w:color w:val="111111"/>
          <w:sz w:val="28"/>
          <w:szCs w:val="28"/>
          <w:rtl w:val="true"/>
          <w:lang w:bidi="ar-SA"/>
        </w:rPr>
        <w:t>.</w:t>
      </w:r>
      <w:bookmarkStart w:id="134" w:name="pg19818_203956"/>
    </w:p>
    <w:p>
      <w:pPr>
        <w:pStyle w:val="BookText"/>
        <w:rPr/>
      </w:pPr>
      <w:bookmarkEnd w:id="134"/>
      <w:r>
        <w:rPr>
          <w:rFonts w:ascii="Amiri" w:hAnsi="Amiri" w:eastAsia="Amiri" w:cs="Amiri"/>
          <w:color w:val="111111"/>
          <w:sz w:val="28"/>
          <w:sz w:val="28"/>
          <w:szCs w:val="28"/>
          <w:rtl w:val="true"/>
          <w:lang w:bidi="ar-SA"/>
        </w:rPr>
        <w:t>و في ثبوت الكفارة فيه فرع تمامية الكلية المشار إليها سابقا من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شي‌ء خرجت به من حجك فعليك دم تهريقه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تم مثل هذه الكلية فهو، و إلّا فالأصل يقتضي نفيه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تخلو المسألة عن تأمل، و ستأتي الإشارة إليه في المسألة الآتية، فانتظر لتمام الكلام و تدبّر، و اللّٰه العالم</w:t>
      </w:r>
      <w:r>
        <w:rPr>
          <w:rFonts w:eastAsia="Amiri" w:cs="Amiri" w:ascii="Amiri" w:hAnsi="Amiri"/>
          <w:color w:val="111111"/>
          <w:sz w:val="28"/>
          <w:szCs w:val="28"/>
          <w:rtl w:val="true"/>
          <w:lang w:bidi="ar-SA"/>
        </w:rPr>
        <w:t>.</w:t>
      </w:r>
    </w:p>
    <w:p>
      <w:pPr>
        <w:pStyle w:val="Heading5"/>
        <w:numPr>
          <w:ilvl w:val="4"/>
          <w:numId w:val="1"/>
        </w:numPr>
        <w:rPr/>
      </w:pPr>
      <w:bookmarkStart w:id="135" w:name="__RefHeading___Toc3320784_2314609296"/>
      <w:bookmarkStart w:id="136" w:name="_Toc50"/>
      <w:bookmarkEnd w:id="135"/>
      <w:r>
        <w:rPr>
          <w:rtl w:val="true"/>
        </w:rPr>
        <w:t>التاسعة</w:t>
      </w:r>
      <w:r>
        <w:rPr>
          <w:rtl w:val="true"/>
        </w:rPr>
        <w:t xml:space="preserve">: </w:t>
      </w:r>
      <w:r>
        <w:rPr>
          <w:rtl w:val="true"/>
        </w:rPr>
        <w:t>في قلع الشجرة الكبيرة من الحرم بقرة،</w:t>
      </w:r>
      <w:bookmarkEnd w:id="136"/>
    </w:p>
    <w:p>
      <w:pPr>
        <w:pStyle w:val="BookText"/>
        <w:rPr/>
      </w:pPr>
      <w:r>
        <w:rPr>
          <w:rFonts w:ascii="Amiri" w:hAnsi="Amiri" w:eastAsia="Amiri" w:cs="Amiri"/>
          <w:color w:val="111111"/>
          <w:sz w:val="28"/>
          <w:sz w:val="28"/>
          <w:szCs w:val="28"/>
          <w:rtl w:val="true"/>
          <w:lang w:bidi="ar-SA"/>
        </w:rPr>
        <w:t>و في الصغيرة شاة، و في أبعاضها قيمته و لو كان القالع محلا، كما هو ظاهر إطلاق المصنف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استدل له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رواية موسى بن القاسم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في دار الرجل شجرة الحرم لم تنزع، فإن أراد نزعها كفّر بذبح بقرة يتصدّق بلحمها على المساكين</w:t>
      </w:r>
      <w:r>
        <w:rPr>
          <w:rFonts w:eastAsia="Amiri" w:cs="Amiri" w:ascii="Amiri" w:hAnsi="Amiri"/>
          <w:color w:val="111111"/>
          <w:sz w:val="28"/>
          <w:szCs w:val="28"/>
          <w:rtl w:val="true"/>
          <w:lang w:bidi="ar-SA"/>
        </w:rPr>
        <w:t xml:space="preserve">» </w:t>
      </w:r>
      <w:r>
        <w:rPr>
          <w:rStyle w:val="FootnoteAnchor"/>
          <w:rtl w:val="true"/>
        </w:rPr>
        <w:footnoteReference w:id="254"/>
      </w:r>
      <w:r>
        <w:rPr>
          <w:rFonts w:ascii="Amiri" w:hAnsi="Amiri" w:eastAsia="Amiri" w:cs="Amiri"/>
          <w:color w:val="111111"/>
          <w:sz w:val="28"/>
          <w:sz w:val="28"/>
          <w:szCs w:val="28"/>
          <w:rtl w:val="true"/>
          <w:lang w:bidi="ar-SA"/>
        </w:rPr>
        <w:t>، معتضدا بقول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الدوحة بقرة، و في الجزلة شاة</w:t>
      </w:r>
      <w:r>
        <w:rPr>
          <w:rFonts w:eastAsia="Amiri" w:cs="Amiri" w:ascii="Amiri" w:hAnsi="Amiri"/>
          <w:color w:val="111111"/>
          <w:sz w:val="28"/>
          <w:szCs w:val="28"/>
          <w:rtl w:val="true"/>
          <w:lang w:bidi="ar-SA"/>
        </w:rPr>
        <w:t xml:space="preserve">» </w:t>
      </w:r>
      <w:r>
        <w:rPr>
          <w:rStyle w:val="FootnoteAnchor"/>
          <w:rtl w:val="true"/>
        </w:rPr>
        <w:footnoteReference w:id="255"/>
      </w:r>
      <w:r>
        <w:rPr>
          <w:rFonts w:ascii="Amiri" w:hAnsi="Amiri" w:eastAsia="Amiri" w:cs="Amiri"/>
          <w:color w:val="111111"/>
          <w:sz w:val="28"/>
          <w:sz w:val="28"/>
          <w:szCs w:val="28"/>
          <w:rtl w:val="true"/>
          <w:lang w:bidi="ar-SA"/>
        </w:rPr>
        <w:t>، بضميمة ما في الموثقة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يقطع من الأراك الذي بمكة،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ثمنه</w:t>
      </w:r>
      <w:r>
        <w:rPr>
          <w:rFonts w:eastAsia="Amiri" w:cs="Amiri" w:ascii="Amiri" w:hAnsi="Amiri"/>
          <w:color w:val="111111"/>
          <w:sz w:val="28"/>
          <w:szCs w:val="28"/>
          <w:rtl w:val="true"/>
          <w:lang w:bidi="ar-SA"/>
        </w:rPr>
        <w:t xml:space="preserve">» </w:t>
      </w:r>
      <w:r>
        <w:rPr>
          <w:rStyle w:val="FootnoteAnchor"/>
          <w:rtl w:val="true"/>
        </w:rPr>
        <w:footnoteReference w:id="256"/>
      </w:r>
      <w:r>
        <w:rPr>
          <w:rFonts w:ascii="Amiri" w:hAnsi="Amiri" w:eastAsia="Amiri" w:cs="Amiri"/>
          <w:color w:val="111111"/>
          <w:sz w:val="28"/>
          <w:sz w:val="28"/>
          <w:szCs w:val="28"/>
          <w:rtl w:val="true"/>
          <w:lang w:bidi="ar-SA"/>
        </w:rPr>
        <w:t>، بحمل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بقرينة من التبعيضية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قطع الأبعاض، و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بقرينة قضية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الدوحة و في الجزلة الصغيرة شاة، بمقتضى حكايته، فيستفاد من المجموع التفصيل المذكور المشهور، كما عن غير واحد على المحكي</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لكنّ الإنصاف أنّ تمامية حكاية ابن عباس في مقام الحجية دونها خرط القتاد، و حينئذ ليس من الرواية إلّا الموثقة الظاهرة في القيمة، في قطع الأبعاض، و إطلاق الشجرة في رواية موسى </w:t>
      </w:r>
      <w:r>
        <w:rPr>
          <w:rStyle w:val="FootnoteAnchor"/>
          <w:rtl w:val="true"/>
        </w:rPr>
        <w:footnoteReference w:id="257"/>
      </w:r>
      <w:r>
        <w:rPr>
          <w:rFonts w:ascii="Amiri" w:hAnsi="Amiri" w:eastAsia="Amiri" w:cs="Amiri"/>
          <w:color w:val="111111"/>
          <w:sz w:val="28"/>
          <w:sz w:val="28"/>
          <w:szCs w:val="28"/>
          <w:rtl w:val="true"/>
          <w:lang w:bidi="ar-SA"/>
        </w:rPr>
        <w:t>، المشتملة على البقرة،</w:t>
      </w:r>
    </w:p>
    <w:p>
      <w:pPr>
        <w:pStyle w:val="BookText"/>
        <w:rPr/>
      </w:pPr>
      <w:r>
        <w:rPr>
          <w:rFonts w:ascii="Amiri" w:hAnsi="Amiri" w:eastAsia="Amiri" w:cs="Amiri"/>
          <w:color w:val="111111"/>
          <w:sz w:val="28"/>
          <w:sz w:val="28"/>
          <w:szCs w:val="28"/>
          <w:rtl w:val="true"/>
          <w:lang w:bidi="ar-SA"/>
        </w:rPr>
        <w:t>فلا يستفاد حينئذ التفصيل بين الصغيرة و الكبيرة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لا مجال للمصير إلى نفي الكفارة مطلقا، كما هو مذهب ابن إدريس </w:t>
      </w:r>
      <w:r>
        <w:rPr>
          <w:rStyle w:val="FootnoteAnchor"/>
          <w:rtl w:val="true"/>
        </w:rPr>
        <w:footnoteReference w:id="258"/>
      </w:r>
      <w:r>
        <w:rPr>
          <w:rFonts w:ascii="Amiri" w:hAnsi="Amiri" w:eastAsia="Amiri" w:cs="Amiri"/>
          <w:color w:val="111111"/>
          <w:sz w:val="28"/>
          <w:sz w:val="28"/>
          <w:szCs w:val="28"/>
          <w:rtl w:val="true"/>
          <w:lang w:bidi="ar-SA"/>
        </w:rPr>
        <w:t>، و لا إلى إطلاق البقرة، و لا إلى إطلاق القيمة كما عن بعض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توهم انّ ما اخترنا أيضا قول بالفصل، المفقود بين كلمات الأصحاب، مدفوع بأنه لا يكاد يحرز في مثل هذه المسألة، مع تشتت هذه الكلمات، أطباق على عدم الفصل المزبور، بل المقام مما لم يتعرض فيه التفصيل المذكور، بزعم عدم وفاء النصوص به، و إلّا فلو استفاد أحد منها شيئا، لا مجال لإنكاره،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المراد من القلع الموجب للضمان بالبقرة أو الشاة، هو القلع المؤدي إلى الإتلاف عن الحرم و لو غرسها في غيره، أو المؤدي إلى الإتلاف مطلقا، أو مطلق القلع و لو لم يكن مؤديا إلى الإتلاف، بأن يعيدها إلى مكانها أو مكان آخر من الحرم و يغرسها فيه،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أوجهها بالنظر إلى الإطلاق، كفاية مطلق قلعها في الكفارة، و لئن قيل بالانصراف عن صورة عدم التلف المتيقن منه عدم تلفه على الحرم لا مطلقا، و لا عن خصوص مكانه كي يجب عودها إليه، و لا تسقط الكفارة بدونه،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في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كفارة في قلع الحشيش، و إن كان فاعله آثما، إلّا فيما استثنى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للأصل بعد عدم اقتضاء نصوص النهي الكفارة </w:t>
      </w:r>
      <w:r>
        <w:rPr>
          <w:rStyle w:val="FootnoteAnchor"/>
          <w:rtl w:val="true"/>
        </w:rPr>
        <w:footnoteReference w:id="260"/>
      </w:r>
      <w:r>
        <w:rPr>
          <w:rFonts w:ascii="IRNazanin" w:hAnsi="IRNazanin" w:eastAsia="IRNazanin"/>
          <w:color w:val="111111"/>
          <w:sz w:val="28"/>
          <w:sz w:val="28"/>
          <w:szCs w:val="28"/>
          <w:rtl w:val="true"/>
          <w:lang w:bidi="fa-IR"/>
        </w:rPr>
        <w:t>، خلافا</w:t>
      </w:r>
    </w:p>
    <w:p>
      <w:pPr>
        <w:pStyle w:val="BookText"/>
        <w:rPr/>
      </w:pPr>
      <w:r>
        <w:rPr>
          <w:rFonts w:ascii="Amiri" w:hAnsi="Amiri" w:eastAsia="Amiri" w:cs="Amiri"/>
          <w:color w:val="111111"/>
          <w:sz w:val="28"/>
          <w:sz w:val="28"/>
          <w:szCs w:val="28"/>
          <w:rtl w:val="true"/>
          <w:lang w:bidi="ar-SA"/>
        </w:rPr>
        <w:t xml:space="preserve">للعلّامة فالتزم بضمان القيمة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لعله من جهة استفادة الضمان من الموارد المنصوصة لجميع ما يتعلق بالحرم من المحرمات، و مع عدم التعيين ينصرف إلى القيمة السوقية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سابقا انّ باب الكفارة في محرمات الإحرام، حتى الصيد منه، ليس من باب الضمان الحقيقي، كي يبقى مجال التسرية إلى كل ما يتصور له المالية، بل هو نحو جريمة ثابتة في بعض المقامات، بنحو يشبه الضمان، و بعده لا مجال للتسرية إلى ما لا نص فيه بتضمين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تمّت الكلية السابقة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 خرجت فيه من حجك فعليك دم تهريقه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كان لا بد من المصير، إلى ذلك في المقام، نظير الادهان بالدهن الخالص عن الطيب، إلى الكفارة بالشاة، و إلّا فالأصل كما أفاده في الجواهر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العجب أنه تشبث بالكلية المزبورة في المسألة السابقة، و لم يتشبث بها في المقام، فربما يشهد خلو الكلمات عنه بعدم تماميتها، كما هو المستفاد من فحاوي بياناتهم، من تسالمهم على الرجوع إلى الأصل، مع عدم الظفر بدليل خاص على الكفارة، كما يظهر من تردد المحقق في مسألة قطع الشجرة، و استعمال دهن فيه طيب، و قلع الضرس، لمحض تضعيف نصوصها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تمت الكلية المزبورة، لكان المتعيّن في الجميع كفارة الشاة، خصوصا في الدهن و قلع الضرس، فذلك كله شاهد على عدم اعتنائهم بالكلية المزبورة</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حينئذ يشكل إثبات الشاة في الادهان بما ليس فيه طيب أيضا، و اللّٰه العالم</w:t>
      </w:r>
      <w:r>
        <w:rPr>
          <w:rFonts w:eastAsia="Amiri" w:cs="Amiri" w:ascii="Amiri" w:hAnsi="Amiri"/>
          <w:color w:val="111111"/>
          <w:sz w:val="28"/>
          <w:szCs w:val="28"/>
          <w:rtl w:val="true"/>
          <w:lang w:bidi="ar-SA"/>
        </w:rPr>
        <w:t>.</w:t>
      </w:r>
      <w:bookmarkStart w:id="137" w:name="pg19818_203959"/>
    </w:p>
    <w:p>
      <w:pPr>
        <w:pStyle w:val="Heading5"/>
        <w:numPr>
          <w:ilvl w:val="4"/>
          <w:numId w:val="1"/>
        </w:numPr>
        <w:rPr/>
      </w:pPr>
      <w:bookmarkStart w:id="138" w:name="__RefHeading___Toc3320786_2314609296"/>
      <w:bookmarkStart w:id="139" w:name="_Toc51"/>
      <w:bookmarkEnd w:id="137"/>
      <w:bookmarkEnd w:id="138"/>
      <w:r>
        <w:rPr>
          <w:rtl w:val="true"/>
        </w:rPr>
        <w:t>العاشرة</w:t>
      </w:r>
      <w:r>
        <w:rPr>
          <w:rtl w:val="true"/>
        </w:rPr>
        <w:t xml:space="preserve">: </w:t>
      </w:r>
      <w:r>
        <w:rPr>
          <w:rtl w:val="true"/>
        </w:rPr>
        <w:t>تتكرر الكفارة بتكرر الوطء، و اللبس، مع اختلاف المجلس، و الطيب كذلك</w:t>
      </w:r>
      <w:bookmarkEnd w:id="139"/>
    </w:p>
    <w:p>
      <w:pPr>
        <w:pStyle w:val="BookText"/>
        <w:rPr/>
      </w:pPr>
      <w:r>
        <w:rPr>
          <w:rFonts w:ascii="Amiri" w:hAnsi="Amiri" w:eastAsia="Amiri" w:cs="Amiri"/>
          <w:color w:val="111111"/>
          <w:sz w:val="28"/>
          <w:sz w:val="28"/>
          <w:szCs w:val="28"/>
          <w:rtl w:val="true"/>
          <w:lang w:bidi="ar-SA"/>
        </w:rPr>
        <w:t>، و الأصل في ذلك قاعدة عدم تداخل الأسباب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توهم انّ السبب هو الوطء في الحج الصحيح، و بالوطي الأول أفسد الحج، مدفوع أولا بمنع الفساد، بل الثاني عقوبة،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فرض الفساد، حيث إنه يجب الإتمام، فيصدق على الجماع الثاني انه جامع في حجه قبل الوقوف بالمشعر، اللهم إلّا أن ينصرف إلى الصحيحة لا المسقطة للأمر الأصلي، و هو مدفوع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مدار التكرر على العرف بصدق الوجودين، المنوط بتخلل عدم عرفي بينهما، و إلّا فبدونه فهو جماع واحد طال ما طال، كما هو الشأن في مناط التكرر في اللبس و غيره، من دون الفرق أيضا بين صورة التخلل بالتكفير و عدمه، و بين مجلس واحد أو مجلسين، إذ إطلاق سببية كل وجود لوجود مستقل، يرفع التوهمات المزبورة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قلنا بأنّ كل سبب يؤثر في مرتبة من وجوب الشي‌ء، كان للتفصيل بين تخلّل الكفارة و عدمه مجال، و بذلك وجّهنا كلام العلامة، حيث ذهب إلى مثل هذا التفصيل في هذه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الإشكال في مبناه، بملاحظة ظهور أدلة الأسباب في اقتضائها مستقلة لوجود المسبب، غاية الأمر باقتضائه التشريعي المستتبع لتكرر الوجوب بتكرر وجود السبب لا تأكده، كما لا يخفى</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 على أي حال، هذه القاعدة سيالة في جميع الأسباب، بالنسبة إلى مسبباتها، إلّا في مورد اعتبر السبب صرف وجود الشي‌ء، كما في اقتضاء الجدال الواحد للشاة، و الاثنين للبقرة، و الثلاثة للبدنة، فإن تكررها لا يجدي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يوجب تكرر كفارة، خلافا للجواهر بالنسبة إلى اقتضائه الشاة، مع تسليمه ذلك في البقرة و البدنة</w:t>
      </w:r>
      <w:r>
        <w:rPr>
          <w:rFonts w:eastAsia="Amiri" w:cs="Amiri" w:ascii="Amiri" w:hAnsi="Amiri"/>
          <w:color w:val="111111"/>
          <w:sz w:val="28"/>
          <w:szCs w:val="28"/>
          <w:rtl w:val="true"/>
          <w:lang w:bidi="ar-SA"/>
        </w:rPr>
        <w:t>.</w:t>
      </w:r>
      <w:bookmarkStart w:id="140" w:name="pg19818_203960"/>
    </w:p>
    <w:p>
      <w:pPr>
        <w:pStyle w:val="BookText"/>
        <w:rPr/>
      </w:pPr>
      <w:bookmarkEnd w:id="140"/>
      <w:r>
        <w:rPr>
          <w:rFonts w:ascii="Amiri" w:hAnsi="Amiri" w:eastAsia="Amiri" w:cs="Amiri"/>
          <w:color w:val="111111"/>
          <w:sz w:val="28"/>
          <w:sz w:val="28"/>
          <w:szCs w:val="28"/>
          <w:rtl w:val="true"/>
          <w:lang w:bidi="ar-SA"/>
        </w:rPr>
        <w:t>و نحن بقرينة الآخرين التزمنا في الشاة أيضا بمثلهما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مبنى عدم التداخل، هو استفادة السببية للطبيعة السارية لا لصرف وجودها، و الأصل في الأسباب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كالعرفية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من هذا الباب، إلّا أن تقوم قرينة على خلافها كما في الجدال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الموارد الخارجة عن هذه القاعدة أيضا مسألة تكرر جناية الصيد عمدا، فإنّ في وجوده الثاني الواقع بعد صدور الأول عمدا لا كفارة، للنص و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صورة خطئهما أو خطإ أحدهما يدخل في صغريات المسألة، فتكرر الكفارة، فراجع المسألة في محلها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التأمل فيما ذكرنا ظهر لك الإشكال في تقييد المصنف، حكم تكرر الكفارة، بالتكرر في فرض اختلاف المجلس، كما لا يخفى</w:t>
      </w:r>
      <w:r>
        <w:rPr>
          <w:rFonts w:eastAsia="Amiri" w:cs="Amiri" w:ascii="Amiri" w:hAnsi="Amiri"/>
          <w:color w:val="111111"/>
          <w:sz w:val="28"/>
          <w:szCs w:val="28"/>
          <w:rtl w:val="true"/>
          <w:lang w:bidi="ar-SA"/>
        </w:rPr>
        <w:t>.</w:t>
      </w:r>
    </w:p>
    <w:p>
      <w:pPr>
        <w:pStyle w:val="Heading5"/>
        <w:numPr>
          <w:ilvl w:val="4"/>
          <w:numId w:val="1"/>
        </w:numPr>
        <w:rPr/>
      </w:pPr>
      <w:bookmarkStart w:id="141" w:name="__RefHeading___Toc3320788_2314609296"/>
      <w:bookmarkStart w:id="142" w:name="_Toc52"/>
      <w:bookmarkEnd w:id="141"/>
      <w:r>
        <w:rPr>
          <w:rtl w:val="true"/>
        </w:rPr>
        <w:t>الحادي عشر</w:t>
      </w:r>
      <w:r>
        <w:rPr>
          <w:rtl w:val="true"/>
        </w:rPr>
        <w:t xml:space="preserve">: </w:t>
      </w:r>
      <w:r>
        <w:rPr>
          <w:rtl w:val="true"/>
        </w:rPr>
        <w:t>لا كفارة على الجاهل و الناسي إلّا في الصيد</w:t>
      </w:r>
      <w:r>
        <w:rPr>
          <w:rtl w:val="true"/>
        </w:rPr>
        <w:t>.</w:t>
      </w:r>
      <w:bookmarkEnd w:id="142"/>
    </w:p>
    <w:p>
      <w:pPr>
        <w:pStyle w:val="BookText"/>
        <w:rPr/>
      </w:pPr>
      <w:r>
        <w:rPr>
          <w:rFonts w:ascii="Amiri" w:hAnsi="Amiri" w:eastAsia="Amiri" w:cs="Amiri"/>
          <w:color w:val="111111"/>
          <w:sz w:val="28"/>
          <w:sz w:val="28"/>
          <w:szCs w:val="28"/>
          <w:rtl w:val="true"/>
          <w:lang w:bidi="ar-SA"/>
        </w:rPr>
        <w:t>و الأصل في ذلك نصوص مستفيضة، مشتملة على هذا المضمون، فمن النصوص المزبورة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عليك فداء ما أتيته بجهالة إلّا الصيد، فإنّ عليك فيه الفداء بجهل كان أو بعمد</w:t>
      </w:r>
      <w:r>
        <w:rPr>
          <w:rFonts w:eastAsia="Amiri" w:cs="Amiri" w:ascii="Amiri" w:hAnsi="Amiri"/>
          <w:color w:val="111111"/>
          <w:sz w:val="28"/>
          <w:szCs w:val="28"/>
          <w:rtl w:val="true"/>
          <w:lang w:bidi="ar-SA"/>
        </w:rPr>
        <w:t xml:space="preserve">»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نظيره ما في حسن ابن عمّار </w:t>
      </w:r>
      <w:r>
        <w:rPr>
          <w:rStyle w:val="FootnoteAnchor"/>
          <w:rtl w:val="true"/>
        </w:rPr>
        <w:footnoteReference w:id="263"/>
      </w:r>
      <w:r>
        <w:rPr>
          <w:rFonts w:ascii="Amiri" w:hAnsi="Amiri" w:eastAsia="Amiri" w:cs="Amiri"/>
          <w:color w:val="111111"/>
          <w:sz w:val="28"/>
          <w:sz w:val="28"/>
          <w:szCs w:val="28"/>
          <w:rtl w:val="true"/>
          <w:lang w:bidi="ar-SA"/>
        </w:rPr>
        <w:t xml:space="preserve">، و في المرسل </w:t>
      </w:r>
      <w:r>
        <w:rPr>
          <w:rStyle w:val="FootnoteAnchor"/>
          <w:rtl w:val="true"/>
        </w:rPr>
        <w:footnoteReference w:id="264"/>
      </w:r>
      <w:r>
        <w:rPr>
          <w:rFonts w:ascii="Amiri" w:hAnsi="Amiri" w:eastAsia="Amiri" w:cs="Amiri"/>
          <w:color w:val="111111"/>
          <w:sz w:val="28"/>
          <w:sz w:val="28"/>
          <w:szCs w:val="28"/>
          <w:rtl w:val="true"/>
          <w:lang w:bidi="ar-SA"/>
        </w:rPr>
        <w:t>، و في جملة من النصوص الواردة في الموارد الخاصة المتقدّمة</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قد وردت النصوص في مقامات متعددة على التصدّق بالارتكاب</w:t>
      </w:r>
    </w:p>
    <w:p>
      <w:pPr>
        <w:pStyle w:val="BookText"/>
        <w:rPr/>
      </w:pPr>
      <w:r>
        <w:rPr>
          <w:rFonts w:ascii="Amiri" w:hAnsi="Amiri" w:eastAsia="Amiri" w:cs="Amiri"/>
          <w:color w:val="111111"/>
          <w:sz w:val="28"/>
          <w:sz w:val="28"/>
          <w:szCs w:val="28"/>
          <w:rtl w:val="true"/>
          <w:lang w:bidi="ar-SA"/>
        </w:rPr>
        <w:t xml:space="preserve">جهالة، مثل ما في التداوي للقرحة بدهن البنفسج </w:t>
      </w:r>
      <w:r>
        <w:rPr>
          <w:rStyle w:val="FootnoteAnchor"/>
          <w:rtl w:val="true"/>
        </w:rPr>
        <w:footnoteReference w:id="265"/>
      </w:r>
      <w:r>
        <w:rPr>
          <w:rFonts w:ascii="Amiri" w:hAnsi="Amiri" w:eastAsia="Amiri" w:cs="Amiri"/>
          <w:color w:val="111111"/>
          <w:sz w:val="28"/>
          <w:sz w:val="28"/>
          <w:szCs w:val="28"/>
          <w:rtl w:val="true"/>
          <w:lang w:bidi="ar-SA"/>
        </w:rPr>
        <w:t xml:space="preserve">، و ما في غسل يده بلا علمه بالطيب </w:t>
      </w:r>
      <w:r>
        <w:rPr>
          <w:rStyle w:val="FootnoteAnchor"/>
          <w:rtl w:val="true"/>
        </w:rPr>
        <w:footnoteReference w:id="266"/>
      </w:r>
      <w:r>
        <w:rPr>
          <w:rFonts w:ascii="Amiri" w:hAnsi="Amiri" w:eastAsia="Amiri" w:cs="Amiri"/>
          <w:color w:val="111111"/>
          <w:sz w:val="28"/>
          <w:sz w:val="28"/>
          <w:szCs w:val="28"/>
          <w:rtl w:val="true"/>
          <w:lang w:bidi="ar-SA"/>
        </w:rPr>
        <w:t xml:space="preserve">، و في تقليم الظفر </w:t>
      </w:r>
      <w:r>
        <w:rPr>
          <w:rStyle w:val="FootnoteAnchor"/>
          <w:rtl w:val="true"/>
        </w:rPr>
        <w:footnoteReference w:id="267"/>
      </w:r>
      <w:r>
        <w:rPr>
          <w:rFonts w:ascii="IRNazanin" w:hAnsi="IRNazanin" w:eastAsia="IRNazanin"/>
          <w:color w:val="111111"/>
          <w:sz w:val="28"/>
          <w:sz w:val="28"/>
          <w:szCs w:val="28"/>
          <w:rtl w:val="true"/>
          <w:lang w:bidi="fa-IR"/>
        </w:rPr>
        <w:t xml:space="preserve">، و باب سقوط الشعر بالمس </w:t>
      </w:r>
      <w:r>
        <w:rPr>
          <w:rStyle w:val="FootnoteAnchor"/>
          <w:rtl w:val="true"/>
        </w:rPr>
        <w:footnoteReference w:id="268"/>
      </w:r>
      <w:r>
        <w:rPr>
          <w:rFonts w:ascii="Amiri" w:hAnsi="Amiri" w:eastAsia="Amiri" w:cs="Amiri"/>
          <w:color w:val="111111"/>
          <w:sz w:val="28"/>
          <w:sz w:val="28"/>
          <w:szCs w:val="28"/>
          <w:rtl w:val="true"/>
          <w:lang w:bidi="ar-SA"/>
        </w:rPr>
        <w:t xml:space="preserve">، و في أكل خبيص فيه زعفران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لكن الأصحاب حملوها على الاستحباب، للنصوص السابقة، مضافا إلى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رجل ركب أمرا بجهالة فلا شي‌ء عليه</w:t>
      </w:r>
      <w:r>
        <w:rPr>
          <w:rFonts w:eastAsia="Amiri" w:cs="Amiri" w:ascii="Amiri" w:hAnsi="Amiri"/>
          <w:color w:val="111111"/>
          <w:sz w:val="28"/>
          <w:szCs w:val="28"/>
          <w:rtl w:val="true"/>
          <w:lang w:bidi="ar-SA"/>
        </w:rPr>
        <w:t xml:space="preserve">»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أما مع الاضطرار، فمقتضى إطلاق كل باب شموله، إلّا ما خرج، على ما عرفت، لو لا دعوى العكس، بعموم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ما اضطروا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علاوة عن عموم التعليل الوارد في سقوط الشعر في الوضوء، فإنّ مقتضى هذه العمومات، انقلاب الأصل الأولي بأصل ثانوي إلّا ما 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أشرنا إلى هذه الجهة في طي جملة من المسائل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المجنون فعموم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رفع القلم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تكليفا، و مؤاخذته دنيويا و أخرويا، يقتضي نفي الكفارة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قلنا بأنّ باب الكفارة في المحرمات المزبورة خصوصا بالنسبة الى ما يتعلق بالحرم، باب الضمان في الماليات، لا يكاد يشمله دليل رفع القلم، إذ مثله غير شامل للضمانات المالية</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لكن قد عرفت ما فيه، و أنّ الكفارة من باب الجريمة أو جبران المفسدة، و لا قصور لشمول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القلم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كان الدليل في المقام منحصرا بفحوى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عمد الصبي 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يشمل كفارة الصيد، لأنّ في خطائه أيضا كفارة، و لعل نظر الجواهر في رد القائل بنفي الضمان إلى ذلك، و إلّا فلا يتم اشكاله بالنسبة إلى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القلم</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التأمل فيما ذكرنا ظهر حال عدم الكفارة على الصبي أيضا، حتى في كفارة الصيد، فضلا عن غيرها المختص بحال العمد، لأنّ عمده 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بعض نصوص الباب أيضا التصريح بعدم ضمان الصبي، و ذلك مثل خبر تحف العقول </w:t>
      </w:r>
      <w:r>
        <w:rPr>
          <w:rStyle w:val="FootnoteAnchor"/>
          <w:rtl w:val="true"/>
        </w:rPr>
        <w:footnoteReference w:id="271"/>
      </w:r>
      <w:r>
        <w:rPr>
          <w:rFonts w:ascii="IRNazanin" w:hAnsi="IRNazanin" w:eastAsia="IRNazanin"/>
          <w:color w:val="111111"/>
          <w:sz w:val="28"/>
          <w:sz w:val="28"/>
          <w:szCs w:val="28"/>
          <w:rtl w:val="true"/>
          <w:lang w:bidi="fa-IR"/>
        </w:rPr>
        <w:t>، فراجع و تدبّر</w:t>
      </w:r>
      <w:r>
        <w:rPr>
          <w:rFonts w:eastAsia="IRNazanin" w:cs="IRNazanin"/>
          <w:color w:val="111111"/>
          <w:sz w:val="28"/>
          <w:szCs w:val="28"/>
          <w:rtl w:val="true"/>
          <w:lang w:bidi="fa-IR"/>
        </w:rPr>
        <w:t>.</w:t>
      </w:r>
      <w:bookmarkStart w:id="143" w:name="pg19818_203963"/>
    </w:p>
    <w:p>
      <w:pPr>
        <w:pStyle w:val="Heading3"/>
        <w:numPr>
          <w:ilvl w:val="2"/>
          <w:numId w:val="1"/>
        </w:numPr>
        <w:rPr/>
      </w:pPr>
      <w:bookmarkStart w:id="144" w:name="__RefHeading___Toc3320790_2314609296"/>
      <w:bookmarkStart w:id="145" w:name="_Toc53"/>
      <w:bookmarkEnd w:id="143"/>
      <w:bookmarkEnd w:id="144"/>
      <w:r>
        <w:rPr>
          <w:rtl w:val="true"/>
        </w:rPr>
        <w:t>الباب السادس في الطواف</w:t>
      </w:r>
      <w:bookmarkEnd w:id="145"/>
    </w:p>
    <w:p>
      <w:pPr>
        <w:pStyle w:val="Heading4"/>
        <w:numPr>
          <w:ilvl w:val="3"/>
          <w:numId w:val="1"/>
        </w:numPr>
        <w:rPr/>
      </w:pPr>
      <w:bookmarkStart w:id="146" w:name="__RefHeading___Toc3320792_2314609296"/>
      <w:bookmarkStart w:id="147" w:name="_Toc54"/>
      <w:bookmarkEnd w:id="146"/>
      <w:r>
        <w:rPr>
          <w:rtl w:val="true"/>
        </w:rPr>
        <w:t>اشارة</w:t>
      </w:r>
      <w:bookmarkEnd w:id="147"/>
    </w:p>
    <w:p>
      <w:pPr>
        <w:pStyle w:val="BookText"/>
        <w:rPr/>
      </w:pPr>
      <w:r>
        <w:rPr>
          <w:rFonts w:ascii="Amiri" w:hAnsi="Amiri" w:eastAsia="Amiri" w:cs="Amiri"/>
          <w:color w:val="111111"/>
          <w:sz w:val="28"/>
          <w:sz w:val="28"/>
          <w:szCs w:val="28"/>
          <w:rtl w:val="true"/>
          <w:lang w:bidi="ar-SA"/>
        </w:rPr>
        <w:t>و هو واجب مرة في العمرة المتمتع بها، و مرتين في حجه، و في كل واحد من عمرة الباقيين مرتين، و كذا في حجهما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انّ مرجع هذا الكلام إلى عدم وجوب أزيد من طواف الزيارة في العمرة المتمتع بها، بخلاف العمرة المفردة و الحج مطلقا، متمتعا أو مفردا أو قرانا، فإنّ فيها طوافين، طواف الزيارة و طواف النساء، فهنا مسألتان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وجوب طواف النساء في العمرة المتمتع بها، زائدا على طواف الزيارة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طواف النساء أيضا في العمرة المفردة، و الحج بجميع أقسامه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انّ المشهور في كلتا المسألتين على وفق المتن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على مدّعاهم الأخبار المستفيضة التي منها ما في صحيح معاوية</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المتمتع بالعمرة إلى الحج ثلاث أطواف بالبيت، و سعيان بين الصفا و المروة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ذيله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تفصيل ثبوت طواف واحد في عمرته، و طوافان في حجه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صحيح منصور مثله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صحيح الحلبي أيضا التصريح بأنّ في المفردة بالحج و القارن طوافين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حسن معاوية أيضا مثله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المكاتبة أيضا التصريح بأنّ في العمرة على صاحبها طواف النساء، و أما التي يتمتع بها الى الحج فليس على صاحبها طواف </w:t>
      </w:r>
      <w:r>
        <w:rPr>
          <w:rStyle w:val="FootnoteAnchor"/>
          <w:rtl w:val="true"/>
        </w:rPr>
        <w:footnoteReference w:id="2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 يخصص إطلاق خبر عمر بن يزيد </w:t>
      </w:r>
      <w:r>
        <w:rPr>
          <w:rStyle w:val="FootnoteAnchor"/>
          <w:rtl w:val="true"/>
        </w:rPr>
        <w:footnoteReference w:id="277"/>
      </w:r>
      <w:r>
        <w:rPr>
          <w:rFonts w:ascii="Amiri" w:hAnsi="Amiri" w:eastAsia="Amiri" w:cs="Amiri"/>
          <w:color w:val="111111"/>
          <w:sz w:val="28"/>
          <w:sz w:val="28"/>
          <w:szCs w:val="28"/>
          <w:rtl w:val="true"/>
          <w:lang w:bidi="ar-SA"/>
        </w:rPr>
        <w:t>، و مثل هذه النصوص كلها منجبرة بالعمل، و يستفاد منها التفصيل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قبال ما دل على وجوب طواف النساء في العمرة المفردة، نص أبي خالد مولى علي بن يقطين على المفرد بالعمرة، عليه طواف النساء؟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أبو الحسن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عليه طواف النساء</w:t>
      </w:r>
      <w:r>
        <w:rPr>
          <w:rFonts w:eastAsia="Amiri" w:cs="Amiri" w:ascii="Amiri" w:hAnsi="Amiri"/>
          <w:color w:val="111111"/>
          <w:sz w:val="28"/>
          <w:szCs w:val="28"/>
          <w:rtl w:val="true"/>
          <w:lang w:bidi="ar-SA"/>
        </w:rPr>
        <w:t xml:space="preserve">»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مرسلة يونس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طواف النساء على الحاج</w:t>
      </w:r>
      <w:r>
        <w:rPr>
          <w:rFonts w:eastAsia="Amiri" w:cs="Amiri" w:ascii="Amiri" w:hAnsi="Amiri"/>
          <w:color w:val="111111"/>
          <w:sz w:val="28"/>
          <w:szCs w:val="28"/>
          <w:rtl w:val="true"/>
          <w:lang w:bidi="ar-SA"/>
        </w:rPr>
        <w:t xml:space="preserve">»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لا وهن سندهما باعراض المشهور، كان الجمع مع السابقة الحمل على الفضيلة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ذهب إليه جمع من متأخر المتأخرين على المحكي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الإنصاف انه لا يصلح مثل هذه سندا للمقاومة مع السابقة</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أيضا في قبال ما دل على عدم وجوب طواف النساء في العمرة المتمتع</w:t>
      </w:r>
      <w:bookmarkStart w:id="148" w:name="pg19818_203965"/>
    </w:p>
    <w:p>
      <w:pPr>
        <w:pStyle w:val="BookText"/>
        <w:rPr/>
      </w:pPr>
      <w:bookmarkEnd w:id="148"/>
      <w:r>
        <w:rPr>
          <w:rFonts w:ascii="Amiri" w:hAnsi="Amiri" w:eastAsia="Amiri" w:cs="Amiri"/>
          <w:color w:val="111111"/>
          <w:sz w:val="28"/>
          <w:sz w:val="28"/>
          <w:szCs w:val="28"/>
          <w:rtl w:val="true"/>
          <w:lang w:bidi="ar-SA"/>
        </w:rPr>
        <w:t>بها خبر سليمان بن حفص، المشتمل على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حج الرجل و دخل مكة متمتعا فطاف بالبيت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سعى بين الصفا و المروة، و قصّر فقد حل له كل شي‌ء، ما خلا النساء</w:t>
      </w:r>
      <w:r>
        <w:rPr>
          <w:rFonts w:eastAsia="Amiri" w:cs="Amiri" w:ascii="Amiri" w:hAnsi="Amiri"/>
          <w:color w:val="111111"/>
          <w:sz w:val="28"/>
          <w:szCs w:val="28"/>
          <w:rtl w:val="true"/>
          <w:lang w:bidi="ar-SA"/>
        </w:rPr>
        <w:t xml:space="preserve">» </w:t>
      </w:r>
      <w:r>
        <w:rPr>
          <w:rStyle w:val="FootnoteAnchor"/>
          <w:rtl w:val="true"/>
        </w:rPr>
        <w:footnoteReference w:id="2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جعل حله بالتقصير قرينة حله عن عمرته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انّ إيجاب الصلاة بعد الطواف عليه، لأنه من توابع الطواف، فلا ينافي عدم دخلها في المحلية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فالرواية بحسب الدلالة لا قصور فيها، إلّا انها قابلة للحمل على الاستحباب، بقرينة، الأخبار النافية، و أنّ الغرض من عدم حل النساء عدمه بلا حزازة، و هو لا ينافي كراهته، بحيث يكون الدافع لها طواف النساء، اللهم إلّا أن لا يلتزم المشهور باستحبابه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لا محيص عن طرحه سندا، لاعراضهم،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عنوان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المتمتع بالعمرة إلى الحج، و المفرد، و القارن، و صاحب العمرة المبتولة، و أمثال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المعلوم انّ أمثال هذه العناوين خالية عن ذكر الجنس، الشامل للرجال و النساء و الخناثى و الخصيان، مضافا إلى قاعدة الملازمة الثابتة في كلية الأحكام، القابلة للاشتراك، إلّا ما خرج بالدليل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علاوة عن صحيح علي بن يقطين، حيث سأل أبا الحسن عليه السلام عن الخصيان و المرأة الكبيرة، أ عليهم طواف النساء؟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عليهم</w:t>
      </w:r>
      <w:r>
        <w:rPr>
          <w:rFonts w:eastAsia="Amiri" w:cs="Amiri" w:ascii="Amiri" w:hAnsi="Amiri"/>
          <w:color w:val="111111"/>
          <w:sz w:val="28"/>
          <w:szCs w:val="28"/>
          <w:rtl w:val="true"/>
          <w:lang w:bidi="ar-SA"/>
        </w:rPr>
        <w:t xml:space="preserve">»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الخنثى أيضا داخل في أحد الصنفين، و يلحق بهما بعدم الفصل لو قلنا بأنه شق ثالث، بل لا خلاف في المسألة أيضا، و اللّٰه العالم</w:t>
      </w:r>
      <w:r>
        <w:rPr>
          <w:rFonts w:eastAsia="Amiri" w:cs="Amiri" w:ascii="Amiri" w:hAnsi="Amiri"/>
          <w:color w:val="111111"/>
          <w:sz w:val="28"/>
          <w:szCs w:val="28"/>
          <w:rtl w:val="true"/>
          <w:lang w:bidi="ar-SA"/>
        </w:rPr>
        <w:t>.</w:t>
      </w:r>
    </w:p>
    <w:p>
      <w:pPr>
        <w:pStyle w:val="Heading4"/>
        <w:numPr>
          <w:ilvl w:val="3"/>
          <w:numId w:val="1"/>
        </w:numPr>
        <w:rPr/>
      </w:pPr>
      <w:bookmarkStart w:id="149" w:name="__RefHeading___Toc3320794_2314609296"/>
      <w:bookmarkStart w:id="150" w:name="_Toc55"/>
      <w:bookmarkEnd w:id="149"/>
      <w:r>
        <w:rPr>
          <w:rtl w:val="true"/>
        </w:rPr>
        <w:t>و يشترط فيه أي في الطواف الواجب الطهارة</w:t>
      </w:r>
      <w:bookmarkEnd w:id="150"/>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الحدث الأكبر</w:t>
      </w:r>
    </w:p>
    <w:p>
      <w:pPr>
        <w:pStyle w:val="BookText"/>
        <w:rPr/>
      </w:pPr>
      <w:r>
        <w:rPr>
          <w:rFonts w:ascii="Amiri" w:hAnsi="Amiri" w:eastAsia="Amiri" w:cs="Amiri"/>
          <w:color w:val="111111"/>
          <w:sz w:val="28"/>
          <w:sz w:val="28"/>
          <w:szCs w:val="28"/>
          <w:rtl w:val="true"/>
          <w:lang w:bidi="ar-SA"/>
        </w:rPr>
        <w:t xml:space="preserve">و الأصغر، بلا خلاف، مضافا الى النصوص المستفيضة المشتملة بعضها على قطع الطواف مطلقا و عدم الاعتداد به مع تذكر فقد الوضوء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بعضها التصريح بإعادة طواف الفريضة، و في ذيله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تطوعا توضأ و صلّى</w:t>
      </w:r>
      <w:r>
        <w:rPr>
          <w:rFonts w:eastAsia="Amiri" w:cs="Amiri" w:ascii="Amiri" w:hAnsi="Amiri"/>
          <w:color w:val="111111"/>
          <w:sz w:val="28"/>
          <w:szCs w:val="28"/>
          <w:rtl w:val="true"/>
          <w:lang w:bidi="ar-SA"/>
        </w:rPr>
        <w:t xml:space="preserve">»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نظيره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عدم اعادة طواف النافلة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حريز </w:t>
      </w:r>
      <w:r>
        <w:rPr>
          <w:rStyle w:val="FootnoteAnchor"/>
          <w:rtl w:val="true"/>
        </w:rPr>
        <w:footnoteReference w:id="284"/>
      </w:r>
      <w:r>
        <w:rPr>
          <w:rFonts w:ascii="Amiri" w:hAnsi="Amiri" w:eastAsia="Amiri" w:cs="Amiri"/>
          <w:color w:val="111111"/>
          <w:sz w:val="28"/>
          <w:sz w:val="28"/>
          <w:szCs w:val="28"/>
          <w:rtl w:val="true"/>
          <w:lang w:bidi="ar-SA"/>
        </w:rPr>
        <w:t xml:space="preserve">، و نص عبيد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بذلك كله تقيّد الإطلاقات السابقة، الحاكمة بقطع الطواف إذا علم انه على غير 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عن أبي الصلاح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كإطلاق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وجوب الطهارة في النافلة أيضا للإطلاقات المزبورة </w:t>
      </w:r>
      <w:r>
        <w:rPr>
          <w:rStyle w:val="FootnoteAnchor"/>
          <w:rtl w:val="true"/>
        </w:rPr>
        <w:footnoteReference w:id="286"/>
      </w:r>
      <w:r>
        <w:rPr>
          <w:rFonts w:ascii="Amiri" w:hAnsi="Amiri" w:eastAsia="Amiri" w:cs="Amiri"/>
          <w:color w:val="111111"/>
          <w:sz w:val="28"/>
          <w:sz w:val="28"/>
          <w:szCs w:val="28"/>
          <w:rtl w:val="true"/>
          <w:lang w:bidi="ar-SA"/>
        </w:rPr>
        <w:t>، منظور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عموم طهورية التيمم و بدليته عن المائية، يوجب الاجتزاء به في المقام أيضا، كسائر غايات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المراد من طواف النافلة هو الطواف لنفسه، لا ما كان جزء عمرة مندوبة أو حج مندوب، فإنه يلحق بالفريضة، بملاحظة وجوب إتمامه و حرمة إفساده بجماع أو غيره</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مجرد لا بدية إيجاده في أحداث التحلل عما انعقد من إحرامه، و ترتب العقوبة بإعادته على جماعة المحرم بإحرامه، لا يخرج الطواف المزبور عن النفل، إذ لا نعني من النفل إلّا عدم ترتب العقوبة على تركه، و هنا أيضا كذلك، و إن كان يلتزم ببقاء محرمات الإحرام عليه، و ذلك لا يوجب</w:t>
      </w:r>
      <w:bookmarkStart w:id="151" w:name="pg19818_203967"/>
    </w:p>
    <w:p>
      <w:pPr>
        <w:pStyle w:val="BookText"/>
        <w:rPr/>
      </w:pPr>
      <w:bookmarkEnd w:id="151"/>
      <w:r>
        <w:rPr>
          <w:rFonts w:ascii="Amiri" w:hAnsi="Amiri" w:eastAsia="Amiri" w:cs="Amiri"/>
          <w:color w:val="111111"/>
          <w:sz w:val="28"/>
          <w:sz w:val="28"/>
          <w:szCs w:val="28"/>
          <w:rtl w:val="true"/>
          <w:lang w:bidi="ar-SA"/>
        </w:rPr>
        <w:t>قلب نفله الى الفريضة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أمكن دعوى انصراف عنوان الفريضة عن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المطلقات المثبتة للإعادة شاملة لذلك، و إنما المخرج عنها النصوص المشتملة على طواف المندوب، و هو منصرف إلى غير ما لا بد منه، و لو للتخلص عن إحرامه،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يشترط فيه أيضا</w:t>
      </w:r>
    </w:p>
    <w:p>
      <w:pPr>
        <w:pStyle w:val="Heading4"/>
        <w:numPr>
          <w:ilvl w:val="3"/>
          <w:numId w:val="1"/>
        </w:numPr>
        <w:rPr/>
      </w:pPr>
      <w:bookmarkStart w:id="152" w:name="__RefHeading___Toc3320796_2314609296"/>
      <w:bookmarkStart w:id="153" w:name="_Toc56"/>
      <w:bookmarkEnd w:id="152"/>
      <w:r>
        <w:rPr>
          <w:rtl w:val="true"/>
        </w:rPr>
        <w:t>إزالة النجاسة عن الثوب و البدن</w:t>
      </w:r>
      <w:bookmarkEnd w:id="153"/>
    </w:p>
    <w:p>
      <w:pPr>
        <w:pStyle w:val="BookText"/>
        <w:rPr/>
      </w:pPr>
      <w:r>
        <w:rPr>
          <w:rFonts w:ascii="Amiri" w:hAnsi="Amiri" w:eastAsia="Amiri" w:cs="Amiri"/>
          <w:color w:val="111111"/>
          <w:sz w:val="28"/>
          <w:sz w:val="28"/>
          <w:szCs w:val="28"/>
          <w:rtl w:val="true"/>
          <w:lang w:bidi="ar-SA"/>
        </w:rPr>
        <w:t xml:space="preserve">و لو كان الطواف ندبا، كما عن الأكثر، 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الطواف بالبيت صلاة</w:t>
      </w:r>
      <w:r>
        <w:rPr>
          <w:rFonts w:eastAsia="Amiri" w:cs="Amiri" w:ascii="Amiri" w:hAnsi="Amiri"/>
          <w:color w:val="111111"/>
          <w:sz w:val="28"/>
          <w:szCs w:val="28"/>
          <w:rtl w:val="true"/>
          <w:lang w:bidi="ar-SA"/>
        </w:rPr>
        <w:t xml:space="preserve">»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مقتضى عموم التشبيه كون الطهارة المزبورة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عدم العلم بالنجاسة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شرطا علميا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يؤيده أيضا ما في خبر يونس المشتمل على الأمر بقطع الطواف ثم ازالة الدم و تطهير محله و العود الى الطواف فيتمه </w:t>
      </w:r>
      <w:r>
        <w:rPr>
          <w:rStyle w:val="FootnoteAnchor"/>
          <w:rtl w:val="true"/>
        </w:rPr>
        <w:footnoteReference w:id="288"/>
      </w:r>
      <w:r>
        <w:rPr>
          <w:rFonts w:ascii="Amiri" w:hAnsi="Amiri" w:eastAsia="Amiri" w:cs="Amiri"/>
          <w:color w:val="111111"/>
          <w:sz w:val="28"/>
          <w:sz w:val="28"/>
          <w:szCs w:val="28"/>
          <w:rtl w:val="true"/>
          <w:lang w:bidi="ar-SA"/>
        </w:rPr>
        <w:t>، بناء على ظهوره في صورة عدم سبق علمه بالنجاسة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عنوان الدم في هذا النص مطلق يشمل المعفو عنه في الصلاة، و لازم العموم السابق العفو في الطواف عما عفي عنه في الصلاة، فيدور الأمر حينئذ بين الأخذ بأحد الإطلاقين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حيث انّ النسبة بينهما عموما من وجه، فيتعارضان و يتساقطان، و يرجع إلى أصالة عدم مانعية الدم المعفو عنه في الصلاة عن الطواف</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إلّا أن يدّعى انّ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الطواف 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ناظر إلى الشرائط المجعولة أولا فيها، فلا يشمل المعفو عنها في الصلاة</w:t>
      </w:r>
      <w:r>
        <w:rPr>
          <w:rFonts w:eastAsia="Amiri" w:cs="Amiri" w:ascii="Amiri" w:hAnsi="Amiri"/>
          <w:color w:val="111111"/>
          <w:sz w:val="28"/>
          <w:szCs w:val="28"/>
          <w:rtl w:val="true"/>
          <w:lang w:bidi="ar-SA"/>
        </w:rPr>
        <w:t>.</w:t>
      </w:r>
      <w:bookmarkStart w:id="154" w:name="pg19818_203968"/>
    </w:p>
    <w:p>
      <w:pPr>
        <w:pStyle w:val="BookText"/>
        <w:rPr/>
      </w:pPr>
      <w:bookmarkEnd w:id="154"/>
      <w:r>
        <w:rPr>
          <w:rFonts w:ascii="Amiri" w:hAnsi="Amiri" w:eastAsia="Amiri" w:cs="Amiri"/>
          <w:color w:val="111111"/>
          <w:sz w:val="28"/>
          <w:sz w:val="28"/>
          <w:szCs w:val="28"/>
          <w:rtl w:val="true"/>
          <w:lang w:bidi="ar-SA"/>
        </w:rPr>
        <w:t>و أيضا فإنّ العموم المزبور غير ناظر إلى ما عفي عنه فيها لمصلحة أقوى من مصالح جعل الشرط، و حينئذ يبقى الإطلاق الآخر بلا معارض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الانصاف عدم قصور في شمول نظر العموم إلى ما اعتبر فيها بالنظر إلى فعلية التكليف، مع أنّ التعبير بالعفو موجود في كلمات الأصحاب، و إلّا فظاهر الأدلة تخصيص المانعية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عالم الاقتضاء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أما أحكام الخلل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الشك في الطهارة بعد اليقين بالحدث، أو الخبث، أو العكس، أو مع الجهل بالحال قبل الشروع في العمل، أو في أثنائه بالنسبة إلى الأشواط الآتية، أو بعد الفراغ منه أجمع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فتجري في المقام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يحكم بالنجاسة و المحدثية أصغرا أو أكبرا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يحكم بالطهارة عن كليهما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الحالة السابقة يحكم بالطهارة الخبيثة لا الحدثية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كشف خلاف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تمام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يجزئ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أثنائه يجزئ عن الأشواط الماضية لا الآتية، فيجب تحصيل طهارة جديدة ما لم يلزم فعل كثير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الفراغ أيضا يحكم بالصحة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الأثناء أيضا يحكم بصحة ما مضى من الأشواط دون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ذلك بمقتضى عمومات الاستصحاب، و أصالة الفراغ، مما لا ريب فيه و لا شك يعتريه،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شرائط الطواف أيضا</w:t>
      </w:r>
    </w:p>
    <w:p>
      <w:pPr>
        <w:pStyle w:val="Heading4"/>
        <w:numPr>
          <w:ilvl w:val="3"/>
          <w:numId w:val="1"/>
        </w:numPr>
        <w:rPr/>
      </w:pPr>
      <w:bookmarkStart w:id="155" w:name="__RefHeading___Toc3320798_2314609296"/>
      <w:bookmarkStart w:id="156" w:name="_Toc57"/>
      <w:bookmarkEnd w:id="155"/>
      <w:r>
        <w:rPr>
          <w:rtl w:val="true"/>
        </w:rPr>
        <w:t>الختان في الرجل</w:t>
      </w:r>
      <w:bookmarkEnd w:id="156"/>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بلا اشكال ظاهرا نصا و فتوى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النص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الأغلف لا يطوف بالبيت</w:t>
      </w:r>
      <w:r>
        <w:rPr>
          <w:rFonts w:eastAsia="Amiri" w:cs="Amiri" w:ascii="Amiri" w:hAnsi="Amiri"/>
          <w:color w:val="111111"/>
          <w:sz w:val="28"/>
          <w:szCs w:val="28"/>
          <w:rtl w:val="true"/>
          <w:lang w:bidi="ar-SA"/>
        </w:rPr>
        <w:t xml:space="preserve">»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أن تطوف المرأة غير مخفوضة، و أما الرجل فلا يطوفن إلّا و هو مختون</w:t>
      </w:r>
      <w:r>
        <w:rPr>
          <w:rFonts w:eastAsia="Amiri" w:cs="Amiri" w:ascii="Amiri" w:hAnsi="Amiri"/>
          <w:color w:val="111111"/>
          <w:sz w:val="28"/>
          <w:szCs w:val="28"/>
          <w:rtl w:val="true"/>
          <w:lang w:bidi="ar-SA"/>
        </w:rPr>
        <w:t xml:space="preserve">»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 أسلم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يحج حتى يختتن</w:t>
      </w:r>
      <w:r>
        <w:rPr>
          <w:rFonts w:eastAsia="Amiri" w:cs="Amiri" w:ascii="Amiri" w:hAnsi="Amiri"/>
          <w:color w:val="111111"/>
          <w:sz w:val="28"/>
          <w:szCs w:val="28"/>
          <w:rtl w:val="true"/>
          <w:lang w:bidi="ar-SA"/>
        </w:rPr>
        <w:t xml:space="preserve">» </w:t>
      </w:r>
      <w:r>
        <w:rPr>
          <w:rStyle w:val="FootnoteAnchor"/>
          <w:rtl w:val="true"/>
        </w:rPr>
        <w:footnoteReference w:id="291"/>
      </w:r>
      <w:r>
        <w:rPr>
          <w:rFonts w:ascii="Amiri" w:hAnsi="Amiri" w:eastAsia="Amiri" w:cs="Amiri"/>
          <w:color w:val="111111"/>
          <w:sz w:val="28"/>
          <w:sz w:val="28"/>
          <w:szCs w:val="28"/>
          <w:rtl w:val="true"/>
          <w:lang w:bidi="ar-SA"/>
        </w:rPr>
        <w:t>، و منها يظهر اختصاص الحكم بالرجال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انّ الظاهر من النواهي الواردة في مقام بيان حقيقة الشي‌ء، هو الإرشاد إلى مانعية متعلقها، و إطلاقها من تلك الجهة يشمل حال عدم التمكن، فلازم ذلك حتى على فورية الحج تأخيره إلى عام يتمكن من الختان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توهم أهمية جهة الفورية عن شرطية الختان، فتسقط الشرطية، فيحج بلا ختان، مدفوع بأنّ موضوع الفورية هو الحج، و لا يصلح مثل هذا الخطاب أن يحرز موضوعه، فإطلاق دليل الشرطية ينفي موضوع الفورية، فلا يبقى مجال للمعارضة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دليل الفورية و إن لم يكن ناظرا إلى إحراز موضوعه، و لكن إطلاقه بنحو الإجمال، شامل لحال عدم التمكن من الختان أيضا، و لازم وجوبه فيه كون المأتي به حجا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تقديم كل واحد من الإطلاقين يوجب التخصيص في الآخر، فيتزاحمان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حيث لم يحرز أهمية أيهما، فالعقل حاكم بالتخيير، و لازمة جواز الاقدام بالحج بلا ختان، أو تأخيره مع الختان</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توهم أنّ النص الأخير يدل على لزوم تأخير الحج، المستلزم لأهمية الختان، مدفوع بأنّ الرواية في مقام النهي عن الحج قبل الختان، و لو في ظرف التمكن منهما، و لا نظر له لحال المزاحمة، و لا أقل من شبهة إهماله من هذه الجهة،</w:t>
      </w:r>
      <w:bookmarkStart w:id="157" w:name="pg19818_203970"/>
    </w:p>
    <w:p>
      <w:pPr>
        <w:pStyle w:val="BookText"/>
        <w:rPr/>
      </w:pPr>
      <w:bookmarkEnd w:id="157"/>
      <w:r>
        <w:rPr>
          <w:rFonts w:ascii="Amiri" w:hAnsi="Amiri" w:eastAsia="Amiri" w:cs="Amiri"/>
          <w:color w:val="111111"/>
          <w:sz w:val="28"/>
          <w:sz w:val="28"/>
          <w:szCs w:val="28"/>
          <w:rtl w:val="true"/>
          <w:lang w:bidi="ar-SA"/>
        </w:rPr>
        <w:t>مع كونه مسوقا لبيانها، فلا يصلح دليلا على المرام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الذي يسهّل الخطب عدم تمامية الدليل على الفورية بهذا المعنى، فيبقى إطلاق مانعية الختان باقيا بحاله،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الأغلف لا يطوف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يشمل الكبير و الصغير، و في شمول الخنثى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الطبيعة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و إلّا فيكون من قبيل التمسك بالعام في الشبهة المصداقية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مرجعه الأصل، و البراءة عن المانعية تصحح حجه بلا ختان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الرياض جعل المقام مجرى قاعدة الاشتغال </w:t>
      </w:r>
      <w:r>
        <w:rPr>
          <w:rStyle w:val="FootnoteAnchor"/>
          <w:rtl w:val="true"/>
        </w:rPr>
        <w:footnoteReference w:id="292"/>
      </w:r>
      <w:r>
        <w:rPr>
          <w:rFonts w:ascii="Amiri" w:hAnsi="Amiri" w:eastAsia="Amiri" w:cs="Amiri"/>
          <w:color w:val="111111"/>
          <w:sz w:val="28"/>
          <w:sz w:val="28"/>
          <w:szCs w:val="28"/>
          <w:rtl w:val="true"/>
          <w:lang w:bidi="ar-SA"/>
        </w:rPr>
        <w:t>، و لا وجه له حتى على شرطية الختان، للشك في أصل التقييد بالنسبة إليه، لاحتمال كونه امرأة،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الطواف 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يقتضي اعتبار الستر فيه، و في النص عن العامة و الخاصة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يحج بعد العام مشرك و لا عريان</w:t>
      </w:r>
      <w:r>
        <w:rPr>
          <w:rFonts w:eastAsia="Amiri" w:cs="Amiri" w:ascii="Amiri" w:hAnsi="Amiri"/>
          <w:color w:val="111111"/>
          <w:sz w:val="28"/>
          <w:szCs w:val="28"/>
          <w:rtl w:val="true"/>
          <w:lang w:bidi="ar-SA"/>
        </w:rPr>
        <w:t xml:space="preserve">»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بهذا المضمون نصوص متعددة فراجع الجواهر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بقرينة الإجماع على جواز طواف مستور العورة و إن كان عاريا، يحمل النصوص على اعتبار ستر العورة</w:t>
      </w:r>
      <w:r>
        <w:rPr>
          <w:rFonts w:eastAsia="Amiri" w:cs="Amiri" w:ascii="Amiri" w:hAnsi="Amiri"/>
          <w:color w:val="111111"/>
          <w:sz w:val="28"/>
          <w:szCs w:val="28"/>
          <w:rtl w:val="true"/>
          <w:lang w:bidi="ar-SA"/>
        </w:rPr>
        <w:t>.</w:t>
      </w:r>
    </w:p>
    <w:p>
      <w:pPr>
        <w:pStyle w:val="Heading4"/>
        <w:numPr>
          <w:ilvl w:val="3"/>
          <w:numId w:val="1"/>
        </w:numPr>
        <w:rPr/>
      </w:pPr>
      <w:bookmarkStart w:id="158" w:name="__RefHeading___Toc3320800_2314609296"/>
      <w:bookmarkStart w:id="159" w:name="_Toc58"/>
      <w:bookmarkEnd w:id="158"/>
      <w:r>
        <w:rPr>
          <w:rtl w:val="true"/>
        </w:rPr>
        <w:t>و يجب فيه النية</w:t>
      </w:r>
      <w:bookmarkEnd w:id="159"/>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نحو ما اعتبر في سائر العبادات، و على المختار من كونها الداعي يسقط النزاع في كون محلها كل نسك في العمرة و الحج، أو</w:t>
      </w:r>
    </w:p>
    <w:p>
      <w:pPr>
        <w:pStyle w:val="BookText"/>
        <w:rPr/>
      </w:pPr>
      <w:r>
        <w:rPr>
          <w:rFonts w:ascii="Amiri" w:hAnsi="Amiri" w:eastAsia="Amiri" w:cs="Amiri"/>
          <w:color w:val="111111"/>
          <w:sz w:val="28"/>
          <w:sz w:val="28"/>
          <w:szCs w:val="28"/>
          <w:rtl w:val="true"/>
          <w:lang w:bidi="ar-SA"/>
        </w:rPr>
        <w:t>محلها حين الشروع بأول أفعالهما، المستلزم لكفاية النية حين الإحرام بهما، نظير كفاية النية حين الشروع في الصلاة، و انه يعتبر في بقية النسك عدم قصد الخلاف، كما هو الشأن في بقية أفعال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يمكن دعوى كون الحج مركبا من عبادات مخصوصة، على وجه تكون عباديتها قائمة بذاتها، لا من جهة عبادية الحج محضا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فربما تجب النية لكل واحد بخصوصه، و محلها كل نسك بنفسه، كي به تتحقق صلاحيتها للوقوع جزء من الحج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عبادية الحج، الملتئم من هذه العبادات، يكفي مجرد النية حين الشروع فيه، و لو بشروعه في إحرامه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بذلك يمتاز الحج عن سائر العبادات، من مثل الصلاة و غيرها، حيث إنّ عبادية أجزائها بعين عبادية الصلاة، الملتئمة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بخلاف الحج فإنه عبادة ملتئمة من عبادات مستقلة، و لازمة حينئذ جعل أمر كل واحد أو رجحانه النفسي، داعيا مستقلا، حتى لو أتى به بداعي أمر الحج محضا لا يكون صحيحا، إلّا بكونه من باب الداعي إلى الداعي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إلّا فلا تصح العبادة بالتقرب بأمر غيرها، و لو قلنا بكفاية الداعي في النية، فضلا عن جعل النية عبارة عن إخطار الأمر و صورة العمل، إجمالا أو تفصيلا حين الشروع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الذي يسهّل الخطب عدم إحراز مثل هذه، بل من المحتمل أنّ المطلوب منها عباديتها الطارئة عليها، من قبيل عبادية الحج، و إن كانت في نفسها أيضا عبادة مستقلة، لكن ما هو ملتئم منه الحج المأمور به، ذواتها التي تصير عبادة بعين عبادية الحج، نظير أجزاء سائر العبادات، و لا أقل من الشك فيه، فترجع المسألة إلى دخل حيثية عباديتها المستقلة في جزئيتها للحج</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الأصل البراءة، فلا يجب في مقام التقرب بها أزيد من التقرب بأمر</w:t>
      </w:r>
      <w:bookmarkStart w:id="160" w:name="pg19818_203972"/>
    </w:p>
    <w:p>
      <w:pPr>
        <w:pStyle w:val="BookText"/>
        <w:rPr/>
      </w:pPr>
      <w:bookmarkEnd w:id="160"/>
      <w:r>
        <w:rPr>
          <w:rFonts w:ascii="Amiri" w:hAnsi="Amiri" w:eastAsia="Amiri" w:cs="Amiri"/>
          <w:color w:val="111111"/>
          <w:sz w:val="28"/>
          <w:sz w:val="28"/>
          <w:szCs w:val="28"/>
          <w:rtl w:val="true"/>
          <w:lang w:bidi="ar-SA"/>
        </w:rPr>
        <w:t>الحج الملتئم منها، غاية الأمر كما كان المعتبر الداعي المعهود المتعلّق بتمام العمل، فلا محيص عن إتيان الجميع بذلك الداعي بلا اعتبار بقاء فيه على وجه يضر به تخلل العدم في خلال كل نسك، كما هو الشأن في سائر العبادات حتى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دليل على هذا المعنى بعد فرض إتيان تمام اجزائه على وجه قربي، و حينئذ يسقط النزاع في محل النية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على المختار أمكن دعوى لزومها في كل نسك على هذا المشرب أيضا، و لو من جهة استقلال كل نسك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إليه أيضا ذهب في الجواهر </w:t>
      </w:r>
      <w:r>
        <w:rPr>
          <w:rStyle w:val="FootnoteAnchor"/>
          <w:rtl w:val="true"/>
        </w:rPr>
        <w:footnoteReference w:id="295"/>
      </w:r>
      <w:r>
        <w:rPr>
          <w:rFonts w:ascii="Amiri" w:hAnsi="Amiri" w:eastAsia="Amiri" w:cs="Amiri"/>
          <w:color w:val="111111"/>
          <w:sz w:val="28"/>
          <w:sz w:val="28"/>
          <w:szCs w:val="28"/>
          <w:rtl w:val="true"/>
          <w:lang w:bidi="ar-SA"/>
        </w:rPr>
        <w:t>و هو أيضا شاهد اختياره للمشرب الثاني، من كون عبادية النسك بعين عبادية الحج، غاية الأمر استقلال وجودها في الأنظار أوجب الاخطار المزبور عند الشروع بأي نسك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يمتاز عن أجزاء الصلاة، التي هي بنظر العرف أمور مرتبطة لا استقلال لوجود كل واحد في نفسه، و إلّا فلو كانت جهة عباديتها المستقلة دخيلة في الجزئية للحج لكان يكفي في وجوب النية عند كل جزء بملاحظة حفظ عبادية نفسه، المعلوم لا بدية اقترانه بالنية، و لو لم تكن الأفعال بنظر العرف أمورا مستقلة، بل و ليست جهة امتياز الحج عن الصلاة حينئذ بصرف ما ذكر، كما لا يخفى، فراجع كلماتهم ترى ما ذكرناه حقيقا بالقبول</w:t>
      </w:r>
      <w:r>
        <w:rPr>
          <w:rFonts w:eastAsia="Amiri" w:cs="Amiri" w:ascii="Amiri" w:hAnsi="Amiri"/>
          <w:color w:val="111111"/>
          <w:sz w:val="28"/>
          <w:szCs w:val="28"/>
          <w:rtl w:val="true"/>
          <w:lang w:bidi="ar-SA"/>
        </w:rPr>
        <w:t>.</w:t>
      </w:r>
    </w:p>
    <w:p>
      <w:pPr>
        <w:pStyle w:val="Heading4"/>
        <w:numPr>
          <w:ilvl w:val="3"/>
          <w:numId w:val="1"/>
        </w:numPr>
        <w:rPr/>
      </w:pPr>
      <w:bookmarkStart w:id="161" w:name="__RefHeading___Toc3320802_2314609296"/>
      <w:bookmarkStart w:id="162" w:name="_Toc59"/>
      <w:bookmarkEnd w:id="161"/>
      <w:r>
        <w:rPr>
          <w:rtl w:val="true"/>
        </w:rPr>
        <w:t>و الطواف سبعة أشواط</w:t>
      </w:r>
      <w:bookmarkEnd w:id="162"/>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بلا اشكال نصا و فتوى، و في الوسائل عقد بابا لذلك </w:t>
      </w:r>
      <w:r>
        <w:rPr>
          <w:rStyle w:val="FootnoteAnchor"/>
          <w:rtl w:val="true"/>
        </w:rPr>
        <w:footnoteReference w:id="296"/>
      </w:r>
      <w:r>
        <w:rPr>
          <w:rFonts w:ascii="Amiri" w:hAnsi="Amiri" w:eastAsia="Amiri" w:cs="Amiri"/>
          <w:color w:val="111111"/>
          <w:sz w:val="28"/>
          <w:sz w:val="28"/>
          <w:szCs w:val="28"/>
          <w:rtl w:val="true"/>
          <w:lang w:bidi="ar-SA"/>
        </w:rPr>
        <w:t>، و في النص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من سنن عبد المطلب فأقرّه اللّٰه فريضة على المسلمين</w:t>
      </w:r>
      <w:r>
        <w:rPr>
          <w:rFonts w:eastAsia="Amiri" w:cs="Amiri" w:ascii="Amiri" w:hAnsi="Amiri"/>
          <w:color w:val="111111"/>
          <w:sz w:val="28"/>
          <w:szCs w:val="28"/>
          <w:rtl w:val="true"/>
          <w:lang w:bidi="ar-SA"/>
        </w:rPr>
        <w:t xml:space="preserve">» </w:t>
      </w:r>
      <w:r>
        <w:rPr>
          <w:rStyle w:val="FootnoteAnchor"/>
          <w:rtl w:val="true"/>
        </w:rPr>
        <w:footnoteReference w:id="297"/>
      </w:r>
      <w:r>
        <w:rPr>
          <w:rFonts w:ascii="Amiri" w:hAnsi="Amiri" w:eastAsia="Amiri" w:cs="Amiri"/>
          <w:color w:val="111111"/>
          <w:sz w:val="28"/>
          <w:sz w:val="28"/>
          <w:szCs w:val="28"/>
          <w:rtl w:val="true"/>
          <w:lang w:bidi="ar-SA"/>
        </w:rPr>
        <w:t>، إلى غير ذلك من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الجواهر ادعى تواترها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يعتبر فيه الابتداء بالحجر و الختم به بلا اشكال فيه أيضا فتوى و نصا </w:t>
      </w:r>
      <w:r>
        <w:rPr>
          <w:rStyle w:val="FootnoteAnchor"/>
          <w:rtl w:val="true"/>
        </w:rPr>
        <w:footnoteReference w:id="298"/>
      </w:r>
      <w:r>
        <w:rPr>
          <w:rFonts w:ascii="Amiri" w:hAnsi="Amiri" w:eastAsia="Amiri" w:cs="Amiri"/>
          <w:color w:val="111111"/>
          <w:sz w:val="28"/>
          <w:sz w:val="28"/>
          <w:szCs w:val="28"/>
          <w:rtl w:val="true"/>
          <w:lang w:bidi="ar-SA"/>
        </w:rPr>
        <w:t>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النصوص المستفيضة نحو هذا المضمون، من انه من اختصر في الحجر الطواف فليعد طوافه من الحجر الأسود إلى الحجر الأسود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حينئذ لو ابتدأ الطائف بغيره، أو ابتدأ من قبله مثلا و لم يقصد بالزيادة، بل قصد امتثال أمره من حين وصوله إلى الحجر الأسود صح، و لازمة خروج الزائد عن الجزئية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قصد الطواف المأمور به من حين ما شرع أولا فيصدق عليه الزيادة، فلا يكفي حينئذ تتميم السبعة، و لو من الحجر إلى الحجر، لأنّ الزيادة عمدا في الطواف كالصلاة مبطلة إجماعا كالنقيصة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يومئ إليه أيضا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الطواف بالبيت 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بناء على مانعية الزيادة في طبيعة الصلاة و لو المندوبة، و إلّا فمثل هذا العموم غير متكفل لإثبات الأحكام الثابتة لأنواع خاصة من الصلاة، بلا دخل مثلها في أصل الطبيعة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توهم ضعف سند العموم، لكونه عاميا، مدفوع باشتهار التمسك بمثله بين الأصحاب في موارد متعددة، و ذلك المقدار يكفي لجبر سنده فراجع كلماتهم</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المراد من البدأة من الحجر كون أول جزء من طوافه و مشيه مقارنا للحجر، و لازمة كفاية محاذاة مقاديم بدنه لآخر جزء من الحجر، و في وجوب العود إلى محل شروعه أو كفاية عوده إلى الحجر، بأن تكون مقاديم بدنه محاذية لأول جزء من الحجر، على وجه يصدق أنه إلى الحجر،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اقتضاء الإطلاق للثاني، و اختاره في الجواهر أيضا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bookmarkStart w:id="163" w:name="pg19818_203974"/>
    </w:p>
    <w:p>
      <w:pPr>
        <w:pStyle w:val="BookText"/>
        <w:rPr/>
      </w:pPr>
      <w:bookmarkEnd w:id="163"/>
      <w:r>
        <w:rPr>
          <w:rFonts w:ascii="Amiri" w:hAnsi="Amiri" w:eastAsia="Amiri" w:cs="Amiri"/>
          <w:color w:val="111111"/>
          <w:sz w:val="28"/>
          <w:sz w:val="28"/>
          <w:szCs w:val="28"/>
          <w:rtl w:val="true"/>
          <w:lang w:bidi="ar-SA"/>
        </w:rPr>
        <w:t>و من انصرافه إلى صورة وحدة المبدأ و المنتهى، و أنّ الإطلاق المزبور ناظر إلى إتمام طوافه، و ان طوافه من الحجر، فذكر الحجر الثاني سيق لبيان إتمام الدور، لا لبيان الاكتفاء ببلوغ الحجر، و إن لم يتم دورة كاملة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مع الشك فالأصل البراءة عن جزئية المشكوك فيه، لكن الإنصاف انّ العرف يفهمون من مثل هذه البيانات إتمام الدور، خصوصا في موارد لا تكون للغاية سعة محسوسة،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يعتبر فيه أيضا</w:t>
      </w:r>
    </w:p>
    <w:p>
      <w:pPr>
        <w:pStyle w:val="Heading4"/>
        <w:numPr>
          <w:ilvl w:val="3"/>
          <w:numId w:val="1"/>
        </w:numPr>
        <w:rPr/>
      </w:pPr>
      <w:bookmarkStart w:id="164" w:name="__RefHeading___Toc3320804_2314609296"/>
      <w:bookmarkStart w:id="165" w:name="_Toc60"/>
      <w:bookmarkEnd w:id="164"/>
      <w:r>
        <w:rPr>
          <w:rtl w:val="true"/>
        </w:rPr>
        <w:t>جعل البيت على يساره</w:t>
      </w:r>
      <w:bookmarkEnd w:id="165"/>
    </w:p>
    <w:p>
      <w:pPr>
        <w:pStyle w:val="BookText"/>
        <w:rPr/>
      </w:pPr>
      <w:r>
        <w:rPr>
          <w:rFonts w:ascii="Amiri" w:hAnsi="Amiri" w:eastAsia="Amiri" w:cs="Amiri"/>
          <w:color w:val="111111"/>
          <w:sz w:val="28"/>
          <w:sz w:val="28"/>
          <w:szCs w:val="28"/>
          <w:rtl w:val="true"/>
          <w:lang w:bidi="ar-SA"/>
        </w:rPr>
        <w:t xml:space="preserve">بلا إشكال أيضا نصا </w:t>
      </w:r>
      <w:r>
        <w:rPr>
          <w:rStyle w:val="FootnoteAnchor"/>
          <w:rtl w:val="true"/>
        </w:rPr>
        <w:footnoteReference w:id="301"/>
      </w:r>
      <w:r>
        <w:rPr>
          <w:rFonts w:ascii="Amiri" w:hAnsi="Amiri" w:eastAsia="Amiri" w:cs="Amiri"/>
          <w:color w:val="111111"/>
          <w:sz w:val="28"/>
          <w:sz w:val="28"/>
          <w:szCs w:val="28"/>
          <w:rtl w:val="true"/>
          <w:lang w:bidi="ar-SA"/>
        </w:rPr>
        <w:t>و فتوى، و في النصوص المستفيضة ما يومئ بذلك، ففي بعضها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كنت في الطواف السابع فائت المتعوذ، و هو إذا قمت في دبر الكعبة حذاء الباب</w:t>
      </w:r>
      <w:r>
        <w:rPr>
          <w:rFonts w:eastAsia="Amiri" w:cs="Amiri" w:ascii="Amiri" w:hAnsi="Amiri"/>
          <w:color w:val="111111"/>
          <w:sz w:val="28"/>
          <w:szCs w:val="28"/>
          <w:rtl w:val="true"/>
          <w:lang w:bidi="ar-SA"/>
        </w:rPr>
        <w:t xml:space="preserve">»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فرغت من طوافك و بلغت مؤخر الكعبة</w:t>
      </w:r>
      <w:r>
        <w:rPr>
          <w:rFonts w:eastAsia="Amiri" w:cs="Amiri" w:ascii="Amiri" w:hAnsi="Amiri"/>
          <w:color w:val="111111"/>
          <w:sz w:val="28"/>
          <w:szCs w:val="28"/>
          <w:rtl w:val="true"/>
          <w:lang w:bidi="ar-SA"/>
        </w:rPr>
        <w:t xml:space="preserve">»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انتهيت إلى مؤخر الكعبة</w:t>
      </w:r>
      <w:r>
        <w:rPr>
          <w:rFonts w:eastAsia="Amiri" w:cs="Amiri" w:ascii="Amiri" w:hAnsi="Amiri"/>
          <w:color w:val="111111"/>
          <w:sz w:val="28"/>
          <w:szCs w:val="28"/>
          <w:rtl w:val="true"/>
          <w:lang w:bidi="ar-SA"/>
        </w:rPr>
        <w:t xml:space="preserve">»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 من مثل هذه النصوص يستفاد تسلم كون طوافه على نحو يقع البيت على يساره</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إطلاقه يقتضي اعتباره في حال السهو، فلو جعل البيت على يمينه، أو في قبال وجهه، أو على ظهره، لم يجزئه و لو نسيانا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يصح ذلك عندنا، خلافا لأبي حنيفة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يعيد إن أقام بمكة، و إلّا جبره بشاة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bookmarkStart w:id="166" w:name="pg19818_203975"/>
    </w:p>
    <w:p>
      <w:pPr>
        <w:pStyle w:val="BookText"/>
        <w:rPr/>
      </w:pPr>
      <w:bookmarkEnd w:id="166"/>
      <w:r>
        <w:rPr>
          <w:rFonts w:ascii="Amiri" w:hAnsi="Amiri" w:eastAsia="Amiri" w:cs="Amiri"/>
          <w:color w:val="111111"/>
          <w:sz w:val="28"/>
          <w:sz w:val="28"/>
          <w:szCs w:val="28"/>
          <w:rtl w:val="true"/>
          <w:lang w:bidi="ar-SA"/>
        </w:rPr>
        <w:t>ثم المدار في جعل البيت على يساره كونه كذلك عرفا، فلا يضر به ميله يسيرا إلى اليمين بنحو لا يخرج به عن صدق الاسم، بل الأصل أيضا في المراتب المشكوكة يقتضي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يعتبر فيه أيضا</w:t>
      </w:r>
    </w:p>
    <w:p>
      <w:pPr>
        <w:pStyle w:val="Heading4"/>
        <w:numPr>
          <w:ilvl w:val="3"/>
          <w:numId w:val="1"/>
        </w:numPr>
        <w:rPr/>
      </w:pPr>
      <w:bookmarkStart w:id="167" w:name="__RefHeading___Toc3320806_2314609296"/>
      <w:bookmarkStart w:id="168" w:name="_Toc61"/>
      <w:bookmarkEnd w:id="167"/>
      <w:r>
        <w:rPr>
          <w:rtl w:val="true"/>
        </w:rPr>
        <w:t>إدخال الحجر في طوافه</w:t>
      </w:r>
      <w:bookmarkEnd w:id="168"/>
    </w:p>
    <w:p>
      <w:pPr>
        <w:pStyle w:val="BookText"/>
        <w:rPr/>
      </w:pPr>
      <w:r>
        <w:rPr>
          <w:rFonts w:ascii="Amiri" w:hAnsi="Amiri" w:eastAsia="Amiri" w:cs="Amiri"/>
          <w:color w:val="111111"/>
          <w:sz w:val="28"/>
          <w:sz w:val="28"/>
          <w:szCs w:val="28"/>
          <w:rtl w:val="true"/>
          <w:lang w:bidi="ar-SA"/>
        </w:rPr>
        <w:t xml:space="preserve">بلا اشكال فيه أيضا فتوى و نصا </w:t>
      </w:r>
      <w:r>
        <w:rPr>
          <w:rStyle w:val="FootnoteAnchor"/>
          <w:rtl w:val="true"/>
        </w:rPr>
        <w:footnoteReference w:id="3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النص ما في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طاف بالبيت فاختصر شوطا واحدا في الحجر كيف يصنع؟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يعيد الطواف الواحد</w:t>
      </w:r>
      <w:r>
        <w:rPr>
          <w:rFonts w:eastAsia="Amiri" w:cs="Amiri" w:ascii="Amiri" w:hAnsi="Amiri"/>
          <w:color w:val="111111"/>
          <w:sz w:val="28"/>
          <w:szCs w:val="28"/>
          <w:rtl w:val="true"/>
          <w:lang w:bidi="ar-SA"/>
        </w:rPr>
        <w:t xml:space="preserve">» </w:t>
      </w:r>
      <w:r>
        <w:rPr>
          <w:rStyle w:val="FootnoteAnchor"/>
          <w:rtl w:val="true"/>
        </w:rPr>
        <w:footnoteReference w:id="307"/>
      </w:r>
      <w:r>
        <w:rPr>
          <w:rFonts w:ascii="Amiri" w:hAnsi="Amiri" w:eastAsia="Amiri" w:cs="Amiri"/>
          <w:color w:val="111111"/>
          <w:sz w:val="28"/>
          <w:sz w:val="28"/>
          <w:szCs w:val="28"/>
          <w:rtl w:val="true"/>
          <w:lang w:bidi="ar-SA"/>
        </w:rPr>
        <w:t>، و رواه الشيخ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يعيد ذلك الشوط</w:t>
      </w:r>
      <w:r>
        <w:rPr>
          <w:rFonts w:eastAsia="Amiri" w:cs="Amiri" w:ascii="Amiri" w:hAnsi="Amiri"/>
          <w:color w:val="111111"/>
          <w:sz w:val="28"/>
          <w:szCs w:val="28"/>
          <w:rtl w:val="true"/>
          <w:lang w:bidi="ar-SA"/>
        </w:rPr>
        <w:t xml:space="preserve">»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نص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 البيت هو، أو فيه شي‌ء من البيت؟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 لا قلامة ظفر، و لكن إسماعيل دفن فيه، فكره أن توطأ فجعل عليه حجرا، و فيه قبور الأنبياء</w:t>
      </w:r>
      <w:r>
        <w:rPr>
          <w:rFonts w:eastAsia="Amiri" w:cs="Amiri" w:ascii="Amiri" w:hAnsi="Amiri"/>
          <w:color w:val="111111"/>
          <w:sz w:val="28"/>
          <w:szCs w:val="28"/>
          <w:rtl w:val="true"/>
          <w:lang w:bidi="ar-SA"/>
        </w:rPr>
        <w:t xml:space="preserve">» </w:t>
      </w:r>
      <w:r>
        <w:rPr>
          <w:rStyle w:val="FootnoteAnchor"/>
          <w:rtl w:val="true"/>
        </w:rPr>
        <w:footnoteReference w:id="309"/>
      </w:r>
      <w:r>
        <w:rPr>
          <w:rFonts w:ascii="Amiri" w:hAnsi="Amiri" w:eastAsia="Amiri" w:cs="Amiri"/>
          <w:color w:val="111111"/>
          <w:sz w:val="28"/>
          <w:sz w:val="28"/>
          <w:szCs w:val="28"/>
          <w:rtl w:val="true"/>
          <w:lang w:bidi="ar-SA"/>
        </w:rPr>
        <w:t>، و نظيره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يكشف عن خروجه منه أيضا، فليس وجه إدخاله في الطواف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كونه من البيت، مع أنّ المسألة في مقامنا مسلّمة غير مبتنية على النزاع في دخول الحجر في البيت أو شي‌ء منه و عدمه</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 أن يكون بين المقام و البيت على المشهور بين الأصحاب، و يدل عليه خبر حريز عن ابن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حد الطواف الذي من خرج عنه لم يكن طائفا بالبيت،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الناس على عهد رسول اللّٰه</w:t>
      </w:r>
    </w:p>
    <w:p>
      <w:pPr>
        <w:pStyle w:val="BookText"/>
        <w:rPr/>
      </w:pPr>
      <w:r>
        <w:rPr>
          <w:rFonts w:ascii="Amiri" w:hAnsi="Amiri" w:eastAsia="Amiri" w:cs="Amiri"/>
          <w:color w:val="111111"/>
          <w:sz w:val="28"/>
          <w:sz w:val="28"/>
          <w:szCs w:val="28"/>
          <w:rtl w:val="true"/>
          <w:lang w:bidi="ar-SA"/>
        </w:rPr>
        <w:t>يطوفون بالبيت و المقام، و أنتم اليوم تطوفون ما بين المقام و بين البيت، فكان الحد موضع المقام اليوم، فمن جازه فليس بطائف، و الحد قبل اليوم و اليوم واحد، قدر ما بين المقام و بين البيت من نواحي البيت كلها، فمن طاف فتباعد من نواحيه أبعد من مقدار ذلك كان طائفا بغير البيت، بمنزلة من طاف بالمسجد، لأنه طاف في غير حد و لا طواف له</w:t>
      </w:r>
      <w:r>
        <w:rPr>
          <w:rFonts w:eastAsia="Amiri" w:cs="Amiri" w:ascii="Amiri" w:hAnsi="Amiri"/>
          <w:color w:val="111111"/>
          <w:sz w:val="28"/>
          <w:szCs w:val="28"/>
          <w:rtl w:val="true"/>
          <w:lang w:bidi="ar-SA"/>
        </w:rPr>
        <w:t xml:space="preserve">»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الظاهر من الرواية انّ المقام هو الذي كان في عهده عليه السلام المعلوم عدم تعيين محله الى زماننا، و إلّا لبان، و هو الذي عيّنه عمر في زمان خلافته، و لو من جهة حصول تغيير قبله بسيل أو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أيضا محله الذي كان في عهد رسول اللّٰه صلّى اللّٰه عليه و آله الظاهر من التواريخ كونه محله في زمان الجاهلية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أي حال فالسيرة القطعية قائمة على أنّ محل المقام في زماننا هو محله في عصر الأئمة، و امضاؤهم يكشف عن محله واقعا، و ذلك المقدار يكفينا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انّ الظاهر من النص ملاحظة نسبة تلك المسافة في جميع الأطراف، بلا استثناء الحجر من خارج البيت أيضا كما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حكي نفي الاشكال في عدم احتسابه منها، و في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احتسابه من المسافة و إن لم يجز سلوكه </w:t>
      </w:r>
      <w:r>
        <w:rPr>
          <w:rStyle w:val="FootnoteAnchor"/>
          <w:rtl w:val="true"/>
        </w:rPr>
        <w:footnoteReference w:id="311"/>
      </w:r>
      <w:r>
        <w:rPr>
          <w:rFonts w:ascii="Amiri" w:hAnsi="Amiri" w:eastAsia="Amiri" w:cs="Amiri"/>
          <w:color w:val="111111"/>
          <w:sz w:val="28"/>
          <w:sz w:val="28"/>
          <w:szCs w:val="28"/>
          <w:rtl w:val="true"/>
          <w:lang w:bidi="ar-SA"/>
        </w:rPr>
        <w:t>، و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ريب في انه الأحوط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كون الحد الذي يطاف فيه مرددا بين المتباينين، الناشئ احتماله من الرواية، و نفي الاشكال على خلافه في الكلمات، كيف يتصور كون الأخذ بأحد المحتملين 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الأحوط تكرار الطواف بتمام أشواطه</w:t>
      </w:r>
      <w:bookmarkStart w:id="169" w:name="pg19818_203977"/>
    </w:p>
    <w:p>
      <w:pPr>
        <w:pStyle w:val="BookText"/>
        <w:rPr/>
      </w:pPr>
      <w:bookmarkEnd w:id="169"/>
      <w:r>
        <w:rPr>
          <w:rFonts w:ascii="Amiri" w:hAnsi="Amiri" w:eastAsia="Amiri" w:cs="Amiri"/>
          <w:color w:val="111111"/>
          <w:sz w:val="28"/>
          <w:sz w:val="28"/>
          <w:szCs w:val="28"/>
          <w:rtl w:val="true"/>
          <w:lang w:bidi="ar-SA"/>
        </w:rPr>
        <w:t>من الخطين،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أي حال فظاهر النص المزبور كون المدار هي المسافة بين البيت و محل الصخرة، لا الحائط الواقع على المقام، و لا عينها، كما 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 إطلاقه أيضا شمول الحكم للمختار و المضطر، و عن الإسكافي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جواز الطواف خارج المقام للضرورة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يتشبث له بما في النص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السؤال عن الطواف خلف المقام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أحب ذلك، و ما أرى به بأسا فلا تفعله، إلّا أن لا تجد منه بدا</w:t>
      </w:r>
      <w:r>
        <w:rPr>
          <w:rFonts w:eastAsia="Amiri" w:cs="Amiri" w:ascii="Amiri" w:hAnsi="Amiri"/>
          <w:color w:val="111111"/>
          <w:sz w:val="28"/>
          <w:szCs w:val="28"/>
          <w:rtl w:val="true"/>
          <w:lang w:bidi="ar-SA"/>
        </w:rPr>
        <w:t xml:space="preserve">» </w:t>
      </w:r>
      <w:r>
        <w:rPr>
          <w:rStyle w:val="FootnoteAnchor"/>
          <w:rtl w:val="true"/>
        </w:rPr>
        <w:footnoteReference w:id="3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دلالته على مدّعاه نظر، بل ظاهره الكراهة مع الاختيار، و ان الاضطرار يرفع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بمثله لم يعلم فتوى أحد، فيطرح سندا لوهنه، بعد عدم قرينة على حمله على مدعى الإسكافي،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يجب بعد الطواف</w:t>
      </w:r>
    </w:p>
    <w:p>
      <w:pPr>
        <w:pStyle w:val="Heading4"/>
        <w:numPr>
          <w:ilvl w:val="3"/>
          <w:numId w:val="1"/>
        </w:numPr>
        <w:rPr/>
      </w:pPr>
      <w:bookmarkStart w:id="170" w:name="__RefHeading___Toc3320808_2314609296"/>
      <w:bookmarkStart w:id="171" w:name="_Toc62"/>
      <w:bookmarkEnd w:id="170"/>
      <w:r>
        <w:rPr>
          <w:rtl w:val="true"/>
        </w:rPr>
        <w:t>صلاة ركعتين</w:t>
      </w:r>
      <w:bookmarkEnd w:id="171"/>
    </w:p>
    <w:p>
      <w:pPr>
        <w:pStyle w:val="BookText"/>
        <w:rPr/>
      </w:pPr>
      <w:r>
        <w:rPr>
          <w:rFonts w:ascii="Amiri" w:hAnsi="Amiri" w:eastAsia="Amiri" w:cs="Amiri"/>
          <w:color w:val="111111"/>
          <w:sz w:val="28"/>
          <w:sz w:val="28"/>
          <w:szCs w:val="28"/>
          <w:rtl w:val="true"/>
          <w:lang w:bidi="ar-SA"/>
        </w:rPr>
        <w:t>، و ظاهر كلماتهم كون وجوب الصلاة أيضا كوجوب سائر الأمور المعتبرة فيه أيضا، من مستتبعات وجوبه، و ذلك المعنى يمكن أن يكون من باب كون الصلاة أيضا واجبا، مستقلا في الحج، ثابتا بتبع ثبوت الطواف، و إن جعله في عداد ما اعتبر فيه لا بنحو الشرطية أو الجزئية، بحيث يوجب تركها ترك الطواف المضر بحجه عمدا و جهلا، بل بمعنى كون مصلحته ملزومة، مصلحة الصلاة، فتكون بحسب المطلوبية تابعا لمطلوبية الطواف بهذا المعنى، و إلّا فالصلاة أيضا من أجزاء الحج، في عرض جزئية الطواف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غايته كونها من أجزائه غير الركنية، بخلاف الطواف نفسه</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يمكن أن تكون الصلاة المزبورة متممة للطواف و مكملة له في عالم</w:t>
      </w:r>
    </w:p>
    <w:p>
      <w:pPr>
        <w:pStyle w:val="BookText"/>
        <w:rPr/>
      </w:pPr>
      <w:r>
        <w:rPr>
          <w:rFonts w:ascii="Amiri" w:hAnsi="Amiri" w:eastAsia="Amiri" w:cs="Amiri"/>
          <w:color w:val="111111"/>
          <w:sz w:val="28"/>
          <w:sz w:val="28"/>
          <w:szCs w:val="28"/>
          <w:rtl w:val="true"/>
          <w:lang w:bidi="ar-SA"/>
        </w:rPr>
        <w:t>المطلوبية، على وجه لا يكون دخلها في الحج إلّا بتبع دخل الطواف، لا انه نسك مستقل في قباله، و انّ الطواف بمرتبة ركن في الحج، و بمرتبة أخرى ليس ركنا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المعنى أليق بكلماتهم، في جعلهم الصلاة من شئون الطواف، بلا جعلهم إياها نسكا قبال سائر المناسك، و لا يستفاد من نصوص الباب كما سنذكرها أيضا أحد الوجهين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يسهّل الخطب عدم تصور ثمرة علمية بينهما، فلا يهمنا حينئذ تنقيحه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أي حال فمقتضى التبعية المزبورة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واحد من المعنيين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في الوجوب و الندب مساويا مع حكم صلاته، و هو الظاهر من الكلمات في مبدئه، و الظاهر عدم الخلاف فيه، و الأصل أيضا يقتضيه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المشهور بينهم في واجبه انه مستتبع لوجوبها أيضا، و ربما يدل عليه ظهور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فرغت من طوافك فائت مقام إبراهيم وصل ركعتين</w:t>
      </w:r>
      <w:r>
        <w:rPr>
          <w:rFonts w:eastAsia="Amiri" w:cs="Amiri" w:ascii="Amiri" w:hAnsi="Amiri"/>
          <w:color w:val="111111"/>
          <w:sz w:val="28"/>
          <w:szCs w:val="28"/>
          <w:rtl w:val="true"/>
          <w:lang w:bidi="ar-SA"/>
        </w:rPr>
        <w:t xml:space="preserve">» </w:t>
      </w:r>
      <w:r>
        <w:rPr>
          <w:rStyle w:val="FootnoteAnchor"/>
          <w:rtl w:val="true"/>
        </w:rPr>
        <w:footnoteReference w:id="314"/>
      </w:r>
      <w:r>
        <w:rPr>
          <w:rFonts w:ascii="Amiri" w:hAnsi="Amiri" w:eastAsia="Amiri" w:cs="Amiri"/>
          <w:color w:val="111111"/>
          <w:sz w:val="28"/>
          <w:sz w:val="28"/>
          <w:szCs w:val="28"/>
          <w:rtl w:val="true"/>
          <w:lang w:bidi="ar-SA"/>
        </w:rPr>
        <w:t>، و اشتماله على المندوبات فيها غير ضائر بظهور هذا الأمر في الوجوب، بعد الجزم بانفصال القرينة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يؤيده الأوامر المتعلّقة بقضائها، الكاشفة عن ملزمية مصلحته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بمثلها أيضا يشرح الآية الشريفة وَ اتَّخِذُوا مِنْ مَقٰامِ إِبْرٰاهِيمَ مُصَلًّى </w:t>
      </w:r>
      <w:r>
        <w:rPr>
          <w:rStyle w:val="FootnoteAnchor"/>
          <w:rtl w:val="true"/>
        </w:rPr>
        <w:footnoteReference w:id="315"/>
      </w:r>
      <w:r>
        <w:rPr>
          <w:rFonts w:ascii="Amiri" w:hAnsi="Amiri" w:eastAsia="Amiri" w:cs="Amiri"/>
          <w:color w:val="111111"/>
          <w:sz w:val="28"/>
          <w:sz w:val="28"/>
          <w:szCs w:val="28"/>
          <w:rtl w:val="true"/>
          <w:lang w:bidi="ar-SA"/>
        </w:rPr>
        <w:t>، و بذلك كله يدفع توهم استحبابها بشهادة ما في النص، من تعداده الصلاة الفريضة، و لم يجعل منها هذه الصلاة، لعدم صلاحيته للمقاومة لما تقدّم، لإمكان حمله على الفرائض الأصلية لا التبعية لشي‌ء آخر</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 في النص السابق استحباب قراءة التوحيد في الأولى و الجحد في</w:t>
      </w:r>
      <w:bookmarkStart w:id="172" w:name="pg19818_203979"/>
    </w:p>
    <w:p>
      <w:pPr>
        <w:pStyle w:val="BookText"/>
        <w:rPr/>
      </w:pPr>
      <w:bookmarkEnd w:id="172"/>
      <w:r>
        <w:rPr>
          <w:rFonts w:ascii="Amiri" w:hAnsi="Amiri" w:eastAsia="Amiri" w:cs="Amiri"/>
          <w:color w:val="111111"/>
          <w:sz w:val="28"/>
          <w:sz w:val="28"/>
          <w:szCs w:val="28"/>
          <w:rtl w:val="true"/>
          <w:lang w:bidi="ar-SA"/>
        </w:rPr>
        <w:t>الثانية، و في نص آخر عكسه، و يمكن حملهما على التخيير بينهما، لو لا ضعف الأخير، و لو لا اعراضهم الكاشف عن الوهن في المستحبات جزما، فيتعين الأخذ بمضمون الأولى</w:t>
      </w:r>
      <w:r>
        <w:rPr>
          <w:rFonts w:eastAsia="Amiri" w:cs="Amiri" w:ascii="Amiri" w:hAnsi="Amiri"/>
          <w:color w:val="111111"/>
          <w:sz w:val="28"/>
          <w:szCs w:val="28"/>
          <w:rtl w:val="true"/>
          <w:lang w:bidi="ar-SA"/>
        </w:rPr>
        <w:t>.</w:t>
      </w:r>
    </w:p>
    <w:p>
      <w:pPr>
        <w:pStyle w:val="Heading4"/>
        <w:numPr>
          <w:ilvl w:val="3"/>
          <w:numId w:val="1"/>
        </w:numPr>
        <w:rPr/>
      </w:pPr>
      <w:bookmarkStart w:id="173" w:name="__RefHeading___Toc3320810_2314609296"/>
      <w:bookmarkStart w:id="174" w:name="_Toc63"/>
      <w:bookmarkEnd w:id="173"/>
      <w:r>
        <w:rPr>
          <w:rtl w:val="true"/>
        </w:rPr>
        <w:t>مسائل</w:t>
      </w:r>
      <w:bookmarkEnd w:id="174"/>
    </w:p>
    <w:p>
      <w:pPr>
        <w:pStyle w:val="Heading5"/>
        <w:numPr>
          <w:ilvl w:val="4"/>
          <w:numId w:val="1"/>
        </w:numPr>
        <w:rPr/>
      </w:pPr>
      <w:bookmarkStart w:id="175" w:name="__RefHeading___Toc3320812_2314609296"/>
      <w:bookmarkStart w:id="176" w:name="_Toc64"/>
      <w:bookmarkEnd w:id="175"/>
      <w:r>
        <w:rPr>
          <w:rtl w:val="true"/>
        </w:rPr>
        <w:t>الاولى</w:t>
      </w:r>
      <w:r>
        <w:rPr>
          <w:rtl w:val="true"/>
        </w:rPr>
        <w:t xml:space="preserve">: </w:t>
      </w:r>
      <w:r>
        <w:rPr>
          <w:rtl w:val="true"/>
        </w:rPr>
        <w:t>انه لو نسي الصلاة، فمع التمكن من العود رجع الى المقام،</w:t>
      </w:r>
      <w:bookmarkEnd w:id="176"/>
    </w:p>
    <w:p>
      <w:pPr>
        <w:pStyle w:val="BookText"/>
        <w:rPr/>
      </w:pPr>
      <w:r>
        <w:rPr>
          <w:rFonts w:ascii="Amiri" w:hAnsi="Amiri" w:eastAsia="Amiri" w:cs="Amiri"/>
          <w:color w:val="111111"/>
          <w:sz w:val="28"/>
          <w:sz w:val="28"/>
          <w:szCs w:val="28"/>
          <w:rtl w:val="true"/>
          <w:lang w:bidi="ar-SA"/>
        </w:rPr>
        <w:t>فيأتي بها على المشهور، و النص أيضا ناطق به، ففي صحيح ابن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يرجع إلى المقام فيصلّي ركعتين</w:t>
      </w:r>
      <w:r>
        <w:rPr>
          <w:rFonts w:eastAsia="Amiri" w:cs="Amiri" w:ascii="Amiri" w:hAnsi="Amiri"/>
          <w:color w:val="111111"/>
          <w:sz w:val="28"/>
          <w:szCs w:val="28"/>
          <w:rtl w:val="true"/>
          <w:lang w:bidi="ar-SA"/>
        </w:rPr>
        <w:t xml:space="preserve">» </w:t>
      </w:r>
      <w:r>
        <w:rPr>
          <w:rStyle w:val="FootnoteAnchor"/>
          <w:rtl w:val="true"/>
        </w:rPr>
        <w:footnoteReference w:id="316"/>
      </w:r>
      <w:r>
        <w:rPr>
          <w:rFonts w:ascii="Amiri" w:hAnsi="Amiri" w:eastAsia="Amiri" w:cs="Amiri"/>
          <w:color w:val="111111"/>
          <w:sz w:val="28"/>
          <w:sz w:val="28"/>
          <w:szCs w:val="28"/>
          <w:rtl w:val="true"/>
          <w:lang w:bidi="ar-SA"/>
        </w:rPr>
        <w:t xml:space="preserve">، و نظيره نص آخر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المرسلة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يصليهما و لو بعد أيام</w:t>
      </w:r>
      <w:r>
        <w:rPr>
          <w:rFonts w:eastAsia="Amiri" w:cs="Amiri" w:ascii="Amiri" w:hAnsi="Amiri"/>
          <w:color w:val="111111"/>
          <w:sz w:val="28"/>
          <w:szCs w:val="28"/>
          <w:rtl w:val="true"/>
          <w:lang w:bidi="ar-SA"/>
        </w:rPr>
        <w:t xml:space="preserve">» </w:t>
      </w:r>
      <w:r>
        <w:rPr>
          <w:rStyle w:val="FootnoteAnchor"/>
          <w:rtl w:val="true"/>
        </w:rPr>
        <w:footnoteReference w:id="318"/>
      </w:r>
      <w:r>
        <w:rPr>
          <w:rFonts w:ascii="Amiri" w:hAnsi="Amiri" w:eastAsia="Amiri" w:cs="Amiri"/>
          <w:color w:val="111111"/>
          <w:sz w:val="28"/>
          <w:sz w:val="28"/>
          <w:szCs w:val="28"/>
          <w:rtl w:val="true"/>
          <w:lang w:bidi="ar-SA"/>
        </w:rPr>
        <w:t>بلا تعيين مكان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نص آخر قال عند السؤال عن نسيان الصلاة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 في مكانك</w:t>
      </w:r>
      <w:r>
        <w:rPr>
          <w:rFonts w:eastAsia="Amiri" w:cs="Amiri" w:ascii="Amiri" w:hAnsi="Amiri"/>
          <w:color w:val="111111"/>
          <w:sz w:val="28"/>
          <w:szCs w:val="28"/>
          <w:rtl w:val="true"/>
          <w:lang w:bidi="ar-SA"/>
        </w:rPr>
        <w:t xml:space="preserve">»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لعل مثل ذلك يصلح مستندا للصدوق، حيث ذهب الى أنه يصليهما حيث يذكر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دلالة المرسلة نظر، لعدم سوق الإطلاق من تلك الجهة، و على فرضه فيقيّد بالسابقة لوحدة المطلوب، كما انّ الثانية أيضا محمولة على فرض المشقة بالعود</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شق عليه العود و لو للزحام قضاهما حيث ذكر، لصحيح أبي بصير المشتمل ذيله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فإني لا أشق عليه و لا آمره أن يرجع، و لكن يصلّي</w:t>
      </w:r>
    </w:p>
    <w:p>
      <w:pPr>
        <w:pStyle w:val="BookText"/>
        <w:rPr/>
      </w:pPr>
      <w:r>
        <w:rPr>
          <w:rFonts w:ascii="Amiri" w:hAnsi="Amiri" w:eastAsia="Amiri" w:cs="Amiri"/>
          <w:color w:val="111111"/>
          <w:sz w:val="28"/>
          <w:sz w:val="28"/>
          <w:szCs w:val="28"/>
          <w:rtl w:val="true"/>
          <w:lang w:bidi="ar-SA"/>
        </w:rPr>
        <w:t>حيث يذكر</w:t>
      </w:r>
      <w:r>
        <w:rPr>
          <w:rFonts w:eastAsia="Amiri" w:cs="Amiri" w:ascii="Amiri" w:hAnsi="Amiri"/>
          <w:color w:val="111111"/>
          <w:sz w:val="28"/>
          <w:szCs w:val="28"/>
          <w:rtl w:val="true"/>
          <w:lang w:bidi="ar-SA"/>
        </w:rPr>
        <w:t xml:space="preserve">»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نص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ارتحل فلا آمره أن يرجع</w:t>
      </w:r>
      <w:r>
        <w:rPr>
          <w:rFonts w:eastAsia="Amiri" w:cs="Amiri" w:ascii="Amiri" w:hAnsi="Amiri"/>
          <w:color w:val="111111"/>
          <w:sz w:val="28"/>
          <w:szCs w:val="28"/>
          <w:rtl w:val="true"/>
          <w:lang w:bidi="ar-SA"/>
        </w:rPr>
        <w:t xml:space="preserve">» </w:t>
      </w:r>
      <w:r>
        <w:rPr>
          <w:rStyle w:val="FootnoteAnchor"/>
          <w:rtl w:val="true"/>
        </w:rPr>
        <w:footnoteReference w:id="322"/>
      </w:r>
      <w:r>
        <w:rPr>
          <w:rFonts w:ascii="Amiri" w:hAnsi="Amiri" w:eastAsia="Amiri" w:cs="Amiri"/>
          <w:color w:val="111111"/>
          <w:sz w:val="28"/>
          <w:sz w:val="28"/>
          <w:szCs w:val="28"/>
          <w:rtl w:val="true"/>
          <w:lang w:bidi="ar-SA"/>
        </w:rPr>
        <w:t>المنزّل على الغالب، من مشقة الرجوع بعد الارتحال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نظيره ما في نص آخر مشتمل على عدم الرجوع بالارتحال </w:t>
      </w:r>
      <w:r>
        <w:rPr>
          <w:rStyle w:val="FootnoteAnchor"/>
          <w:rtl w:val="true"/>
        </w:rPr>
        <w:footnoteReference w:id="323"/>
      </w:r>
      <w:r>
        <w:rPr>
          <w:rFonts w:ascii="Amiri" w:hAnsi="Amiri" w:eastAsia="Amiri" w:cs="Amiri"/>
          <w:color w:val="111111"/>
          <w:sz w:val="28"/>
          <w:sz w:val="28"/>
          <w:szCs w:val="28"/>
          <w:rtl w:val="true"/>
          <w:lang w:bidi="ar-SA"/>
        </w:rPr>
        <w:t>، و يدل أيضا إطلاق ما أسلفنا من النصوص الآمرة بالصلاة في مكانك، بعد إخراج صورة عدم المشقة عنها، بقرينة النص السابق الصريح في المشقة، و بقية النصوص الآمرة بالعود، المنصرفة إلى صورة عدم المشقة،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مات و لم يصلّهما قضاهما الولي، لعموم ما دل على قضاءه الصلاة الفائتة، بل و يظهر من خبر عمر بن يزيد </w:t>
      </w:r>
      <w:r>
        <w:rPr>
          <w:rStyle w:val="FootnoteAnchor"/>
          <w:rtl w:val="true"/>
        </w:rPr>
        <w:footnoteReference w:id="324"/>
      </w:r>
      <w:r>
        <w:rPr>
          <w:rFonts w:ascii="Amiri" w:hAnsi="Amiri" w:eastAsia="Amiri" w:cs="Amiri"/>
          <w:color w:val="111111"/>
          <w:sz w:val="28"/>
          <w:sz w:val="28"/>
          <w:szCs w:val="28"/>
          <w:rtl w:val="true"/>
          <w:lang w:bidi="ar-SA"/>
        </w:rPr>
        <w:t>جواز النيابة عنه من غير الولي مع وجود الولي، و لكنه غير معمول به بظواهر كلماتهم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الجهل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قاصرا أو مقصرا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ملحق بالنسيان، لقوله في الصحيح</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الجاهل في ترك الركعتين عند مقام إبراهيم عليه السلام بمنزلة الناسي</w:t>
      </w:r>
      <w:r>
        <w:rPr>
          <w:rFonts w:eastAsia="Amiri" w:cs="Amiri" w:ascii="Amiri" w:hAnsi="Amiri"/>
          <w:color w:val="111111"/>
          <w:sz w:val="28"/>
          <w:szCs w:val="28"/>
          <w:rtl w:val="true"/>
          <w:lang w:bidi="ar-SA"/>
        </w:rPr>
        <w:t xml:space="preserve">» </w:t>
      </w:r>
      <w:r>
        <w:rPr>
          <w:rStyle w:val="FootnoteAnchor"/>
          <w:rtl w:val="true"/>
        </w:rPr>
        <w:footnoteReference w:id="3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فيترتب عليه ما ذكرناه من الأحكام، و إطلاقه يشمل المقصّر أيضا، فيلحق به العامد، لا لعدم القول بالفصل، كيف و قد اعترف في الجواهر تعرّض الأصحاب لحكم التارك عمدا </w:t>
      </w:r>
      <w:r>
        <w:rPr>
          <w:rStyle w:val="FootnoteAnchor"/>
          <w:rtl w:val="true"/>
        </w:rPr>
        <w:footnoteReference w:id="326"/>
      </w:r>
      <w:r>
        <w:rPr>
          <w:rFonts w:ascii="Amiri" w:hAnsi="Amiri" w:eastAsia="Amiri" w:cs="Amiri"/>
          <w:color w:val="111111"/>
          <w:sz w:val="28"/>
          <w:sz w:val="28"/>
          <w:szCs w:val="28"/>
          <w:rtl w:val="true"/>
          <w:lang w:bidi="ar-SA"/>
        </w:rPr>
        <w:t>، بل لاستفادته من فحوى الجاهل، الشامل، للمقصّر جزما، إذ العرف لا يرى بين نحوي العمد فرقا، كما هو ظاهر</w:t>
      </w:r>
      <w:r>
        <w:rPr>
          <w:rFonts w:eastAsia="Amiri" w:cs="Amiri" w:ascii="Amiri" w:hAnsi="Amiri"/>
          <w:color w:val="111111"/>
          <w:sz w:val="28"/>
          <w:szCs w:val="28"/>
          <w:rtl w:val="true"/>
          <w:lang w:bidi="ar-SA"/>
        </w:rPr>
        <w:t>.</w:t>
      </w:r>
      <w:bookmarkStart w:id="177" w:name="pg19818_203981"/>
    </w:p>
    <w:p>
      <w:pPr>
        <w:pStyle w:val="Heading5"/>
        <w:numPr>
          <w:ilvl w:val="4"/>
          <w:numId w:val="1"/>
        </w:numPr>
        <w:rPr/>
      </w:pPr>
      <w:bookmarkStart w:id="178" w:name="__RefHeading___Toc3320814_2314609296"/>
      <w:bookmarkStart w:id="179" w:name="_Toc65"/>
      <w:bookmarkEnd w:id="177"/>
      <w:bookmarkEnd w:id="178"/>
      <w:r>
        <w:rPr>
          <w:rtl w:val="true"/>
        </w:rPr>
        <w:t>الثانية</w:t>
      </w:r>
      <w:r>
        <w:rPr>
          <w:rtl w:val="true"/>
        </w:rPr>
        <w:t xml:space="preserve">: </w:t>
      </w:r>
      <w:r>
        <w:rPr>
          <w:rtl w:val="true"/>
        </w:rPr>
        <w:t>الزيادة عمدا على سبعة أشواط في الطواف مبطلة،</w:t>
      </w:r>
      <w:bookmarkEnd w:id="179"/>
    </w:p>
    <w:p>
      <w:pPr>
        <w:pStyle w:val="BookText"/>
        <w:rPr/>
      </w:pPr>
      <w:r>
        <w:rPr>
          <w:rFonts w:ascii="Amiri" w:hAnsi="Amiri" w:eastAsia="Amiri" w:cs="Amiri"/>
          <w:color w:val="111111"/>
          <w:sz w:val="28"/>
          <w:sz w:val="28"/>
          <w:szCs w:val="28"/>
          <w:rtl w:val="true"/>
          <w:lang w:bidi="ar-SA"/>
        </w:rPr>
        <w:t>و في كشف اللثام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المشهور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كذلك، مع نيته ابتداء على وجه الإدخال في الكيفية، ضرورة كونه حينئذ ناويا لما لم يأمره الشارع، إلى أن حكى كلام كشف اللثام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لو نواها في الأثناء، لأنه لم يستدم النية،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إنّ ذلك غير مناف لاستدامة النية على السبع، الى آخره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أولا انّ ازدياد الشي‌ء لا يكون إلّا بانقلاب حده بحد آخر، فيعتبر في صدقها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المزيد فيه محدودا بحد موجب لخروج الزائد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الزائد أيضا على نحو موجب لانقلاب هذا الحد بحد آخر، كي به يصدق كون الزائد أيضا محسوبا من الشي‌ء و مشمولا لعنوانه، كزيادة الخط بالنسبة على المرتبة الفاقدة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المعلوم انه بدون اعتبار الأمرين لا تكاد تصدق الزيادة فيه على الأمور المزبورة، إذ بدون ملاحظة حد الشي‌ء الموجب لفقدانه عنه، و كان الشي‌ء على نحو قابل للانطباق على القليل و الكثير، لا يتصور فيه زيادة، إذ كلما أتى من سنخه فهو منه لا زائد عليه</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انه لو لم يكن الحد المزبور منقلبا إلى حد آخر، و غير قابل للانقلاب، لا تكاد تصدق الزيادة فيه، بل المأتي به أجنبي عنه، فكيف يصدق ازدياد الشي‌ء بمثله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فإيجاد الزيادة في الشي‌ء إنما يتحقق من ازدياد المزيد فيه بالزيادة، و هذا المعنى يوجب انقلاب حده بحد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المعلوم أنه لا بد أن يكون المأتي به في قصده و تشريعه مأتيا به بنحو يكون إتيانه مساوقا لإتيانه بقصد كونه منه، المساوق لقصد جزئيته، و إلّا فلو لم يقصد الجزئية له لم يعقل ارتباطه بالعمل المزبور، فكيف يقلب حد بحد، فلا تكاد تصدق حينئذ الزيادة في مثل الصلاة أو الطواف، إلّا إذا أتى بها بهذا القصد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تعدّى بكلمة عن لم يقتض ذلك دخوله فيه بالنحو المزبور، إذ في مثل هذه الكلمة اعتبر معنى التجاوز المساوق لكون الزائد أجنبيا عنه و غير مرتبط به، فلا جرم تقاس الزيادة بالنسبة إلى مطلق عمله فيصدق انه زاد فيه، و حينئذ فكم فرقا بين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 في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حيث اتضح ذلك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مثل هذا المعنى تارة يعتبر في الشي‌ء حقيقة، و اخرى يعتبر فيه جعلا و تشريعا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فالأول لا يتصور إلّا في مورد تكون توسعة حقيقة الشي‌ء و تضيقها بيده، كي يصدق بأن المكلّف زاد فيه تارة و نقص عنه 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حيث إنّ الماهيات الجعلية لا تكون بحدودها تحت اختيار المكلف، و لا بحدود أمرها كذلك، فلا يتصور عنوان الزيادة على ما يأتي به بنحو الحقيقة، لا بالنسبة إلى نفس العنوان، و لا بالنسبة إلى عنوان كونه مأمورا به، فلا محيص حينئذ عن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في صدق الزيادة على الصلاة و الطواف لا بد أن يكون مأتيا به بقصد الجزئية لهما و لو تشريعا، من دون فرق بين كونهما من العناوين القصدية أم لا، إذ مجرد تشريعه في توسعة العنوان، المساوق لإتيانه بقصد الجزئية، كاف في صدق الزيادة المزبورة، و من البديهي أنّ هذا المقدار صادق مع قصدية العنوان و عدمه</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بعد ما ظهر ذلك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التشريع المزبور إن كان في مرحلة نفس الأمر الداعي، فمثل هذا التشريع يخل بالقربة، المبطل للعمل، سواء كان في</w:t>
      </w:r>
    </w:p>
    <w:p>
      <w:pPr>
        <w:pStyle w:val="BookText"/>
        <w:rPr/>
      </w:pPr>
      <w:r>
        <w:rPr>
          <w:rFonts w:ascii="Amiri" w:hAnsi="Amiri" w:eastAsia="Amiri" w:cs="Amiri"/>
          <w:color w:val="111111"/>
          <w:sz w:val="28"/>
          <w:sz w:val="28"/>
          <w:szCs w:val="28"/>
          <w:rtl w:val="true"/>
          <w:lang w:bidi="ar-SA"/>
        </w:rPr>
        <w:t>بدو العمل أم في أثنائه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إن كان التشريع المزبور في مرحلة التطبيق فلا يضر هذا المقدار بقصد الامتثال، من دون فرق أيضا بين أن يكون في أثناء العمل أم في ابتدائه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ذلك بعد الفراغ عن العمل لم يكن يقتضي مجرد هذا التشريع، و لو في أمره من هذا الحين، إضرارا بالعمل المأتي به أولا بامتثال أمره الحقيقي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فإن كان في البين دليل على مبطلية الزيادة المزبورة في العمل، فلا محيص عن الالتزام بمبطليته للعمل، بمجرد صدقها بلا ملاحظة حيثية إخلالها بالقربة و عدمه، و لا فرق في ذلك أيضا بين قصد إتيان الزيادة من حين الشروع أو في أثنائه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بالنسبة إلى ما بعد الفراغ عن العمل، ففي مبطلية الزيادة بعد صدقه جزما وجه، خصوصا بناء على إلحاق الزيادة على العمل بالزيادة فيه لا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فقد يشكل أمر الزيادة بقصد الجزئية للصلاة بعد السلام، إذ ظاهرهم عدم مبطلية مثلها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عمومات الزيادة فيها أو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النص صريحا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تقتضي بطلانها، و حينئذ فكيف التوفيق؟</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قصارى ما يمكن أن يقال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مقتضى محللية السلام للمحرمات حينها، التي منها إيجاد الزيادة فيها، رفع مانعية مثل هذه الزيادة و محذوريتها، لا أنه بمجرد الخروج عن حد الصلاة شرعا، لا تصدق الزيادة على المأتي به، و ان كان بقصد الجزئية، كيف و قد عرفت انّ المدار في صدق الزيادة قلب حده الشرعي الفاقد بحد آخر و لو تشريعا، و ذلك يحصل بمجرد التشريع في جزئية شي‌ء آخر لها بعد التسليم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فعمدة وجه عدم المبطلية إنما هو من جهة قصور حكم مبطليته، لكون السلام محلل كل محظور قبله، لا من جهة قصور في موضوعه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و لو كان الغرض من عدم صدق الزيادة من جهة التحديد في الصلاة شرعا بالسلام، و هذا الحد غير قابل للقلب فلا زيادة، إن أريد من عدم القلب عدمه حقيقة، فالأمر كذلك في إتيان ركعة أخرى قبل السلام، إذ التحديد الشرعي بأربع ركعات غير قابل للقلب، فلا فرق بين المقامين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أريد عدم قلبه و لو تشريعا، فهو تابع تشريعه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العقل لا يرى فرقا بين التشريع قبل السلام و بعده، فلا جرم يصير ذلك شاهدا في أنّ عدم إضراره بعد السلام ليس من جهة عدم صدق الزيادة في الصلاة و لو تشريعا، بل وجه عدم الإضرار ليس إلّا جهة محللية السلام، و انه لا يكون ممنوعا ما هو ممنوع أثناء الصلاة قبل التسليم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بمثل هذا البيان يفرّق بين قصد الزيادة بإتيانه بقصد الجزئية أثناء الصلاة و الطواف، و انّ في المقامين الزيادة البعدية كالزيادة في الأثناء أو في ابتداء الأمر، غاية الأمر قضية محللية السلام أوجبت خروج الفعل بعد السلام عن المانعية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المعنى لا يكون في الطواف، فلا قصور في شمول دليل المانعية لمثله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فرضنا عدم وفاء دليل مانعيتها، و كنا و مرحلة إضرار الزيادة بالقربة، لم يكن فرق بين المقامين في عدم إضرار مثل هذا التشريع بعد الفراغ عن العمل و لو كان تشريعا في أصل الأمر، فضلا عن أن يكون في مرحلة التطبيق، كما أشرنا إليه سابقا</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بعد التنبيه على هذه المقدمة فلنرجع إلى بيان أنّ وجه المانعية في الزيادة هي جهة إخلالها بالقربة، كي يفصل بين التشريع في الأمر في الابتداء أو الأثناء، و بين التشريع في مقام التطبيق، أو مانعية نفسها الثابتة بالنص</w:t>
      </w:r>
    </w:p>
    <w:p>
      <w:pPr>
        <w:pStyle w:val="BookText"/>
        <w:rPr/>
      </w:pPr>
      <w:r>
        <w:rPr>
          <w:rFonts w:ascii="Amiri" w:hAnsi="Amiri" w:eastAsia="Amiri" w:cs="Amiri"/>
          <w:color w:val="111111"/>
          <w:sz w:val="28"/>
          <w:sz w:val="28"/>
          <w:szCs w:val="28"/>
          <w:rtl w:val="true"/>
          <w:lang w:bidi="ar-SA"/>
        </w:rPr>
        <w:t>الخاص، و قد ظهرت ثمرة هذه الجهة في طي البيان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بعد أصالة عدم المانعية، ربما يستفاد من بعض النصوص على وفق فتوى المشهور، مانعية الزيادة في المقام أيضا تارة من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الطواف بالبيت 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بناء على تعميمه لتمام الآثار التي منها مانعية الزيادة كشرطية الطهورين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توهم انّ مقتضى هذا العام أيضا عدم مانعية الزيادة بعد تمام الطواف، كما هو الشأن في الصلاة، مدفوع بأنه كذلك لو كان ذلك من شئون كونه بعد تمام الصلاة و أما لو كان من شئون محللية السلام، فدليل التنزيل غير ناظر إلى مثل هذا الأثر، بل هو مترتب على عنوان خاص، لا مثل عنوان تمام الصلاة، المشمول لعموم التنزيل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اخرى من قوله في نص عبد اللّٰه بن المغيرة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الطواف إن زدت عليه مثل الصلاة المفروضة إذا زدت عليها فعليك الإعادة</w:t>
      </w:r>
      <w:r>
        <w:rPr>
          <w:rFonts w:eastAsia="Amiri" w:cs="Amiri" w:ascii="Amiri" w:hAnsi="Amiri"/>
          <w:color w:val="111111"/>
          <w:sz w:val="28"/>
          <w:szCs w:val="28"/>
          <w:rtl w:val="true"/>
          <w:lang w:bidi="ar-SA"/>
        </w:rPr>
        <w:t xml:space="preserve">»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نص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طاف بالبيت ثمانية أشواط،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يعيد حتى يستتمه</w:t>
      </w:r>
      <w:r>
        <w:rPr>
          <w:rFonts w:eastAsia="Amiri" w:cs="Amiri" w:ascii="Amiri" w:hAnsi="Amiri"/>
          <w:color w:val="111111"/>
          <w:sz w:val="28"/>
          <w:szCs w:val="28"/>
          <w:rtl w:val="true"/>
          <w:lang w:bidi="ar-SA"/>
        </w:rPr>
        <w:t xml:space="preserve">» </w:t>
      </w:r>
      <w:r>
        <w:rPr>
          <w:rStyle w:val="FootnoteAnchor"/>
          <w:rtl w:val="true"/>
        </w:rPr>
        <w:footnoteReference w:id="3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 جعل الاستتمام غاية للإعادة، كون المراد من الاستتمام طلب إيجاده تماما و بلا زيادة، لا الإتمام، كي يلزم خلاف القاعدة في احتساب ما أتى به بقصد الجزئية للأول جزء للطواف، فلا يكون النص حينئذ على خلاف القاعدة أصلا</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يؤيد هذا الاحتمال ما في نص آخر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طاف طواف الفريضة ثمانية أشواط،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يضيف إليها ستا</w:t>
      </w:r>
      <w:r>
        <w:rPr>
          <w:rFonts w:eastAsia="Amiri" w:cs="Amiri" w:ascii="Amiri" w:hAnsi="Amiri"/>
          <w:color w:val="111111"/>
          <w:sz w:val="28"/>
          <w:szCs w:val="28"/>
          <w:rtl w:val="true"/>
          <w:lang w:bidi="ar-SA"/>
        </w:rPr>
        <w:t xml:space="preserve">»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حكى في الجواهر نحوه مضمونا </w:t>
      </w:r>
      <w:r>
        <w:rPr>
          <w:rStyle w:val="FootnoteAnchor"/>
          <w:rtl w:val="true"/>
        </w:rPr>
        <w:footnoteReference w:id="332"/>
      </w:r>
      <w:r>
        <w:rPr>
          <w:rFonts w:ascii="Amiri" w:hAnsi="Amiri" w:eastAsia="Amiri" w:cs="Amiri"/>
          <w:color w:val="111111"/>
          <w:sz w:val="28"/>
          <w:sz w:val="28"/>
          <w:szCs w:val="28"/>
          <w:rtl w:val="true"/>
          <w:lang w:bidi="ar-SA"/>
        </w:rPr>
        <w:t>، و لكن بواسطة مخالفة النص الأخير لفتوى المشهور حمله في الجواهر على وجهين، إما على إتيان الشوط سهوا، أو على فرض قصده من الأول طوافا مستقلا بالشوط الزائد عن السبعة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محيص عن التوجيه الأول، و سيأتي شاهد له من النصوص المستفيضة على وفقه، و هو المشهور أيضا بين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سيجي‌ء الكلام فيه عند تعرض المصنف إياه عن قريب، فانتظر البحث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لا هذا الوجه لم يكن مجال للتوجيه الثاني، كيف و لازمة القران بين الطوافين في الفريضة، و هو في نظر هذا الحامل الجليل مبطل لهما، فكيف يصلح مثل هذا الحمل أمر هذه الرواية الظاهرة في صحتهما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محيص عن طرح الرواية بمخالفة مضمونها لفتوى المشهور، خصوصا لو كان ظاهرها كون الثامنة مأتية بقصد جزئيتها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في إتمامه بست أخر، يلزم مخالفة قاعدة أخرى في التقرب بالعبادة بداعي شخص أمرها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ذلك كله في صورة الزيادة عمدا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في فرض الإتيان بها غفلة، فالظاهر من كلماتهم عدم إضرار هذه الزيادة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يستدل له بعموم رفع مانعية المنسي، بتقريب أنّ رفعه التنزيلي بلحاظ رفع بقاء الأمر به الموجب لإعادته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ذلك صحيح لو كان حديث الرفع يشمل رفع المنسي، حتى بلحاظ الآثار المترتبة عليه حال التذكر، و إلّا فلا يجدي إلّا في نفي الإعادة بلحاظ حال النسيان، بمعنى عدم ترتب العقوبة عليه مع تمكنه من التحفظ</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فرفعه حينئذ بلحاظ رفع إيجاب تحفظه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لا يجدي شيئا في نفي وجوب الإعادة في حال التذكر، مع بقاء محل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أوضح منه فسادا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الطواف بالبيت 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مثل ذلك ناظر الى ما هو من لوازم طبيعة الصلاة، و عدم مضرية الزيادة السهوية لا يكون من لوازم هذه الطبيعة، بل ربما تختلف أجزاؤها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أشكل من ذلك شمول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أيما امرئ ركب أمرا بجهالة فلا شي‌ء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أيضا منصرف إلى نفي الشي‌ء ما دامت الجهالة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النكتة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الظاهر من هذه الألسنة كون مثل هذه العناوين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الجهل و النسيان، بل و الاضطرار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مانعة عن اقتضاء مقتضيات الآثار، ما دام وجودها، فبارتفاعها تؤثر المقتضيات أثرها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بمثل ذلك يفرّق بين أثر العقوبة، و بين وجوب الإعادة، فإن العقوبة على الفعل أو الترك في حال عدم الجهل إنما هي على الاستحقاق، فبالجهل ترتفع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في وجوب الإعادة فلأن المصلحة في كل آن باقية، فما دامت تلك المصلحة المقتضية كانت مقرونة بالمانع لم تكن تؤثر في وجوب الإعادة، فمهما ارتفع المانع فالمصلحة الباقية حين الارتفاع مؤثرة في إيجاب الإعادة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نقول بعدم صلاحية مثل هذه الأدلة لإثبات الاجزاء في الأوامر الظاهرية، أو الاضطرارية لنسيان أو غيره، و لعله من جهة ذلك التزم الأصحاب بالاجزاء في فرض الجهل أو الغفلة عن حكم المسألة، و جعلوا الجاهل بالحكم كالعامد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صورة الجهل بالموضوع ربما ينتهي أمره الى الغفلة، فيكون تركه خارجا عن العمد، كما هو الشأن في باب الصلاة</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عليه فتسريتهم حكم العامد إلى الجاهل بالحكم أو الناسي له، كان على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الأمر مع القصور فيهما يفترقان مع العمد في الإثم، و إلّا ففي باب الاجزاء يكون كلاهما توأمين في عدم الاجزاء عن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ذلك يبقى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عدم تمامية هذه الوجوه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الاجزاء المزبور، في وجه التزامهم بالاجزاء بالنسبة إلى صورة النسيان عن الزيادة المزبورة موضوعا، بعد شمول دليل مانعية الزيادة بإطلاقه لمثل هذه الحالة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يكفي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يستفاد من النصوص المستفيضة، بأنه مع الزيادة سهوا يتم أسبوعا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إنما يتم على مذهب المشهور، من أنّ الأولى فريضة، و إلّا فعلى القول بكون الأولى نافلة و الثانية فريضة، فلا يتم به المدعى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سيجي‌ء عن المقنع مصيره الى بطلان الطواف بالزيادة سهوا </w:t>
      </w:r>
      <w:r>
        <w:rPr>
          <w:rStyle w:val="FootnoteAnchor"/>
          <w:rtl w:val="true"/>
        </w:rPr>
        <w:footnoteReference w:id="333"/>
      </w:r>
      <w:r>
        <w:rPr>
          <w:rFonts w:ascii="Amiri" w:hAnsi="Amiri" w:eastAsia="Amiri" w:cs="Amiri"/>
          <w:color w:val="111111"/>
          <w:sz w:val="28"/>
          <w:sz w:val="28"/>
          <w:szCs w:val="28"/>
          <w:rtl w:val="true"/>
          <w:lang w:bidi="ar-SA"/>
        </w:rPr>
        <w:t>، و لنا فيه أيضا كلام فانتظر لسماعة مفصلا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في الشرائع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الزيادة في الطواف النافلة مكروهة </w:t>
      </w:r>
      <w:r>
        <w:rPr>
          <w:rStyle w:val="FootnoteAnchor"/>
          <w:rtl w:val="true"/>
        </w:rPr>
        <w:footnoteReference w:id="334"/>
      </w:r>
      <w:r>
        <w:rPr>
          <w:rFonts w:ascii="Amiri" w:hAnsi="Amiri" w:eastAsia="Amiri" w:cs="Amiri"/>
          <w:color w:val="111111"/>
          <w:sz w:val="28"/>
          <w:sz w:val="28"/>
          <w:szCs w:val="28"/>
          <w:rtl w:val="true"/>
          <w:lang w:bidi="ar-SA"/>
        </w:rPr>
        <w:t>، و لا قصور فيه إمكانا، و في الفرق بينه و بين الفريضة من تلك الجهة، بعد الفراغ عن تصحيح قرينيته فيهما، و لو من جهة صرف التشريع فيه الى جهة التطبيق، فإشكال الجواهر في عدم الفرق بينهما من حيث الحرمة، إنما يتوجه على فرض كون وجه مبطلية الزيادة في المقامين هو الإخلال بالقربة من ناحية تشريعه، و إلّا فعلى فرض ثبوت المانعية في نفس الزيادة من غير جهة التشريع، لا قصور في تصوّر الفرق بينهما في الحرمة و الكراهة، غاية الأمر تحتاج كراهة الزيادة في المقام إلى دليل متقن، و ربما اعترف به أيضا بقوله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عليه فقد يتوهم الأخذ بإطلاق خبر طلحة، الدال على كراهة القطع بغير</w:t>
      </w:r>
      <w:bookmarkStart w:id="180" w:name="pg19818_203989"/>
    </w:p>
    <w:p>
      <w:pPr>
        <w:pStyle w:val="BookText"/>
        <w:rPr/>
      </w:pPr>
      <w:bookmarkEnd w:id="180"/>
      <w:r>
        <w:rPr>
          <w:rFonts w:ascii="Amiri" w:hAnsi="Amiri" w:eastAsia="Amiri" w:cs="Amiri"/>
          <w:color w:val="111111"/>
          <w:sz w:val="28"/>
          <w:sz w:val="28"/>
          <w:szCs w:val="28"/>
          <w:rtl w:val="true"/>
          <w:lang w:bidi="ar-SA"/>
        </w:rPr>
        <w:t>الوتر مثل الثمانية، فإنّ لازمة كراهة هذه الزيادة، فيتعدّى إلى غيره بعدم القول بالفصل، بعد حمل إطلاقه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النفل و الفرض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النفل، بقرينة ما دل في الفريضة على مانعية الزيادة فيها و حرمتها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 يخفى ما فيه، من انّ التعدّي إلى الغير، بعدم القول بالفصل في مثل المقام، مستلزم لطرح الرواية، إذ لا مجال للأخذ بمفهومها سندا و طرح منطوقها، لعدم مساعدة العرف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يبقى بعد ذلك مناط للتعدّي أصلا، فلا محيص في مثل المقام إلّا عن غمض العين عن النص رأسا، أو غمض العين عن تعدّي الأصحاب من الشفع في الزيادة إلى الوتر، بل من المحتمل كون المراد من الرواية الانصراف عن غير الوتر المعهود من السبعة، لا كل وتر، فتكون الكراهة بمعناها اللغوي المجامع مع الحرمة أيضا، فلا يرتبط بمدعانا حينئذ أصلا، و لا يبعد مثل هذا الحمل في قبال طرحها رأسا،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فلا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البراءة عن مانعية الزيادة في النافلة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الكراهة المصطلحة، و لعله لذا حمل في الجواهر الكراهة، في المقام على الزيادة بمعنى القران بين الطوافين، لا على زيادة شوط واحد </w:t>
      </w:r>
      <w:r>
        <w:rPr>
          <w:rStyle w:val="FootnoteAnchor"/>
          <w:rtl w:val="true"/>
        </w:rPr>
        <w:footnoteReference w:id="3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هذا الاحتمال في كلماتهم لا تسلم في ذلك في البين على وجه يلازم قيام إجماع في المسئولة، نظير المسألة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لا التسامح في المرجوحية، و لو من جهة فتوى فقيه واحد في المندوبات و المكروهات، لا وجه للحكم بكراهة الزيادة في النافلة رأسا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مسألة القران بينهما، الحاصل بطوافين بلا تخلل صلاة بينهما، و هي</w:t>
      </w:r>
    </w:p>
    <w:p>
      <w:pPr>
        <w:pStyle w:val="Heading5"/>
        <w:numPr>
          <w:ilvl w:val="4"/>
          <w:numId w:val="1"/>
        </w:numPr>
        <w:rPr/>
      </w:pPr>
      <w:bookmarkStart w:id="181" w:name="__RefHeading___Toc3320816_2314609296"/>
      <w:bookmarkStart w:id="182" w:name="_Toc66"/>
      <w:bookmarkEnd w:id="181"/>
      <w:r>
        <w:rPr>
          <w:rtl w:val="true"/>
        </w:rPr>
        <w:t>المسألة الثالثة التي بنينا على التعرض لها،</w:t>
      </w:r>
      <w:bookmarkEnd w:id="182"/>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قد يظهر من كلماتهم</w:t>
      </w:r>
    </w:p>
    <w:p>
      <w:pPr>
        <w:pStyle w:val="BookText"/>
        <w:rPr/>
      </w:pPr>
      <w:r>
        <w:rPr>
          <w:rFonts w:ascii="Amiri" w:hAnsi="Amiri" w:eastAsia="Amiri" w:cs="Amiri"/>
          <w:color w:val="111111"/>
          <w:sz w:val="28"/>
          <w:sz w:val="28"/>
          <w:szCs w:val="28"/>
          <w:rtl w:val="true"/>
          <w:lang w:bidi="ar-SA"/>
        </w:rPr>
        <w:t>أيضا الفرق بين الفريضة و النافلة، بالحرمة في الأول و الكراهة في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الأصل في ذلك نصوص واردة من أصحاب العصمة، ففي بعضها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قران بين أسبوعين في فريضة و نافلة</w:t>
      </w:r>
      <w:r>
        <w:rPr>
          <w:rFonts w:eastAsia="Amiri" w:cs="Amiri" w:ascii="Amiri" w:hAnsi="Amiri"/>
          <w:color w:val="111111"/>
          <w:sz w:val="28"/>
          <w:szCs w:val="28"/>
          <w:rtl w:val="true"/>
          <w:lang w:bidi="ar-SA"/>
        </w:rPr>
        <w:t xml:space="preserve">»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يؤيده إطلاق نص البزنطي بعد السؤال عن الرجل يطوف الأسباع جميعا فيقرن،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إلّا أسبوع و ركعتان</w:t>
      </w:r>
      <w:r>
        <w:rPr>
          <w:rFonts w:eastAsia="Amiri" w:cs="Amiri" w:ascii="Amiri" w:hAnsi="Amiri"/>
          <w:color w:val="111111"/>
          <w:sz w:val="28"/>
          <w:szCs w:val="28"/>
          <w:rtl w:val="true"/>
          <w:lang w:bidi="ar-SA"/>
        </w:rPr>
        <w:t xml:space="preserve">»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يصلح حتى يصلّي ركعتي الأسبوع الأول، ثم ليطوف ما أحب</w:t>
      </w:r>
      <w:r>
        <w:rPr>
          <w:rFonts w:eastAsia="Amiri" w:cs="Amiri" w:ascii="Amiri" w:hAnsi="Amiri"/>
          <w:color w:val="111111"/>
          <w:sz w:val="28"/>
          <w:szCs w:val="28"/>
          <w:rtl w:val="true"/>
          <w:lang w:bidi="ar-SA"/>
        </w:rPr>
        <w:t xml:space="preserve">» </w:t>
      </w:r>
      <w:r>
        <w:rPr>
          <w:rStyle w:val="FootnoteAnchor"/>
          <w:rtl w:val="true"/>
        </w:rPr>
        <w:footnoteReference w:id="338"/>
      </w:r>
      <w:r>
        <w:rPr>
          <w:rFonts w:ascii="Amiri" w:hAnsi="Amiri" w:eastAsia="Amiri" w:cs="Amiri"/>
          <w:color w:val="111111"/>
          <w:sz w:val="28"/>
          <w:sz w:val="28"/>
          <w:szCs w:val="28"/>
          <w:rtl w:val="true"/>
          <w:lang w:bidi="ar-SA"/>
        </w:rPr>
        <w:t>، و ظاهره نفي الصلوحية في الطواف الأول و عدم الضمير في القران بين البقية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بمثل هذا النص لا يمكن أخذ الإطلاق من حيث الفريضة و النافلة، إذ لازم حمل الأول على الفريضة عدم الكراهة في النافلة حتى في الطواف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لازم شموله للنافلة الكراهة في الطواف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فقهرا لازم الإطلاق وقوع التعارض في أول وجود النافلة في كراهيته و عدمها، فربما يصير مثل ذلك شاهدا، لإجمال الرواية من حيث الفريضة و النافلة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بأس بالأخذ بنص آخر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يصلح له أن يطوف الطوافين و الثلاثة و لا يفرّق بينهما بالصلاة حتى يصلّي بها جميعا؟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غير انه يسلّم في كل ركعتين</w:t>
      </w:r>
      <w:r>
        <w:rPr>
          <w:rFonts w:eastAsia="Amiri" w:cs="Amiri" w:ascii="Amiri" w:hAnsi="Amiri"/>
          <w:color w:val="111111"/>
          <w:sz w:val="28"/>
          <w:szCs w:val="28"/>
          <w:rtl w:val="true"/>
          <w:lang w:bidi="ar-SA"/>
        </w:rPr>
        <w:t xml:space="preserve">» </w:t>
      </w:r>
      <w:r>
        <w:rPr>
          <w:rStyle w:val="FootnoteAnchor"/>
          <w:rtl w:val="true"/>
        </w:rPr>
        <w:footnoteReference w:id="3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يصلّي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الوجوب قرينة نفي البأس عن تكرار الطواف، و إلّا فلا بد من حمل هيئته على الندب</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أي حال فإطلاقه يشمل الفريضة و النافلة، فعلى الاحتمال الأول يلحق بالمطلقات السابقة المانعة، و على الأخير يكون ذلك بإطلاقه دليلا على</w:t>
      </w:r>
    </w:p>
    <w:p>
      <w:pPr>
        <w:pStyle w:val="BookText"/>
        <w:rPr/>
      </w:pPr>
      <w:r>
        <w:rPr>
          <w:rFonts w:ascii="Amiri" w:hAnsi="Amiri" w:eastAsia="Amiri" w:cs="Amiri"/>
          <w:color w:val="111111"/>
          <w:sz w:val="28"/>
          <w:sz w:val="28"/>
          <w:szCs w:val="28"/>
          <w:rtl w:val="true"/>
          <w:lang w:bidi="ar-SA"/>
        </w:rPr>
        <w:t>جواز القران حتى في الفريضة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الانصاف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قوة الاحتمال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قوة في الثانية، فلا يصلح مثل هذا النص أيضا قرينة على الجواز المطلق، فتبقى الإطلاقات السابقة باقية بحالها، مع الجزم بلزوم تقييدها بغير الطواف الأول من النافلة جزما، بقرينة الرواية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حينئذ فلو تم عدم الفصل في عدم الحرمة في النافلة بين الطواف الأول و الثاني، كان ذلك صالحا لرفع الإجمال بحمل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الحرمة في الفريضة، بجعل الطواف الأول كناية عن الفريضة، و بعد ذلك أمكن استفادة التفصيل بين الفريضة و النافلة بهذا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يؤيده أيضا ما ورد في النص أيضا من التفصيل بين الفريضة و النافلة في الكراهة، بحمل الكراهة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بقرينة 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المطلقات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الكراهة اللغوية، نظير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المحمول على الحرمة كما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أقل من عدم ظهوره في الكراهة المصطلحة، فلا يزاحم المطلقات إلّا في الترخيص في النافلة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أيضا بقرينة إطلاق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قران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و التصريح به في النص الأول في خصوص النافلة أيضا، و لازمة استفادة الكراهة المصطلحة فيها دون الفريضة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مثل هذا الجمع يبقى اشكال آخر، و هو انّ في بعض النصوص صدور القران من الأئمة عليهم السلام، و هو ينافي الكراهة في النافلة أيضا، فلا محيص إما من الحمل على التقية بقرينة ما في بعض النصوص من قوله</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قرن أبو الحسن لأنه كان يطوف مع محمد بن إبراهيم لحال التقية</w:t>
      </w:r>
      <w:r>
        <w:rPr>
          <w:rFonts w:eastAsia="Amiri" w:cs="Amiri" w:ascii="Amiri" w:hAnsi="Amiri"/>
          <w:color w:val="111111"/>
          <w:sz w:val="28"/>
          <w:szCs w:val="28"/>
          <w:rtl w:val="true"/>
          <w:lang w:bidi="ar-SA"/>
        </w:rPr>
        <w:t xml:space="preserve">» </w:t>
      </w:r>
      <w:r>
        <w:rPr>
          <w:rStyle w:val="FootnoteAnchor"/>
          <w:rtl w:val="true"/>
        </w:rPr>
        <w:footnoteReference w:id="340"/>
      </w:r>
      <w:r>
        <w:rPr>
          <w:rFonts w:ascii="Amiri" w:hAnsi="Amiri" w:eastAsia="Amiri" w:cs="Amiri"/>
          <w:color w:val="111111"/>
          <w:sz w:val="28"/>
          <w:sz w:val="28"/>
          <w:szCs w:val="28"/>
          <w:rtl w:val="true"/>
          <w:lang w:bidi="ar-SA"/>
        </w:rPr>
        <w:t>، و حينئذ لا قصور في النصوص لاستفادة مذهب المشهور من التفصيل بين</w:t>
      </w:r>
    </w:p>
    <w:p>
      <w:pPr>
        <w:pStyle w:val="BookText"/>
        <w:rPr/>
      </w:pPr>
      <w:r>
        <w:rPr>
          <w:rFonts w:ascii="Amiri" w:hAnsi="Amiri" w:eastAsia="Amiri" w:cs="Amiri"/>
          <w:color w:val="111111"/>
          <w:sz w:val="28"/>
          <w:sz w:val="28"/>
          <w:szCs w:val="28"/>
          <w:rtl w:val="true"/>
          <w:lang w:bidi="ar-SA"/>
        </w:rPr>
        <w:t>الفريضة و النافلة في حرمة القران و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بعد ثبوت حرمة القران فهل يقتضي ذلك مجرد البطلان بجعل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إرشادا الى عدم الوقوع، أو يستفاد الحرمة مولويا؟</w:t>
      </w:r>
    </w:p>
    <w:p>
      <w:pPr>
        <w:pStyle w:val="BookText"/>
        <w:rPr/>
      </w:pPr>
      <w:r>
        <w:rPr>
          <w:rFonts w:ascii="Amiri" w:hAnsi="Amiri" w:eastAsia="Amiri" w:cs="Amiri"/>
          <w:color w:val="111111"/>
          <w:sz w:val="28"/>
          <w:sz w:val="28"/>
          <w:szCs w:val="28"/>
          <w:rtl w:val="true"/>
          <w:lang w:bidi="ar-SA"/>
        </w:rPr>
        <w:t>و على الأخير فهل يستفاد منه بطلان الطواف أيضا أم لا؟</w:t>
      </w:r>
    </w:p>
    <w:p>
      <w:pPr>
        <w:pStyle w:val="BookText"/>
        <w:rPr/>
      </w:pPr>
      <w:r>
        <w:rPr>
          <w:rFonts w:ascii="Amiri" w:hAnsi="Amiri" w:eastAsia="Amiri" w:cs="Amiri"/>
          <w:color w:val="111111"/>
          <w:sz w:val="28"/>
          <w:sz w:val="28"/>
          <w:szCs w:val="28"/>
          <w:rtl w:val="true"/>
          <w:lang w:bidi="ar-SA"/>
        </w:rPr>
        <w:t>و على الأول فهل الباطل هو الأول أو الأخير أو كلاهما؟</w:t>
      </w:r>
    </w:p>
    <w:p>
      <w:pPr>
        <w:pStyle w:val="BookText"/>
        <w:rPr/>
      </w:pPr>
      <w:r>
        <w:rPr>
          <w:rFonts w:ascii="Amiri" w:hAnsi="Amiri" w:eastAsia="Amiri" w:cs="Amiri"/>
          <w:color w:val="111111"/>
          <w:sz w:val="28"/>
          <w:sz w:val="28"/>
          <w:szCs w:val="28"/>
          <w:rtl w:val="true"/>
          <w:lang w:bidi="ar-SA"/>
        </w:rPr>
        <w:t>وجوه، مقتضى التحقيق كون مدلول النهي أو النفي في أمثال المقام مجرد الإرشاد إلى عدم الوقوع، نظير سائر النواهي الواردة في مقام بيان حقيقة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ذلك يمكن دعوى انّ العرف يفهم من عدم وقوع القران بطلان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تعلق النهي بالأول مقرونا بغيره فظاهره البطلان بقرانه بغيره، و أما لو كان بلسان نفي وقوع القران بين الطوافين فيستفاد منه الإرشاد إلى عدم وقوع الثاني، لا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يستفاد منه فساد الحج أيضا، إذ مثل هذا النهي ناظر إلى الإرشاد إلى وقوع الطواف و عدمه، و كان في مقام الإرشاد إلى بيان هذه الحقيقة، بلا نظر فيه إلى بيان مانعيته عن الحج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يقاس المقام حينئذ بالنهي عن القران بين السورتين في الصلاة، إذ هناك لا معنى لإرشاديته إلى مانعيته عن وقوع نفس السورة، فلا محيص عن جعل النظر فيه إلى الإرشاد إلى مانعيته للصلاة، فالقياس المناسب للمقام هو ما لو فرض نهي عن القران بين الصلاتين، فإنه أيضا يدل على فساد الثاني، كما لا يخفى</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لو أغمض عن ذلك و جعل النهي أو النفي خاليا عن مطلوبية ترك القران مولويا، ففي اقتضائه بطلان واحد منهما إشكال، إذ النهي المتوجه إلى نفس الإضافة لا يقتضي مبغوضية ذات المضاف، فلا بأس ببقاء ذاته على محبوبيته، القابل للتقرب به مع مبغوضية إضافته الخاصة إلى غيره</w:t>
      </w:r>
      <w:r>
        <w:rPr>
          <w:rFonts w:eastAsia="Amiri" w:cs="Amiri" w:ascii="Amiri" w:hAnsi="Amiri"/>
          <w:color w:val="111111"/>
          <w:sz w:val="28"/>
          <w:szCs w:val="28"/>
          <w:rtl w:val="true"/>
          <w:lang w:bidi="ar-SA"/>
        </w:rPr>
        <w:t>.</w:t>
      </w:r>
      <w:bookmarkStart w:id="183" w:name="pg19818_203993"/>
    </w:p>
    <w:p>
      <w:pPr>
        <w:pStyle w:val="BookText"/>
        <w:rPr/>
      </w:pPr>
      <w:bookmarkEnd w:id="183"/>
      <w:r>
        <w:rPr>
          <w:rFonts w:ascii="Amiri" w:hAnsi="Amiri" w:eastAsia="Amiri" w:cs="Amiri"/>
          <w:color w:val="111111"/>
          <w:sz w:val="28"/>
          <w:sz w:val="28"/>
          <w:szCs w:val="28"/>
          <w:rtl w:val="true"/>
          <w:lang w:bidi="ar-SA"/>
        </w:rPr>
        <w:t>و لئن أغمض عن ذلك أيضا و قلنا برجوع مبغوضية الإضافة، التي هي من الأمور الاعتبارية، إلى مبغوضية منشأ اعتبارها من الطرفين، فلا وجه لتخصيص المبغوضية بأحدهما، بل بمقتضى الترجيح بلا مرجح، ترجع المبغوضية إلى كليهما، لكن مثل هذا الكلام فرض في فرض غير 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المقام احتمال آخر في النهي قبال الاحتمالين، بل ربما أمكن استفادته من بعض النصوص، و هو حمل النهي عن القران على العرضي بلحاظ النهي عن ترك ضده من الصلاة الواجب فورا، و لازمة حينئذ عدم بطلان واحد منهما نظير النهي عن البيع وقت النداء، بل على فرض ارشاديته أمكن دعوى الإرشاد إلى عدم تمامية الأول من الطوافين بترك صلاته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اقتضائه هذا المقدار من النهي فوت محل الصلاة رأسا اشكال، كيف و ليس ذلك بأعظم من بقية المناسك، حيث قلنا بعدم اقتضائها فوت محل الصلاة، بل يأتي بها في محلها، كما لا يخفى، هذا و اللّٰه العالم</w:t>
      </w:r>
      <w:r>
        <w:rPr>
          <w:rFonts w:eastAsia="Amiri" w:cs="Amiri" w:ascii="Amiri" w:hAnsi="Amiri"/>
          <w:color w:val="111111"/>
          <w:sz w:val="28"/>
          <w:szCs w:val="28"/>
          <w:rtl w:val="true"/>
          <w:lang w:bidi="ar-SA"/>
        </w:rPr>
        <w:t>.</w:t>
      </w:r>
    </w:p>
    <w:p>
      <w:pPr>
        <w:pStyle w:val="Heading5"/>
        <w:numPr>
          <w:ilvl w:val="4"/>
          <w:numId w:val="1"/>
        </w:numPr>
        <w:rPr/>
      </w:pPr>
      <w:bookmarkStart w:id="184" w:name="__RefHeading___Toc3320818_2314609296"/>
      <w:bookmarkStart w:id="185" w:name="_Toc67"/>
      <w:bookmarkEnd w:id="184"/>
      <w:r>
        <w:rPr>
          <w:rtl w:val="true"/>
        </w:rPr>
        <w:t>المسألة الرابعة</w:t>
      </w:r>
      <w:r>
        <w:rPr>
          <w:rtl w:val="true"/>
        </w:rPr>
        <w:t xml:space="preserve">: </w:t>
      </w:r>
      <w:r>
        <w:rPr>
          <w:rtl w:val="true"/>
        </w:rPr>
        <w:t>وقت الطواف للزيارة في العمرة المفردة طول العمر،</w:t>
      </w:r>
      <w:bookmarkEnd w:id="185"/>
    </w:p>
    <w:p>
      <w:pPr>
        <w:pStyle w:val="BookText"/>
        <w:rPr/>
      </w:pPr>
      <w:r>
        <w:rPr>
          <w:rFonts w:ascii="Amiri" w:hAnsi="Amiri" w:eastAsia="Amiri" w:cs="Amiri"/>
          <w:color w:val="111111"/>
          <w:sz w:val="28"/>
          <w:sz w:val="28"/>
          <w:szCs w:val="28"/>
          <w:rtl w:val="true"/>
          <w:lang w:bidi="ar-SA"/>
        </w:rPr>
        <w:t>للإطلاقات و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المسلّم أيضا في الكلمات كما انّ في الحج غير المتمتع به طول ذي الحجة و لو اختيارا، فلا اثم، لما في صحيحة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المتمتع متى يزور البيت؟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النحر، أو من الغد و لا يؤخر، و المفرد و القارن ليسا بسواء، موسع عليهما</w:t>
      </w:r>
      <w:r>
        <w:rPr>
          <w:rFonts w:eastAsia="Amiri" w:cs="Amiri" w:ascii="Amiri" w:hAnsi="Amiri"/>
          <w:color w:val="111111"/>
          <w:sz w:val="28"/>
          <w:szCs w:val="28"/>
          <w:rtl w:val="true"/>
          <w:lang w:bidi="ar-SA"/>
        </w:rPr>
        <w:t xml:space="preserve">»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ظاهر التوسعة بإطلاقه جواز تأخيره طول ذي الحجة الذي هو ظرف حجه، بل إطلاق ظرفيته ربما يقتضي ذلك في غير ما عين وقته كالوقوفين</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المتمتع به فظاهر النص المزبور عدم جواز تأخيره من الغد من يوم</w:t>
      </w:r>
      <w:bookmarkStart w:id="186" w:name="pg19818_203994"/>
    </w:p>
    <w:p>
      <w:pPr>
        <w:pStyle w:val="BookText"/>
        <w:rPr/>
      </w:pPr>
      <w:bookmarkEnd w:id="186"/>
      <w:r>
        <w:rPr>
          <w:rFonts w:ascii="Amiri" w:hAnsi="Amiri" w:eastAsia="Amiri" w:cs="Amiri"/>
          <w:color w:val="111111"/>
          <w:sz w:val="28"/>
          <w:sz w:val="28"/>
          <w:szCs w:val="28"/>
          <w:rtl w:val="true"/>
          <w:lang w:bidi="ar-SA"/>
        </w:rPr>
        <w:t>النحر، و في بعض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يبيت المتمتع يوم النحر بمنى حتى يزور البيت</w:t>
      </w:r>
      <w:r>
        <w:rPr>
          <w:rFonts w:eastAsia="Amiri" w:cs="Amiri" w:ascii="Amiri" w:hAnsi="Amiri"/>
          <w:color w:val="111111"/>
          <w:sz w:val="28"/>
          <w:szCs w:val="28"/>
          <w:rtl w:val="true"/>
          <w:lang w:bidi="ar-SA"/>
        </w:rPr>
        <w:t xml:space="preserve">»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قبالها صريح بعض النصوص في جواز التأخير عن أيام التشريق أيضا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أخّر الزيارة إلى يوم النفر،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Style w:val="FootnoteAnchor"/>
          <w:rtl w:val="true"/>
        </w:rPr>
        <w:footnoteReference w:id="344"/>
      </w:r>
      <w:r>
        <w:rPr>
          <w:rFonts w:ascii="Amiri" w:hAnsi="Amiri" w:eastAsia="Amiri" w:cs="Amiri"/>
          <w:color w:val="111111"/>
          <w:sz w:val="28"/>
          <w:sz w:val="28"/>
          <w:szCs w:val="28"/>
          <w:rtl w:val="true"/>
          <w:lang w:bidi="ar-SA"/>
        </w:rPr>
        <w:t>، و إطلاقه يشمل المتمتع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فالأمر يدور بين حمل النهي عن التأخير على الكراهة، أو حمل المطلقات على القارن و المفرد، و على فرض التشكيك في ترجيح أحد الجميع، كان الأصل يقتضي التوسعة أيضا و عدم تعيين زمان إلى آخر أشهر الحج، و هو طول ذي الحجة، فكيف لو قلنا بترجيح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مع قوة كون الحاج الذي شأنه النفر غالبا متمتعا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الأمر أظهر، و اللّٰه العالم</w:t>
      </w:r>
      <w:r>
        <w:rPr>
          <w:rFonts w:eastAsia="Amiri" w:cs="Amiri" w:ascii="Amiri" w:hAnsi="Amiri"/>
          <w:color w:val="111111"/>
          <w:sz w:val="28"/>
          <w:szCs w:val="28"/>
          <w:rtl w:val="true"/>
          <w:lang w:bidi="ar-SA"/>
        </w:rPr>
        <w:t>.</w:t>
      </w:r>
    </w:p>
    <w:p>
      <w:pPr>
        <w:pStyle w:val="Heading4"/>
        <w:numPr>
          <w:ilvl w:val="3"/>
          <w:numId w:val="1"/>
        </w:numPr>
        <w:rPr/>
      </w:pPr>
      <w:bookmarkStart w:id="187" w:name="__RefHeading___Toc3320820_2314609296"/>
      <w:bookmarkStart w:id="188" w:name="_Toc68"/>
      <w:bookmarkEnd w:id="187"/>
      <w:r>
        <w:rPr>
          <w:rtl w:val="true"/>
        </w:rPr>
        <w:t>و يستحب فيه أي في الطواف الدعاء عند الدخول إلى مكة</w:t>
      </w:r>
      <w:bookmarkEnd w:id="188"/>
    </w:p>
    <w:p>
      <w:pPr>
        <w:pStyle w:val="BookText"/>
        <w:rPr/>
      </w:pPr>
      <w:r>
        <w:rPr>
          <w:rFonts w:ascii="Amiri" w:hAnsi="Amiri" w:eastAsia="Amiri" w:cs="Amiri"/>
          <w:color w:val="111111"/>
          <w:sz w:val="28"/>
          <w:sz w:val="28"/>
          <w:szCs w:val="28"/>
          <w:rtl w:val="true"/>
          <w:lang w:bidi="ar-SA"/>
        </w:rPr>
        <w:t xml:space="preserve">عند المصنف، و عند دخول المسجد عند جماعة، و النص في الأخير ما عن الصادق عليه السلام في خبر أبي بصير، كما حكاه في الجواهر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 و في صحيح معاوية أيضا دعاء مخصوص فراجع الجواهر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الدعاء لدخول البيت فلم أظفر له على مستند، بل في كثير من المطولات السكوت عنه و عدم التعرض له، و انّ قضية التسامح في السنن</w:t>
      </w:r>
    </w:p>
    <w:p>
      <w:pPr>
        <w:pStyle w:val="BookText"/>
        <w:rPr/>
      </w:pPr>
      <w:r>
        <w:rPr>
          <w:rFonts w:ascii="Amiri" w:hAnsi="Amiri" w:eastAsia="Amiri" w:cs="Amiri"/>
          <w:color w:val="111111"/>
          <w:sz w:val="28"/>
          <w:sz w:val="28"/>
          <w:szCs w:val="28"/>
          <w:rtl w:val="true"/>
          <w:lang w:bidi="ar-SA"/>
        </w:rPr>
        <w:t>تسهّل الخطب في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يستحب أيضا عند دخول الحرم مضغ الإذخر لحسن معاوية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دخلت الحرم فخذ من الإذخر فامضغه</w:t>
      </w:r>
      <w:r>
        <w:rPr>
          <w:rFonts w:eastAsia="IRNazanin" w:cs="IRNazanin"/>
          <w:color w:val="111111"/>
          <w:sz w:val="28"/>
          <w:szCs w:val="28"/>
          <w:rtl w:val="true"/>
          <w:lang w:bidi="fa-IR"/>
        </w:rPr>
        <w:t xml:space="preserve">»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بعض أصحابنا،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ذلك ليطيب به الفم لتقبيل الحجر </w:t>
      </w:r>
      <w:r>
        <w:rPr>
          <w:rStyle w:val="FootnoteAnchor"/>
          <w:rtl w:val="true"/>
        </w:rPr>
        <w:footnoteReference w:id="3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يقتضي استحبابه عند دخول المسجد، و ربما تعدّى الأصحاب بهذا المناط لدخول مكة أيضا لشرافتها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دخول مكة من أعلاها و في النص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ادخل من أعلى مكة، و إذا خرجت تريد المدينة فاخرج من أسفل مكة</w:t>
      </w:r>
      <w:r>
        <w:rPr>
          <w:rFonts w:eastAsia="Amiri" w:cs="Amiri" w:ascii="Amiri" w:hAnsi="Amiri"/>
          <w:color w:val="111111"/>
          <w:sz w:val="28"/>
          <w:szCs w:val="28"/>
          <w:rtl w:val="true"/>
          <w:lang w:bidi="ar-SA"/>
        </w:rPr>
        <w:t xml:space="preserve">»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ليكن دخولها أيضا حافيا بسكينة و وقار، و في النص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دخولها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بسكينة غفر له</w:t>
      </w:r>
      <w:r>
        <w:rPr>
          <w:rFonts w:eastAsia="Amiri" w:cs="Amiri" w:ascii="Amiri" w:hAnsi="Amiri"/>
          <w:color w:val="111111"/>
          <w:sz w:val="28"/>
          <w:szCs w:val="28"/>
          <w:rtl w:val="true"/>
          <w:lang w:bidi="ar-SA"/>
        </w:rPr>
        <w:t xml:space="preserve">» </w:t>
      </w:r>
      <w:r>
        <w:rPr>
          <w:rStyle w:val="FootnoteAnchor"/>
          <w:rtl w:val="true"/>
        </w:rPr>
        <w:footnoteReference w:id="3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ورد في نص آخر يفسر السكينة بالتواضع </w:t>
      </w:r>
      <w:r>
        <w:rPr>
          <w:rStyle w:val="FootnoteAnchor"/>
          <w:rtl w:val="true"/>
        </w:rPr>
        <w:footnoteReference w:id="351"/>
      </w:r>
      <w:r>
        <w:rPr>
          <w:rFonts w:ascii="Amiri" w:hAnsi="Amiri" w:eastAsia="Amiri" w:cs="Amiri"/>
          <w:color w:val="111111"/>
          <w:sz w:val="28"/>
          <w:sz w:val="28"/>
          <w:szCs w:val="28"/>
          <w:rtl w:val="true"/>
          <w:lang w:bidi="ar-SA"/>
        </w:rPr>
        <w:t xml:space="preserve">، و ربما يستفاد كونه حافيا أيضا من ذلك، بل ورد مثله في دخول المسجد و الحرم </w:t>
      </w:r>
      <w:r>
        <w:rPr>
          <w:rStyle w:val="FootnoteAnchor"/>
          <w:rtl w:val="true"/>
        </w:rPr>
        <w:footnoteReference w:id="352"/>
      </w:r>
      <w:r>
        <w:rPr>
          <w:rFonts w:ascii="Amiri" w:hAnsi="Amiri" w:eastAsia="Amiri" w:cs="Amiri"/>
          <w:color w:val="111111"/>
          <w:sz w:val="28"/>
          <w:sz w:val="28"/>
          <w:szCs w:val="28"/>
          <w:rtl w:val="true"/>
          <w:lang w:bidi="ar-SA"/>
        </w:rPr>
        <w:t>، فيتعدّى إلى مكة أيضا لشرافتها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الغسل من بئر ميمون أو فخ، و في النص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تقدمت فاغتسل من بئر ميمون، أو من فخ، أو من منزلك بمكة</w:t>
      </w:r>
      <w:r>
        <w:rPr>
          <w:rFonts w:eastAsia="Amiri" w:cs="Amiri" w:ascii="Amiri" w:hAnsi="Amiri"/>
          <w:color w:val="111111"/>
          <w:sz w:val="28"/>
          <w:szCs w:val="28"/>
          <w:rtl w:val="true"/>
          <w:lang w:bidi="ar-SA"/>
        </w:rPr>
        <w:t xml:space="preserve">» </w:t>
      </w:r>
      <w:r>
        <w:rPr>
          <w:rStyle w:val="FootnoteAnchor"/>
          <w:rtl w:val="true"/>
        </w:rPr>
        <w:footnoteReference w:id="3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التفصيل منزّل على اختلاف محله</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نص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عبد الصمد</w:t>
      </w:r>
      <w:r>
        <w:rPr>
          <w:rFonts w:eastAsia="Amiri" w:cs="Amiri" w:ascii="Amiri" w:hAnsi="Amiri"/>
          <w:color w:val="111111"/>
          <w:sz w:val="28"/>
          <w:szCs w:val="28"/>
          <w:rtl w:val="true"/>
          <w:lang w:bidi="ar-SA"/>
        </w:rPr>
        <w:t xml:space="preserve">» </w:t>
      </w:r>
      <w:r>
        <w:rPr>
          <w:rStyle w:val="FootnoteAnchor"/>
          <w:rtl w:val="true"/>
        </w:rPr>
        <w:footnoteReference w:id="354"/>
      </w:r>
      <w:r>
        <w:rPr>
          <w:rFonts w:ascii="Amiri" w:hAnsi="Amiri" w:eastAsia="Amiri" w:cs="Amiri"/>
          <w:color w:val="111111"/>
          <w:sz w:val="28"/>
          <w:sz w:val="28"/>
          <w:szCs w:val="28"/>
          <w:rtl w:val="true"/>
          <w:lang w:bidi="ar-SA"/>
        </w:rPr>
        <w:t>، و يمكن الحمل على التخيير لمن كان</w:t>
      </w:r>
    </w:p>
    <w:p>
      <w:pPr>
        <w:pStyle w:val="BookText"/>
        <w:rPr/>
      </w:pPr>
      <w:r>
        <w:rPr>
          <w:rFonts w:ascii="Amiri" w:hAnsi="Amiri" w:eastAsia="Amiri" w:cs="Amiri"/>
          <w:color w:val="111111"/>
          <w:sz w:val="28"/>
          <w:sz w:val="28"/>
          <w:szCs w:val="28"/>
          <w:rtl w:val="true"/>
          <w:lang w:bidi="ar-SA"/>
        </w:rPr>
        <w:t>خارج مكة بين البئرين و الفخ و للداخل من منزله، كما هو ظاهر المصنف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استلام الحجر و الركن اليماني، و في النص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رسول اللّٰه صلّى اللّٰه عليه و آله استلم هذين، و لم يستلم هذين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يعني الركنين الأخيرين، و في ذيله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على الناس أن يفعلوا ما فعل رسول اللّٰه</w:t>
      </w:r>
      <w:r>
        <w:rPr>
          <w:rFonts w:eastAsia="Amiri" w:cs="Amiri" w:ascii="Amiri" w:hAnsi="Amiri"/>
          <w:color w:val="111111"/>
          <w:sz w:val="28"/>
          <w:szCs w:val="28"/>
          <w:rtl w:val="true"/>
          <w:lang w:bidi="ar-SA"/>
        </w:rPr>
        <w:t xml:space="preserve">»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النص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رسول اللّٰه كان يقبلهما و يضع خده عليهما</w:t>
      </w:r>
      <w:r>
        <w:rPr>
          <w:rFonts w:eastAsia="Amiri" w:cs="Amiri" w:ascii="Amiri" w:hAnsi="Amiri"/>
          <w:color w:val="111111"/>
          <w:sz w:val="28"/>
          <w:szCs w:val="28"/>
          <w:rtl w:val="true"/>
          <w:lang w:bidi="ar-SA"/>
        </w:rPr>
        <w:t xml:space="preserve">»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ليكن الاستلام في كل شوط، و كذا تقبيله أو الإيماء إليه، لما في النص من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أبي إذا انتهى إلى الحجر مسحه بيده و قبّله، و إذا انتهى الى الركن اليماني التزمه</w:t>
      </w:r>
      <w:r>
        <w:rPr>
          <w:rFonts w:eastAsia="Amiri" w:cs="Amiri" w:ascii="Amiri" w:hAnsi="Amiri"/>
          <w:color w:val="111111"/>
          <w:sz w:val="28"/>
          <w:szCs w:val="28"/>
          <w:rtl w:val="true"/>
          <w:lang w:bidi="ar-SA"/>
        </w:rPr>
        <w:t xml:space="preserve">» </w:t>
      </w:r>
      <w:r>
        <w:rPr>
          <w:rStyle w:val="FootnoteAnchor"/>
          <w:rtl w:val="true"/>
        </w:rPr>
        <w:footnoteReference w:id="3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ظاهره انتهاؤه إليه في كل شوط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الإيماء فإنه أيضا نحو تعظيم يستفاد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حكمه من المراتب السابقة من الالتزام و التقبيل و مسح اليد، و لم أر نصا به بخصوصه </w:t>
      </w:r>
      <w:r>
        <w:rPr>
          <w:rStyle w:val="FootnoteAnchor"/>
          <w:rtl w:val="true"/>
        </w:rPr>
        <w:footnoteReference w:id="358"/>
      </w:r>
      <w:r>
        <w:rPr>
          <w:rFonts w:ascii="Amiri" w:hAnsi="Amiri" w:eastAsia="Amiri" w:cs="Amiri"/>
          <w:color w:val="111111"/>
          <w:sz w:val="28"/>
          <w:sz w:val="28"/>
          <w:szCs w:val="28"/>
          <w:rtl w:val="true"/>
          <w:lang w:bidi="ar-SA"/>
        </w:rPr>
        <w:t>، لكن الخطب فيه سهل كما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الدعاء عند الاستلام، و في النص المنسوب إلى معاوية تفصيل الدعاء عند التزام المستجار، و عند الركن اليماني، و عند الحجر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الدعاء في الطواف أيضا بالمأثور كما في صحيح معاوية أيضا بقوله</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أسألك</w:t>
      </w:r>
      <w:r>
        <w:rPr>
          <w:rFonts w:eastAsia="Amiri" w:cs="Amiri" w:ascii="Amiri" w:hAnsi="Amiri"/>
          <w:color w:val="111111"/>
          <w:sz w:val="28"/>
          <w:szCs w:val="28"/>
          <w:rtl w:val="true"/>
          <w:lang w:bidi="ar-SA"/>
        </w:rPr>
        <w:t xml:space="preserve">» </w:t>
      </w:r>
      <w:r>
        <w:rPr>
          <w:rStyle w:val="FootnoteAnchor"/>
          <w:rtl w:val="true"/>
        </w:rPr>
        <w:footnoteReference w:id="360"/>
      </w:r>
      <w:r>
        <w:rPr>
          <w:rFonts w:ascii="Amiri" w:hAnsi="Amiri" w:eastAsia="Amiri" w:cs="Amiri"/>
          <w:color w:val="111111"/>
          <w:sz w:val="28"/>
          <w:sz w:val="28"/>
          <w:szCs w:val="28"/>
          <w:rtl w:val="true"/>
          <w:lang w:bidi="ar-SA"/>
        </w:rPr>
        <w:t xml:space="preserve">الى آخره، و نقله في الشرائع أيضا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bookmarkStart w:id="189" w:name="pg19818_203997"/>
    </w:p>
    <w:p>
      <w:pPr>
        <w:pStyle w:val="BookText"/>
        <w:rPr/>
      </w:pPr>
      <w:bookmarkEnd w:id="189"/>
      <w:r>
        <w:rPr>
          <w:rFonts w:ascii="Amiri" w:hAnsi="Amiri" w:eastAsia="Amiri" w:cs="Amiri"/>
          <w:color w:val="111111"/>
          <w:sz w:val="28"/>
          <w:sz w:val="28"/>
          <w:szCs w:val="28"/>
          <w:rtl w:val="true"/>
          <w:lang w:bidi="ar-SA"/>
        </w:rPr>
        <w:t>و من نص معاوية ظهر حكم التزام المستجار، و وضع الخد عليه و البطن، و أيضا أشرنا إلى استحباب استلام الركن اليماني المستفاد من النصوص المستفيضة، و أشرنا إلى بعضها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و في بعض النصوص استحباب استلام باقي الأركان </w:t>
      </w:r>
      <w:r>
        <w:rPr>
          <w:rStyle w:val="FootnoteAnchor"/>
          <w:rtl w:val="true"/>
        </w:rPr>
        <w:footnoteReference w:id="362"/>
      </w:r>
      <w:r>
        <w:rPr>
          <w:rFonts w:ascii="Amiri" w:hAnsi="Amiri" w:eastAsia="Amiri" w:cs="Amiri"/>
          <w:color w:val="111111"/>
          <w:sz w:val="28"/>
          <w:sz w:val="28"/>
          <w:szCs w:val="28"/>
          <w:rtl w:val="true"/>
          <w:lang w:bidi="ar-SA"/>
        </w:rPr>
        <w:t>، لكن لا بدرجة الركنين المعهودين، و لعل ترك رسول اللّٰه إياهما كان لحكمة 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النص السابق دلالة على عدم اقدام الناس على ما لم يقدم عليه رسول اللّٰه، و هو مشعر بعدم رجحانه، و يمكن حمله على عدم أقدامهم بقصد استحبابهما بمقدار البقية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ذلك حكمة ترك رسول اللّٰه، لبيان أفضلية البقية، و إلّا فربما ينغرس في الأذهان تساوي الأركان في ذلك،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الطواف ثلاثمائة و ستين طوافا، فإن لم يتمكن فثلاثمائة و ستين شوطا، لصحيح ابن عمار المصرح بالتفصيل، و في ذيله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لم تستطع فما قدرت عليه من الطواف</w:t>
      </w:r>
      <w:r>
        <w:rPr>
          <w:rFonts w:eastAsia="Amiri" w:cs="Amiri" w:ascii="Amiri" w:hAnsi="Amiri"/>
          <w:color w:val="111111"/>
          <w:sz w:val="28"/>
          <w:szCs w:val="28"/>
          <w:rtl w:val="true"/>
          <w:lang w:bidi="ar-SA"/>
        </w:rPr>
        <w:t xml:space="preserve">»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0" w:name="__RefHeading___Toc3320822_2314609296"/>
      <w:bookmarkStart w:id="191" w:name="_Toc69"/>
      <w:bookmarkEnd w:id="190"/>
      <w:r>
        <w:rPr>
          <w:rtl w:val="true"/>
        </w:rPr>
        <w:t>بقي الكلام في أحكام الطواف،</w:t>
      </w:r>
      <w:bookmarkEnd w:id="191"/>
    </w:p>
    <w:p>
      <w:pPr>
        <w:pStyle w:val="BookText"/>
        <w:rPr/>
      </w:pPr>
      <w:r>
        <w:rPr>
          <w:rFonts w:ascii="Amiri" w:hAnsi="Amiri" w:eastAsia="Amiri" w:cs="Amiri"/>
          <w:color w:val="111111"/>
          <w:sz w:val="28"/>
          <w:sz w:val="28"/>
          <w:szCs w:val="28"/>
          <w:rtl w:val="true"/>
          <w:lang w:bidi="ar-SA"/>
        </w:rPr>
        <w:t>و إليه أشار المصنف أيضا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الطواف للزيارة ركن، من تركه عمدا بطل حجه، بل و هكذا في العمرة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الأصل في ذلك فحوى صحيحة ابن يقطين </w:t>
      </w:r>
      <w:r>
        <w:rPr>
          <w:rStyle w:val="FootnoteAnchor"/>
          <w:rtl w:val="true"/>
        </w:rPr>
        <w:footnoteReference w:id="364"/>
      </w:r>
      <w:r>
        <w:rPr>
          <w:rFonts w:ascii="Amiri" w:hAnsi="Amiri" w:eastAsia="Amiri" w:cs="Amiri"/>
          <w:color w:val="111111"/>
          <w:sz w:val="28"/>
          <w:sz w:val="28"/>
          <w:szCs w:val="28"/>
          <w:rtl w:val="true"/>
          <w:lang w:bidi="ar-SA"/>
        </w:rPr>
        <w:t xml:space="preserve">و خبر علي بن حمزة </w:t>
      </w:r>
      <w:r>
        <w:rPr>
          <w:rStyle w:val="FootnoteAnchor"/>
          <w:rtl w:val="true"/>
        </w:rPr>
        <w:footnoteReference w:id="365"/>
      </w:r>
      <w:r>
        <w:rPr>
          <w:rFonts w:ascii="Amiri" w:hAnsi="Amiri" w:eastAsia="Amiri" w:cs="Amiri"/>
          <w:color w:val="111111"/>
          <w:sz w:val="28"/>
          <w:sz w:val="28"/>
          <w:szCs w:val="28"/>
          <w:rtl w:val="true"/>
          <w:lang w:bidi="ar-SA"/>
        </w:rPr>
        <w:t>، الواردين في طواف الحج، الملحق به العمرة بعدم الفصل</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مورد النصين صورة تركه بجهالة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أعاد، و عليه بدنة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أعاد الحج، و عليه بدنة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فيتعدّى إلى صورة العلم بالفحوى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وجوب البدنة بالتعدّي المزبور اشكال، و قد أنكره بعضهم، و لعله للتشكيك في مناط الكفارة نظرا إلى ما ورد بعدم تكررها بتكرر الصيد عمدا كما تقدّم، لقوله تعالى وَ مَنْ عٰادَ فَيَنْتَقِمُ اللّٰهُ مِنْهُ </w:t>
      </w:r>
      <w:r>
        <w:rPr>
          <w:rStyle w:val="FootnoteAnchor"/>
          <w:rtl w:val="true"/>
        </w:rPr>
        <w:footnoteReference w:id="366"/>
      </w:r>
      <w:r>
        <w:rPr>
          <w:rFonts w:ascii="Amiri" w:hAnsi="Amiri" w:eastAsia="Amiri" w:cs="Amiri"/>
          <w:color w:val="111111"/>
          <w:sz w:val="28"/>
          <w:sz w:val="28"/>
          <w:szCs w:val="28"/>
          <w:rtl w:val="true"/>
          <w:lang w:bidi="ar-SA"/>
        </w:rPr>
        <w:t>، بخلاف ما لو تكرر خطأ و سهوا فتتكرر الكفارة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الانصاف أن المستفاد من النصوص المزبورة كون الإعادة و البدنة توأمين، فلو وجبت الإعادة بالفحوى فيتعدّى إلى البدنة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انّ قيام الدليل على خلاف الفحوى في مورد لا يوجب منع انعقاد ظهوره في مقام آخر، فيؤخذ به مع عدم الدليل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المدار في ترك الطواف على عدم إتيانه في وقت الاجتزاء به، على خلاف فيه في التمتع قد تقدّم في المسألة الرابعة من المسائل السابقة في المستحبات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حيث اخترنا فيه كون زمانه طول ذي الحجة، ففوته بتركه فيها بتمامه من دون فرق بين المتمتع و القارن و المفرد بالحج، كما انّ فوت الطواف في العمرة المفردة طول عمره في المتمتع بها قيل الى آخر زمان يتمكن من درك اختياري عرفة، للنهي عن تأخيره من هذا الزمان، حفظا لاختياري عرفة كما لا يخفى، و حينئذ يصدق الفوت بتركه في هذا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يتوهم انّ الفوت بمناط المزاحمة لا يوجب ضيقا في وقته، المقوم لصحتها، و إن أثم من جهة أخرى</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لعله لذا جعل في الجواهر مناط فوته زمانا يستلزم تداركه فوت اضطراري الوقوفين </w:t>
      </w:r>
      <w:r>
        <w:rPr>
          <w:rStyle w:val="FootnoteAnchor"/>
          <w:rtl w:val="true"/>
        </w:rPr>
        <w:footnoteReference w:id="367"/>
      </w:r>
      <w:r>
        <w:rPr>
          <w:rFonts w:ascii="Amiri" w:hAnsi="Amiri" w:eastAsia="Amiri" w:cs="Amiri"/>
          <w:color w:val="111111"/>
          <w:sz w:val="28"/>
          <w:sz w:val="28"/>
          <w:szCs w:val="28"/>
          <w:rtl w:val="true"/>
          <w:lang w:bidi="ar-SA"/>
        </w:rPr>
        <w:t>، إذ حينئذ ينتهي إلى عدم قدرته على إتمام الحج صحيحا، و لازمة</w:t>
      </w:r>
    </w:p>
    <w:p>
      <w:pPr>
        <w:pStyle w:val="BookText"/>
        <w:rPr/>
      </w:pPr>
      <w:r>
        <w:rPr>
          <w:rFonts w:ascii="Amiri" w:hAnsi="Amiri" w:eastAsia="Amiri" w:cs="Amiri"/>
          <w:color w:val="111111"/>
          <w:sz w:val="28"/>
          <w:sz w:val="28"/>
          <w:szCs w:val="28"/>
          <w:rtl w:val="true"/>
          <w:lang w:bidi="ar-SA"/>
        </w:rPr>
        <w:t>عدم وقوع هذا الطواف امتثالا لأمره، فلا يقدر بعده على إتيانه، الموجب لصدق فوته، فتفوت به عمرة تمتعه، و لئن شك في ذلك أيضا فالاستصحاب يقتضي توسعة وقته إلى هذا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لكن لا يخفى أنّ ذلك إنما يتم على فرض عدم إحراز أهمية حفظ اختياري الوقوفين عن سائر المناسك، و إلّا فبعد ابتلائه بإلزام العقل بترك الطواف المزبور، يصدق على مثله تفويت الطواف على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لئن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مع فرض هذه الأهمية لا بد من حفظ الوقوفين، و مع القدرة عليهما من الأول لا تنتهي النوبة إلى اضطراريهما، إذ أدلة الوقوف الاضطراري غير شاملة لصورة تفويت الوقوف عليه اختيارا إجماعا، فكيف يتمكن مثل هذا الشخص من حفظ حجه بطوافه، المنتهي الى تفويت اختياري الوقوفين بسوء اختياره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سيجي‌ء تتمة الكلام عند التعرض لأبواب المزاحمات بين مناسك الحج أو العمرة، فانتظر لتام الكلام في باب الوقوف بعرفات في مسألة ركنيته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في ظرف فساد الحج أو العمرة، لا شبهة في عدم وقوع إحرامه جزء لحجة أو عمرته، و أما فساد أصل الإحرام فلا موجب له، إذ عدم وقوعه جزء الحج أو العمرة المتمتع بها، لا يقتضي بطلان أصل إحرامه، الحاصل بالنية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وزان الإحرام وزان الطهارة الحاصلة بأفعال مخصوصة، معتبرة في شي‌ء بنحو الشطرية، حيث انّ فساد المركب منها لا يقتضي نقض طهارته، بل الناقض لها أمور مخصوصة لا يتحقق النقض بدونها، سواء وقع بوصف الجزئية لعبادة أم لا</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عليه فيحتاج التحلل منه إلى ضم بقية المحللات اليه، و حيث انّ إطلاق محللية التقصير بعد السعي و الطواف يقتضي الاكتفاء به في تحلله من إحرامه</w:t>
      </w:r>
    </w:p>
    <w:p>
      <w:pPr>
        <w:pStyle w:val="BookText"/>
        <w:rPr/>
      </w:pPr>
      <w:r>
        <w:rPr>
          <w:rFonts w:ascii="Amiri" w:hAnsi="Amiri" w:eastAsia="Amiri" w:cs="Amiri"/>
          <w:color w:val="111111"/>
          <w:sz w:val="28"/>
          <w:sz w:val="28"/>
          <w:szCs w:val="28"/>
          <w:rtl w:val="true"/>
          <w:lang w:bidi="ar-SA"/>
        </w:rPr>
        <w:t>هذا، فيكتفى في تحليله بإتمامه عمرة مفردة، بلا احتياج إلى الصبر إلى القابل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لإحرام الحج مناسك مخصوصة محلّلة له، و لا يجدي في تحلله بمناسك أخر، كان للصبر المزبور مجال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بعد عدم اختلاف في حقيقة الإحرامين، و ملاحظة إطلاق محللية الطواف و السعي و التقصير، لا يحتاج في تحلله منه إلى ضم الوقوفين، المستتبع لبقائه على إحرامه لزوما إلى العام القابل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حينئذ فما في الجواهر من التزامه اقتضاء فساد الحج مثلا فساد إحرامه، على وجه لا يحتاج بعد الى التحلل </w:t>
      </w:r>
      <w:r>
        <w:rPr>
          <w:rStyle w:val="FootnoteAnchor"/>
          <w:rtl w:val="true"/>
        </w:rPr>
        <w:footnoteReference w:id="368"/>
      </w:r>
      <w:r>
        <w:rPr>
          <w:rFonts w:ascii="Amiri" w:hAnsi="Amiri" w:eastAsia="Amiri" w:cs="Amiri"/>
          <w:color w:val="111111"/>
          <w:sz w:val="28"/>
          <w:sz w:val="28"/>
          <w:szCs w:val="28"/>
          <w:rtl w:val="true"/>
          <w:lang w:bidi="ar-SA"/>
        </w:rPr>
        <w:t>، منظور، فيه جدا،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ناسيا يأتي به و لو بعد المناسك و انقضاء الوقت، من تمام ذي الحجة كما عرفت، و الأصل في ذلك أيضا ما في صحيح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عمن نسي طواف زيارة البيت حتى يرجع الى أهله،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يضره إذا كان قد قضى مناسكه</w:t>
      </w:r>
      <w:r>
        <w:rPr>
          <w:rFonts w:eastAsia="Amiri" w:cs="Amiri" w:ascii="Amiri" w:hAnsi="Amiri"/>
          <w:color w:val="111111"/>
          <w:sz w:val="28"/>
          <w:szCs w:val="28"/>
          <w:rtl w:val="true"/>
          <w:lang w:bidi="ar-SA"/>
        </w:rPr>
        <w:t xml:space="preserve">»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صحيح علي بن جعفر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يبعث بهدي إن كان تركه في حج يبعث به في حج، و إن كان في عمرة بعث به في عمرة، و يوكل من يطوف عنه ما تركه من طواف الحج</w:t>
      </w:r>
      <w:r>
        <w:rPr>
          <w:rFonts w:eastAsia="Amiri" w:cs="Amiri" w:ascii="Amiri" w:hAnsi="Amiri"/>
          <w:color w:val="111111"/>
          <w:sz w:val="28"/>
          <w:szCs w:val="28"/>
          <w:rtl w:val="true"/>
          <w:lang w:bidi="ar-SA"/>
        </w:rPr>
        <w:t xml:space="preserve">»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إطلاق ذيله يقتضي الإجزاء بالاستنابة، حتى مع عدم تعذر عوده بنفسه</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يمكن تنزيله على الغالب من تعذره، و لو بالتعسر في عوده، وفاقا لظاهر المشهور أيضا، فتبقى أصالة المباشرة في العبادات الواجبة بحالها، فيجب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مهما أمكن و لم يتعسر عليه العود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التدارك، و لو بعد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توهم معارضة ذلك مع ما ورد في الروايتين السابقتين، من اعادة الحج للفوت بجهالة، بل في خبر علي بن حمزة في 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سها </w:t>
      </w:r>
      <w:r>
        <w:rPr>
          <w:rStyle w:val="FootnoteAnchor"/>
          <w:rtl w:val="true"/>
        </w:rPr>
        <w:footnoteReference w:id="371"/>
      </w:r>
      <w:r>
        <w:rPr>
          <w:rFonts w:ascii="IRNazanin" w:hAnsi="IRNazanin" w:eastAsia="IRNazanin"/>
          <w:color w:val="111111"/>
          <w:sz w:val="28"/>
          <w:sz w:val="28"/>
          <w:szCs w:val="28"/>
          <w:rtl w:val="true"/>
          <w:lang w:bidi="fa-IR"/>
        </w:rPr>
        <w:t>، بدل جهل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مدفوع بمنع اتحاد موضوع المسألتين، و اختلال متن رواية علي بن حمزة أيضا يسقطها عن الحجية، لو لم نقل بقوة نسخة جهل بقرينة النص الآخر، و فهم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فرض تسليم صحة النسخة فالرواية الأولى نص، فتحمل الأخرى على الفضيلة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أي حال فيستفاد من النص الثاني حكم العمرة أيضا، و انه يجب عليه العود مع المكنة و عدم التعسر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في وجوب إعادة السعي معه، حتى في فرض التدارك بعد الوقت تأمل، قيل به لإطلاق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طاف بين الصفا و المروة قبل أن يطوف بالبيت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يطوف بالبيت ثم يعود الى الصفا و المروة فيطوف بهما</w:t>
      </w:r>
      <w:r>
        <w:rPr>
          <w:rFonts w:eastAsia="Amiri" w:cs="Amiri" w:ascii="Amiri" w:hAnsi="Amiri"/>
          <w:color w:val="111111"/>
          <w:sz w:val="28"/>
          <w:szCs w:val="28"/>
          <w:rtl w:val="true"/>
          <w:lang w:bidi="ar-SA"/>
        </w:rPr>
        <w:t xml:space="preserve">» </w:t>
      </w:r>
      <w:r>
        <w:rPr>
          <w:rStyle w:val="FootnoteAnchor"/>
          <w:rtl w:val="true"/>
        </w:rPr>
        <w:footnoteReference w:id="372"/>
      </w:r>
      <w:r>
        <w:rPr>
          <w:rFonts w:ascii="Amiri" w:hAnsi="Amiri" w:eastAsia="Amiri" w:cs="Amiri"/>
          <w:color w:val="111111"/>
          <w:sz w:val="28"/>
          <w:sz w:val="28"/>
          <w:szCs w:val="28"/>
          <w:rtl w:val="true"/>
          <w:lang w:bidi="ar-SA"/>
        </w:rPr>
        <w:t>، علاوة عن ترك استفصاله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الإنصاف يقتضي دعوى انصرافه الى قبل مضي الوقت، فلا يشمل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فيبقى ظهور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الرواية السابقة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يطوف عنه ما تركه من طواف الحج</w:t>
      </w:r>
      <w:r>
        <w:rPr>
          <w:rFonts w:eastAsia="Amiri" w:cs="Amiri" w:ascii="Amiri" w:hAnsi="Amiri"/>
          <w:color w:val="111111"/>
          <w:sz w:val="28"/>
          <w:szCs w:val="28"/>
          <w:rtl w:val="true"/>
          <w:lang w:bidi="ar-SA"/>
        </w:rPr>
        <w:t xml:space="preserve">» </w:t>
      </w:r>
      <w:r>
        <w:rPr>
          <w:rStyle w:val="FootnoteAnchor"/>
          <w:rtl w:val="true"/>
        </w:rPr>
        <w:footnoteReference w:id="373"/>
      </w:r>
      <w:r>
        <w:rPr>
          <w:rFonts w:ascii="Amiri" w:hAnsi="Amiri" w:eastAsia="Amiri" w:cs="Amiri"/>
          <w:color w:val="111111"/>
          <w:sz w:val="28"/>
          <w:sz w:val="28"/>
          <w:szCs w:val="28"/>
          <w:rtl w:val="true"/>
          <w:lang w:bidi="ar-SA"/>
        </w:rPr>
        <w:t>، في خصوص الطواف دون السعي بحاله</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يؤيده ما في نص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حكمه بإعادة الطوافين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دم</w:t>
      </w:r>
      <w:r>
        <w:rPr>
          <w:rFonts w:eastAsia="Amiri" w:cs="Amiri" w:ascii="Amiri" w:hAnsi="Amiri"/>
          <w:color w:val="111111"/>
          <w:sz w:val="28"/>
          <w:szCs w:val="28"/>
          <w:rtl w:val="true"/>
          <w:lang w:bidi="ar-SA"/>
        </w:rPr>
        <w:t xml:space="preserve">» </w:t>
      </w:r>
      <w:r>
        <w:rPr>
          <w:rStyle w:val="FootnoteAnchor"/>
          <w:rtl w:val="true"/>
        </w:rPr>
        <w:footnoteReference w:id="374"/>
      </w:r>
      <w:r>
        <w:rPr>
          <w:rFonts w:ascii="Amiri" w:hAnsi="Amiri" w:eastAsia="Amiri" w:cs="Amiri"/>
          <w:color w:val="111111"/>
          <w:sz w:val="28"/>
          <w:sz w:val="28"/>
          <w:szCs w:val="28"/>
          <w:rtl w:val="true"/>
          <w:lang w:bidi="ar-SA"/>
        </w:rPr>
        <w:t>، فان ظاهره حصر الواجب عليه في الدم، فترفع اليد عنه بنص الاستنابة في الطواف، فيبقى السعي بحاله في نفي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يومئ إليه سكوت كلماتهم أيضا عن إعادة السعي، فلا وجه لوجوبه، خصوصا بعد تعليل نفي الإضرار بترك الطواف أيضا، بأنه قضي بقية المناسك، إذ الظاهر شموله للسعي، فلازمه الاجتزاء به، بحكم هذا النص، إذ هو بمنزلة بيان الاكتفاء ببقية المناسك في الوقت في صحة الحج، فلا يضر به عدم وقوع خصوص طوافه، و إن كان يلزم تداركه بعد الوقت بنفسه أو بنائبه، و لو في زمان حياته، كما لا يخفى، فإذن التحقيق عدم وجوب تدارك السعي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هنا مطلب آخر، و هو انّ لازم فوت الطواف و الاكتفاء ببقية المناسك في وقته، حصول الإحلال عمّا يتوقف على البقية، و عدم حصوله عما يتوقف على الطواف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فهو على إحرامه في الجملة، إلى أن يرجع الى مكة، فيطوف و يحل حينئذ من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ففي الاكتفاء بهذا المقدار من الإحرام في رفع حرمة دخول الحرم أو مكة بلا إحرام،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النائب لا بد من إحرام جديد، و بعد إحرامه فهل هذا الإحرام النيابي هو مثل الإحرام الثابت لمنوبه، في كفاية الطواف في إحلاله، أو إحرام تام مستقل، لا يتحلل إلّا بمناسكه من قبل نفسه؟ أوجههما الثاني، إذ من المعلوم انه في إحرامه هذا لم يكن نائبا عن غيره، لفرض حصوله، بل هو من جهة تكليف نفسه، من حرمة دخوله إلّا محرما</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البديهي انّ مثل هذا الإحرام يحتاج الى مناسك مخصوصة من قبل نفسه، فلا يجدي فيه طوافه عن غيره، بل لا بد أن يطوف طوافا مستقلا، و سعيا و تقصيرا، مقدمة لحصول التحلل لنفسه،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أر في كلماتهم تعرضا لهذه الجهة، فراجع، و لعله من باب إيكالهم ذلك إلى مقتضى القواعد و العمومات، كما هو الشأن في كثير من الفروع الخفية الجزئية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فعليهم إلقاء القواعد، و عليك بتفريع الفروع، ما لم ينته الى مخالفة المشهور المعصوم عن</w:t>
      </w:r>
    </w:p>
    <w:p>
      <w:pPr>
        <w:pStyle w:val="BookText"/>
        <w:rPr/>
      </w:pPr>
      <w:r>
        <w:rPr>
          <w:rFonts w:ascii="IRNazanin" w:hAnsi="IRNazanin" w:eastAsia="IRNazanin"/>
          <w:color w:val="111111"/>
          <w:sz w:val="28"/>
          <w:sz w:val="28"/>
          <w:szCs w:val="28"/>
          <w:rtl w:val="true"/>
          <w:lang w:bidi="fa-IR"/>
        </w:rPr>
        <w:t>الخطأ غالبا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التأمل فيما ذكرنا ظهر وجه ما أفاده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التعذر يستنيب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في المقام مطلب، و هو انّ ما ذكرنا كله كان في طواف الزيارة، و أما طواف النساء، فالظاهر من كلماتهم عدم كونه ركنا في الحج، فمن تركه في حجه مع فوت وقته فلا يبطل حجه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ربما يدل عليه ما في النص تارة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طواف بالبيت بعد الحج</w:t>
      </w:r>
      <w:r>
        <w:rPr>
          <w:rFonts w:eastAsia="Amiri" w:cs="Amiri" w:ascii="Amiri" w:hAnsi="Amiri"/>
          <w:color w:val="111111"/>
          <w:sz w:val="28"/>
          <w:szCs w:val="28"/>
          <w:rtl w:val="true"/>
          <w:lang w:bidi="ar-SA"/>
        </w:rPr>
        <w:t xml:space="preserve">» </w:t>
      </w:r>
      <w:r>
        <w:rPr>
          <w:rStyle w:val="FootnoteAnchor"/>
          <w:rtl w:val="true"/>
        </w:rPr>
        <w:footnoteReference w:id="375"/>
      </w:r>
      <w:r>
        <w:rPr>
          <w:rFonts w:ascii="IRNazanin" w:hAnsi="IRNazanin" w:eastAsia="IRNazanin"/>
          <w:color w:val="111111"/>
          <w:sz w:val="28"/>
          <w:sz w:val="28"/>
          <w:szCs w:val="28"/>
          <w:rtl w:val="true"/>
          <w:lang w:bidi="fa-IR"/>
        </w:rPr>
        <w:t>و هو طواف النساء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اخرى في مورد اضطرار المرأة بتركها لطواف النساء حتى خرجت من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تمضي فقد تم حجها</w:t>
      </w:r>
      <w:r>
        <w:rPr>
          <w:rFonts w:eastAsia="Amiri" w:cs="Amiri" w:ascii="Amiri" w:hAnsi="Amiri"/>
          <w:color w:val="111111"/>
          <w:sz w:val="28"/>
          <w:szCs w:val="28"/>
          <w:rtl w:val="true"/>
          <w:lang w:bidi="ar-SA"/>
        </w:rPr>
        <w:t xml:space="preserve">» </w:t>
      </w:r>
      <w:r>
        <w:rPr>
          <w:rStyle w:val="FootnoteAnchor"/>
          <w:rtl w:val="true"/>
        </w:rPr>
        <w:footnoteReference w:id="376"/>
      </w:r>
      <w:r>
        <w:rPr>
          <w:rFonts w:ascii="Amiri" w:hAnsi="Amiri" w:eastAsia="Amiri" w:cs="Amiri"/>
          <w:color w:val="111111"/>
          <w:sz w:val="28"/>
          <w:sz w:val="28"/>
          <w:szCs w:val="28"/>
          <w:rtl w:val="true"/>
          <w:lang w:bidi="ar-SA"/>
        </w:rPr>
        <w:t>، إذ موردها و إن كان صورة الفوت بالاضطرار، إلّا أنّ سياق الجواب بتمامية الحج آب عن حمل تمامية الحج على خصوص حال الاضطرار، خصوصا مع ضمه بالرواية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انّ مجرد وجوب شي‌ء في الحج لا يقتضي جزئيته، و ظهور الأوامر الواردة في بيان الحج في 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الشأن في سائر المقامات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يكون مرهونا بثبوت عدم ركنية كثير من واجباته، خصوصا، لو انضم إليها المحرمات في حال الإحرام</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عليه فلا يبقى الظهور المزبور في باب الحج على حاله، فيحتاج حينئذ في إثبات الركنية، المساوقة للجزئية و لو في حال العمد إلى دليل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 بناء الأصحاب أيضا عليه، لعدم تشبثهم في الركنية بظهور أدلة وجوبها، بل</w:t>
      </w:r>
      <w:bookmarkStart w:id="192" w:name="pg19818_204004"/>
    </w:p>
    <w:p>
      <w:pPr>
        <w:pStyle w:val="BookText"/>
        <w:rPr/>
      </w:pPr>
      <w:bookmarkEnd w:id="192"/>
      <w:r>
        <w:rPr>
          <w:rFonts w:ascii="Amiri" w:hAnsi="Amiri" w:eastAsia="Amiri" w:cs="Amiri"/>
          <w:color w:val="111111"/>
          <w:sz w:val="28"/>
          <w:sz w:val="28"/>
          <w:szCs w:val="28"/>
          <w:rtl w:val="true"/>
          <w:lang w:bidi="ar-SA"/>
        </w:rPr>
        <w:t>يتشبثون بأدلة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حينئذ فمع الشك في الجزئية المساوقة للركنية، فالأصل يقتضي عدمها، غاية الأمر مقتضى دليل الوجوب لزوم تداركه مهما أمكن، و مع الفوت يشمله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اقض ما 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الاكتفاء بالاستنابة يحتاج الى دليل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ربما يكفي له في المقام إطلاق صحيح علي بن جعفر </w:t>
      </w:r>
      <w:r>
        <w:rPr>
          <w:rStyle w:val="FootnoteAnchor"/>
          <w:rtl w:val="true"/>
        </w:rPr>
        <w:footnoteReference w:id="377"/>
      </w:r>
      <w:r>
        <w:rPr>
          <w:rFonts w:ascii="Amiri" w:hAnsi="Amiri" w:eastAsia="Amiri" w:cs="Amiri"/>
          <w:color w:val="111111"/>
          <w:sz w:val="28"/>
          <w:sz w:val="28"/>
          <w:szCs w:val="28"/>
          <w:rtl w:val="true"/>
          <w:lang w:bidi="ar-SA"/>
        </w:rPr>
        <w:t>الثابت في فرض النسيان، و المشتمل على الاكتفاء بالنيابة، المنزّل على صورة تعذره عن العود، بل و في النصوص المستفيضة أيضا التقييد بحال التعذر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جملة أخرى إطلاق الاستنابة، بل نسب ذلك إلى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الإطلاق نظر، و الأصل عدم ثبوت النيابة، كما هو الشأن في صورة تركه عمدا، فإنّ ظاهرهم أيضا وجوب عوده 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إطلاق كلام الجواهر يشمل حال الاضطرار عن العود بنفسه، و لعله لاختصاص دليلها بحال النسيان، و لا يشمل العمد، و أصالة المباشرة في العبادة باقية بحالها، فتدبّر</w:t>
      </w:r>
      <w:r>
        <w:rPr>
          <w:rFonts w:eastAsia="Amiri" w:cs="Amiri" w:ascii="Amiri" w:hAnsi="Amiri"/>
          <w:color w:val="111111"/>
          <w:sz w:val="28"/>
          <w:szCs w:val="28"/>
          <w:rtl w:val="true"/>
          <w:lang w:bidi="ar-SA"/>
        </w:rPr>
        <w:t>.</w:t>
      </w:r>
    </w:p>
    <w:p>
      <w:pPr>
        <w:pStyle w:val="Heading4"/>
        <w:numPr>
          <w:ilvl w:val="3"/>
          <w:numId w:val="1"/>
        </w:numPr>
        <w:rPr/>
      </w:pPr>
      <w:bookmarkStart w:id="193" w:name="__RefHeading___Toc3320824_2314609296"/>
      <w:bookmarkStart w:id="194" w:name="_Toc70"/>
      <w:bookmarkEnd w:id="193"/>
      <w:r>
        <w:rPr>
          <w:rtl w:val="true"/>
        </w:rPr>
        <w:t>و لو شك في عدده بعد الانصراف لم يلتفت</w:t>
      </w:r>
      <w:bookmarkEnd w:id="194"/>
    </w:p>
    <w:p>
      <w:pPr>
        <w:pStyle w:val="BookText"/>
        <w:rPr/>
      </w:pPr>
      <w:r>
        <w:rPr>
          <w:rFonts w:ascii="Amiri" w:hAnsi="Amiri" w:eastAsia="Amiri" w:cs="Amiri"/>
          <w:color w:val="111111"/>
          <w:sz w:val="28"/>
          <w:sz w:val="28"/>
          <w:szCs w:val="28"/>
          <w:rtl w:val="true"/>
          <w:lang w:bidi="ar-SA"/>
        </w:rPr>
        <w:t>، لعموم قاعدة التجاوز، المستفاد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الشك في شي‌ء لم تجزه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محله، بعد تقييد التجاوز في خصوص الوضوء بمرتبة خاصة، ملازمة للدخول في غير الوضوء أو الفراغ عنه</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مع الغض عنه يشمله عموم قاعدة الفراغ، المستفاد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 شككت مما مضى فامضه كما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المضروب في مورد الشك في صحة الموجود، قبال الأول المضروب في مورد الشك في الوجود، مع عدم تصور جامع</w:t>
      </w:r>
    </w:p>
    <w:p>
      <w:pPr>
        <w:pStyle w:val="BookText"/>
        <w:rPr/>
      </w:pPr>
      <w:r>
        <w:rPr>
          <w:rFonts w:ascii="Amiri" w:hAnsi="Amiri" w:eastAsia="Amiri" w:cs="Amiri"/>
          <w:color w:val="111111"/>
          <w:sz w:val="28"/>
          <w:sz w:val="28"/>
          <w:szCs w:val="28"/>
          <w:rtl w:val="true"/>
          <w:lang w:bidi="ar-SA"/>
        </w:rPr>
        <w:t>بين مفاد كان التامة و الناقصة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النص المخصوص بالمقام أيضا ما في صحيح ابن حازم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طاف الفريضة فلم يدر ستة طاف أم سبعة،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فليعد طوافه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ففاته،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أرى عليه شيئا</w:t>
      </w:r>
      <w:r>
        <w:rPr>
          <w:rFonts w:eastAsia="Amiri" w:cs="Amiri" w:ascii="Amiri" w:hAnsi="Amiri"/>
          <w:color w:val="111111"/>
          <w:sz w:val="28"/>
          <w:szCs w:val="28"/>
          <w:rtl w:val="true"/>
          <w:lang w:bidi="ar-SA"/>
        </w:rPr>
        <w:t xml:space="preserve">»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 غيره، و في بعضها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الإعادة أحب الي و أفضل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نجد قائلا باستحباب الإعادة </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أفيد في غاية المتانة، لو كان المراد من النص فضيلة اعادة التمام، و إلّا فلو كان اعادة الشوط المحتمل نقضه فلا ضير في فضله، لأنه احتياط مستحسن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الأثناء يعيد إن كان الشك فيما دون السبعة باحتمال نقصه، كما نسب الى المشهور، و الأصل في ذلك نصوص مستفيضة </w:t>
      </w:r>
      <w:r>
        <w:rPr>
          <w:rStyle w:val="FootnoteAnchor"/>
          <w:rtl w:val="true"/>
        </w:rPr>
        <w:footnoteReference w:id="380"/>
      </w:r>
      <w:r>
        <w:rPr>
          <w:rFonts w:ascii="Amiri" w:hAnsi="Amiri" w:eastAsia="Amiri" w:cs="Amiri"/>
          <w:color w:val="111111"/>
          <w:sz w:val="28"/>
          <w:sz w:val="28"/>
          <w:szCs w:val="28"/>
          <w:rtl w:val="true"/>
          <w:lang w:bidi="ar-SA"/>
        </w:rPr>
        <w:t>مشتملة على التفصيل بين الفريضة و النافلة، بإعادة التمام في الأولى، و البناء على مقدار اليقين في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الموثق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 طاف فأوهم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طفت أربعة أو ثلاثة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طواف فريضة فليلق ما في يديه و يستأنف، و إن كان طواف نافلة فاستيقن ثلاثة و هو في شك من الرابع انه طاف، فليبن على الثلاثة</w:t>
      </w:r>
      <w:r>
        <w:rPr>
          <w:rFonts w:eastAsia="Amiri" w:cs="Amiri" w:ascii="Amiri" w:hAnsi="Amiri"/>
          <w:color w:val="111111"/>
          <w:sz w:val="28"/>
          <w:szCs w:val="28"/>
          <w:rtl w:val="true"/>
          <w:lang w:bidi="ar-SA"/>
        </w:rPr>
        <w:t xml:space="preserve">»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فريضة أعاد كلما شك فيه، و إن كان نافلة بنى على ما هو أقل</w:t>
      </w:r>
      <w:r>
        <w:rPr>
          <w:rFonts w:eastAsia="Amiri" w:cs="Amiri" w:ascii="Amiri" w:hAnsi="Amiri"/>
          <w:color w:val="111111"/>
          <w:sz w:val="28"/>
          <w:szCs w:val="28"/>
          <w:rtl w:val="true"/>
          <w:lang w:bidi="ar-SA"/>
        </w:rPr>
        <w:t xml:space="preserve">» </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bookmarkStart w:id="195" w:name="pg19818_204006"/>
    </w:p>
    <w:p>
      <w:pPr>
        <w:pStyle w:val="BookText"/>
        <w:rPr/>
      </w:pPr>
      <w:bookmarkEnd w:id="195"/>
      <w:r>
        <w:rPr>
          <w:rFonts w:ascii="Amiri" w:hAnsi="Amiri" w:eastAsia="Amiri" w:cs="Amiri"/>
          <w:color w:val="111111"/>
          <w:sz w:val="28"/>
          <w:sz w:val="28"/>
          <w:szCs w:val="28"/>
          <w:rtl w:val="true"/>
          <w:lang w:bidi="ar-SA"/>
        </w:rPr>
        <w:t xml:space="preserve">و في 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يعيد طوافه حتى يحفظه</w:t>
      </w:r>
      <w:r>
        <w:rPr>
          <w:rFonts w:eastAsia="Amiri" w:cs="Amiri" w:ascii="Amiri" w:hAnsi="Amiri"/>
          <w:color w:val="111111"/>
          <w:sz w:val="28"/>
          <w:szCs w:val="28"/>
          <w:rtl w:val="true"/>
          <w:lang w:bidi="ar-SA"/>
        </w:rPr>
        <w:t xml:space="preserve">»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المستفاد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حكم الشك في أشواط الطواف حكم الركعتين الأولتين من الفريضة، مبطلة للطواف رأسا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قبال المشهور من التزم بعدم لزوم الإعادة، و البناء على اليقين بالأقل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عمدة سنده ما في النص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هلا استأنفت</w:t>
      </w:r>
      <w:r>
        <w:rPr>
          <w:rFonts w:eastAsia="Amiri" w:cs="Amiri" w:ascii="Amiri" w:hAnsi="Amiri"/>
          <w:color w:val="111111"/>
          <w:sz w:val="28"/>
          <w:szCs w:val="28"/>
          <w:rtl w:val="true"/>
          <w:lang w:bidi="ar-SA"/>
        </w:rPr>
        <w:t xml:space="preserve">» </w:t>
      </w:r>
      <w:r>
        <w:rPr>
          <w:rStyle w:val="FootnoteAnchor"/>
          <w:rtl w:val="true"/>
        </w:rPr>
        <w:footnoteReference w:id="384"/>
      </w:r>
      <w:r>
        <w:rPr>
          <w:rFonts w:ascii="Amiri" w:hAnsi="Amiri" w:eastAsia="Amiri" w:cs="Amiri"/>
          <w:color w:val="111111"/>
          <w:sz w:val="28"/>
          <w:sz w:val="28"/>
          <w:szCs w:val="28"/>
          <w:rtl w:val="true"/>
          <w:lang w:bidi="ar-SA"/>
        </w:rPr>
        <w:t>لمن أعاد طوافه بشكه، فإنه صريح في عدم وجوب الإعادة، غاية الأمر بمقتضى أصالة عدم الإتيان بالمشكوك أيضا يحكم بوجوب تداركه فقط ليس إلّا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فالأمر يدور بين طرح إطلاق هذا النص و حمله على النافلة، أو الأخذ بإطلاقه و طرح ظهور الأوامر بالإعادة في النصوص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فلا أقل من الشك في ترجيح أحد الجمعين، فيرجع إلى الشك في مانعية الشك المزبور عن الصحة، فالأصل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الإنصاف مساعدة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مثل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ترجيح التقييد على التصرف في الأوامر المعهودة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الشك في الزائد على السبعة بنى على العدم، للأصل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إليه أشار المصنف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قطع على يقينه لاستصحاب عدم زيادته على السبع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التأمل فيما ذكرنا أيضا ظهر حكم طواف النافلة، فإنه مثل صلاتها يبني على الأقل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يجوز الاستئناف أيضا بقرينة النص السابق، المحمول على النافلة جمعا، كما عرفت</w:t>
      </w:r>
      <w:r>
        <w:rPr>
          <w:rFonts w:eastAsia="Amiri" w:cs="Amiri" w:ascii="Amiri" w:hAnsi="Amiri"/>
          <w:color w:val="111111"/>
          <w:sz w:val="28"/>
          <w:szCs w:val="28"/>
          <w:rtl w:val="true"/>
          <w:lang w:bidi="ar-SA"/>
        </w:rPr>
        <w:t>.</w:t>
      </w:r>
    </w:p>
    <w:p>
      <w:pPr>
        <w:pStyle w:val="Heading4"/>
        <w:numPr>
          <w:ilvl w:val="3"/>
          <w:numId w:val="1"/>
        </w:numPr>
        <w:rPr/>
      </w:pPr>
      <w:bookmarkStart w:id="196" w:name="__RefHeading___Toc3320826_2314609296"/>
      <w:bookmarkStart w:id="197" w:name="_Toc71"/>
      <w:bookmarkEnd w:id="196"/>
      <w:r>
        <w:rPr>
          <w:rtl w:val="true"/>
        </w:rPr>
        <w:t>و لو ذكر في طواف الفريضة عدم الطهارة أعاد</w:t>
      </w:r>
      <w:bookmarkEnd w:id="197"/>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لما تقدّم من اشتراط الطهارة الحدثية، و في صحيح ابن مسلم أيضا التصريح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يتوضأ</w:t>
      </w:r>
    </w:p>
    <w:p>
      <w:pPr>
        <w:pStyle w:val="BookText"/>
        <w:rPr/>
      </w:pPr>
      <w:r>
        <w:rPr>
          <w:rFonts w:ascii="Amiri" w:hAnsi="Amiri" w:eastAsia="Amiri" w:cs="Amiri"/>
          <w:color w:val="111111"/>
          <w:sz w:val="28"/>
          <w:sz w:val="28"/>
          <w:szCs w:val="28"/>
          <w:rtl w:val="true"/>
          <w:lang w:bidi="ar-SA"/>
        </w:rPr>
        <w:t>و يعيد طوافه، و إن كان تطوعا توضأ و صلّى ركعتين</w:t>
      </w:r>
      <w:r>
        <w:rPr>
          <w:rFonts w:eastAsia="Amiri" w:cs="Amiri" w:ascii="Amiri" w:hAnsi="Amiri"/>
          <w:color w:val="111111"/>
          <w:sz w:val="28"/>
          <w:szCs w:val="28"/>
          <w:rtl w:val="true"/>
          <w:lang w:bidi="ar-SA"/>
        </w:rPr>
        <w:t xml:space="preserve">» </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قرن في طواف الفريضة بطل، و قد تقدّم الكلام في ذلك في المسألة الثالثة من المسائل السابقة على مبحث المستحبات فراجع، و ترى أيضا انّ مقتضى التحقيق انه يكره فيها أيضا مثل ما في النافلة، و لو زاد سهوا أكمل أسبوعين، و صلّى ركعتي الواجب قبل السعي، و المندوب بعده، كما هو المشهور و إن كان فيه خلاف قاعدة التقرب في باب العبادة، إلّا انه لا ضير فيه بعد قيام النصوص المستفيضة عليه ففي صحيحة ابن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طاف الرجل بالبيت ثمانية أشواط الفريضة و استيقن ثمانية أضاف إليها ستا</w:t>
      </w:r>
      <w:r>
        <w:rPr>
          <w:rFonts w:eastAsia="Amiri" w:cs="Amiri" w:ascii="Amiri" w:hAnsi="Amiri"/>
          <w:color w:val="111111"/>
          <w:sz w:val="28"/>
          <w:szCs w:val="28"/>
          <w:rtl w:val="true"/>
          <w:lang w:bidi="ar-SA"/>
        </w:rPr>
        <w:t xml:space="preserve">» </w:t>
      </w:r>
      <w:r>
        <w:rPr>
          <w:rStyle w:val="FootnoteAnchor"/>
          <w:rtl w:val="true"/>
        </w:rPr>
        <w:footnoteReference w:id="386"/>
      </w:r>
      <w:r>
        <w:rPr>
          <w:rFonts w:ascii="Amiri" w:hAnsi="Amiri" w:eastAsia="Amiri" w:cs="Amiri"/>
          <w:color w:val="111111"/>
          <w:sz w:val="28"/>
          <w:sz w:val="28"/>
          <w:szCs w:val="28"/>
          <w:rtl w:val="true"/>
          <w:lang w:bidi="ar-SA"/>
        </w:rPr>
        <w:t xml:space="preserve">، و نظيرها نصوص اخرى </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عليه أيضا يحمل الإطلاق في صحيح أبي أيوب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نص علي بن أبي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طاف بالبيت ثمانية،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نافلة أو فريضة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يضيف إليها ستا، فإذا فرغ صلّى ركعتين عند مقام إبراهيم ثم خرج إلى الصفا و المروة فطاف بهما، فإذا فرغ صلّى ركعتين أخريين، فكان طواف نافلة و طواف فريضة</w:t>
      </w:r>
      <w:r>
        <w:rPr>
          <w:rFonts w:eastAsia="Amiri" w:cs="Amiri" w:ascii="Amiri" w:hAnsi="Amiri"/>
          <w:color w:val="111111"/>
          <w:sz w:val="28"/>
          <w:szCs w:val="28"/>
          <w:rtl w:val="true"/>
          <w:lang w:bidi="ar-SA"/>
        </w:rPr>
        <w:t xml:space="preserve">» </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نص وهب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عليا عليه السلام أضاف ستا و صلّى أربع ركعات</w:t>
      </w:r>
      <w:r>
        <w:rPr>
          <w:rFonts w:eastAsia="Amiri" w:cs="Amiri" w:ascii="Amiri" w:hAnsi="Amiri"/>
          <w:color w:val="111111"/>
          <w:sz w:val="28"/>
          <w:szCs w:val="28"/>
          <w:rtl w:val="true"/>
          <w:lang w:bidi="ar-SA"/>
        </w:rPr>
        <w:t xml:space="preserve">» </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آخر مشتمل على تفريقه بين الصلاتين بقبل السعي و بعده </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قبال المشهور ما حكي عن المقنع انه التزم بالإعادة بمثل هذه الزيادة السهوية أيضا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بعض النصوص تارة بإطلاق الأمر بإعادة الزيادة مطلقا حتى يثبته، و في آخر في فرض النسيان المزبور،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الفريضة فليعد حتى يتم سبعة أشواط</w:t>
      </w:r>
      <w:r>
        <w:rPr>
          <w:rFonts w:eastAsia="Amiri" w:cs="Amiri" w:ascii="Amiri" w:hAnsi="Amiri"/>
          <w:color w:val="111111"/>
          <w:sz w:val="28"/>
          <w:szCs w:val="28"/>
          <w:rtl w:val="true"/>
          <w:lang w:bidi="ar-SA"/>
        </w:rPr>
        <w:t xml:space="preserve">» </w:t>
      </w:r>
      <w:r>
        <w:rPr>
          <w:rStyle w:val="FootnoteAnchor"/>
          <w:rtl w:val="true"/>
        </w:rPr>
        <w:footnoteReference w:id="393"/>
      </w:r>
      <w:r>
        <w:rPr>
          <w:rFonts w:ascii="Amiri" w:hAnsi="Amiri" w:eastAsia="Amiri" w:cs="Amiri"/>
          <w:color w:val="111111"/>
          <w:sz w:val="28"/>
          <w:sz w:val="28"/>
          <w:szCs w:val="28"/>
          <w:rtl w:val="true"/>
          <w:lang w:bidi="ar-SA"/>
        </w:rPr>
        <w:t>، و في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فليتم أربعة عشرة شوطا، ثم ليصلّ ركعتين</w:t>
      </w:r>
      <w:r>
        <w:rPr>
          <w:rFonts w:eastAsia="Amiri" w:cs="Amiri" w:ascii="Amiri" w:hAnsi="Amiri"/>
          <w:color w:val="111111"/>
          <w:sz w:val="28"/>
          <w:szCs w:val="28"/>
          <w:rtl w:val="true"/>
          <w:lang w:bidi="ar-SA"/>
        </w:rPr>
        <w:t xml:space="preserve">» </w:t>
      </w:r>
      <w:r>
        <w:rPr>
          <w:rStyle w:val="FootnoteAnchor"/>
          <w:rtl w:val="true"/>
        </w:rPr>
        <w:footnoteReference w:id="394"/>
      </w:r>
      <w:r>
        <w:rPr>
          <w:rFonts w:ascii="Amiri" w:hAnsi="Amiri" w:eastAsia="Amiri" w:cs="Amiri"/>
          <w:color w:val="111111"/>
          <w:sz w:val="28"/>
          <w:sz w:val="28"/>
          <w:szCs w:val="28"/>
          <w:rtl w:val="true"/>
          <w:lang w:bidi="ar-SA"/>
        </w:rPr>
        <w:t>، بتقريب انّ الاقتصار على الركعتين يكشف عن بطلان الأول، و انهما للثاني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لازمة عدم تماميته عن قصد أمره، حسب إتيان شوط منه بقصد إتمام الطواف الأول، 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يكفي مجرد إتيانه بداعي الأمر المتعلّق به ضمنا، و إنما اشتباهه في كونه جزء للأول أم للأخير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المقدار غير مضر بالقربة، بعد عدم قصدية الحقيقة، و لو في المشخصات الفردية، و حينئذ لا يكون في هذه الرواية خلاف قاعدة من هذه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ربما تخالف الأولى في لزوم الصلاتين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الجمع بينهما أيضا بحمل الأولى فيها على الندب، كما يومئ إليه ما في نص ابن أبي حمزة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فكان طواف نافلة و طواف فريضة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الظاهر في كون الأولى نافلة، بمقتضى الترتيب الذكري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فلا يجب صلاته، فيحمل ترك الصلاة في هذه النصوص أيضا على هذه الجهة، لعدم وجوب صلاة النافلة</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أي حال لا بأس باستفادة مثل هذا المعنى من هذه الطائفة،</w:t>
      </w:r>
      <w:bookmarkStart w:id="198" w:name="pg19818_204009"/>
    </w:p>
    <w:p>
      <w:pPr>
        <w:pStyle w:val="BookText"/>
        <w:rPr/>
      </w:pPr>
      <w:bookmarkEnd w:id="198"/>
      <w:r>
        <w:rPr>
          <w:rFonts w:ascii="Amiri" w:hAnsi="Amiri" w:eastAsia="Amiri" w:cs="Amiri"/>
          <w:color w:val="111111"/>
          <w:sz w:val="28"/>
          <w:sz w:val="28"/>
          <w:szCs w:val="28"/>
          <w:rtl w:val="true"/>
          <w:lang w:bidi="ar-SA"/>
        </w:rPr>
        <w:t>بلا دلالتها على الفساد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دلالة الطائفة الأولى على صحة الأولى فريضة، بلا تهافت بين النصوص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مقتضاه حينئذ حرمة قطع الثانية، لكونها 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 خلاف المشهور بين الأصحاب، خصوصا مع بعد انقلاب ما قصد به فريضة ندبا بعد الإتيان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ففهمهم ربما يشهد على لزوم الصلاة بعد الطوافين للأول، و صلاة أخرى بعد السعي للنافلة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وجوب التفريق المزبور وجه، لظهور الأوامر في ذلك، لو لم يحمل الأخير على رفع توهم لزوم التقديم على السعي، خصوصا مع توهم الجمع بين الصلاتين قبل السعي، المستفاد من خبر وهب، و الأحوط هو التفريق، و اللّٰه العالم</w:t>
      </w:r>
      <w:r>
        <w:rPr>
          <w:rFonts w:eastAsia="Amiri" w:cs="Amiri" w:ascii="Amiri" w:hAnsi="Amiri"/>
          <w:color w:val="111111"/>
          <w:sz w:val="28"/>
          <w:szCs w:val="28"/>
          <w:rtl w:val="true"/>
          <w:lang w:bidi="ar-SA"/>
        </w:rPr>
        <w:t>.</w:t>
      </w:r>
    </w:p>
    <w:p>
      <w:pPr>
        <w:pStyle w:val="Heading4"/>
        <w:numPr>
          <w:ilvl w:val="3"/>
          <w:numId w:val="1"/>
        </w:numPr>
        <w:rPr/>
      </w:pPr>
      <w:bookmarkStart w:id="199" w:name="__RefHeading___Toc3320828_2314609296"/>
      <w:bookmarkStart w:id="200" w:name="_Toc72"/>
      <w:bookmarkEnd w:id="199"/>
      <w:r>
        <w:rPr>
          <w:rtl w:val="true"/>
        </w:rPr>
        <w:t>و لو نقص من طوافه و قد تجاوز النصف أتم</w:t>
      </w:r>
      <w:bookmarkEnd w:id="200"/>
    </w:p>
    <w:p>
      <w:pPr>
        <w:pStyle w:val="BookText"/>
        <w:rPr/>
      </w:pPr>
      <w:r>
        <w:rPr>
          <w:rFonts w:ascii="Amiri" w:hAnsi="Amiri" w:eastAsia="Amiri" w:cs="Amiri"/>
          <w:color w:val="111111"/>
          <w:sz w:val="28"/>
          <w:sz w:val="28"/>
          <w:szCs w:val="28"/>
          <w:rtl w:val="true"/>
          <w:lang w:bidi="ar-SA"/>
        </w:rPr>
        <w:t xml:space="preserve">لو تركه عمدا، و لم يصدر منه ما ينافيه، من حدث أو سكوت طويل يخرجه عن هيئة التوالي عرفا، و لو لانصراف الدليل إليه، خصوصا مع كونه صلاة يعتبر فيه عدم قواطعها من عدم التوالي و غير ذلك، علاوة عما يستفاد من الحكم بالإعادة بدخول البيت في أثناء الطواف في خبر حفص </w:t>
      </w:r>
      <w:r>
        <w:rPr>
          <w:rStyle w:val="FootnoteAnchor"/>
          <w:rtl w:val="true"/>
        </w:rPr>
        <w:footnoteReference w:id="395"/>
      </w:r>
      <w:r>
        <w:rPr>
          <w:rFonts w:ascii="Amiri" w:hAnsi="Amiri" w:eastAsia="Amiri" w:cs="Amiri"/>
          <w:color w:val="111111"/>
          <w:sz w:val="28"/>
          <w:sz w:val="28"/>
          <w:szCs w:val="28"/>
          <w:rtl w:val="true"/>
          <w:lang w:bidi="ar-SA"/>
        </w:rPr>
        <w:t>، فراجع، بلا إشكال في وجوب إتمامه، مقدّمة لامتثال تكليفه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صدر حينئذ واحد من هذه القواطع عمدا يعيد طوافه إجماعا، و لبطلان المشروط بانتفاء شرطه الثابت بعموم التنزيل</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لو كان سهوا فالمشهور التفصيل بين صورة تجاوز النصف و عدمه، فيستأنف الطواف على الأخير، و بنى على ما طاف على الأول مع تمكنه، و إلّا استناب للتمام في الأخير، و الإتمام في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و الأصل في ذلك بالنسبة إلى جهة التفصيل بين تجاوزه النصف و عدمه، ما ورد من التعليل في الطامث،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تتم طوافها و متعتها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زادت على النصف</w:t>
      </w:r>
      <w:r>
        <w:rPr>
          <w:rFonts w:eastAsia="Amiri" w:cs="Amiri" w:ascii="Amiri" w:hAnsi="Amiri"/>
          <w:color w:val="111111"/>
          <w:sz w:val="28"/>
          <w:szCs w:val="28"/>
          <w:rtl w:val="true"/>
          <w:lang w:bidi="ar-SA"/>
        </w:rPr>
        <w:t xml:space="preserve">» </w:t>
      </w:r>
      <w:r>
        <w:rPr>
          <w:rStyle w:val="FootnoteAnchor"/>
          <w:rtl w:val="true"/>
        </w:rPr>
        <w:footnoteReference w:id="396"/>
      </w:r>
      <w:r>
        <w:rPr>
          <w:rFonts w:ascii="Amiri" w:hAnsi="Amiri" w:eastAsia="Amiri" w:cs="Amiri"/>
          <w:color w:val="111111"/>
          <w:sz w:val="28"/>
          <w:sz w:val="28"/>
          <w:szCs w:val="28"/>
          <w:rtl w:val="true"/>
          <w:lang w:bidi="ar-SA"/>
        </w:rPr>
        <w:t>، إذ ظاهر التعليل يقتضي تمامية المتعة، بل و مطلق الحج، لعدم الفصل بمحض الزيادة عن النصف في طوافه، فلا يضر به إخلاله مع الاضطرار، الملحق به النسيان بعموم العلة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انّ العلة المزبورة إن اقتضت إلغاء خصوصية المورد، فيلزم التعدّي منه إلى صورة العمد أيضا، و لم يقل به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لم يقتض ذلك فلا وجه للتعدّي الى غير مورده، حتى صورة النسيان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فالأولى انّ مثل هذه التفصيل ورد في صورة المرض الموجب لعدم إتمام طوافه أيضا، و كذا في الحدث سهوا في الأثناء، فإنّ مثل هذه الموارد المختلفة في الموانع و في أنحاء العذر، يكشف عن حكم كلّي لجميع الأعذار، الشامل للنسيان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تركه نسيانا و لم يتذكر إلى أن رجع إلى أهله استناب، للصحيح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 طاف ستة أشواط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يطوف شوطا واحدا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فاته ذلك حتى أتى أهله؟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يأمر من يطوف عنه</w:t>
      </w:r>
      <w:r>
        <w:rPr>
          <w:rFonts w:eastAsia="Amiri" w:cs="Amiri" w:ascii="Amiri" w:hAnsi="Amiri"/>
          <w:color w:val="111111"/>
          <w:sz w:val="28"/>
          <w:szCs w:val="28"/>
          <w:rtl w:val="true"/>
          <w:lang w:bidi="ar-SA"/>
        </w:rPr>
        <w:t xml:space="preserve">» </w:t>
      </w:r>
      <w:r>
        <w:rPr>
          <w:rStyle w:val="FootnoteAnchor"/>
          <w:rtl w:val="true"/>
        </w:rPr>
        <w:footnoteReference w:id="397"/>
      </w:r>
      <w:r>
        <w:rPr>
          <w:rFonts w:ascii="Amiri" w:hAnsi="Amiri" w:eastAsia="Amiri" w:cs="Amiri"/>
          <w:color w:val="111111"/>
          <w:sz w:val="28"/>
          <w:sz w:val="28"/>
          <w:szCs w:val="28"/>
          <w:rtl w:val="true"/>
          <w:lang w:bidi="ar-SA"/>
        </w:rPr>
        <w:t>، بناء على حمله على صورة السهو إجماعا بضم عدم الفصل بين فوت شوط واحد أو أزيد إلى أن يبلغ الى النصف، و إطلاقه يشمل صورة تمكنه من العود أيضا، فيجزئ عنه الاستنابة</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بلغ إليه أو كان أقل من ذلك استأنف، لإطلاق دليل القاطعية حال السهو أيضا، مع عدم دليل واف بالاجزاء في مثل هذه الصورة</w:t>
      </w:r>
      <w:bookmarkStart w:id="201" w:name="pg19818_204011"/>
    </w:p>
    <w:p>
      <w:pPr>
        <w:pStyle w:val="BookText"/>
        <w:rPr/>
      </w:pPr>
      <w:bookmarkEnd w:id="201"/>
      <w:r>
        <w:rPr>
          <w:rFonts w:ascii="Amiri" w:hAnsi="Amiri" w:eastAsia="Amiri" w:cs="Amiri"/>
          <w:color w:val="111111"/>
          <w:sz w:val="28"/>
          <w:sz w:val="28"/>
          <w:szCs w:val="28"/>
          <w:rtl w:val="true"/>
          <w:lang w:bidi="ar-SA"/>
        </w:rPr>
        <w:t>جزما، و عليه أيضا معقد إطباق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يجري التفصيل السابق في من قطع الطواف لحاجة، و ذلك للجمع بين ما دل على إعادة الفريضة في صورة قطع طوافه على شوط أو شوطين مع الأمر بالبناء في النافلة، و بين ما دل فيمن لم يتم طوافه في الفريضة أيضا بالبناء عليه، بعد عدم القول بالفصل بين الشوطين الأولين، و بين غيره إلى أن يبلغ النصف، المستلزم لتقييد إطلاق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كون دخول البيت أو صلاة نافلة في غير صورة فوته من الحاجة إشكال، فإطلاق أدلة القواطع يقتضي استئنافه رأسا مع الإمكان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لم يكن في مطافه، ففي الاجتزاء بالاستنابة فيه، مع تمكن عوده اشكال، لعدم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مع اضطراره لا بأس بشمول فحوى ما دل على مثلها في موارد اضطرار العود، و ذلك كله أيضا مع عدم فوت وقت الطواف بخروجه عن ذي الحجة، و إلّا فيدخل في من ترك الطواف عمدا فيبطل حجه و عليه البدنة كما تقدم حكمه، بل و في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دخول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التصريح بالاستئناف، المحمول على صورة تمكنه منه، كما لا يخفى</w:t>
      </w:r>
      <w:r>
        <w:rPr>
          <w:rFonts w:eastAsia="Amiri" w:cs="Amiri" w:ascii="Amiri" w:hAnsi="Amiri"/>
          <w:color w:val="111111"/>
          <w:sz w:val="28"/>
          <w:szCs w:val="28"/>
          <w:rtl w:val="true"/>
          <w:lang w:bidi="ar-SA"/>
        </w:rPr>
        <w:t>.</w:t>
      </w:r>
    </w:p>
    <w:p>
      <w:pPr>
        <w:pStyle w:val="Heading4"/>
        <w:numPr>
          <w:ilvl w:val="3"/>
          <w:numId w:val="1"/>
        </w:numPr>
        <w:rPr/>
      </w:pPr>
      <w:bookmarkStart w:id="202" w:name="__RefHeading___Toc3320830_2314609296"/>
      <w:bookmarkStart w:id="203" w:name="_Toc73"/>
      <w:bookmarkEnd w:id="202"/>
      <w:r>
        <w:rPr>
          <w:rtl w:val="true"/>
        </w:rPr>
        <w:t>مسائل</w:t>
      </w:r>
      <w:bookmarkEnd w:id="203"/>
    </w:p>
    <w:p>
      <w:pPr>
        <w:pStyle w:val="Heading5"/>
        <w:numPr>
          <w:ilvl w:val="4"/>
          <w:numId w:val="1"/>
        </w:numPr>
        <w:rPr/>
      </w:pPr>
      <w:bookmarkStart w:id="204" w:name="__RefHeading___Toc3320832_2314609296"/>
      <w:bookmarkStart w:id="205" w:name="_Toc74"/>
      <w:bookmarkEnd w:id="204"/>
      <w:r>
        <w:rPr>
          <w:rtl w:val="true"/>
        </w:rPr>
        <w:t>منها</w:t>
      </w:r>
      <w:r>
        <w:rPr>
          <w:rtl w:val="true"/>
        </w:rPr>
        <w:t xml:space="preserve">: </w:t>
      </w:r>
      <w:r>
        <w:rPr>
          <w:rtl w:val="true"/>
        </w:rPr>
        <w:t>انه يجري التفصيل بين التجاوز عن النصف و غيره</w:t>
      </w:r>
      <w:bookmarkEnd w:id="205"/>
    </w:p>
    <w:p>
      <w:pPr>
        <w:pStyle w:val="BookText"/>
        <w:rPr/>
      </w:pPr>
      <w:r>
        <w:rPr>
          <w:rFonts w:ascii="Amiri" w:hAnsi="Amiri" w:eastAsia="Amiri" w:cs="Amiri"/>
          <w:color w:val="111111"/>
          <w:sz w:val="28"/>
          <w:sz w:val="28"/>
          <w:szCs w:val="28"/>
          <w:rtl w:val="true"/>
          <w:lang w:bidi="ar-SA"/>
        </w:rPr>
        <w:t>في من مرض أثناء الطواف، لنص إسحاق بن عمار، المشتمل على التفصيل المزبور بتمامه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يحتاج الى النقل لوضوح المأخذ، فراجع الرواية بطولها في الجواهر </w:t>
      </w:r>
      <w:r>
        <w:rPr>
          <w:rStyle w:val="FootnoteAnchor"/>
          <w:rtl w:val="true"/>
        </w:rPr>
        <w:footnoteReference w:id="398"/>
      </w:r>
      <w:r>
        <w:rPr>
          <w:rFonts w:ascii="Amiri" w:hAnsi="Amiri" w:eastAsia="Amiri" w:cs="Amiri"/>
          <w:color w:val="111111"/>
          <w:sz w:val="28"/>
          <w:sz w:val="28"/>
          <w:szCs w:val="28"/>
          <w:rtl w:val="true"/>
          <w:lang w:bidi="ar-SA"/>
        </w:rPr>
        <w:t>، و قول المخالف فيه شاذ لا يعبأ به، لضعف دليله</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كذلك فيمن أحدث في طوافه، فإن في مرسل ابن أبي عمير، الذي هو</w:t>
      </w:r>
      <w:bookmarkStart w:id="206" w:name="pg19818_204012"/>
    </w:p>
    <w:p>
      <w:pPr>
        <w:pStyle w:val="BookText"/>
        <w:rPr/>
      </w:pPr>
      <w:bookmarkEnd w:id="206"/>
      <w:r>
        <w:rPr>
          <w:rFonts w:ascii="Amiri" w:hAnsi="Amiri" w:eastAsia="Amiri" w:cs="Amiri"/>
          <w:color w:val="111111"/>
          <w:sz w:val="28"/>
          <w:sz w:val="28"/>
          <w:szCs w:val="28"/>
          <w:rtl w:val="true"/>
          <w:lang w:bidi="ar-SA"/>
        </w:rPr>
        <w:t>بمنزلة مسنداته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جاوز النصف بنى على طوافه، و إن كان أقل من ذلك أعاد الطواف</w:t>
      </w:r>
      <w:r>
        <w:rPr>
          <w:rFonts w:eastAsia="Amiri" w:cs="Amiri" w:ascii="Amiri" w:hAnsi="Amiri"/>
          <w:color w:val="111111"/>
          <w:sz w:val="28"/>
          <w:szCs w:val="28"/>
          <w:rtl w:val="true"/>
          <w:lang w:bidi="ar-SA"/>
        </w:rPr>
        <w:t xml:space="preserve">» </w:t>
      </w:r>
      <w:r>
        <w:rPr>
          <w:rStyle w:val="FootnoteAnchor"/>
          <w:rtl w:val="true"/>
        </w:rPr>
        <w:footnoteReference w:id="399"/>
      </w:r>
      <w:r>
        <w:rPr>
          <w:rFonts w:ascii="Amiri" w:hAnsi="Amiri" w:eastAsia="Amiri" w:cs="Amiri"/>
          <w:color w:val="111111"/>
          <w:sz w:val="28"/>
          <w:sz w:val="28"/>
          <w:szCs w:val="28"/>
          <w:rtl w:val="true"/>
          <w:lang w:bidi="ar-SA"/>
        </w:rPr>
        <w:t>، بناء على حمله على صورة النسيان، كما فهمه الأصحاب، و إلّا فيشكل التمسك به، لعدم جبره بإطلاقه، فحينئذ يكون الحدث المزبور من صغريات مسألة قطع الطواف نسيانا، فان تمت الكلية هناك فهو، و إلّا فللنظر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إجماعاتهم على التفصيل المزبور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مجال</w:t>
      </w:r>
      <w:r>
        <w:rPr>
          <w:rFonts w:eastAsia="Amiri" w:cs="Amiri" w:ascii="Amiri" w:hAnsi="Amiri"/>
          <w:color w:val="111111"/>
          <w:sz w:val="28"/>
          <w:szCs w:val="28"/>
          <w:rtl w:val="true"/>
          <w:lang w:bidi="ar-SA"/>
        </w:rPr>
        <w:t>.</w:t>
      </w:r>
    </w:p>
    <w:p>
      <w:pPr>
        <w:pStyle w:val="Heading5"/>
        <w:numPr>
          <w:ilvl w:val="4"/>
          <w:numId w:val="1"/>
        </w:numPr>
        <w:rPr/>
      </w:pPr>
      <w:bookmarkStart w:id="207" w:name="__RefHeading___Toc3320834_2314609296"/>
      <w:bookmarkStart w:id="208" w:name="_Toc75"/>
      <w:bookmarkEnd w:id="207"/>
      <w:r>
        <w:rPr>
          <w:rtl w:val="true"/>
        </w:rPr>
        <w:t>و منها</w:t>
      </w:r>
      <w:r>
        <w:rPr>
          <w:rtl w:val="true"/>
        </w:rPr>
        <w:t xml:space="preserve">: </w:t>
      </w:r>
      <w:r>
        <w:rPr>
          <w:rtl w:val="true"/>
        </w:rPr>
        <w:t>انه لو دخل في السعي و تذكر نقص طوافه فأتم الطواف،</w:t>
      </w:r>
      <w:bookmarkEnd w:id="208"/>
    </w:p>
    <w:p>
      <w:pPr>
        <w:pStyle w:val="BookText"/>
        <w:rPr/>
      </w:pPr>
      <w:r>
        <w:rPr>
          <w:rFonts w:ascii="Amiri" w:hAnsi="Amiri" w:eastAsia="Amiri" w:cs="Amiri"/>
          <w:color w:val="111111"/>
          <w:sz w:val="28"/>
          <w:sz w:val="28"/>
          <w:szCs w:val="28"/>
          <w:rtl w:val="true"/>
          <w:lang w:bidi="ar-SA"/>
        </w:rPr>
        <w:t xml:space="preserve">إن كان ذلك بعد التجاوز عن النصف في طوافه، جاوز نصف السعي أم لا، و إلّا فيعيد طوافه، تاما قبل سعيه فيعود الى سعيه فيتمه، هكذا في الشرائع </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استدل له في الجواهر بعموم التعليل في نص الطامث المتقدّم </w:t>
      </w:r>
      <w:r>
        <w:rPr>
          <w:rStyle w:val="FootnoteAnchor"/>
          <w:rtl w:val="true"/>
        </w:rPr>
        <w:footnoteReference w:id="401"/>
      </w:r>
      <w:r>
        <w:rPr>
          <w:rFonts w:ascii="Amiri" w:hAnsi="Amiri" w:eastAsia="Amiri" w:cs="Amiri"/>
          <w:color w:val="111111"/>
          <w:sz w:val="28"/>
          <w:sz w:val="28"/>
          <w:szCs w:val="28"/>
          <w:rtl w:val="true"/>
          <w:lang w:bidi="ar-SA"/>
        </w:rPr>
        <w:t>، بضميمة ما في موثقة إسحاق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طاف بالبيت ثم خرج إلى الصفا فطاف به، ثم ذكر انه بقي عليه من طوافه شي‌ء، فأمره أن يرجع الى البيت ليتم ما بقي من طوافه، ثم يرجع إلى الصفا فيتم، الى آخره </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بحمل هذا النص على صورة التجاوز عن نصف طافه، لإيهام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بقي من طوافه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كونه أقل من النصف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لو ضم اليه التعليل في ذيله في مقام الفرق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دخل في شي‌ء من الطواف و لم يدخل في شي‌ء من السعي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مضافا الى كون المقام من صغريات القطع نسيانا، الجاري في المقام بملاحظة اقتضاء دخوله في السعي، خصوصا مع استلزام سبقه بصلاته فوت الموالاة المعتبرة في الطواف، بعموم التنزيل المنجبر بالعمل، بلا ضير في عامية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إطلاق الموثقة يقتضي البناء على السعي حتى مع دخوله فيه قبل نصف الطواف، الملازم لعوده تماما بحكم العلة أو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 أنّ الموثقة مشتملة على البناء على السعي في ظرف بنائه على الطواف، فإذا قيّدت الموثقة في هذا الحكم بصورة التجاوز عن نصف الطواف، فإنها لا تشمل صورة قبل التجاوز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وجه حينئذ للاكتفاء بالبناء في السعي أيضا، بعد اقتضاء دليل ترتيب السعي على الطواف، وقوعه بتمامه عقيب الطواف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مدفوعة بأنّ إطلاق المرسلة بعد استقرار ظهورها على البناء في المقامين مطلقا، فبالدليل المنفصل ترفع اليد عن حجية ظهور البناء في الطواف، فيبقى إطلاق البناء على السعي حتى في صورة نقص الطواف بأزيد من النصف، باقيا على حاله،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في بعض النصوص جواز قطع الطواف لصلاة فريضة ثم البناء عليه </w:t>
      </w:r>
      <w:r>
        <w:rPr>
          <w:rStyle w:val="FootnoteAnchor"/>
          <w:rtl w:val="true"/>
        </w:rPr>
        <w:footnoteReference w:id="403"/>
      </w:r>
      <w:r>
        <w:rPr>
          <w:rFonts w:ascii="Amiri" w:hAnsi="Amiri" w:eastAsia="Amiri" w:cs="Amiri"/>
          <w:color w:val="111111"/>
          <w:sz w:val="28"/>
          <w:sz w:val="28"/>
          <w:szCs w:val="28"/>
          <w:rtl w:val="true"/>
          <w:lang w:bidi="ar-SA"/>
        </w:rPr>
        <w:t>، بل و في نص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قطع طوافه لخوف فوت صلاة الوتر </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لكن في صلاة الفريضة لا تقييد بخوف الفوت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مقتضى إطلاقهما شمولهما لصورة التجاوز عن النصف و عدمه</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بعض الفتاوى أيضا التصريح بذلك، و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أن يقيد ذلك بصورة التجاوز عن النصف بأخبار الحاجة، الحاكمة بإطلاقها بإعادة التمام في الشوط و الشوطين، فبضم عدم الفصل يتعدّى الى بلوغ النصف </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إدراج الصلاة المزبورة، بل و صلاة الميت من الحاجة عند خوف فوتها، كما في نص الوتر أيضا، فيشمل النص السابق، القابل لتقييد مثل هذه الإطلاقات بصور التجاوز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في فرض عدم خوف فوت الفريضة كما في نصه، فلا يكون ذلك بمناط الحاجة كي يشملها دليل وجوب الإعادة في أقل من النصف، فلا موجب لتقييدها ببعد النصف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صورة فوته يدخل في الأخبار المزبورة، و بضميمة عدم الفصل في الفريضة بين الصورتين من فوته و عدمه، تقع معارضة بين الإطلاقين، معارضة العموم من وجه، فيتساقطان في ما قبل النصف من الفريضة الموسعة، فيرجع إلى أصالة فساد الطواف بقطعه،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يظهر من فحاوي النصوص السابقة حكم الترتيب بين الطواف و السعي، و أنه لا يجوز الدخول في السعي قبل تمام الطواف عمدا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صحيح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طاف بين الصفا و المروة قبل أن يطوف بالبيت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يطوف بالبيت ثم يعود إلى الصفا و المروة فيطوف بينهما</w:t>
      </w:r>
      <w:r>
        <w:rPr>
          <w:rFonts w:eastAsia="Amiri" w:cs="Amiri" w:ascii="Amiri" w:hAnsi="Amiri"/>
          <w:color w:val="111111"/>
          <w:sz w:val="28"/>
          <w:szCs w:val="28"/>
          <w:rtl w:val="true"/>
          <w:lang w:bidi="ar-SA"/>
        </w:rPr>
        <w:t xml:space="preserve">» </w:t>
      </w:r>
      <w:r>
        <w:rPr>
          <w:rStyle w:val="FootnoteAnchor"/>
          <w:rtl w:val="true"/>
        </w:rPr>
        <w:footnoteReference w:id="4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إطلاقه يشمل جميع الحالات، إلّا انه خرجت صورة نسيان دخوله فيه بعد تجاوز نصف الطواف كما عرفت آنفا، و أيضا يشمل إطلاقه الحج و العمرة</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طواف النساء أيضا مؤخّر عن السعي، و لا يجوز تقديمه عليه، لمرسل أحمد بن محمد، المشتمل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يكون سعي إلّا قبل طواف النساء</w:t>
      </w:r>
      <w:r>
        <w:rPr>
          <w:rFonts w:eastAsia="Amiri" w:cs="Amiri" w:ascii="Amiri" w:hAnsi="Amiri"/>
          <w:color w:val="111111"/>
          <w:sz w:val="28"/>
          <w:szCs w:val="28"/>
          <w:rtl w:val="true"/>
          <w:lang w:bidi="ar-SA"/>
        </w:rPr>
        <w:t xml:space="preserve">» </w:t>
      </w:r>
      <w:r>
        <w:rPr>
          <w:rStyle w:val="FootnoteAnchor"/>
          <w:rtl w:val="true"/>
        </w:rPr>
        <w:footnoteReference w:id="407"/>
      </w:r>
      <w:r>
        <w:rPr>
          <w:rFonts w:ascii="Amiri" w:hAnsi="Amiri" w:eastAsia="Amiri" w:cs="Amiri"/>
          <w:color w:val="111111"/>
          <w:sz w:val="28"/>
          <w:sz w:val="28"/>
          <w:szCs w:val="28"/>
          <w:rtl w:val="true"/>
          <w:lang w:bidi="ar-SA"/>
        </w:rPr>
        <w:t>، و إطلاقه يشمل الحالات أجمع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في قباله موثقة سماعة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طاف طواف النساء قبل أن يسعى،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يضره، يطوف بين الصفا و المروة، و قد فرغ من حجه</w:t>
      </w:r>
      <w:r>
        <w:rPr>
          <w:rFonts w:eastAsia="Amiri" w:cs="Amiri" w:ascii="Amiri" w:hAnsi="Amiri"/>
          <w:color w:val="111111"/>
          <w:sz w:val="28"/>
          <w:szCs w:val="28"/>
          <w:rtl w:val="true"/>
          <w:lang w:bidi="ar-SA"/>
        </w:rPr>
        <w:t xml:space="preserve">» </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الأصحاب حملوا الأول على صورة الاختيار و العمد، و الأخير على صورة الاضطرار و السهو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الجملة المزبور نظر، لو لا دعوى تيقن العمد من الأول، و غيره من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فيمنع مثل ذلك عن التشبث بإطلاقهما، بناء على التحقيق انّ من شرائط التمسك بالإطلاق عدم وجود قدر متيقن في البين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الانصاف منع كونهما متيقنا من نفس الخطاب، فلا يجدي لصرف اليد عن الإطلاق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لا الإجماع كان مقتضى الجمع بينهما حمل الأول على الكراهة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الأصحاب غير ملتزمين به، فلا محيص عن طرح الأخير، أو تقييده بغير بصورة الاضطرار و النسيان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ترك الاحتياط في فرض الاضطرار بالاستنابة، مع سكوته عنه في فرض النسيان، مع وحدة المدرك، فالأولى تسرية الاحتياط المزبور هنا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نص الاجزاء يشمل الجاهل و هم لا يقولون به، و ظاهرهم إلحاقه بالعامد، و الحال انّ الجمع السابق بين النصين آت هنا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يكشف عن عدم تمامية الاستدلال بإطلاق نص الاجزاء إلّا بمقدار عمل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أيضا نظر جدا، و المسألة غير خالية عن الاشكال، و اللّٰه العالم</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 طاف كان بالخيار في تأخير السعي إلى آخر ليلته، و في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رأيته يؤخّر السعي إلى الليل </w:t>
      </w:r>
      <w:r>
        <w:rPr>
          <w:rStyle w:val="FootnoteAnchor"/>
          <w:rtl w:val="true"/>
        </w:rPr>
        <w:footnoteReference w:id="4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ظاهره دخول الغاية فيشمل</w:t>
      </w:r>
    </w:p>
    <w:p>
      <w:pPr>
        <w:pStyle w:val="BookText"/>
        <w:rPr/>
      </w:pPr>
      <w:r>
        <w:rPr>
          <w:rFonts w:ascii="Amiri" w:hAnsi="Amiri" w:eastAsia="Amiri" w:cs="Amiri"/>
          <w:color w:val="111111"/>
          <w:sz w:val="28"/>
          <w:sz w:val="28"/>
          <w:szCs w:val="28"/>
          <w:rtl w:val="true"/>
          <w:lang w:bidi="ar-SA"/>
        </w:rPr>
        <w:t>منتهاه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يؤيده ما في نص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النهي عن التأخير إلى الغد </w:t>
      </w:r>
      <w:r>
        <w:rPr>
          <w:rStyle w:val="FootnoteAnchor"/>
          <w:rtl w:val="true"/>
        </w:rPr>
        <w:footnoteReference w:id="410"/>
      </w:r>
      <w:r>
        <w:rPr>
          <w:rFonts w:ascii="Amiri" w:hAnsi="Amiri" w:eastAsia="Amiri" w:cs="Amiri"/>
          <w:color w:val="111111"/>
          <w:sz w:val="28"/>
          <w:sz w:val="28"/>
          <w:szCs w:val="28"/>
          <w:rtl w:val="true"/>
          <w:lang w:bidi="ar-SA"/>
        </w:rPr>
        <w:t>، المتحقق بطلوع فجره، فلا يجوز التأخير حينئذ مع القدرة إلى الغد، و أما مع عدمها فلا بأس به، لعموم دليل الاضطرار، بعد عدم ثبوت مشروعية النيابة، الحاكمة على الاضطرار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 نسي طواف الزيارة حتى رجع إلى أهله و واقع أهله،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عليه بدنة علاوة على الرجوع إلى الطواف بنفسه أو نائبه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جمعا بين حسنة معاوية، الآمرة بالجزور </w:t>
      </w:r>
      <w:r>
        <w:rPr>
          <w:rStyle w:val="FootnoteAnchor"/>
          <w:rtl w:val="true"/>
        </w:rPr>
        <w:footnoteReference w:id="411"/>
      </w:r>
      <w:r>
        <w:rPr>
          <w:rFonts w:ascii="Amiri" w:hAnsi="Amiri" w:eastAsia="Amiri" w:cs="Amiri"/>
          <w:color w:val="111111"/>
          <w:sz w:val="28"/>
          <w:sz w:val="28"/>
          <w:szCs w:val="28"/>
          <w:rtl w:val="true"/>
          <w:lang w:bidi="ar-SA"/>
        </w:rPr>
        <w:t>، و بين المروي عن العلل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المحرم يأتي أهله ناسيا،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شي‌ء عليه، إنما هو بمنزلة من أكل في شهر رمضان و هو ناس</w:t>
      </w:r>
      <w:r>
        <w:rPr>
          <w:rFonts w:eastAsia="Amiri" w:cs="Amiri" w:ascii="Amiri" w:hAnsi="Amiri"/>
          <w:color w:val="111111"/>
          <w:sz w:val="28"/>
          <w:szCs w:val="28"/>
          <w:rtl w:val="true"/>
          <w:lang w:bidi="ar-SA"/>
        </w:rPr>
        <w:t xml:space="preserve">» </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إطلاقه يشمل الجماع بين الوقوفين أيضا فضلا عن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المرسل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كنت ناسيا، أو ساهيا، أو جاهلا فلا شي‌ء عليك</w:t>
      </w:r>
      <w:r>
        <w:rPr>
          <w:rFonts w:eastAsia="Amiri" w:cs="Amiri" w:ascii="Amiri" w:hAnsi="Amiri"/>
          <w:color w:val="111111"/>
          <w:sz w:val="28"/>
          <w:szCs w:val="28"/>
          <w:rtl w:val="true"/>
          <w:lang w:bidi="ar-SA"/>
        </w:rPr>
        <w:t xml:space="preserve">» </w:t>
      </w:r>
      <w:r>
        <w:rPr>
          <w:rStyle w:val="FootnoteAnchor"/>
          <w:rtl w:val="true"/>
        </w:rPr>
        <w:footnoteReference w:id="413"/>
      </w:r>
      <w:r>
        <w:rPr>
          <w:rFonts w:ascii="Amiri" w:hAnsi="Amiri" w:eastAsia="Amiri" w:cs="Amiri"/>
          <w:color w:val="111111"/>
          <w:sz w:val="28"/>
          <w:sz w:val="28"/>
          <w:szCs w:val="28"/>
          <w:rtl w:val="true"/>
          <w:lang w:bidi="ar-SA"/>
        </w:rPr>
        <w:t>، و هو شامل للمقصّر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بأس بالالتزام بترتب العقوبة أيضا، لعمومات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هلا تعلّمت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ينافي ذلك الصحة مع عدم الكفارة حتى لو كان قبل الوقوفين، و اللّٰه العالم</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يجوز تقديم طواف حج التمتع و سعيه على الوقوف على المشهور، لخبر أبي بصير المشتمل على عدم الاعتداد بالطواف المأتي به قبل الوقوفين </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قباله صحيح ابن يقطين النافي للبأس عن الطواف قبل خروجه إلى منى </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هما سواء أخّر ذلك أو قدمه</w:t>
      </w:r>
      <w:r>
        <w:rPr>
          <w:rFonts w:eastAsia="Amiri" w:cs="Amiri" w:ascii="Amiri" w:hAnsi="Amiri"/>
          <w:color w:val="111111"/>
          <w:sz w:val="28"/>
          <w:szCs w:val="28"/>
          <w:rtl w:val="true"/>
          <w:lang w:bidi="ar-SA"/>
        </w:rPr>
        <w:t xml:space="preserve">» </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حمل إطلاق الثاني على ذوي الأعذار بعيد، إذ عذره موجب لضرورة تقديمه، و ظاهر الحكم بالتسوية منصرف الى القادر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يدور الأمر بين الأخذ بهذا الإطلاق و حمل القيد على الفضيلة، كما نسب إلى بعض متأخر 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حمله على ذوي الأعذار، على وجه يتمكنون من الإتيان به بعد الوقوف بمشقة، و الانصاف ترجيح الأول، خلافا للجواهر من مصيره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بملاحظة فهم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الثاني </w:t>
      </w:r>
      <w:r>
        <w:rPr>
          <w:rStyle w:val="FootnoteAnchor"/>
          <w:rtl w:val="true"/>
        </w:rPr>
        <w:footnoteReference w:id="417"/>
      </w:r>
      <w:r>
        <w:rPr>
          <w:rFonts w:ascii="Amiri" w:hAnsi="Amiri" w:eastAsia="Amiri" w:cs="Amiri"/>
          <w:color w:val="111111"/>
          <w:sz w:val="28"/>
          <w:sz w:val="28"/>
          <w:szCs w:val="28"/>
          <w:rtl w:val="true"/>
          <w:lang w:bidi="ar-SA"/>
        </w:rPr>
        <w:t>، و لكن لو لا وهن سنده باعراضهم عن ظاهره لكان الجمع الأول 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المشهور فالحكم ثابت لكل أحد إلّا لخائفة الحيض، و المريض، و الشيخ العاجز عن العود و لو للزحام، و نحوهم من ذوي الأعذار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النص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أن يجعل الشيخ الكبير و المريض و المعلول طواف الحج قبل أن يخرج إلى منى</w:t>
      </w:r>
      <w:r>
        <w:rPr>
          <w:rFonts w:eastAsia="Amiri" w:cs="Amiri" w:ascii="Amiri" w:hAnsi="Amiri"/>
          <w:color w:val="111111"/>
          <w:sz w:val="28"/>
          <w:szCs w:val="28"/>
          <w:rtl w:val="true"/>
          <w:lang w:bidi="ar-SA"/>
        </w:rPr>
        <w:t xml:space="preserve">» </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آخر بعد السؤال عن الشيخ الكبير و الامرأة تخاف الحيض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من كان هكذا يعجل</w:t>
      </w:r>
      <w:r>
        <w:rPr>
          <w:rFonts w:eastAsia="Amiri" w:cs="Amiri" w:ascii="Amiri" w:hAnsi="Amiri"/>
          <w:color w:val="111111"/>
          <w:sz w:val="28"/>
          <w:szCs w:val="28"/>
          <w:rtl w:val="true"/>
          <w:lang w:bidi="ar-SA"/>
        </w:rPr>
        <w:t xml:space="preserve">» </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عن ابن إدريس من عدم جواز التقديم للخائف المزبور مبني على أصله من طرح أخبار الآحاد، و الاقتصار على القطعيات منها، و هو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الخوف المأخوذ في موضوع الحكم هل له الموضوعية أم الطريقية؟</w:t>
      </w:r>
    </w:p>
    <w:p>
      <w:pPr>
        <w:pStyle w:val="BookText"/>
        <w:rPr/>
      </w:pPr>
      <w:r>
        <w:rPr>
          <w:rFonts w:ascii="Amiri" w:hAnsi="Amiri" w:eastAsia="Amiri" w:cs="Amiri"/>
          <w:color w:val="111111"/>
          <w:sz w:val="28"/>
          <w:sz w:val="28"/>
          <w:szCs w:val="28"/>
          <w:rtl w:val="true"/>
          <w:lang w:bidi="ar-SA"/>
        </w:rPr>
        <w:t>وجهان، الظاهر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ففي اقتضاء إتيانه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كشف خلاف العذر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الإجزاء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مصيره إليه </w:t>
      </w:r>
      <w:r>
        <w:rPr>
          <w:rStyle w:val="FootnoteAnchor"/>
          <w:rtl w:val="true"/>
        </w:rPr>
        <w:footnoteReference w:id="420"/>
      </w:r>
      <w:r>
        <w:rPr>
          <w:rFonts w:ascii="Amiri" w:hAnsi="Amiri" w:eastAsia="Amiri" w:cs="Amiri"/>
          <w:color w:val="111111"/>
          <w:sz w:val="28"/>
          <w:sz w:val="28"/>
          <w:szCs w:val="28"/>
          <w:rtl w:val="true"/>
          <w:lang w:bidi="ar-SA"/>
        </w:rPr>
        <w:t>، و هو مبني على أصله في كلية الأوامر الشرعية من اقتضاء الاجزاء، و هو بمعزل عن التحقيق في الأحكام الظاهرية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بناء على موضوعية الخوف متين، لكن الكلام فيه، إذ الظاهر من الخوف في كلية هذه المقامات كونه من باب الطريقية إلى الواقع، و انه كناية عن احتمال طروء العذر في محله، فجعل الشارع هذا الاحتمال عنده بمنزلة الواقع، لا أنّ موضوع الحكم الواقعي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علاوة عن عذره واقعا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خوف وجوده أيضا،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يجوز تقديم طواف النساء أيضا على الوقوف للضرورة، و عن الفاضل و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التصريح به </w:t>
      </w:r>
      <w:r>
        <w:rPr>
          <w:rStyle w:val="FootnoteAnchor"/>
          <w:rtl w:val="true"/>
        </w:rPr>
        <w:footnoteReference w:id="421"/>
      </w:r>
      <w:r>
        <w:rPr>
          <w:rFonts w:ascii="Amiri" w:hAnsi="Amiri" w:eastAsia="Amiri" w:cs="Amiri"/>
          <w:color w:val="111111"/>
          <w:sz w:val="28"/>
          <w:sz w:val="28"/>
          <w:szCs w:val="28"/>
          <w:rtl w:val="true"/>
          <w:lang w:bidi="ar-SA"/>
        </w:rPr>
        <w:t>، و في كشف اللثام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المشهور </w:t>
      </w:r>
      <w:r>
        <w:rPr>
          <w:rStyle w:val="FootnoteAnchor"/>
          <w:rtl w:val="true"/>
        </w:rPr>
        <w:footnoteReference w:id="422"/>
      </w:r>
      <w:r>
        <w:rPr>
          <w:rFonts w:ascii="Amiri" w:hAnsi="Amiri" w:eastAsia="Amiri" w:cs="Amiri"/>
          <w:color w:val="111111"/>
          <w:sz w:val="28"/>
          <w:sz w:val="28"/>
          <w:szCs w:val="28"/>
          <w:rtl w:val="true"/>
          <w:lang w:bidi="ar-SA"/>
        </w:rPr>
        <w:t>، و لصحيح ابن يقطين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بأس بتعجيل طواف الحج و طواف النساء قبل الحج يوم التروية قبل خروجه إلى منى، و كذلك لا بأس لمن خاف أمرا لا يتهيأ له الانصراف إلى مكة أن يطوف و يودع البيت ثم يمر، كما هو، من منى إذا كان خائفا </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قباله خبر علي بن أبي حمزة، المشتمل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الخائفة لحيضها تقضي المناسك عدا طواف النساء فتستعدي الجمال و الرفقاء حتى يقيم عليها حتى</w:t>
      </w:r>
    </w:p>
    <w:p>
      <w:pPr>
        <w:pStyle w:val="BookText"/>
        <w:rPr/>
      </w:pPr>
      <w:r>
        <w:rPr>
          <w:rFonts w:ascii="Amiri" w:hAnsi="Amiri" w:eastAsia="Amiri" w:cs="Amiri"/>
          <w:color w:val="111111"/>
          <w:sz w:val="28"/>
          <w:sz w:val="28"/>
          <w:szCs w:val="28"/>
          <w:rtl w:val="true"/>
          <w:lang w:bidi="ar-SA"/>
        </w:rPr>
        <w:t xml:space="preserve">تطهر فتقضي مناسكها </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يخفى ما في الأخير من انها مع سلطنتها على الاستعداء المزبور لم تكن من الخائفة، و إنما تكون خائفة لو لم يكن لها هذه السلطنة و انّ الجمال و رفقاءها أيضا لا يلاحظونها، فلا تعارض هذه للرواية الاولى، بل لا محيص عن طرح الثانية، أو حملها على الاستعداء بنحو الأخذ بالحياء لا الاستعداء قهرا، و إلّا فلا سلطنة لها عليهم جزما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يجوز تقديم طواف الزيارة على الوقوف للمفرد و القارن اختيارا، و هو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صحيحة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مفرد الحج يقدّم طوافه أو يؤخره؟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و اللّٰه سواء، عجّله أو أخّره</w:t>
      </w:r>
      <w:r>
        <w:rPr>
          <w:rFonts w:eastAsia="Amiri" w:cs="Amiri" w:ascii="Amiri" w:hAnsi="Amiri"/>
          <w:color w:val="111111"/>
          <w:sz w:val="28"/>
          <w:szCs w:val="28"/>
          <w:rtl w:val="true"/>
          <w:lang w:bidi="ar-SA"/>
        </w:rPr>
        <w:t xml:space="preserve">» </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نظيرها غيرها </w:t>
      </w:r>
      <w:r>
        <w:rPr>
          <w:rStyle w:val="FootnoteAnchor"/>
          <w:rtl w:val="true"/>
        </w:rPr>
        <w:footnoteReference w:id="426"/>
      </w:r>
      <w:r>
        <w:rPr>
          <w:rFonts w:ascii="Amiri" w:hAnsi="Amiri" w:eastAsia="Amiri" w:cs="Amiri"/>
          <w:color w:val="111111"/>
          <w:sz w:val="28"/>
          <w:sz w:val="28"/>
          <w:szCs w:val="28"/>
          <w:rtl w:val="true"/>
          <w:lang w:bidi="ar-SA"/>
        </w:rPr>
        <w:t>، و في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طاف بالبيت و بالصفا و المروة أ يعجل طواف النساء؟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إنما طواف النساء بعد أن يأتي منى</w:t>
      </w:r>
      <w:r>
        <w:rPr>
          <w:rFonts w:eastAsia="Amiri" w:cs="Amiri" w:ascii="Amiri" w:hAnsi="Amiri"/>
          <w:color w:val="111111"/>
          <w:sz w:val="28"/>
          <w:szCs w:val="28"/>
          <w:rtl w:val="true"/>
          <w:lang w:bidi="ar-SA"/>
        </w:rPr>
        <w:t xml:space="preserve">» </w:t>
      </w:r>
      <w:r>
        <w:rPr>
          <w:rStyle w:val="FootnoteAnchor"/>
          <w:rtl w:val="true"/>
        </w:rPr>
        <w:footnoteReference w:id="427"/>
      </w:r>
      <w:r>
        <w:rPr>
          <w:rFonts w:ascii="IRNazanin" w:hAnsi="IRNazanin" w:eastAsia="IRNazanin"/>
          <w:color w:val="111111"/>
          <w:sz w:val="28"/>
          <w:sz w:val="28"/>
          <w:szCs w:val="28"/>
          <w:rtl w:val="true"/>
          <w:lang w:bidi="fa-IR"/>
        </w:rPr>
        <w:t>، نعم لا بأس به عند الخوف للإطلاق السابق الشامل للمتمتع و المفرد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قبالها ما في خبر زرارة بعد أمر أبي جعفر بتقديم طواف الحج، فقال لرجل إلى جنبه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شيخي لم يفعل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شيخك؟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بن الحسين </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لضعفها و اعراض المشهور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تقاوم الاولى، مع إمكان حمل الجواز على الكراهة، كما صنعه في الشرائع </w:t>
      </w:r>
      <w:r>
        <w:rPr>
          <w:rStyle w:val="FootnoteAnchor"/>
          <w:rtl w:val="true"/>
        </w:rPr>
        <w:footnoteReference w:id="429"/>
      </w:r>
      <w:r>
        <w:rPr>
          <w:rFonts w:ascii="Amiri" w:hAnsi="Amiri" w:eastAsia="Amiri" w:cs="Amiri"/>
          <w:color w:val="111111"/>
          <w:sz w:val="28"/>
          <w:sz w:val="28"/>
          <w:szCs w:val="28"/>
          <w:rtl w:val="true"/>
          <w:lang w:bidi="ar-SA"/>
        </w:rPr>
        <w:t>،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حاضت المرأة في عمرتها المتمتع بها قبله، أي قبل الطواف، انتظرت الوقوف، فإن لم تطهر بطل متعتها و صارت حجتها مفردة و تقضي العمرة بعد ذلك، على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يدل عليه صحيح جميل </w:t>
      </w:r>
      <w:r>
        <w:rPr>
          <w:rStyle w:val="FootnoteAnchor"/>
          <w:rtl w:val="true"/>
        </w:rPr>
        <w:footnoteReference w:id="430"/>
      </w:r>
      <w:r>
        <w:rPr>
          <w:rFonts w:ascii="Amiri" w:hAnsi="Amiri" w:eastAsia="Amiri" w:cs="Amiri"/>
          <w:color w:val="111111"/>
          <w:sz w:val="28"/>
          <w:sz w:val="28"/>
          <w:szCs w:val="28"/>
          <w:rtl w:val="true"/>
          <w:lang w:bidi="ar-SA"/>
        </w:rPr>
        <w:t xml:space="preserve">و موثقة إسحاق </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قبالهما نص علاء ابن صبيح </w:t>
      </w:r>
      <w:r>
        <w:rPr>
          <w:rStyle w:val="FootnoteAnchor"/>
          <w:rtl w:val="true"/>
        </w:rPr>
        <w:footnoteReference w:id="432"/>
      </w:r>
      <w:r>
        <w:rPr>
          <w:rFonts w:ascii="IRNazanin" w:hAnsi="IRNazanin" w:eastAsia="IRNazanin"/>
          <w:color w:val="111111"/>
          <w:sz w:val="28"/>
          <w:sz w:val="28"/>
          <w:szCs w:val="28"/>
          <w:rtl w:val="true"/>
          <w:lang w:bidi="fa-IR"/>
        </w:rPr>
        <w:t xml:space="preserve">و خبر عجلان </w:t>
      </w:r>
      <w:r>
        <w:rPr>
          <w:rStyle w:val="FootnoteAnchor"/>
          <w:rtl w:val="true"/>
        </w:rPr>
        <w:footnoteReference w:id="433"/>
      </w:r>
      <w:r>
        <w:rPr>
          <w:rFonts w:ascii="Amiri" w:hAnsi="Amiri" w:eastAsia="Amiri" w:cs="Amiri"/>
          <w:color w:val="111111"/>
          <w:sz w:val="28"/>
          <w:sz w:val="28"/>
          <w:szCs w:val="28"/>
          <w:rtl w:val="true"/>
          <w:lang w:bidi="ar-SA"/>
        </w:rPr>
        <w:t xml:space="preserve">، المشتمل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لم تطهر، فإذا كان يوم التروية أفاضت عليها الماء و أهلّت بالحج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بعضهم جمعوا بين النصين بالتخيير بين الطريقين، و قيل بعدم مساعدة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انّ مرجعه إلى رفع اليد عن تعيين كل منهما فيحمل على التخيير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الحقيقة يتصرف في إطلاق الهيئة بنص الآخر، و مثل ذلك جمع متعارف، و داخل في كلية ما عليه بناؤهم من رفع اليد عن ظاهر كل أمر بنص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فالأولى المصير إلى طرح الأخيرة سندا، أو تأويلها بصورة تجاوزها النصف قبل تجدد العذر، بشهادة خبر أبي بصير المشتمل على صورة طروء الحيض و قد جاوزت النصف من طوافها،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فعلّمت ذلك الموضع فإذا طهرت رجعت فأتمت بقية طوافها، و ان هي قطعت طوافها في أقل من النصف فعليها أن تستأنف الطواف من أوله</w:t>
      </w:r>
      <w:r>
        <w:rPr>
          <w:rFonts w:eastAsia="Amiri" w:cs="Amiri" w:ascii="Amiri" w:hAnsi="Amiri"/>
          <w:color w:val="111111"/>
          <w:sz w:val="28"/>
          <w:szCs w:val="28"/>
          <w:rtl w:val="true"/>
          <w:lang w:bidi="ar-SA"/>
        </w:rPr>
        <w:t xml:space="preserve">»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بعضها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متعتها تامة لأنها زادت على النصف</w:t>
      </w:r>
      <w:r>
        <w:rPr>
          <w:rFonts w:eastAsia="Amiri" w:cs="Amiri" w:ascii="Amiri" w:hAnsi="Amiri"/>
          <w:color w:val="111111"/>
          <w:sz w:val="28"/>
          <w:szCs w:val="28"/>
          <w:rtl w:val="true"/>
          <w:lang w:bidi="ar-SA"/>
        </w:rPr>
        <w:t xml:space="preserve">» </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عموم التعليل يشمل صورة عدم التمكن من إتمام العمرة لفوت الوقوف حتى الاضطراري منه فتتم حجها فترجع إلى إتمام طوافها، و لقد تعرضنا للمسألة إجمالا في أوائل كتاب الحج عند الكلام عن تجديد الإحرام بالتلبية بعد الطواف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ذكرنا ظهر وجه ما أفاده المصنف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حاضت خلاله فإن جاوزت النصف تركت بقية الطواف و فعلت بقية المناسك ثم قضت الفائت بعد طهرها، و إلّا فحكمها حكم من لم تطف عمدا فتبطل حجها و عليها بدنة على اشكال في الأخير كما تقدّم</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المستحاضة إذا فعلت ما يجب عليها من وظائفها المرتبطة باختلاف الدم قلة و كثرة كانت كالطاهرة، على ما تقدّم الكلام في محله مفصلا</w:t>
      </w:r>
      <w:r>
        <w:rPr>
          <w:rFonts w:eastAsia="Amiri" w:cs="Amiri" w:ascii="Amiri" w:hAnsi="Amiri"/>
          <w:color w:val="111111"/>
          <w:sz w:val="28"/>
          <w:szCs w:val="28"/>
          <w:rtl w:val="true"/>
          <w:lang w:bidi="ar-SA"/>
        </w:rPr>
        <w:t>.</w:t>
      </w:r>
      <w:bookmarkStart w:id="209" w:name="pg19818_204022"/>
    </w:p>
    <w:p>
      <w:pPr>
        <w:pStyle w:val="Heading3"/>
        <w:numPr>
          <w:ilvl w:val="2"/>
          <w:numId w:val="1"/>
        </w:numPr>
        <w:rPr/>
      </w:pPr>
      <w:bookmarkStart w:id="210" w:name="__RefHeading___Toc3320836_2314609296"/>
      <w:bookmarkStart w:id="211" w:name="_Toc76"/>
      <w:bookmarkEnd w:id="209"/>
      <w:bookmarkEnd w:id="210"/>
      <w:r>
        <w:rPr>
          <w:rtl w:val="true"/>
        </w:rPr>
        <w:t>الباب السابع في السعي</w:t>
      </w:r>
      <w:bookmarkEnd w:id="211"/>
    </w:p>
    <w:p>
      <w:pPr>
        <w:pStyle w:val="Heading4"/>
        <w:numPr>
          <w:ilvl w:val="3"/>
          <w:numId w:val="1"/>
        </w:numPr>
        <w:rPr/>
      </w:pPr>
      <w:bookmarkStart w:id="212" w:name="__RefHeading___Toc3320838_2314609296"/>
      <w:bookmarkStart w:id="213" w:name="_Toc77"/>
      <w:bookmarkEnd w:id="212"/>
      <w:r>
        <w:rPr>
          <w:rtl w:val="true"/>
        </w:rPr>
        <w:t>اشارة</w:t>
      </w:r>
      <w:bookmarkEnd w:id="213"/>
    </w:p>
    <w:p>
      <w:pPr>
        <w:pStyle w:val="BookText"/>
        <w:rPr/>
      </w:pPr>
      <w:r>
        <w:rPr>
          <w:rFonts w:ascii="Amiri" w:hAnsi="Amiri" w:eastAsia="Amiri" w:cs="Amiri"/>
          <w:color w:val="111111"/>
          <w:sz w:val="28"/>
          <w:sz w:val="28"/>
          <w:szCs w:val="28"/>
          <w:rtl w:val="true"/>
          <w:lang w:bidi="ar-SA"/>
        </w:rPr>
        <w:t>و هو واجب في كل إحرام مرة بعد طواف الزيارة، كما عرفت بلا اشكال فيه، بل وجوبه كذلك ضروري المذهب، لوجوب الطواف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على ذلك مراجعة النصوص الواردة في شرح الحج بأنواعه، و في بعضها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في حج التمتع سعيين، سعيا لعمرته و سعيا لحجة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لقد عقد في الوسائل بابا لذلك </w:t>
      </w:r>
      <w:r>
        <w:rPr>
          <w:rStyle w:val="FootnoteAnchor"/>
          <w:rtl w:val="true"/>
        </w:rPr>
        <w:footnoteReference w:id="436"/>
      </w:r>
      <w:r>
        <w:rPr>
          <w:rFonts w:ascii="IRNazanin" w:hAnsi="IRNazanin" w:eastAsia="IRNazanin"/>
          <w:color w:val="111111"/>
          <w:sz w:val="28"/>
          <w:sz w:val="28"/>
          <w:szCs w:val="28"/>
          <w:rtl w:val="true"/>
          <w:lang w:bidi="fa-IR"/>
        </w:rPr>
        <w:t>، فراجع</w:t>
      </w:r>
      <w:r>
        <w:rPr>
          <w:rFonts w:eastAsia="IRNazanin" w:cs="IRNazanin"/>
          <w:color w:val="111111"/>
          <w:sz w:val="28"/>
          <w:szCs w:val="28"/>
          <w:rtl w:val="true"/>
          <w:lang w:bidi="fa-IR"/>
        </w:rPr>
        <w:t>.</w:t>
      </w:r>
    </w:p>
    <w:p>
      <w:pPr>
        <w:pStyle w:val="Heading4"/>
        <w:numPr>
          <w:ilvl w:val="3"/>
          <w:numId w:val="1"/>
        </w:numPr>
        <w:rPr/>
      </w:pPr>
      <w:bookmarkStart w:id="214" w:name="__RefHeading___Toc3320840_2314609296"/>
      <w:bookmarkStart w:id="215" w:name="_Toc78"/>
      <w:bookmarkEnd w:id="214"/>
      <w:r>
        <w:rPr>
          <w:rtl w:val="true"/>
        </w:rPr>
        <w:t>و تجب فيه النية</w:t>
      </w:r>
      <w:bookmarkEnd w:id="215"/>
    </w:p>
    <w:p>
      <w:pPr>
        <w:pStyle w:val="BookText"/>
        <w:rPr/>
      </w:pPr>
      <w:r>
        <w:rPr>
          <w:rFonts w:ascii="Amiri" w:hAnsi="Amiri" w:eastAsia="Amiri" w:cs="Amiri"/>
          <w:color w:val="111111"/>
          <w:sz w:val="28"/>
          <w:sz w:val="28"/>
          <w:szCs w:val="28"/>
          <w:rtl w:val="true"/>
          <w:lang w:bidi="ar-SA"/>
        </w:rPr>
        <w:t>بلا اشكال، لعباديته على التفصيل المتقدّم في الطواف، بلا مزية لها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البدأة بالصفا و الختم بالمروة بلا خلاف منا، و النصوص به مستفيضة، و في النص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بدأ بالمروة قبل الصفا فليطرح ما سعى و يبدأ بالصفا</w:t>
      </w:r>
      <w:r>
        <w:rPr>
          <w:rFonts w:eastAsia="Amiri" w:cs="Amiri" w:ascii="Amiri" w:hAnsi="Amiri"/>
          <w:color w:val="111111"/>
          <w:sz w:val="28"/>
          <w:szCs w:val="28"/>
          <w:rtl w:val="true"/>
          <w:lang w:bidi="ar-SA"/>
        </w:rPr>
        <w:t xml:space="preserve">» </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تشبيه المقام بالوضوء في تقديم الأيسر على الأيمن </w:t>
      </w:r>
      <w:r>
        <w:rPr>
          <w:rStyle w:val="FootnoteAnchor"/>
          <w:rtl w:val="true"/>
        </w:rPr>
        <w:footnoteReference w:id="4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 هذا التشبيه جواز الاكتفاء بالصفا المأتي به شوطا لو لم يخل بالتقرب في مثله،</w:t>
      </w:r>
      <w:bookmarkStart w:id="216" w:name="pg19818_204023"/>
    </w:p>
    <w:p>
      <w:pPr>
        <w:pStyle w:val="BookText"/>
        <w:rPr/>
      </w:pPr>
      <w:bookmarkEnd w:id="216"/>
      <w:r>
        <w:rPr>
          <w:rFonts w:ascii="Amiri" w:hAnsi="Amiri" w:eastAsia="Amiri" w:cs="Amiri"/>
          <w:color w:val="111111"/>
          <w:sz w:val="28"/>
          <w:sz w:val="28"/>
          <w:szCs w:val="28"/>
          <w:rtl w:val="true"/>
          <w:lang w:bidi="ar-SA"/>
        </w:rPr>
        <w:t>كما هو الشأن في الوضوء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فالأمر بطرح ما سعى حينئذ محمول على طرح ما سعى على نحو ما قصده من اكتفائه به شوطين، لا طرح سعيه للصفا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الظاهر من السعي كون مقاديم بدنه الى المقصد، فلا يجزئ القهقري و غيره، للانصراف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انّ الظاهر من 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الصفا و المروة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شموله لما يصدق مسماه، فلا يحتاج في الرجوع الى خصوص الخط الذي مشى أولا، نعم في اعتبار الاستيعاب وجه، كما هو الشأن في حمل كلية أمثال هذه التحديدات الشرعية على المداقة العقلية نظير الأوزان و المقادير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مع الاكتفاء بالركوب في المقام ربما يوهم عدم مراعاة الدقة، بل المدار على السير بينهما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يتوهم انّ الاستيعاب في كل نحو من المشي و الركوب بحسبه يقتضي التفصيل بينهما، في لزوم الاستيعاب دقة في المشي دون الركوب و هو محل منع، إذ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المقامين معنى واحد، فيؤخذ المقدار بمقدار سيره ركوبا، بلا فرق بين أنحاء سيره بينهما،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المراد بالمسعى ما هو محط استقرار السيرة على طوافه طبقة عن طبقة، فلا وجه للتشكيك فيه بكونه جزء من المسجد أو خارجا عنه، و لا يجب صعود الصفا و لا المروة، لخروجها بنفسهما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نعم على المداقة لا بأس بهما مقدمة علمية، كما لا يخفى</w:t>
      </w:r>
      <w:r>
        <w:rPr>
          <w:rFonts w:eastAsia="Amiri" w:cs="Amiri" w:ascii="Amiri" w:hAnsi="Amiri"/>
          <w:color w:val="111111"/>
          <w:sz w:val="28"/>
          <w:szCs w:val="28"/>
          <w:rtl w:val="true"/>
          <w:lang w:bidi="ar-SA"/>
        </w:rPr>
        <w:t>.</w:t>
      </w:r>
    </w:p>
    <w:p>
      <w:pPr>
        <w:pStyle w:val="Heading4"/>
        <w:numPr>
          <w:ilvl w:val="3"/>
          <w:numId w:val="1"/>
        </w:numPr>
        <w:rPr/>
      </w:pPr>
      <w:bookmarkStart w:id="217" w:name="__RefHeading___Toc3320842_2314609296"/>
      <w:bookmarkStart w:id="218" w:name="_Toc79"/>
      <w:bookmarkEnd w:id="217"/>
      <w:r>
        <w:rPr>
          <w:rtl w:val="true"/>
        </w:rPr>
        <w:t>و السعي سبعة أشواط من الصفا إلى المروة، و من المروة اليه</w:t>
      </w:r>
      <w:bookmarkEnd w:id="218"/>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 ذلك شوطان بلا 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تومئ إليه النصوص المشتملة على البداية بالصفا و الختم بالمروة، مضافا إلى التصريح بانّ من حسب الذهاب و المجي‌ء شوطا واحدا فقد زاد ما عليه، بعد طرح ذيله بنفي البأس، أو تأويله بالحمل على السهو، فذلك قرينة على انّ الذهاب و المجي‌ء شوطان</w:t>
      </w:r>
      <w:r>
        <w:rPr>
          <w:rFonts w:eastAsia="Amiri" w:cs="Amiri" w:ascii="Amiri" w:hAnsi="Amiri"/>
          <w:color w:val="111111"/>
          <w:sz w:val="28"/>
          <w:szCs w:val="28"/>
          <w:rtl w:val="true"/>
          <w:lang w:bidi="ar-SA"/>
        </w:rPr>
        <w:t>.</w:t>
      </w:r>
      <w:bookmarkStart w:id="219" w:name="pg19818_204024"/>
    </w:p>
    <w:p>
      <w:pPr>
        <w:pStyle w:val="Heading4"/>
        <w:numPr>
          <w:ilvl w:val="3"/>
          <w:numId w:val="1"/>
        </w:numPr>
        <w:rPr/>
      </w:pPr>
      <w:bookmarkStart w:id="220" w:name="__RefHeading___Toc3320844_2314609296"/>
      <w:bookmarkStart w:id="221" w:name="_Toc80"/>
      <w:bookmarkEnd w:id="219"/>
      <w:bookmarkEnd w:id="220"/>
      <w:r>
        <w:rPr>
          <w:rtl w:val="true"/>
        </w:rPr>
        <w:t>و يستحب فيه الطهارة،</w:t>
      </w:r>
      <w:bookmarkEnd w:id="221"/>
    </w:p>
    <w:p>
      <w:pPr>
        <w:pStyle w:val="BookText"/>
        <w:rPr/>
      </w:pPr>
      <w:r>
        <w:rPr>
          <w:rFonts w:ascii="Amiri" w:hAnsi="Amiri" w:eastAsia="Amiri" w:cs="Amiri"/>
          <w:color w:val="111111"/>
          <w:sz w:val="28"/>
          <w:sz w:val="28"/>
          <w:szCs w:val="28"/>
          <w:rtl w:val="true"/>
          <w:lang w:bidi="ar-SA"/>
        </w:rPr>
        <w:t>للجمع بين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أن يقتضي المناسك كلها على غير وضوء إلّا الطواف</w:t>
      </w:r>
      <w:r>
        <w:rPr>
          <w:rFonts w:eastAsia="Amiri" w:cs="Amiri" w:ascii="Amiri" w:hAnsi="Amiri"/>
          <w:color w:val="111111"/>
          <w:sz w:val="28"/>
          <w:szCs w:val="28"/>
          <w:rtl w:val="true"/>
          <w:lang w:bidi="ar-SA"/>
        </w:rPr>
        <w:t xml:space="preserve">» </w:t>
      </w:r>
      <w:r>
        <w:rPr>
          <w:rStyle w:val="FootnoteAnchor"/>
          <w:rtl w:val="true"/>
        </w:rPr>
        <w:footnoteReference w:id="439"/>
      </w:r>
      <w:r>
        <w:rPr>
          <w:rFonts w:ascii="Amiri" w:hAnsi="Amiri" w:eastAsia="Amiri" w:cs="Amiri"/>
          <w:color w:val="111111"/>
          <w:sz w:val="28"/>
          <w:sz w:val="28"/>
          <w:szCs w:val="28"/>
          <w:rtl w:val="true"/>
          <w:lang w:bidi="ar-SA"/>
        </w:rPr>
        <w:t xml:space="preserve">علاوة على ما دل على الأمر بإتمام الحائض سعيها بعد طروء الحيض </w:t>
      </w:r>
      <w:r>
        <w:rPr>
          <w:rStyle w:val="FootnoteAnchor"/>
          <w:rtl w:val="true"/>
        </w:rPr>
        <w:footnoteReference w:id="440"/>
      </w:r>
      <w:r>
        <w:rPr>
          <w:rFonts w:ascii="Amiri" w:hAnsi="Amiri" w:eastAsia="Amiri" w:cs="Amiri"/>
          <w:color w:val="111111"/>
          <w:sz w:val="28"/>
          <w:sz w:val="28"/>
          <w:szCs w:val="28"/>
          <w:rtl w:val="true"/>
          <w:lang w:bidi="ar-SA"/>
        </w:rPr>
        <w:t xml:space="preserve">، بل و فيمن بال بعد أربعة أشواط فيتم سعيه بغير وضوء </w:t>
      </w:r>
      <w:r>
        <w:rPr>
          <w:rStyle w:val="FootnoteAnchor"/>
          <w:rtl w:val="true"/>
        </w:rPr>
        <w:footnoteReference w:id="4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بين ما اشتمل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طواف و لا سعي بغير وضوء</w:t>
      </w:r>
      <w:r>
        <w:rPr>
          <w:rFonts w:eastAsia="Amiri" w:cs="Amiri" w:ascii="Amiri" w:hAnsi="Amiri"/>
          <w:color w:val="111111"/>
          <w:sz w:val="28"/>
          <w:szCs w:val="28"/>
          <w:rtl w:val="true"/>
          <w:lang w:bidi="ar-SA"/>
        </w:rPr>
        <w:t xml:space="preserve">» </w:t>
      </w:r>
      <w:r>
        <w:rPr>
          <w:rStyle w:val="FootnoteAnchor"/>
          <w:rtl w:val="true"/>
        </w:rPr>
        <w:footnoteReference w:id="442"/>
      </w:r>
      <w:r>
        <w:rPr>
          <w:rFonts w:ascii="Amiri" w:hAnsi="Amiri" w:eastAsia="Amiri" w:cs="Amiri"/>
          <w:color w:val="111111"/>
          <w:sz w:val="28"/>
          <w:sz w:val="28"/>
          <w:szCs w:val="28"/>
          <w:rtl w:val="true"/>
          <w:lang w:bidi="ar-SA"/>
        </w:rPr>
        <w:t>، و في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النهي عن سعي الحائض لأنه من شعائر اللّٰه </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يستحب أيضا استلام الحجر، و الشرب من زمزم، و الاغتسال من الدلو المقابل للحجر الأسود، كل ذلك لما في صحيح معاوية </w:t>
      </w:r>
      <w:r>
        <w:rPr>
          <w:rStyle w:val="FootnoteAnchor"/>
          <w:rtl w:val="true"/>
        </w:rPr>
        <w:footnoteReference w:id="444"/>
      </w:r>
      <w:r>
        <w:rPr>
          <w:rFonts w:ascii="Amiri" w:hAnsi="Amiri" w:eastAsia="Amiri" w:cs="Amiri"/>
          <w:color w:val="111111"/>
          <w:sz w:val="28"/>
          <w:sz w:val="28"/>
          <w:szCs w:val="28"/>
          <w:rtl w:val="true"/>
          <w:lang w:bidi="ar-SA"/>
        </w:rPr>
        <w:t xml:space="preserve">و حسن الحلبي </w:t>
      </w:r>
      <w:r>
        <w:rPr>
          <w:rStyle w:val="FootnoteAnchor"/>
          <w:rtl w:val="true"/>
        </w:rPr>
        <w:footnoteReference w:id="445"/>
      </w:r>
      <w:r>
        <w:rPr>
          <w:rFonts w:ascii="Amiri" w:hAnsi="Amiri" w:eastAsia="Amiri" w:cs="Amiri"/>
          <w:color w:val="111111"/>
          <w:sz w:val="28"/>
          <w:sz w:val="28"/>
          <w:szCs w:val="28"/>
          <w:rtl w:val="true"/>
          <w:lang w:bidi="ar-SA"/>
        </w:rPr>
        <w:t xml:space="preserve">المذكورين في الجواهر </w:t>
      </w:r>
      <w:r>
        <w:rPr>
          <w:rStyle w:val="FootnoteAnchor"/>
          <w:rtl w:val="true"/>
        </w:rPr>
        <w:footnoteReference w:id="446"/>
      </w:r>
      <w:r>
        <w:rPr>
          <w:rFonts w:ascii="IRNazanin" w:hAnsi="IRNazanin" w:eastAsia="IRNazanin"/>
          <w:color w:val="111111"/>
          <w:sz w:val="28"/>
          <w:sz w:val="28"/>
          <w:szCs w:val="28"/>
          <w:rtl w:val="true"/>
          <w:lang w:bidi="fa-IR"/>
        </w:rPr>
        <w:t>، فراجع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الخروج من باب الصفا و الصعود عليه، أما الأول فلما في صحيح معاوية </w:t>
      </w:r>
      <w:r>
        <w:rPr>
          <w:rStyle w:val="FootnoteAnchor"/>
          <w:rtl w:val="true"/>
        </w:rPr>
        <w:footnoteReference w:id="447"/>
      </w:r>
      <w:r>
        <w:rPr>
          <w:rFonts w:ascii="Amiri" w:hAnsi="Amiri" w:eastAsia="Amiri" w:cs="Amiri"/>
          <w:color w:val="111111"/>
          <w:sz w:val="28"/>
          <w:sz w:val="28"/>
          <w:szCs w:val="28"/>
          <w:rtl w:val="true"/>
          <w:lang w:bidi="ar-SA"/>
        </w:rPr>
        <w:t xml:space="preserve">، و الثاني فلحسنته </w:t>
      </w:r>
      <w:r>
        <w:rPr>
          <w:rStyle w:val="FootnoteAnchor"/>
          <w:rtl w:val="true"/>
        </w:rPr>
        <w:footnoteReference w:id="448"/>
      </w:r>
      <w:r>
        <w:rPr>
          <w:rFonts w:ascii="Amiri" w:hAnsi="Amiri" w:eastAsia="Amiri" w:cs="Amiri"/>
          <w:color w:val="111111"/>
          <w:sz w:val="28"/>
          <w:sz w:val="28"/>
          <w:szCs w:val="28"/>
          <w:rtl w:val="true"/>
          <w:lang w:bidi="ar-SA"/>
        </w:rPr>
        <w:t>المحمولة على الاستحباب بقرينة الاكتفاء ببينهما في النصوص السابقة، كما لا يخفى</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استقبال ركن الحجر بالتكبير و التهليل سبعا و الدعاء، كل ذلك لحسن معاوية الطويلة المذكورة في الجواهر </w:t>
      </w:r>
      <w:r>
        <w:rPr>
          <w:rStyle w:val="FootnoteAnchor"/>
          <w:rtl w:val="true"/>
        </w:rPr>
        <w:footnoteReference w:id="4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المشي طرفيه أي طرفي</w:t>
      </w:r>
    </w:p>
    <w:p>
      <w:pPr>
        <w:pStyle w:val="BookText"/>
        <w:rPr/>
      </w:pPr>
      <w:r>
        <w:rPr>
          <w:rFonts w:ascii="Amiri" w:hAnsi="Amiri" w:eastAsia="Amiri" w:cs="Amiri"/>
          <w:color w:val="111111"/>
          <w:sz w:val="28"/>
          <w:sz w:val="28"/>
          <w:szCs w:val="28"/>
          <w:rtl w:val="true"/>
          <w:lang w:bidi="ar-SA"/>
        </w:rPr>
        <w:t>السعي، يعني أوله و آخره، أو طرفي السعي قبل المنارتين و بعدهما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الهرولة من المنارة إلى زقاق العطارين، فإنه من وادي محسر كما قيل، و لما في حسن معاوية من الأمر بملاء فروجه من المنارة إلى الأخرى </w:t>
      </w:r>
      <w:r>
        <w:rPr>
          <w:rStyle w:val="FootnoteAnchor"/>
          <w:rtl w:val="true"/>
        </w:rPr>
        <w:footnoteReference w:id="450"/>
      </w:r>
      <w:r>
        <w:rPr>
          <w:rFonts w:ascii="Amiri" w:hAnsi="Amiri" w:eastAsia="Amiri" w:cs="Amiri"/>
          <w:color w:val="111111"/>
          <w:sz w:val="28"/>
          <w:sz w:val="28"/>
          <w:szCs w:val="28"/>
          <w:rtl w:val="true"/>
          <w:lang w:bidi="ar-SA"/>
        </w:rPr>
        <w:t>، و في نص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زقاق إلى زقاق </w:t>
      </w:r>
      <w:r>
        <w:rPr>
          <w:rStyle w:val="FootnoteAnchor"/>
          <w:rtl w:val="true"/>
        </w:rPr>
        <w:footnoteReference w:id="4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ضعّفه في الجواهر بمخالفة المشهور </w:t>
      </w:r>
      <w:r>
        <w:rPr>
          <w:rStyle w:val="FootnoteAnchor"/>
          <w:rtl w:val="true"/>
        </w:rPr>
        <w:footnoteReference w:id="452"/>
      </w:r>
      <w:r>
        <w:rPr>
          <w:rFonts w:ascii="Amiri" w:hAnsi="Amiri" w:eastAsia="Amiri" w:cs="Amiri"/>
          <w:color w:val="111111"/>
          <w:sz w:val="28"/>
          <w:sz w:val="28"/>
          <w:szCs w:val="28"/>
          <w:rtl w:val="true"/>
          <w:lang w:bidi="ar-SA"/>
        </w:rPr>
        <w:t>، و الأمر فيه سهل بعد استحبابه و التسامح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يستحب أيضا الدعاء، و السعي ماشيا، لأن أفضل الأعمال أحمزها، و إلّا فلا بأس به راكبا بأي وجه، كما في حسنة معاوية </w:t>
      </w:r>
      <w:r>
        <w:rPr>
          <w:rStyle w:val="FootnoteAnchor"/>
          <w:rtl w:val="true"/>
        </w:rPr>
        <w:footnoteReference w:id="453"/>
      </w:r>
      <w:r>
        <w:rPr>
          <w:rFonts w:ascii="IRNazanin" w:hAnsi="IRNazanin" w:eastAsia="IRNazanin"/>
          <w:color w:val="111111"/>
          <w:sz w:val="28"/>
          <w:sz w:val="28"/>
          <w:szCs w:val="28"/>
          <w:rtl w:val="true"/>
          <w:lang w:bidi="fa-IR"/>
        </w:rPr>
        <w:t>، فراجع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بأس بأن يجلس في خلال السعي للراحة أينما كان، لما في صحيح الحلبي من التصريح بجواز الجلوس على الصفا، أو على المروة، أو بينهما </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ركن يبطل الحج بتركه عمدا لا سهوا، كما هو الشأن في الطواف 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الأصل في ذلك ما في صحيح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ترك السعي متعمدا،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الحج من قابل</w:t>
      </w:r>
      <w:r>
        <w:rPr>
          <w:rFonts w:eastAsia="Amiri" w:cs="Amiri" w:ascii="Amiri" w:hAnsi="Amiri"/>
          <w:color w:val="111111"/>
          <w:sz w:val="28"/>
          <w:szCs w:val="28"/>
          <w:rtl w:val="true"/>
          <w:lang w:bidi="ar-SA"/>
        </w:rPr>
        <w:t xml:space="preserve">» </w:t>
      </w:r>
      <w:r>
        <w:rPr>
          <w:rStyle w:val="FootnoteAnchor"/>
          <w:rtl w:val="true"/>
        </w:rPr>
        <w:footnoteReference w:id="4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إطلاقه يشمل ترك السعي في العمرة المتمتع بها أيضا، فيتعدّى إلى المفردة منها أيضا، بعدم الفصل</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 هذا الإطلاق يشمل حجه بأقسامه، و المدار في صدق تركه، مثل ترك الطواف، بخروج ذي الحجة، لما عرفت من بقاء وقتهما 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بقاء الوقت يعود إليه بنفسه، و مع التعذر يستنيب، بناء على شمول فحوى الاستنابة لمثل الفرض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لم أر في الكلمات من تعرّض له، لا في</w:t>
      </w:r>
      <w:bookmarkStart w:id="222" w:name="pg19818_204026"/>
    </w:p>
    <w:p>
      <w:pPr>
        <w:pStyle w:val="BookText"/>
        <w:rPr/>
      </w:pPr>
      <w:bookmarkEnd w:id="222"/>
      <w:r>
        <w:rPr>
          <w:rFonts w:ascii="Amiri" w:hAnsi="Amiri" w:eastAsia="Amiri" w:cs="Amiri"/>
          <w:color w:val="111111"/>
          <w:sz w:val="28"/>
          <w:sz w:val="28"/>
          <w:szCs w:val="28"/>
          <w:rtl w:val="true"/>
          <w:lang w:bidi="ar-SA"/>
        </w:rPr>
        <w:t>المقام و لا في باب الطواف، و لعلهم أوكلوها على وضوحها من تشريع الاستنابة لمن وظيفته الرجوع و لم يتمكن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الترك سهوا يعود لأجله و لو بعد الوقت، فإن تعذر استناب، لحسن معاوية المشتمل على إعادة الناسي السعي، بضم نص آخر مشتمل على انه يطاف عنه، و إطلاقهما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نقل بانصرافه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يشمل بعد الوقت أيضا</w:t>
      </w:r>
      <w:r>
        <w:rPr>
          <w:rFonts w:eastAsia="Amiri" w:cs="Amiri" w:ascii="Amiri" w:hAnsi="Amiri"/>
          <w:color w:val="111111"/>
          <w:sz w:val="28"/>
          <w:szCs w:val="28"/>
          <w:rtl w:val="true"/>
          <w:lang w:bidi="ar-SA"/>
        </w:rPr>
        <w:t>.</w:t>
      </w:r>
    </w:p>
    <w:p>
      <w:pPr>
        <w:pStyle w:val="Heading4"/>
        <w:numPr>
          <w:ilvl w:val="3"/>
          <w:numId w:val="1"/>
        </w:numPr>
        <w:rPr/>
      </w:pPr>
      <w:bookmarkStart w:id="223" w:name="__RefHeading___Toc3320846_2314609296"/>
      <w:bookmarkStart w:id="224" w:name="_Toc81"/>
      <w:bookmarkEnd w:id="223"/>
      <w:r>
        <w:rPr>
          <w:rtl w:val="true"/>
        </w:rPr>
        <w:t>و لو زاد على السبع عمدا بطل لا سهوا</w:t>
      </w:r>
      <w:bookmarkEnd w:id="224"/>
    </w:p>
    <w:p>
      <w:pPr>
        <w:pStyle w:val="BookText"/>
        <w:rPr/>
      </w:pPr>
      <w:r>
        <w:rPr>
          <w:rFonts w:ascii="Amiri" w:hAnsi="Amiri" w:eastAsia="Amiri" w:cs="Amiri"/>
          <w:color w:val="111111"/>
          <w:sz w:val="28"/>
          <w:sz w:val="28"/>
          <w:szCs w:val="28"/>
          <w:rtl w:val="true"/>
          <w:lang w:bidi="ar-SA"/>
        </w:rPr>
        <w:t>، و في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السعي أيضا مثل الصلاة في إبطال زيادتها عمدا </w:t>
      </w:r>
      <w:r>
        <w:rPr>
          <w:rStyle w:val="FootnoteAnchor"/>
          <w:rtl w:val="true"/>
        </w:rPr>
        <w:footnoteReference w:id="456"/>
      </w:r>
      <w:r>
        <w:rPr>
          <w:rFonts w:ascii="Amiri" w:hAnsi="Amiri" w:eastAsia="Amiri" w:cs="Amiri"/>
          <w:color w:val="111111"/>
          <w:sz w:val="28"/>
          <w:sz w:val="28"/>
          <w:szCs w:val="28"/>
          <w:rtl w:val="true"/>
          <w:lang w:bidi="ar-SA"/>
        </w:rPr>
        <w:t>، و لقد تقدّم تفصيل الزيادة في باب الطواف الجاري في المقام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سهوا فلا خلاف ظاهرا في عدم إضراره، و في النص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خطأ طرح واحدا و اعتد بسبعة</w:t>
      </w:r>
      <w:r>
        <w:rPr>
          <w:rFonts w:eastAsia="Amiri" w:cs="Amiri" w:ascii="Amiri" w:hAnsi="Amiri"/>
          <w:color w:val="111111"/>
          <w:sz w:val="28"/>
          <w:szCs w:val="28"/>
          <w:rtl w:val="true"/>
          <w:lang w:bidi="ar-SA"/>
        </w:rPr>
        <w:t xml:space="preserve">» </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سبعة لك و سبعة تطرح</w:t>
      </w:r>
      <w:r>
        <w:rPr>
          <w:rFonts w:eastAsia="Amiri" w:cs="Amiri" w:ascii="Amiri" w:hAnsi="Amiri"/>
          <w:color w:val="111111"/>
          <w:sz w:val="28"/>
          <w:szCs w:val="28"/>
          <w:rtl w:val="true"/>
          <w:lang w:bidi="ar-SA"/>
        </w:rPr>
        <w:t xml:space="preserve">» </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بمجموع هذه النصوص يقيّد ما في إطلاق صحيح هشام السابق، الذي أشرنا إلى تأويل ذيله، و هكذا إطلاق صحيح معاوية، الحاكمين بطرح الثمانية و الاعتداد بسبعة، في من أتى بخمسة عشر شوطا، الشاملين للعمد، فيحملان على السهو</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في بعض النصوص في فرض الإتيان بأشواط ثمانية، أضاف إليها ستا </w:t>
      </w:r>
      <w:r>
        <w:rPr>
          <w:rStyle w:val="FootnoteAnchor"/>
          <w:rtl w:val="true"/>
        </w:rPr>
        <w:footnoteReference w:id="459"/>
      </w:r>
      <w:r>
        <w:rPr>
          <w:rFonts w:ascii="Amiri" w:hAnsi="Amiri" w:eastAsia="Amiri" w:cs="Amiri"/>
          <w:color w:val="111111"/>
          <w:sz w:val="28"/>
          <w:sz w:val="28"/>
          <w:szCs w:val="28"/>
          <w:rtl w:val="true"/>
          <w:lang w:bidi="ar-SA"/>
        </w:rPr>
        <w:t>، و لازمة الاعتداد بالزائد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لا ينافي الأولى الآمرة بطرح الواحد،</w:t>
      </w:r>
    </w:p>
    <w:p>
      <w:pPr>
        <w:pStyle w:val="BookText"/>
        <w:rPr/>
      </w:pPr>
      <w:r>
        <w:rPr>
          <w:rFonts w:ascii="Amiri" w:hAnsi="Amiri" w:eastAsia="Amiri" w:cs="Amiri"/>
          <w:color w:val="111111"/>
          <w:sz w:val="28"/>
          <w:sz w:val="28"/>
          <w:szCs w:val="28"/>
          <w:rtl w:val="true"/>
          <w:lang w:bidi="ar-SA"/>
        </w:rPr>
        <w:t>بجعله كناية عن عدم احتسابه من السبع، فلا ينافي احتسابه من السبع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ربما يعارض مع الأمر بطرح السبعة الزائدة، لو لا دعوى أنّ السبعة الزائدة بقصد الأمر بالطواف جهلا، لا يقتضي صحته، لعدم تقربه بشخص امره، فلا يزاحم مع النص الآخر الآمر بإتمام الستة، و لو من جهة الاكتفاء في تقربه بالأمر في إتمامه لإتمامه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أي حال حكى بناء الأصحاب على طبق الإتمام ستا نفلا، لحصول الامتثال بالأول جزما، لعدم إضرار قصد الزيادة في حال السهو بتاتا، فلا يكون الأمر به إلّا ندبا، بعد الجزم بعدم السعيين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اشكال الرياض </w:t>
      </w:r>
      <w:r>
        <w:rPr>
          <w:rStyle w:val="FootnoteAnchor"/>
          <w:rtl w:val="true"/>
        </w:rPr>
        <w:footnoteReference w:id="460"/>
      </w:r>
      <w:r>
        <w:rPr>
          <w:rFonts w:ascii="IRNazanin" w:hAnsi="IRNazanin" w:eastAsia="IRNazanin"/>
          <w:color w:val="111111"/>
          <w:sz w:val="28"/>
          <w:sz w:val="28"/>
          <w:szCs w:val="28"/>
          <w:rtl w:val="true"/>
          <w:lang w:bidi="fa-IR"/>
        </w:rPr>
        <w:t xml:space="preserve">و الحدائق </w:t>
      </w:r>
      <w:r>
        <w:rPr>
          <w:rStyle w:val="FootnoteAnchor"/>
          <w:rtl w:val="true"/>
        </w:rPr>
        <w:footnoteReference w:id="4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صحة الثاني، و لزوم طرحه لكون البدأة فيه من المروة، بقول الجواهر </w:t>
      </w:r>
      <w:r>
        <w:rPr>
          <w:rStyle w:val="FootnoteAnchor"/>
          <w:rtl w:val="true"/>
        </w:rPr>
        <w:footnoteReference w:id="4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اجتهاد في قبال النص المعمول به لدى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نص آخر في من طاف على تسعة أشواط،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فليسع على واحد و ليطرح ثمانية، و إن كان على الثمانية فليطرحها و يستأنف السعي</w:t>
      </w:r>
      <w:r>
        <w:rPr>
          <w:rFonts w:eastAsia="Amiri" w:cs="Amiri" w:ascii="Amiri" w:hAnsi="Amiri"/>
          <w:color w:val="111111"/>
          <w:sz w:val="28"/>
          <w:szCs w:val="28"/>
          <w:rtl w:val="true"/>
          <w:lang w:bidi="ar-SA"/>
        </w:rPr>
        <w:t xml:space="preserve">» </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ظاهره بطلان السبعة الأولى بالزيادة، بل و بطلان الزيادة معها أيضا، و لا بد من حمله على فرض العمد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في الفرق بين الثامنة و التاسعة في الاعتداد بالثانية دون الأولى إشكال، بأنه إن كان من جهة الإخلال بالقربة، فليكن كذلك في التاسعة</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إلّا فلا وجه لطرح الثمانية أيضا، فيتمه سبعا بعد بطلان الأولى بالزيادة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الثامنة مقدمة لإبطال الأولى، و هو حرام دون التاسعة، و ذلك لأنّ لازم مبطلية الزيادة كون الطواف سبعة بشرط لا، فالثامنة قهرا نقيض الشرط اللازم فيصير منهيا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توهم عدم النهي عن الابطال فيمكن منعه، باستفادته من هذا النص، بل و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ذيل بطلان الطواف بزيادته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كذلك السعي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كون التشبيه ناظرا إلى مثل هذه الجهة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أي حال لا يكون النص المزبور على خلاف النصوص السابقة، بعد صلاحية حمله على خصوص حال العمد بقرينة السابقة الحاكمة على الاعتداد بالثامنة، و ضم ست أخر به في حال النسيان، مع عدم إحراز حرمتها بمناط التزاحم لكونه بمناط التزاحم غير المضر حرمته بالعبادة حال النسيان، كما لا يخفى،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يعيده أي الشوط لو نقص عن السبعة و لم يحصل عدد أشواطه، أما مع عدم الإخلال بالموالاة فلا إشكال في الاكتفاء بالتتميم و البناء على ما فعل، سواء بلغ النصف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لم تحصل الموالاة، ففي الجواهر دعوى الإجماع على عدم اعتبار الموالاة في المقام، فيتمم ما مضى منه، بلا فرق أيضا بين البلوغ الى النصف و عدمه، للأصل </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التمسك بالأصل في المقام إنما يتم لو لم يدع انصراف الأمر فيه إلى لزوم الموالاة مثل الأمر في الطواف، و إلّا فلا محيص عن التمسك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نفي الاشتراط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بالإجماعات المنقولة، فإن تمت فهو، و إلّا فللنظر فيه مجال،</w:t>
      </w:r>
    </w:p>
    <w:p>
      <w:pPr>
        <w:pStyle w:val="BookText"/>
        <w:rPr/>
      </w:pPr>
      <w:r>
        <w:rPr>
          <w:rFonts w:ascii="Amiri" w:hAnsi="Amiri" w:eastAsia="Amiri" w:cs="Amiri"/>
          <w:color w:val="111111"/>
          <w:sz w:val="28"/>
          <w:sz w:val="28"/>
          <w:szCs w:val="28"/>
          <w:rtl w:val="true"/>
          <w:lang w:bidi="ar-SA"/>
        </w:rPr>
        <w:t>خصوصا مع ورود النص المفصل بين صورة عدم البلوغ الى النصف فيعيد، و صورة تجاوزه فلا يعيد، إذ مثل هذا النص كاشف عن وحدة الحكم بين المقام و بين باب الطواف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النص وارد في الحائض، المعلوم عدم إضرار حيضها في سعيها 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فالأمر بالإعادة حينئذ محمول على الندب جزما، مضافا الى جملة من النصوص الدالة على قطع السعي على شوط و يصلّي حتى مع سعة وقتها، أو يمشي في حاجته فيعود و يتم سعيه، و إن لم يكن مضطرا في قضائها </w:t>
      </w:r>
      <w:r>
        <w:rPr>
          <w:rStyle w:val="FootnoteAnchor"/>
          <w:rtl w:val="true"/>
        </w:rPr>
        <w:footnoteReference w:id="465"/>
      </w:r>
      <w:r>
        <w:rPr>
          <w:rFonts w:ascii="Amiri" w:hAnsi="Amiri" w:eastAsia="Amiri" w:cs="Amiri"/>
          <w:color w:val="111111"/>
          <w:sz w:val="28"/>
          <w:sz w:val="28"/>
          <w:szCs w:val="28"/>
          <w:rtl w:val="true"/>
          <w:lang w:bidi="ar-SA"/>
        </w:rPr>
        <w:t>إذ من مجموع ذلك يستفاد توسعة في السعي ليس مثله في الطواف، حيث كان لا بد فيه من ملاحظة تجاوز النصف و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انّ ظهور الأمر في التوالي منظور فيه، و إنما التوالي يستفاد في الطواف من كونه بالبيت صلاة، لا من انصراف أمره إليه، كيف و ليس أمره بأزيد من الأمر بالغسل بل و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تشبثوا في استفادة التوالي فيه بنصوص خاصة دالة على كفاية التوالي أثرا، الذي لا يكون منصرف الأوامر بتاتا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فالأصل جار في المقام بلا اشكال، و مقتضاه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عدم تمامية الإجماعات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اعتبار التوالي في المقام</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ما ذكرنا ظهر أيضا وجه ما أفاده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قطعه لقضاء حاجة أو صلاة فريضة تممه بلا اعادة، و لو لم يتجاوز النصف، كما في النصوص المستفيضة المذكورة في الجواهر </w:t>
      </w:r>
      <w:r>
        <w:rPr>
          <w:rStyle w:val="FootnoteAnchor"/>
          <w:rtl w:val="true"/>
        </w:rPr>
        <w:footnoteReference w:id="466"/>
      </w:r>
      <w:r>
        <w:rPr>
          <w:rFonts w:ascii="Amiri" w:hAnsi="Amiri" w:eastAsia="Amiri" w:cs="Amiri"/>
          <w:color w:val="111111"/>
          <w:sz w:val="28"/>
          <w:sz w:val="28"/>
          <w:szCs w:val="28"/>
          <w:rtl w:val="true"/>
          <w:lang w:bidi="ar-SA"/>
        </w:rPr>
        <w:t>، و مصرّح بعضها بالتتميم حتى على شوط واحد</w:t>
      </w:r>
      <w:r>
        <w:rPr>
          <w:rFonts w:eastAsia="Amiri" w:cs="Amiri" w:ascii="Amiri" w:hAnsi="Amiri"/>
          <w:color w:val="111111"/>
          <w:sz w:val="28"/>
          <w:szCs w:val="28"/>
          <w:rtl w:val="true"/>
          <w:lang w:bidi="ar-SA"/>
        </w:rPr>
        <w:t>.</w:t>
      </w:r>
      <w:bookmarkStart w:id="225" w:name="pg19818_204030"/>
    </w:p>
    <w:p>
      <w:pPr>
        <w:pStyle w:val="BookText"/>
        <w:rPr/>
      </w:pPr>
      <w:bookmarkEnd w:id="225"/>
      <w:r>
        <w:rPr>
          <w:rFonts w:ascii="Amiri" w:hAnsi="Amiri" w:eastAsia="Amiri" w:cs="Amiri"/>
          <w:color w:val="111111"/>
          <w:sz w:val="28"/>
          <w:sz w:val="28"/>
          <w:szCs w:val="28"/>
          <w:rtl w:val="true"/>
          <w:lang w:bidi="ar-SA"/>
        </w:rPr>
        <w:t>نعم لو شك في الأثناء في عدد الأشواط فمقتضى أصالة الأقل، و إن كان هو الحمل على الأقل، إلّا أن في النص التصريح ببطلان الجميع مع الشك و عدم الحفظ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الشأن أيضا في الطواف، و لذا قلنا بأنّ الشك في أعدادهما بمنزلة الشك في الأولتين من الصلاة، في اقتضاء شكه للبطلان</w:t>
      </w:r>
      <w:r>
        <w:rPr>
          <w:rFonts w:eastAsia="Amiri" w:cs="Amiri" w:ascii="Amiri" w:hAnsi="Amiri"/>
          <w:color w:val="111111"/>
          <w:sz w:val="28"/>
          <w:szCs w:val="28"/>
          <w:rtl w:val="true"/>
          <w:lang w:bidi="ar-SA"/>
        </w:rPr>
        <w:t>.</w:t>
      </w:r>
    </w:p>
    <w:p>
      <w:pPr>
        <w:pStyle w:val="Heading4"/>
        <w:numPr>
          <w:ilvl w:val="3"/>
          <w:numId w:val="1"/>
        </w:numPr>
        <w:rPr/>
      </w:pPr>
      <w:bookmarkStart w:id="226" w:name="__RefHeading___Toc3320848_2314609296"/>
      <w:bookmarkStart w:id="227" w:name="_Toc82"/>
      <w:bookmarkEnd w:id="226"/>
      <w:r>
        <w:rPr>
          <w:rtl w:val="true"/>
        </w:rPr>
        <w:t>و لو ظن الإتمام فأحل و واقع أهله أو قلم الأظفار، ثم ذكر نسيان شوط، أتم و يكفّر ببقرة</w:t>
      </w:r>
      <w:bookmarkEnd w:id="22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حكم الكفارة بالبقرة للجماع، فلما في نص عبد اللّٰه بن مسكان، المصرح فيه بالظن بالتمام </w:t>
      </w:r>
      <w:r>
        <w:rPr>
          <w:rStyle w:val="FootnoteAnchor"/>
          <w:rtl w:val="true"/>
        </w:rPr>
        <w:footnoteReference w:id="467"/>
      </w:r>
      <w:r>
        <w:rPr>
          <w:rFonts w:ascii="Amiri" w:hAnsi="Amiri" w:eastAsia="Amiri" w:cs="Amiri"/>
          <w:color w:val="111111"/>
          <w:sz w:val="28"/>
          <w:sz w:val="28"/>
          <w:szCs w:val="28"/>
          <w:rtl w:val="true"/>
          <w:lang w:bidi="ar-SA"/>
        </w:rPr>
        <w:t xml:space="preserve">، و لتقليم الأظفار ما في صحيح ابن يسار </w:t>
      </w:r>
      <w:r>
        <w:rPr>
          <w:rStyle w:val="FootnoteAnchor"/>
          <w:rtl w:val="true"/>
        </w:rPr>
        <w:footnoteReference w:id="468"/>
      </w:r>
      <w:r>
        <w:rPr>
          <w:rFonts w:ascii="Amiri" w:hAnsi="Amiri" w:eastAsia="Amiri" w:cs="Amiri"/>
          <w:color w:val="111111"/>
          <w:sz w:val="28"/>
          <w:sz w:val="28"/>
          <w:szCs w:val="28"/>
          <w:rtl w:val="true"/>
          <w:lang w:bidi="ar-SA"/>
        </w:rPr>
        <w:t xml:space="preserve">على حمل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صورة ظنه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ظاهر الأصحاب عدم الكفارة في غير الصيد للنسيان، و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لذا حمله بعض الأصحاب على الاستحباب </w:t>
      </w:r>
      <w:r>
        <w:rPr>
          <w:rStyle w:val="FootnoteAnchor"/>
          <w:rtl w:val="true"/>
        </w:rPr>
        <w:footnoteReference w:id="469"/>
      </w:r>
      <w:r>
        <w:rPr>
          <w:rFonts w:ascii="Amiri" w:hAnsi="Amiri" w:eastAsia="Amiri" w:cs="Amiri"/>
          <w:color w:val="111111"/>
          <w:sz w:val="28"/>
          <w:sz w:val="28"/>
          <w:szCs w:val="28"/>
          <w:rtl w:val="true"/>
          <w:lang w:bidi="ar-SA"/>
        </w:rPr>
        <w:t xml:space="preserve">، و حمل تردد المحقق في الشرائع على هذا الوجه </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تم ذلك فقد أوجب وهنا في سند النصين، و لو من جهة طرحهم إياه بظاهره المحتمل، لكونه بمناط طرح السند، و إلّا فلا محيص عن الأخذ بظهورهما و طرح عموم القاعدة المتلقاة من الأصحاب، و تخصيصها بالمورد، مع إمكان المصير إلى توجيه بعض إياها، على وجه لا ينافي قاعدة النسيان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المقام من باب العمل بالظن، و عدم الاعتناء بالاحتمال الملزم عقلا بدفعه</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يكون معذورا في عمله، فلا يدخل في معقد كلماتهم على عدم الكفارة في</w:t>
      </w:r>
      <w:bookmarkStart w:id="228" w:name="pg19818_204031"/>
    </w:p>
    <w:p>
      <w:pPr>
        <w:pStyle w:val="BookText"/>
        <w:rPr/>
      </w:pPr>
      <w:bookmarkEnd w:id="228"/>
      <w:r>
        <w:rPr>
          <w:rFonts w:ascii="Amiri" w:hAnsi="Amiri" w:eastAsia="Amiri" w:cs="Amiri"/>
          <w:color w:val="111111"/>
          <w:sz w:val="28"/>
          <w:sz w:val="28"/>
          <w:szCs w:val="28"/>
          <w:rtl w:val="true"/>
          <w:lang w:bidi="ar-SA"/>
        </w:rPr>
        <w:t>فرض النسيان لعدم الإثم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الإشكال في كون كفارة الجماع بقرة، مع انها قبل طواف النساء بدنة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كونها في التقليم أيضا بقرة، مع انّ الواجب في تقليم المجموع شاة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فمدفوع أيضا بحمل الثاني على غير المقام، و حمل الأول على البقرة من حيث التقصير في سعيه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ينافي وجوب البدنة في جماعة، مع إمكان فرضه في عمرة التمتع، الذي لا طواف للنساء فيها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العمدة في المقام تصحيح السند بعمل الأصحاب، و بعده لا بد من الأخذ بمدلوله بلا لزوم اشكال عليه أصلا، و اللّٰه العالم</w:t>
      </w:r>
      <w:r>
        <w:rPr>
          <w:rFonts w:eastAsia="Amiri" w:cs="Amiri" w:ascii="Amiri" w:hAnsi="Amiri"/>
          <w:color w:val="111111"/>
          <w:sz w:val="28"/>
          <w:szCs w:val="28"/>
          <w:rtl w:val="true"/>
          <w:lang w:bidi="ar-SA"/>
        </w:rPr>
        <w:t>.</w:t>
      </w:r>
    </w:p>
    <w:p>
      <w:pPr>
        <w:pStyle w:val="Heading4"/>
        <w:numPr>
          <w:ilvl w:val="3"/>
          <w:numId w:val="1"/>
        </w:numPr>
        <w:rPr/>
      </w:pPr>
      <w:bookmarkStart w:id="229" w:name="__RefHeading___Toc3320850_2314609296"/>
      <w:bookmarkStart w:id="230" w:name="_Toc83"/>
      <w:bookmarkEnd w:id="229"/>
      <w:r>
        <w:rPr>
          <w:rtl w:val="true"/>
        </w:rPr>
        <w:t>و إذا فرغ من سعي العمرة قصّر،</w:t>
      </w:r>
      <w:bookmarkEnd w:id="230"/>
    </w:p>
    <w:p>
      <w:pPr>
        <w:pStyle w:val="BookText"/>
        <w:rPr/>
      </w:pPr>
      <w:r>
        <w:rPr>
          <w:rFonts w:ascii="Amiri" w:hAnsi="Amiri" w:eastAsia="Amiri" w:cs="Amiri"/>
          <w:color w:val="111111"/>
          <w:sz w:val="28"/>
          <w:sz w:val="28"/>
          <w:szCs w:val="28"/>
          <w:rtl w:val="true"/>
          <w:lang w:bidi="ar-SA"/>
        </w:rPr>
        <w:t xml:space="preserve">و أدناه أن يقص أظفاره أو شيئا من شعره، على المشهور عندنا، و يدل على ذلك ما في النصوص المشتملة بعضها على قص الشعر، و أنه يحلل عن كل شي‌ء </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أهوت إلى قرونها و قرضت منها بأسنانها و قرضت بأظافرها، هل عليها شي‌ء؟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إطلاقهما موجب للاكتفاء بمسمّى قص الشعر أو الأظفار، فما في نص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تقصّر من شعرك جوانبه و لحيتك، و خذ من شاربك و قلّم أظفارك</w:t>
      </w:r>
      <w:r>
        <w:rPr>
          <w:rFonts w:eastAsia="Amiri" w:cs="Amiri" w:ascii="Amiri" w:hAnsi="Amiri"/>
          <w:color w:val="111111"/>
          <w:sz w:val="28"/>
          <w:szCs w:val="28"/>
          <w:rtl w:val="true"/>
          <w:lang w:bidi="ar-SA"/>
        </w:rPr>
        <w:t xml:space="preserve">» </w:t>
      </w:r>
      <w:r>
        <w:rPr>
          <w:rStyle w:val="FootnoteAnchor"/>
          <w:rtl w:val="true"/>
        </w:rPr>
        <w:footnoteReference w:id="473"/>
      </w:r>
      <w:r>
        <w:rPr>
          <w:rFonts w:ascii="Amiri" w:hAnsi="Amiri" w:eastAsia="Amiri" w:cs="Amiri"/>
          <w:color w:val="111111"/>
          <w:sz w:val="28"/>
          <w:sz w:val="28"/>
          <w:szCs w:val="28"/>
          <w:rtl w:val="true"/>
          <w:lang w:bidi="ar-SA"/>
        </w:rPr>
        <w:t>محمول على الفضيلة</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ظاهر الأمر بالتقصير مطلقا تعيين التقصير على المعتمر، كما انّ حكم الامام بلزوم البدنة على جماعه قبل تقصيره، يكشف عن تعيين التقصير عليه،</w:t>
      </w:r>
    </w:p>
    <w:p>
      <w:pPr>
        <w:pStyle w:val="BookText"/>
        <w:rPr/>
      </w:pPr>
      <w:r>
        <w:rPr>
          <w:rFonts w:ascii="Amiri" w:hAnsi="Amiri" w:eastAsia="Amiri" w:cs="Amiri"/>
          <w:color w:val="111111"/>
          <w:sz w:val="28"/>
          <w:sz w:val="28"/>
          <w:szCs w:val="28"/>
          <w:rtl w:val="true"/>
          <w:lang w:bidi="ar-SA"/>
        </w:rPr>
        <w:t>كما انّ إطلاقه من حيث العمرة المفردة يقيد بما سيجي‌ء من النص على التخيير بينه و بين الحلق في المفردة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يحلق رأسه فإن فعل كان عليه دم، و قد يستدل على ثبوت الدم تارة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السؤال عن المتمتع أراد أن يقصر فحلق رأسه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دم يهريقه</w:t>
      </w:r>
      <w:r>
        <w:rPr>
          <w:rFonts w:eastAsia="Amiri" w:cs="Amiri" w:ascii="Amiri" w:hAnsi="Amiri"/>
          <w:color w:val="111111"/>
          <w:sz w:val="28"/>
          <w:szCs w:val="28"/>
          <w:rtl w:val="true"/>
          <w:lang w:bidi="ar-SA"/>
        </w:rPr>
        <w:t xml:space="preserve">» </w:t>
      </w:r>
      <w:r>
        <w:rPr>
          <w:rStyle w:val="FootnoteAnchor"/>
          <w:rtl w:val="true"/>
        </w:rPr>
        <w:footnoteReference w:id="474"/>
      </w:r>
      <w:r>
        <w:rPr>
          <w:rFonts w:ascii="Amiri" w:hAnsi="Amiri" w:eastAsia="Amiri" w:cs="Amiri"/>
          <w:color w:val="111111"/>
          <w:sz w:val="28"/>
          <w:sz w:val="28"/>
          <w:szCs w:val="28"/>
          <w:rtl w:val="true"/>
          <w:lang w:bidi="ar-SA"/>
        </w:rPr>
        <w:t xml:space="preserve">، و اخرى بما دل على أنّ في حلق الرأس بعد الشهر من توفير شعره دما </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الأول قابل للحمل على صورة الغفلة و النسيان، و الثاني على انّ الدم لتوفير الشعر لا لمطلق الحلق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الأصحاب غير ملتزمين بوجوب الدم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بد من حملهما على الاستحباب، فلا دليل على ثبوت الدم و لزومه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يبقى في البين إلّا الشهرة، فإن تم إجماعا فهو، و إلّا فللنظر فيه مجال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جعل الدم لحلق الرأس في تكملة أستاذنا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أعلى اللّٰه مقامه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الجواهر أيضا قوّي جانب الاحتياط </w:t>
      </w:r>
      <w:r>
        <w:rPr>
          <w:rStyle w:val="FootnoteAnchor"/>
          <w:rtl w:val="true"/>
        </w:rPr>
        <w:footnoteReference w:id="4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التقييد بتمام الرأس، لشبهة انصراف الحلق الموجب للدم إلى حلق تمام الرأس، بلا حرمة في حلق بعضه، لعدم شمول الدليل، فضلا عن ثبوت الدم فيه</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 في عدم جواز الحلق و تعيين التقصير قد خالف بعض الأعاظم في صورة عقص شعره أو تلبيده، فالتزم بتعيين الحلق عليه، و استدل بصحيح معاوية بن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أحرمت فعقصت شعرك أو لبّدته، فقد وجب عليك الحلق، و ليس لك التقصير</w:t>
      </w:r>
      <w:r>
        <w:rPr>
          <w:rFonts w:eastAsia="Amiri" w:cs="Amiri" w:ascii="Amiri" w:hAnsi="Amiri"/>
          <w:color w:val="111111"/>
          <w:sz w:val="28"/>
          <w:szCs w:val="28"/>
          <w:rtl w:val="true"/>
          <w:lang w:bidi="ar-SA"/>
        </w:rPr>
        <w:t xml:space="preserve">» </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دم بتقصيره، و إحلاله بتدهين و غيره</w:t>
      </w:r>
      <w:r>
        <w:rPr>
          <w:rFonts w:eastAsia="Amiri" w:cs="Amiri" w:ascii="Amiri" w:hAnsi="Amiri"/>
          <w:color w:val="111111"/>
          <w:sz w:val="28"/>
          <w:szCs w:val="28"/>
          <w:rtl w:val="true"/>
          <w:lang w:bidi="ar-SA"/>
        </w:rPr>
        <w:t xml:space="preserve">» </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اعراض المشهور ربما يوهنهما سندا مع انّ في الأول منهما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في المتعة إلّا التقصير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قرينة انصراف الأول إلى الحج، فلا يشمل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الأخير فقابل للحمل على الاستحباب بقرينة الأخبار السابقة الصريحة في الاجتزاء بالتقصير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ظاهر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يحل له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منع شي‌ء على المتمتع بعد تقصيره و لو قبل حجه، فلا يحرم عليه الحلق أيضا، خلافا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احتاط فيه بعض محشّي التبصرة أيضا، خروجا عن مخالفة من خالف، و لا وجه له بعد العموم المزبور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قضية تقابل التقصير للحلق في الكلمات كونهما متباينين، فما عن بعض من أنّ أول الحلق تقصير، فلا جرم كل حلق مسبوق بالتقصير، المستلزم لعدم حرمة الحلق للمحرم في العمرة، لسبقه بالتقصير المحلل، كلام ظاهري، لعدم الانسباق من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الذهن على وجه يشمل مثل ذلك، خصوصا مع جعل الامام الحلق قبال التقصير،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أراد أن يقصّر فحلق رأسه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مثل ذلك تمام الشاهد على فساد مدعاه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العالم</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كذا عليه الدم عند المصنف لو نسيه أي التقصير حتى أحرم بالحج، لخبر إسحاق المشتمل على الدم للناسي المزبور </w:t>
      </w:r>
      <w:r>
        <w:rPr>
          <w:rStyle w:val="FootnoteAnchor"/>
          <w:rtl w:val="true"/>
        </w:rPr>
        <w:footnoteReference w:id="479"/>
      </w:r>
      <w:r>
        <w:rPr>
          <w:rFonts w:ascii="Amiri" w:hAnsi="Amiri" w:eastAsia="Amiri" w:cs="Amiri"/>
          <w:color w:val="111111"/>
          <w:sz w:val="28"/>
          <w:sz w:val="28"/>
          <w:szCs w:val="28"/>
          <w:rtl w:val="true"/>
          <w:lang w:bidi="ar-SA"/>
        </w:rPr>
        <w:t>، و إليه ذهب</w:t>
      </w:r>
    </w:p>
    <w:p>
      <w:pPr>
        <w:pStyle w:val="BookText"/>
        <w:rPr/>
      </w:pPr>
      <w:r>
        <w:rPr>
          <w:rFonts w:ascii="Amiri" w:hAnsi="Amiri" w:eastAsia="Amiri" w:cs="Amiri"/>
          <w:color w:val="111111"/>
          <w:sz w:val="28"/>
          <w:sz w:val="28"/>
          <w:szCs w:val="28"/>
          <w:rtl w:val="true"/>
          <w:lang w:bidi="ar-SA"/>
        </w:rPr>
        <w:t xml:space="preserve">العلامة المصنف في قواعده </w:t>
      </w:r>
      <w:r>
        <w:rPr>
          <w:rStyle w:val="FootnoteAnchor"/>
          <w:rtl w:val="true"/>
        </w:rPr>
        <w:footnoteReference w:id="480"/>
      </w:r>
      <w:r>
        <w:rPr>
          <w:rFonts w:ascii="IRNazanin" w:hAnsi="IRNazanin" w:eastAsia="IRNazanin"/>
          <w:color w:val="111111"/>
          <w:sz w:val="28"/>
          <w:sz w:val="28"/>
          <w:szCs w:val="28"/>
          <w:rtl w:val="true"/>
          <w:lang w:bidi="fa-IR"/>
        </w:rPr>
        <w:t xml:space="preserve">، و سلار </w:t>
      </w:r>
      <w:r>
        <w:rPr>
          <w:rStyle w:val="FootnoteAnchor"/>
          <w:rtl w:val="true"/>
        </w:rPr>
        <w:footnoteReference w:id="481"/>
      </w:r>
      <w:r>
        <w:rPr>
          <w:rFonts w:ascii="Amiri" w:hAnsi="Amiri" w:eastAsia="Amiri" w:cs="Amiri"/>
          <w:color w:val="111111"/>
          <w:sz w:val="28"/>
          <w:sz w:val="28"/>
          <w:szCs w:val="28"/>
          <w:rtl w:val="true"/>
          <w:lang w:bidi="ar-SA"/>
        </w:rPr>
        <w:t xml:space="preserve">، و ابن إدريس أيضا </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قباله صحيحة معاوية المشتملة على نفي شي‌ء عليه و يستغفر اللّٰه </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يخفى أنّ الأمر يدور بين الأخذ بإطلاق الأخيرة و حمل الأمر بالدم على الاستحباب، أو الأخذ بظهور الأمر في الأول و تقييد الأخيرة بنفي العقوبة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تقوية التقييد على التصرف في الأمر </w:t>
      </w:r>
      <w:r>
        <w:rPr>
          <w:rStyle w:val="FootnoteAnchor"/>
          <w:rtl w:val="true"/>
        </w:rPr>
        <w:footnoteReference w:id="4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نظر، و لا أقل من الشك، فيرجع إلى البراءة عن 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على فرض ثبوته فهو محمول على الشاة، كما هو الشأن في كل مورد أطلق فيه ذلك، و لعل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أقل مرتبة من الدماء المجعولة كفارة في باب الحج، فالبراءة تنفي الزائد،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ترك التقصير عمدا فأهل بالحج، فالظاهر من جملة من كلماتهم بطلان عمرته، و صيرورة حجته مبتولة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بهذا الحكم ورد نص أبي بصير </w:t>
      </w:r>
      <w:r>
        <w:rPr>
          <w:rStyle w:val="FootnoteAnchor"/>
          <w:rtl w:val="true"/>
        </w:rPr>
        <w:footnoteReference w:id="485"/>
      </w:r>
      <w:r>
        <w:rPr>
          <w:rFonts w:ascii="IRNazanin" w:hAnsi="IRNazanin" w:eastAsia="IRNazanin"/>
          <w:color w:val="111111"/>
          <w:sz w:val="28"/>
          <w:sz w:val="28"/>
          <w:szCs w:val="28"/>
          <w:rtl w:val="true"/>
          <w:lang w:bidi="fa-IR"/>
        </w:rPr>
        <w:t xml:space="preserve">و خبر ابن سنان </w:t>
      </w:r>
      <w:r>
        <w:rPr>
          <w:rStyle w:val="FootnoteAnchor"/>
          <w:rtl w:val="true"/>
        </w:rPr>
        <w:footnoteReference w:id="486"/>
      </w:r>
      <w:r>
        <w:rPr>
          <w:rFonts w:ascii="Amiri" w:hAnsi="Amiri" w:eastAsia="Amiri" w:cs="Amiri"/>
          <w:color w:val="111111"/>
          <w:sz w:val="28"/>
          <w:sz w:val="28"/>
          <w:szCs w:val="28"/>
          <w:rtl w:val="true"/>
          <w:lang w:bidi="ar-SA"/>
        </w:rPr>
        <w:t>، و لا بأس بالأخذ بهما، مع كونهما معمولا بهما لدى جل الأصحاب، بل حكى انه المشهور بينهم</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إطلاق النص و الفتوى يشمل ما لو كان فرضه المتعة أيضا، فيكون المورد من الموارد التي رخّص للنائي أن يحج الافراد و عدوله إليه قهرا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توهم عدم قصده للافراد، بل دخل بعنوان كونه حج التمتع لا الافراد، فيلزم الإخلال بالنية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 بأنّ حقيقة حج الافراد لا تختلف عن حقيقة حج التمتع من حيث القصد، كما أنّ الأمر بالحج بأي وجه لا يكاد يختلف على وجه، لا يكون الداعي على حجه هذا، غير شخص أمره، فلا إخلال بالنية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تكون الرواية من هذه الجهة على خلاف القاعدة، فلا وجه حينئذ لطرحها و الأخذ بمقتضى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ديدن ابن إدريس، حيث حكم في المقام ببطلان الحج أيضا </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على أي حال لا 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بمقتضى الكلمات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مثل هذا الشخص ليس له التقصير بمحض الإهلال بالحج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 أنّ المكلف قبل تقصيره باق على إحرامه الأول، و بعد ذلك لا يعقل طروء إحرام جديد عليه، و معه كان محل تقصيره باقيا، و لا يمنعه تخيّل حدوث إحرام جديد له، فيجب حينئذ أن يعود الى التقصير، فيحرم جديدا بالحج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 بأنّ طوافه لما كان من المحللات، فلا بأس بتجديد الإحرام التام، بتلبية جديدة 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المعلوم انّ تقصيره حينئذ لا يصلح أن يكون محللا لهذه المرتبة من الإحرام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فباهلاله للحج فات محل تقصيره، كما لا يخفى</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 ذلك كله في العمرة المتمتع بها، و أما المفردة فلا إشكال في أنّ إحلاله يتحقق بالتقصير أو الحلق، بل الحلق 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النص الصحيح في المعتمر المفرد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حلق أو قصر</w:t>
      </w:r>
      <w:r>
        <w:rPr>
          <w:rFonts w:eastAsia="Amiri" w:cs="Amiri" w:ascii="Amiri" w:hAnsi="Amiri"/>
          <w:color w:val="111111"/>
          <w:sz w:val="28"/>
          <w:szCs w:val="28"/>
          <w:rtl w:val="true"/>
          <w:lang w:bidi="ar-SA"/>
        </w:rPr>
        <w:t xml:space="preserve">» </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آخر أمر بالحلق، معللا بأن رسول اللّٰه ترحم للمحلقين ثلاثا، و للمقصرين مرة </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يستكشف أفضلية الحلق عن التقصير،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التقصير يحل المعتمر المتمتع من كل شي‌ء أحرم منه، كما هو مضمون النص السابق، إلّا الصيد ما دام في الحرم، و ذلك أيضا من جهة حرمة الصيد المزبور حتى على المحل، لا أنه لا يصير محلا بالإضافة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بخلاف المعتمر المفرد، فإنه لا يحل من النساء إلّا بطواف النساء بعد الحلق أو التقصير بلا إشكال في الأخير، على المشهور في أصل وجوبه، خلافا لبعض تقدّم الكلام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يستحب له للخارج عن إحرام عمرة التمتع أن يتشبه بالمحرمين خصوصا في ترك لبس المخيط، لما في النص الوارد في مرسلة ابن البختري من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ينبغي للمتمتع بالعمرة إذا أحل أن لا يلبس قميصا، و ليتشبه بالمحرمين</w:t>
      </w:r>
      <w:r>
        <w:rPr>
          <w:rFonts w:eastAsia="Amiri" w:cs="Amiri" w:ascii="Amiri" w:hAnsi="Amiri"/>
          <w:color w:val="111111"/>
          <w:sz w:val="28"/>
          <w:szCs w:val="28"/>
          <w:rtl w:val="true"/>
          <w:lang w:bidi="ar-SA"/>
        </w:rPr>
        <w:t xml:space="preserve">» </w:t>
      </w:r>
      <w:r>
        <w:rPr>
          <w:rStyle w:val="FootnoteAnchor"/>
          <w:rtl w:val="true"/>
        </w:rPr>
        <w:footnoteReference w:id="4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 إطلاق الذيل يشمل بقية التروك، لو لا دعوى انصرافه الى التشبيه في وجه خاص، من ترك لبس القميص و غيره من المخيط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نظر المصنف إليه، و لكن الإطلاق لا يخلو عن وجه كما لا يخفى</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أيضا يستحب لأهل مكة أن يتشبهوا بالمحرمين أيام الحج، لخبر 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ينبغي لأهل مكة أن يلبسوا قميصا، و أن يتشبهوا بالمحرمين شعثا غبرا</w:t>
      </w:r>
      <w:r>
        <w:rPr>
          <w:rFonts w:eastAsia="Amiri" w:cs="Amiri" w:ascii="Amiri" w:hAnsi="Amiri"/>
          <w:color w:val="111111"/>
          <w:sz w:val="28"/>
          <w:szCs w:val="28"/>
          <w:rtl w:val="true"/>
          <w:lang w:bidi="ar-SA"/>
        </w:rPr>
        <w:t xml:space="preserve">» </w:t>
      </w:r>
      <w:r>
        <w:rPr>
          <w:rStyle w:val="FootnoteAnchor"/>
          <w:rtl w:val="true"/>
        </w:rPr>
        <w:footnoteReference w:id="491"/>
      </w:r>
      <w:r>
        <w:rPr>
          <w:rFonts w:ascii="Amiri" w:hAnsi="Amiri" w:eastAsia="Amiri" w:cs="Amiri"/>
          <w:color w:val="111111"/>
          <w:sz w:val="28"/>
          <w:sz w:val="28"/>
          <w:szCs w:val="28"/>
          <w:rtl w:val="true"/>
          <w:lang w:bidi="ar-SA"/>
        </w:rPr>
        <w:t>، و إطلاقه منصرف إلى أيام الحج جزما</w:t>
      </w:r>
      <w:r>
        <w:rPr>
          <w:rFonts w:eastAsia="Amiri" w:cs="Amiri" w:ascii="Amiri" w:hAnsi="Amiri"/>
          <w:color w:val="111111"/>
          <w:sz w:val="28"/>
          <w:szCs w:val="28"/>
          <w:rtl w:val="true"/>
          <w:lang w:bidi="ar-SA"/>
        </w:rPr>
        <w:t>.</w:t>
      </w:r>
      <w:bookmarkStart w:id="231" w:name="pg19818_204037"/>
    </w:p>
    <w:p>
      <w:pPr>
        <w:pStyle w:val="Heading3"/>
        <w:numPr>
          <w:ilvl w:val="2"/>
          <w:numId w:val="1"/>
        </w:numPr>
        <w:rPr/>
      </w:pPr>
      <w:bookmarkStart w:id="232" w:name="__RefHeading___Toc3320852_2314609296"/>
      <w:bookmarkStart w:id="233" w:name="_Toc84"/>
      <w:bookmarkEnd w:id="231"/>
      <w:bookmarkEnd w:id="232"/>
      <w:r>
        <w:rPr>
          <w:rtl w:val="true"/>
        </w:rPr>
        <w:t>الباب الثامن في أفعال الحج و فيه فصول</w:t>
      </w:r>
      <w:r>
        <w:rPr>
          <w:rtl w:val="true"/>
        </w:rPr>
        <w:t>:</w:t>
      </w:r>
      <w:bookmarkEnd w:id="233"/>
    </w:p>
    <w:p>
      <w:pPr>
        <w:pStyle w:val="Heading4"/>
        <w:numPr>
          <w:ilvl w:val="3"/>
          <w:numId w:val="1"/>
        </w:numPr>
        <w:rPr/>
      </w:pPr>
      <w:bookmarkStart w:id="234" w:name="__RefHeading___Toc3320854_2314609296"/>
      <w:bookmarkStart w:id="235" w:name="_Toc85"/>
      <w:bookmarkEnd w:id="234"/>
      <w:r>
        <w:rPr>
          <w:rtl w:val="true"/>
        </w:rPr>
        <w:t>الأول</w:t>
      </w:r>
      <w:r>
        <w:rPr>
          <w:rtl w:val="true"/>
        </w:rPr>
        <w:t xml:space="preserve">: </w:t>
      </w:r>
      <w:r>
        <w:rPr>
          <w:rtl w:val="true"/>
        </w:rPr>
        <w:t>في إحرام الحج</w:t>
      </w:r>
      <w:r>
        <w:rPr>
          <w:rtl w:val="true"/>
        </w:rPr>
        <w:t>:</w:t>
      </w:r>
      <w:bookmarkEnd w:id="235"/>
    </w:p>
    <w:p>
      <w:pPr>
        <w:pStyle w:val="Heading5"/>
        <w:numPr>
          <w:ilvl w:val="4"/>
          <w:numId w:val="1"/>
        </w:numPr>
        <w:rPr/>
      </w:pPr>
      <w:bookmarkStart w:id="236" w:name="__RefHeading___Toc3320856_2314609296"/>
      <w:bookmarkStart w:id="237" w:name="_Toc86"/>
      <w:bookmarkEnd w:id="236"/>
      <w:r>
        <w:rPr>
          <w:rtl w:val="true"/>
        </w:rPr>
        <w:t>اشارة</w:t>
      </w:r>
      <w:bookmarkEnd w:id="237"/>
    </w:p>
    <w:p>
      <w:pPr>
        <w:pStyle w:val="BookText"/>
        <w:rPr/>
      </w:pPr>
      <w:r>
        <w:rPr>
          <w:rFonts w:ascii="Amiri" w:hAnsi="Amiri" w:eastAsia="Amiri" w:cs="Amiri"/>
          <w:color w:val="111111"/>
          <w:sz w:val="28"/>
          <w:sz w:val="28"/>
          <w:szCs w:val="28"/>
          <w:rtl w:val="true"/>
          <w:lang w:bidi="ar-SA"/>
        </w:rPr>
        <w:t>إذا فرغ من العمرة وجب عليه الإحرام بالحج من مكة بلا اشكال فيه فتوى و نصا، و في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كشف اللّثام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المتمتع يريد الخروج إلى الطائف،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يهل بالحج من مكة، و ما أحب أن يخرج منها إلّا محرما</w:t>
      </w:r>
      <w:r>
        <w:rPr>
          <w:rFonts w:eastAsia="Amiri" w:cs="Amiri" w:ascii="Amiri" w:hAnsi="Amiri"/>
          <w:color w:val="111111"/>
          <w:sz w:val="28"/>
          <w:szCs w:val="28"/>
          <w:rtl w:val="true"/>
          <w:lang w:bidi="ar-SA"/>
        </w:rPr>
        <w:t xml:space="preserve">» </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يهل بالحج و هو بمكة؟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شئت من رحلك، و إن شئت من المسجد، و إن شئت من الطريق</w:t>
      </w:r>
      <w:r>
        <w:rPr>
          <w:rFonts w:eastAsia="Amiri" w:cs="Amiri" w:ascii="Amiri" w:hAnsi="Amiri"/>
          <w:color w:val="111111"/>
          <w:sz w:val="28"/>
          <w:szCs w:val="28"/>
          <w:rtl w:val="true"/>
          <w:lang w:bidi="ar-SA"/>
        </w:rPr>
        <w:t xml:space="preserve">» </w:t>
      </w:r>
      <w:r>
        <w:rPr>
          <w:rStyle w:val="FootnoteAnchor"/>
          <w:rtl w:val="true"/>
        </w:rPr>
        <w:footnoteReference w:id="493"/>
      </w:r>
      <w:r>
        <w:rPr>
          <w:rFonts w:ascii="Amiri" w:hAnsi="Amiri" w:eastAsia="Amiri" w:cs="Amiri"/>
          <w:color w:val="111111"/>
          <w:sz w:val="28"/>
          <w:sz w:val="28"/>
          <w:szCs w:val="28"/>
          <w:rtl w:val="true"/>
          <w:lang w:bidi="ar-SA"/>
        </w:rPr>
        <w:t>، الى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الوسائل عقد بابا لذلك و إن لم يذكر فيه إلّا ما اشتملت على مستحبات الأمكنة </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كشف اللثام أيضا عن قرب الاسناد ما اشتمل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من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يحرم بالحج</w:t>
      </w:r>
      <w:r>
        <w:rPr>
          <w:rFonts w:eastAsia="Amiri" w:cs="Amiri" w:ascii="Amiri" w:hAnsi="Amiri"/>
          <w:color w:val="111111"/>
          <w:sz w:val="28"/>
          <w:szCs w:val="28"/>
          <w:rtl w:val="true"/>
          <w:lang w:bidi="ar-SA"/>
        </w:rPr>
        <w:t xml:space="preserve">» </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 يستفاد من مجموع نصوص الباب تسلّم كون محل الإحرام في</w:t>
      </w:r>
    </w:p>
    <w:p>
      <w:pPr>
        <w:pStyle w:val="BookText"/>
        <w:rPr/>
      </w:pPr>
      <w:r>
        <w:rPr>
          <w:rFonts w:ascii="Amiri" w:hAnsi="Amiri" w:eastAsia="Amiri" w:cs="Amiri"/>
          <w:color w:val="111111"/>
          <w:sz w:val="28"/>
          <w:sz w:val="28"/>
          <w:szCs w:val="28"/>
          <w:rtl w:val="true"/>
          <w:lang w:bidi="ar-SA"/>
        </w:rPr>
        <w:t>حج التمتع مكة من أي مكان منها، كما يومئ إليه النص السابق، المعلّق أمره على مشيئته، بل و إطلاق البقية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الأوامر الواردة بالإحرام من الكعبة تارة </w:t>
      </w:r>
      <w:r>
        <w:rPr>
          <w:rStyle w:val="FootnoteAnchor"/>
          <w:rtl w:val="true"/>
        </w:rPr>
        <w:footnoteReference w:id="496"/>
      </w:r>
      <w:r>
        <w:rPr>
          <w:rFonts w:ascii="IRNazanin" w:hAnsi="IRNazanin" w:eastAsia="IRNazanin"/>
          <w:color w:val="111111"/>
          <w:sz w:val="28"/>
          <w:sz w:val="28"/>
          <w:szCs w:val="28"/>
          <w:rtl w:val="true"/>
          <w:lang w:bidi="fa-IR"/>
        </w:rPr>
        <w:t xml:space="preserve">، و من المسجد اخرى </w:t>
      </w:r>
      <w:r>
        <w:rPr>
          <w:rStyle w:val="FootnoteAnchor"/>
          <w:rtl w:val="true"/>
        </w:rPr>
        <w:footnoteReference w:id="497"/>
      </w:r>
      <w:r>
        <w:rPr>
          <w:rFonts w:ascii="Amiri" w:hAnsi="Amiri" w:eastAsia="Amiri" w:cs="Amiri"/>
          <w:color w:val="111111"/>
          <w:sz w:val="28"/>
          <w:sz w:val="28"/>
          <w:szCs w:val="28"/>
          <w:rtl w:val="true"/>
          <w:lang w:bidi="ar-SA"/>
        </w:rPr>
        <w:t>، يستفاد أفضلية المسجد و الكعبة عن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الترجيح بينهما اشكال، بل و يمكن دعوى كون نص الكعبة مختل المتن، و في نسخة اخرى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فالمتيقن بقرينة النصوص الأخر هو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أفضله خلف المقام، كما في النص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صلّى ركعتين خلف المقام ثم أهل بالحج</w:t>
      </w:r>
      <w:r>
        <w:rPr>
          <w:rFonts w:eastAsia="Amiri" w:cs="Amiri" w:ascii="Amiri" w:hAnsi="Amiri"/>
          <w:color w:val="111111"/>
          <w:sz w:val="28"/>
          <w:szCs w:val="28"/>
          <w:rtl w:val="true"/>
          <w:lang w:bidi="ar-SA"/>
        </w:rPr>
        <w:t xml:space="preserve">» </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إنّ في نص إسحاق عن أبي الحسن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أبي مجاورا 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يتلقّى بعض هؤلاء، فلما رجع فبلغ ذات عرق أحرم من ذات عرق بالحج، و 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محرم بالحج</w:t>
      </w:r>
      <w:r>
        <w:rPr>
          <w:rFonts w:eastAsia="Amiri" w:cs="Amiri" w:ascii="Amiri" w:hAnsi="Amiri"/>
          <w:color w:val="111111"/>
          <w:sz w:val="28"/>
          <w:szCs w:val="28"/>
          <w:rtl w:val="true"/>
          <w:lang w:bidi="ar-SA"/>
        </w:rPr>
        <w:t xml:space="preserve">» </w:t>
      </w:r>
      <w:r>
        <w:rPr>
          <w:rStyle w:val="FootnoteAnchor"/>
          <w:rtl w:val="true"/>
        </w:rPr>
        <w:footnoteReference w:id="499"/>
      </w:r>
      <w:r>
        <w:rPr>
          <w:rFonts w:ascii="Amiri" w:hAnsi="Amiri" w:eastAsia="Amiri" w:cs="Amiri"/>
          <w:color w:val="111111"/>
          <w:sz w:val="28"/>
          <w:sz w:val="28"/>
          <w:szCs w:val="28"/>
          <w:rtl w:val="true"/>
          <w:lang w:bidi="ar-SA"/>
        </w:rPr>
        <w:t>، و ظاهره كفاية الإحرام من غير مكة للحج مع أنّ وظيفته حج التمتع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من الممكن بلوغ مجاورته حدا انتقل فرضه من التمتع الى الافراد، و انّ وظيفته الإحرام من أدنى الحل لعذر، فأحرم من ذات عرق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حمله على إحرامه للعمرة المتمتع بها، و انّ التعبير بإحرامه للحج، بملاحظة كونها مرتبطا به، على وجه قابل لإضافة إحرامها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لا مجال لرفع اليد عما يستفاد من مجموع النصوص و الكلمات، بمثل هذا النص القابل للحمل على الوجوه المزبورة</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أجرم من غير مكة لا يجديه، و وجب الاستئناف منها تحصيلا للامتثال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تعذّر عليه الإحرام من مكة بوجه، ففي الاكتفاء بالإحرام المزبور، أو وجوب تجديد الإحرام من حيث أمكن، أو من مكانه، 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الأصل عدم الاجتزاء بإحرامه السابق لفساده، فيتردد الأمر بين الأخيرين، فيتعيّن الأول منهما بقاعدة الميسور، بعد قيام الإجماع على الاجتزاء بالإحرام الجديد، و في الجواهر تقوية هذا الوجه أيضا </w:t>
      </w:r>
      <w:r>
        <w:rPr>
          <w:rStyle w:val="FootnoteAnchor"/>
          <w:rtl w:val="true"/>
        </w:rPr>
        <w:footnoteReference w:id="500"/>
      </w:r>
      <w:r>
        <w:rPr>
          <w:rFonts w:ascii="IRNazanin" w:hAnsi="IRNazanin" w:eastAsia="IRNazanin"/>
          <w:color w:val="111111"/>
          <w:sz w:val="28"/>
          <w:sz w:val="28"/>
          <w:szCs w:val="28"/>
          <w:rtl w:val="true"/>
          <w:lang w:bidi="fa-IR"/>
        </w:rPr>
        <w:t>، فراجع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تعمّد ترك الإحرام من مكة، ثم لم يتمكن من العود إليها، ففي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بطلان حجه، لعدم دليل يساعد على صحة الإحرام من حيث أمكن في مثله </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بناء على عدم فورية الحج في غاية الوضوح، و إلّا فقد يتوهم عدم بأس بشمول قاعدة الميسور، و إثبات وجوب الإحرام حيث أمكن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قاعدة الميسور لا تقتضي إنشاء الإحرام من غير محله، إذ هو من المعاني البسيطة التي لا جزء له، كي تقتضي القاعدة وجوب بعضه بتعذر بعضه الآخر، كما 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نسي الإحرام من ميقاته، بمكة كان أو غيرها، و تعذّر عليه العود إليه، أحرم من حيث أمكن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 نصوص مستفيضة </w:t>
      </w:r>
      <w:r>
        <w:rPr>
          <w:rStyle w:val="FootnoteAnchor"/>
          <w:rtl w:val="true"/>
        </w:rPr>
        <w:footnoteReference w:id="502"/>
      </w:r>
      <w:r>
        <w:rPr>
          <w:rFonts w:ascii="Amiri" w:hAnsi="Amiri" w:eastAsia="Amiri" w:cs="Amiri"/>
          <w:color w:val="111111"/>
          <w:sz w:val="28"/>
          <w:sz w:val="28"/>
          <w:szCs w:val="28"/>
          <w:rtl w:val="true"/>
          <w:lang w:bidi="ar-SA"/>
        </w:rPr>
        <w:t>، و أطباق الكلمات أيضا</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نص عبد اللّٰه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مرّ على الوقت الذي أحرم الناس منه، فنسي أو جهل فلم يحرم حتى أتى مكة، فخاف إن</w:t>
      </w:r>
    </w:p>
    <w:p>
      <w:pPr>
        <w:pStyle w:val="BookText"/>
        <w:rPr/>
      </w:pPr>
      <w:r>
        <w:rPr>
          <w:rFonts w:ascii="Amiri" w:hAnsi="Amiri" w:eastAsia="Amiri" w:cs="Amiri"/>
          <w:color w:val="111111"/>
          <w:sz w:val="28"/>
          <w:sz w:val="28"/>
          <w:szCs w:val="28"/>
          <w:rtl w:val="true"/>
          <w:lang w:bidi="ar-SA"/>
        </w:rPr>
        <w:t>رجع الى الوقت أن يفوته الحج،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يخرج من الحرم و يحرم و يجزئه ذلك</w:t>
      </w:r>
      <w:r>
        <w:rPr>
          <w:rFonts w:eastAsia="Amiri" w:cs="Amiri" w:ascii="Amiri" w:hAnsi="Amiri"/>
          <w:color w:val="111111"/>
          <w:sz w:val="28"/>
          <w:szCs w:val="28"/>
          <w:rtl w:val="true"/>
          <w:lang w:bidi="ar-SA"/>
        </w:rPr>
        <w:t xml:space="preserve">» </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غير ذلك مما ورد في الجاهل المتعدّي عنه إلى الناسي بالفحوى و إن لم يكن كذلك في عكسه، لكونه غالبا بحكم العامد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من كان مقيما بمكة أزيد من سنتين ينتقل فرضه من التمتع الى الافراد، لجملة من النصوص المشتملة على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أزيد من سنتين</w:t>
      </w:r>
      <w:r>
        <w:rPr>
          <w:rFonts w:eastAsia="Amiri" w:cs="Amiri" w:ascii="Amiri" w:hAnsi="Amiri"/>
          <w:color w:val="111111"/>
          <w:sz w:val="28"/>
          <w:szCs w:val="28"/>
          <w:rtl w:val="true"/>
          <w:lang w:bidi="ar-SA"/>
        </w:rPr>
        <w:t xml:space="preserve">» </w:t>
      </w:r>
      <w:r>
        <w:rPr>
          <w:rStyle w:val="FootnoteAnchor"/>
          <w:rtl w:val="true"/>
        </w:rPr>
        <w:footnoteReference w:id="504"/>
      </w:r>
      <w:r>
        <w:rPr>
          <w:rFonts w:ascii="Amiri" w:hAnsi="Amiri" w:eastAsia="Amiri" w:cs="Amiri"/>
          <w:color w:val="111111"/>
          <w:sz w:val="28"/>
          <w:sz w:val="28"/>
          <w:szCs w:val="28"/>
          <w:rtl w:val="true"/>
          <w:lang w:bidi="ar-SA"/>
        </w:rPr>
        <w:t xml:space="preserve">، و بعض النصوص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أقام سنة فهو مكي</w:t>
      </w:r>
      <w:r>
        <w:rPr>
          <w:rFonts w:eastAsia="Amiri" w:cs="Amiri" w:ascii="Amiri" w:hAnsi="Amiri"/>
          <w:color w:val="111111"/>
          <w:sz w:val="28"/>
          <w:szCs w:val="28"/>
          <w:rtl w:val="true"/>
          <w:lang w:bidi="ar-SA"/>
        </w:rPr>
        <w:t xml:space="preserve">» </w:t>
      </w:r>
      <w:r>
        <w:rPr>
          <w:rStyle w:val="FootnoteAnchor"/>
          <w:rtl w:val="true"/>
        </w:rPr>
        <w:footnoteReference w:id="505"/>
      </w:r>
      <w:r>
        <w:rPr>
          <w:rFonts w:ascii="Amiri" w:hAnsi="Amiri" w:eastAsia="Amiri" w:cs="Amiri"/>
          <w:color w:val="111111"/>
          <w:sz w:val="28"/>
          <w:sz w:val="28"/>
          <w:szCs w:val="28"/>
          <w:rtl w:val="true"/>
          <w:lang w:bidi="ar-SA"/>
        </w:rPr>
        <w:t xml:space="preserve">، و في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التحديد بأكثر من ستة أشهر</w:t>
      </w:r>
      <w:r>
        <w:rPr>
          <w:rFonts w:eastAsia="Amiri" w:cs="Amiri" w:ascii="Amiri" w:hAnsi="Amiri"/>
          <w:color w:val="111111"/>
          <w:sz w:val="28"/>
          <w:szCs w:val="28"/>
          <w:rtl w:val="true"/>
          <w:lang w:bidi="ar-SA"/>
        </w:rPr>
        <w:t xml:space="preserve">» </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مقتضى الجمع بدوا هو الأخذ بالأقل أجزاء مع الاجتزاء بغيره، إلى أن يبلغ الأكثر، فيتعين عليه حينئذ فرض حاضري المسجد الحرام من القران و الافراد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الأصحاب غير ملتزمين بذلك، فقيل بحمل السنتين على الحجين الحاصل بأكثر من سنة واحدة بقليل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يجمع بين ما اشتمل على السنة و السنتين، بضميمة حمل ستة أشهر على من قصد التوطن بها و أقام فيها سنة، أو على التقية</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طرح الأخيرة، بل و طرح ما حدد بالسنة أيضا، بإعراض الأصحاب، لظهور كلماتهم على تعيين أكثر من سنتين حقيقة، بل الاستصحاب أيضا يقتضي ذلك، فلا ينتقل إلّا بمضي أزيد من سنتين، كما</w:t>
      </w:r>
      <w:bookmarkStart w:id="238" w:name="pg19818_204041"/>
    </w:p>
    <w:p>
      <w:pPr>
        <w:pStyle w:val="BookText"/>
        <w:rPr/>
      </w:pPr>
      <w:bookmarkEnd w:id="238"/>
      <w:r>
        <w:rPr>
          <w:rFonts w:ascii="IRNazanin" w:hAnsi="IRNazanin" w:eastAsia="IRNazanin"/>
          <w:color w:val="111111"/>
          <w:sz w:val="28"/>
          <w:sz w:val="28"/>
          <w:szCs w:val="28"/>
          <w:rtl w:val="true"/>
          <w:lang w:bidi="fa-IR"/>
        </w:rPr>
        <w:t>هو مفاد النصوص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لزوم البلوغ إلى الثلاثة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حيثما تحقق فرضه بأفراد الحج، فيجب إحرامه من ميقات المفردين بالحج، و لا يبعد الاكتفاء لأهل مكة من منزلهم، لما تقدّم من عموم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منزله دون الميقات فمحل إحرامه منزله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تقدّم الكلام في بعض المباحث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يستحب أن يكون إحرامه يوم التروية عند الزوال بعد أن يصلّي الظهر، و في النص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يوم التروية فاغتسل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اقعد حتى تزول الشمس، فصل المكتوبة، ثم قل في دبر صلاتك كما قلت حين أحرمت من الشجرة، و أحرم بالحج</w:t>
      </w:r>
      <w:r>
        <w:rPr>
          <w:rFonts w:eastAsia="Amiri" w:cs="Amiri" w:ascii="Amiri" w:hAnsi="Amiri"/>
          <w:color w:val="111111"/>
          <w:sz w:val="28"/>
          <w:szCs w:val="28"/>
          <w:rtl w:val="true"/>
          <w:lang w:bidi="ar-SA"/>
        </w:rPr>
        <w:t xml:space="preserve">» </w:t>
      </w:r>
      <w:r>
        <w:rPr>
          <w:rStyle w:val="FootnoteAnchor"/>
          <w:rtl w:val="true"/>
        </w:rPr>
        <w:footnoteReference w:id="507"/>
      </w:r>
      <w:r>
        <w:rPr>
          <w:rFonts w:ascii="Amiri" w:hAnsi="Amiri" w:eastAsia="Amiri" w:cs="Amiri"/>
          <w:color w:val="111111"/>
          <w:sz w:val="28"/>
          <w:sz w:val="28"/>
          <w:szCs w:val="28"/>
          <w:rtl w:val="true"/>
          <w:lang w:bidi="ar-SA"/>
        </w:rPr>
        <w:t xml:space="preserve">و غير ذلك من النصوص </w:t>
      </w:r>
      <w:r>
        <w:rPr>
          <w:rStyle w:val="FootnoteAnchor"/>
          <w:rtl w:val="true"/>
        </w:rPr>
        <w:footnoteReference w:id="508"/>
      </w:r>
      <w:r>
        <w:rPr>
          <w:rFonts w:ascii="IRNazanin" w:hAnsi="IRNazanin" w:eastAsia="IRNazanin"/>
          <w:color w:val="111111"/>
          <w:sz w:val="28"/>
          <w:sz w:val="28"/>
          <w:szCs w:val="28"/>
          <w:rtl w:val="true"/>
          <w:lang w:bidi="fa-IR"/>
        </w:rPr>
        <w:t>، فراجع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ليكن ذلك من تحت الميزاب عند المصنف و جمع آخر، و في كشف اللثام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أظفر بسند لخصوصه </w:t>
      </w:r>
      <w:r>
        <w:rPr>
          <w:rStyle w:val="FootnoteAnchor"/>
          <w:rtl w:val="true"/>
        </w:rPr>
        <w:footnoteReference w:id="5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السؤال من أي المسجد أحرم؟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أي المسجد شئت</w:t>
      </w:r>
      <w:r>
        <w:rPr>
          <w:rFonts w:eastAsia="Amiri" w:cs="Amiri" w:ascii="Amiri" w:hAnsi="Amiri"/>
          <w:color w:val="111111"/>
          <w:sz w:val="28"/>
          <w:szCs w:val="28"/>
          <w:rtl w:val="true"/>
          <w:lang w:bidi="ar-SA"/>
        </w:rPr>
        <w:t xml:space="preserve">» </w:t>
      </w:r>
      <w:r>
        <w:rPr>
          <w:rStyle w:val="FootnoteAnchor"/>
          <w:rtl w:val="true"/>
        </w:rPr>
        <w:footnoteReference w:id="510"/>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مكان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فالأمر سهل بعد استحباب أي مكان منه، و إن كان بملاحظة تخصيص الأمر بالإهلال خلف المقام، كونه أفضل أمكنة المساجد</w:t>
      </w:r>
      <w:r>
        <w:rPr>
          <w:rFonts w:eastAsia="Amiri" w:cs="Amiri" w:ascii="Amiri" w:hAnsi="Amiri"/>
          <w:color w:val="111111"/>
          <w:sz w:val="28"/>
          <w:szCs w:val="28"/>
          <w:rtl w:val="true"/>
          <w:lang w:bidi="ar-SA"/>
        </w:rPr>
        <w:t>.</w:t>
      </w:r>
    </w:p>
    <w:p>
      <w:pPr>
        <w:pStyle w:val="Heading5"/>
        <w:numPr>
          <w:ilvl w:val="4"/>
          <w:numId w:val="1"/>
        </w:numPr>
        <w:rPr/>
      </w:pPr>
      <w:bookmarkStart w:id="239" w:name="__RefHeading___Toc3320858_2314609296"/>
      <w:bookmarkStart w:id="240" w:name="_Toc87"/>
      <w:bookmarkEnd w:id="239"/>
      <w:r>
        <w:rPr>
          <w:rtl w:val="true"/>
        </w:rPr>
        <w:t>و كيفيته</w:t>
      </w:r>
      <w:bookmarkEnd w:id="240"/>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 كيفية الإحرام كما تقدّم، إلّا انه في المقام ينوي الإحرام للحج، بمعنى قصده امتثال أمر حجه، المركب منه و من غيره من</w:t>
      </w:r>
    </w:p>
    <w:p>
      <w:pPr>
        <w:pStyle w:val="BookText"/>
        <w:rPr/>
      </w:pPr>
      <w:r>
        <w:rPr>
          <w:rFonts w:ascii="Amiri" w:hAnsi="Amiri" w:eastAsia="Amiri" w:cs="Amiri"/>
          <w:color w:val="111111"/>
          <w:sz w:val="28"/>
          <w:sz w:val="28"/>
          <w:szCs w:val="28"/>
          <w:rtl w:val="true"/>
          <w:lang w:bidi="ar-SA"/>
        </w:rPr>
        <w:t>المناسك، و إلّا فليس الإحرام بالحج يختلف عن الإحرام بغيره في حقيقته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يقطع التلبية يوم عرفة عند الزوال فيحرم عنده، و في صحيح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التصريح به </w:t>
      </w:r>
      <w:r>
        <w:rPr>
          <w:rStyle w:val="FootnoteAnchor"/>
          <w:rtl w:val="true"/>
        </w:rPr>
        <w:footnoteReference w:id="511"/>
      </w:r>
      <w:r>
        <w:rPr>
          <w:rFonts w:ascii="Amiri" w:hAnsi="Amiri" w:eastAsia="Amiri" w:cs="Amiri"/>
          <w:color w:val="111111"/>
          <w:sz w:val="28"/>
          <w:sz w:val="28"/>
          <w:szCs w:val="28"/>
          <w:rtl w:val="true"/>
          <w:lang w:bidi="ar-SA"/>
        </w:rPr>
        <w:t>، و في اقتضائه حرمته ذاتا نظر، لإمكان دعوى انصرافه إلى التلبية المأتي بها بعنوان المشروعية قبل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المقدار لا يقتضي إلّا حرمة العمل الخارجي المأتي به بهذا العنوان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أيضا غير حرمة تشريعه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يستفاد منه حرمة ذاتية مطلقا، كما هو الشأن في غالب العبادات المنهي عنها، فذلك نحو حرمة بين حرمة تشريعية و حرمة ذاتية بقول مطلق،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نسيه حتى يصل بعرفات أحرم بها إن لم يتمكن من الرجوع إلى مكة، و إلّا فيتعين عليه الرجوع إليها و الإحرام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الأصل في الحكم المزبور ما حكي من سؤال علي بن جعفر عن أخيه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رجل نسي الإحرام بالحج فذكر و هو بعرفات ما حاله؟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على كتابك و سنة نبيك، فقد تم إحرامه</w:t>
      </w:r>
      <w:r>
        <w:rPr>
          <w:rFonts w:eastAsia="Amiri" w:cs="Amiri" w:ascii="Amiri" w:hAnsi="Amiri"/>
          <w:color w:val="111111"/>
          <w:sz w:val="28"/>
          <w:szCs w:val="28"/>
          <w:rtl w:val="true"/>
          <w:lang w:bidi="ar-SA"/>
        </w:rPr>
        <w:t xml:space="preserve">» </w:t>
      </w:r>
      <w:r>
        <w:rPr>
          <w:rStyle w:val="FootnoteAnchor"/>
          <w:rtl w:val="true"/>
        </w:rPr>
        <w:footnoteReference w:id="5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إطلاقه منزّل على العذر عن العود، و لا أقل من كونه بعوده يفوت عنه اختياري عرفة</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غيره فيجب العود باطلاقاته، و نسب الى الشيخ </w:t>
      </w:r>
      <w:r>
        <w:rPr>
          <w:rStyle w:val="FootnoteAnchor"/>
          <w:rtl w:val="true"/>
        </w:rPr>
        <w:footnoteReference w:id="513"/>
      </w:r>
      <w:r>
        <w:rPr>
          <w:rFonts w:ascii="Amiri" w:hAnsi="Amiri" w:eastAsia="Amiri" w:cs="Amiri"/>
          <w:color w:val="111111"/>
          <w:sz w:val="28"/>
          <w:sz w:val="28"/>
          <w:szCs w:val="28"/>
          <w:rtl w:val="true"/>
          <w:lang w:bidi="ar-SA"/>
        </w:rPr>
        <w:t xml:space="preserve">و ابن حمزة </w:t>
      </w:r>
      <w:r>
        <w:rPr>
          <w:rStyle w:val="FootnoteAnchor"/>
          <w:rtl w:val="true"/>
        </w:rPr>
        <w:footnoteReference w:id="514"/>
      </w:r>
      <w:r>
        <w:rPr>
          <w:rFonts w:ascii="Amiri" w:hAnsi="Amiri" w:eastAsia="Amiri" w:cs="Amiri"/>
          <w:color w:val="111111"/>
          <w:sz w:val="28"/>
          <w:sz w:val="28"/>
          <w:szCs w:val="28"/>
          <w:rtl w:val="true"/>
          <w:lang w:bidi="ar-SA"/>
        </w:rPr>
        <w:t>الإطلاق في الاكتفاء بالإحرام من مكانه، حتى مع التمكن من العود، نظرا إلى إطلاق النص المزبور من هذه الجهة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إنما يتم لو لم يجعل الفوت المزبور</w:t>
      </w:r>
    </w:p>
    <w:p>
      <w:pPr>
        <w:pStyle w:val="BookText"/>
        <w:rPr/>
      </w:pPr>
      <w:r>
        <w:rPr>
          <w:rFonts w:ascii="Amiri" w:hAnsi="Amiri" w:eastAsia="Amiri" w:cs="Amiri"/>
          <w:color w:val="111111"/>
          <w:sz w:val="28"/>
          <w:sz w:val="28"/>
          <w:szCs w:val="28"/>
          <w:rtl w:val="true"/>
          <w:lang w:bidi="ar-SA"/>
        </w:rPr>
        <w:t>عذرا، و إلّا ففيه نظر لتنزيله منزلة الغالب، من عدم تمكنه لدرك اختياري عرفة بعوده إلى مكة و إحرامه منها، و ذلك نحو عذر، و يلحق به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توهم انّ ذلك فرع أهمية اختياري عرفة من الإحرام، و إلّا فيدخل المكلف فيمن لا يدرك إلّا اضطراري 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 بأنه مضافا إلى ما سيجي‌ء من إثبات أهميته من سائر المناسك، انّ النص المزبور بعد كونه معمولا به، فيؤخذ بمقدار دلالته، و من المعلوم انّ إطلاقه من حيث الأعذار الخارجية لا قصور فيه، و إنما الملازم له جهة عذره من إدراك اختياري 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مثل هذه الصورة كان حكمه عليه السلام بالاكتفاء بإحرامه من عرفة يكشف عن أهميته من الإحرام من مكة، و ليس في الرواية تعليق الحكم على العذر، كي يشكل في صغراه، بل من الإطلاق المنزل على صورة العذر غالبا تستكشف الأهمية، فالرواية بإطلاقها المنزل على مثل هذا العذر متكفلة لإحراز صغرى العذر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 ما ذكرنا ما ورد في الناسي من سائر المواقيت، حيث حكم بإحرامه من مكانه، من جهة الخشية من فوت الحج، إذ هو بإطلاقه شامل لفوت المرتبة الأقصى منه، الملازم لفوت اختياري الوقوفين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يستفاد أهمية اختياري الوقوف من الإحرام لعمرته، فيتعدّى منه إلى إحرام حجه أيضا، لفهم العرف إلغاء الخصوصية مع إمكان دعوى عدم الفصل بين الإحرامين، كما لا يخفى</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لم يذكر حتى يقضي مناسكه لم يكن عليه شي‌ء على المشهور، خلافا لابن إدريس </w:t>
      </w:r>
      <w:r>
        <w:rPr>
          <w:rStyle w:val="FootnoteAnchor"/>
          <w:rtl w:val="true"/>
        </w:rPr>
        <w:footnoteReference w:id="515"/>
      </w:r>
      <w:r>
        <w:rPr>
          <w:rFonts w:ascii="Amiri" w:hAnsi="Amiri" w:eastAsia="Amiri" w:cs="Amiri"/>
          <w:color w:val="111111"/>
          <w:sz w:val="28"/>
          <w:sz w:val="28"/>
          <w:szCs w:val="28"/>
          <w:rtl w:val="true"/>
          <w:lang w:bidi="ar-SA"/>
        </w:rPr>
        <w:t>، على ما تقدّم من المصنف أيضا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شرحنا أيضا</w:t>
      </w:r>
      <w:bookmarkStart w:id="241" w:name="pg19818_204044"/>
    </w:p>
    <w:p>
      <w:pPr>
        <w:pStyle w:val="BookText"/>
        <w:rPr/>
      </w:pPr>
      <w:bookmarkEnd w:id="241"/>
      <w:r>
        <w:rPr>
          <w:rFonts w:ascii="Amiri" w:hAnsi="Amiri" w:eastAsia="Amiri" w:cs="Amiri"/>
          <w:color w:val="111111"/>
          <w:sz w:val="28"/>
          <w:sz w:val="28"/>
          <w:szCs w:val="28"/>
          <w:rtl w:val="true"/>
          <w:lang w:bidi="ar-SA"/>
        </w:rPr>
        <w:t xml:space="preserve">بأنّ عمدة مستندهم فيه مرسل جميل </w:t>
      </w:r>
      <w:r>
        <w:rPr>
          <w:rStyle w:val="FootnoteAnchor"/>
          <w:rtl w:val="true"/>
        </w:rPr>
        <w:footnoteReference w:id="516"/>
      </w:r>
      <w:r>
        <w:rPr>
          <w:rFonts w:ascii="Amiri" w:hAnsi="Amiri" w:eastAsia="Amiri" w:cs="Amiri"/>
          <w:color w:val="111111"/>
          <w:sz w:val="28"/>
          <w:sz w:val="28"/>
          <w:szCs w:val="28"/>
          <w:rtl w:val="true"/>
          <w:lang w:bidi="ar-SA"/>
        </w:rPr>
        <w:t xml:space="preserve">، بل في صحيح علي بن جعفر أيضا الحكم بالاجتزاء مع الجهل </w:t>
      </w:r>
      <w:r>
        <w:rPr>
          <w:rStyle w:val="FootnoteAnchor"/>
          <w:rtl w:val="true"/>
        </w:rPr>
        <w:footnoteReference w:id="517"/>
      </w:r>
      <w:r>
        <w:rPr>
          <w:rFonts w:ascii="Amiri" w:hAnsi="Amiri" w:eastAsia="Amiri" w:cs="Amiri"/>
          <w:color w:val="111111"/>
          <w:sz w:val="28"/>
          <w:sz w:val="28"/>
          <w:szCs w:val="28"/>
          <w:rtl w:val="true"/>
          <w:lang w:bidi="ar-SA"/>
        </w:rPr>
        <w:t xml:space="preserve">، الملحق به النسيان، كما في الجواهر </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خلاف ابن إدريس مبني على أصله من طرح أمثال هذه الأخبار و الأخذ بمقتضى القواعد، من لزوم القضاء بفوت إحرام حجه، المفوت لحجة، بدليل اعتباره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لا يخفى ما فيه، فلا محيص عن رفع اليد عن جزئية الإحرام حال نسيانه بمقتضى النص المزبور، فتختص ركنيته و إضرار فوته بالحج بحال علمه و عمده و إن كان بينه و بين الطواف و السعي فرق، حيث إنّ بناءهم على أنّ الجاهل فيهما بحكم العامد بخلاف المقام، فإنّ الجاهل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بحكم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ملحق بالناسي، بل في الوقوف بعرفة أيضا، ظاهر بعضهم معذورية الجاهل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الحدائق دعوى استفاضة النصوص فيه </w:t>
      </w:r>
      <w:r>
        <w:rPr>
          <w:rStyle w:val="FootnoteAnchor"/>
          <w:rtl w:val="true"/>
        </w:rPr>
        <w:footnoteReference w:id="519"/>
      </w:r>
      <w:r>
        <w:rPr>
          <w:rFonts w:ascii="Amiri" w:hAnsi="Amiri" w:eastAsia="Amiri" w:cs="Amiri"/>
          <w:color w:val="111111"/>
          <w:sz w:val="28"/>
          <w:sz w:val="28"/>
          <w:szCs w:val="28"/>
          <w:rtl w:val="true"/>
          <w:lang w:bidi="ar-SA"/>
        </w:rPr>
        <w:t>، فراجع، و تتمة الكلام فيه و في الوقوف بالمشعر سيأتي إن شاء اللّٰه</w:t>
      </w:r>
      <w:r>
        <w:rPr>
          <w:rFonts w:eastAsia="Amiri" w:cs="Amiri" w:ascii="Amiri" w:hAnsi="Amiri"/>
          <w:color w:val="111111"/>
          <w:sz w:val="28"/>
          <w:szCs w:val="28"/>
          <w:rtl w:val="true"/>
          <w:lang w:bidi="ar-SA"/>
        </w:rPr>
        <w:t>.</w:t>
      </w:r>
    </w:p>
    <w:p>
      <w:pPr>
        <w:pStyle w:val="Heading4"/>
        <w:numPr>
          <w:ilvl w:val="3"/>
          <w:numId w:val="1"/>
        </w:numPr>
        <w:rPr/>
      </w:pPr>
      <w:bookmarkStart w:id="242" w:name="__RefHeading___Toc3320860_2314609296"/>
      <w:bookmarkStart w:id="243" w:name="_Toc88"/>
      <w:bookmarkEnd w:id="242"/>
      <w:r>
        <w:rPr>
          <w:rtl w:val="true"/>
        </w:rPr>
        <w:t>الفصل الثاني</w:t>
      </w:r>
      <w:r>
        <w:rPr>
          <w:rtl w:val="true"/>
        </w:rPr>
        <w:t xml:space="preserve">: </w:t>
      </w:r>
      <w:r>
        <w:rPr>
          <w:rtl w:val="true"/>
        </w:rPr>
        <w:t>في الوقوف بعرفات</w:t>
      </w:r>
      <w:bookmarkEnd w:id="243"/>
    </w:p>
    <w:p>
      <w:pPr>
        <w:pStyle w:val="Heading5"/>
        <w:numPr>
          <w:ilvl w:val="4"/>
          <w:numId w:val="1"/>
        </w:numPr>
        <w:rPr/>
      </w:pPr>
      <w:bookmarkStart w:id="244" w:name="__RefHeading___Toc3320862_2314609296"/>
      <w:bookmarkStart w:id="245" w:name="_Toc89"/>
      <w:bookmarkEnd w:id="244"/>
      <w:r>
        <w:rPr>
          <w:rtl w:val="true"/>
        </w:rPr>
        <w:t>اشارة</w:t>
      </w:r>
      <w:bookmarkEnd w:id="24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للمتمتع الخروج يوم التروية إلى منى، و الصلاة و الدعاء فيها، بلا اشكال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دعائم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روينا عن جعفر بن محمد عليه السلام انه قال</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الناس من مكة إلى منى يوم التروية، و هو اليوم الثامن من ذي الحجة، و أفضل ذلك بعد صلاة الظهر، و لهم أن يخرجوا غدوة و عشية إلى الليل،</w:t>
      </w:r>
    </w:p>
    <w:p>
      <w:pPr>
        <w:pStyle w:val="BookText"/>
        <w:rPr/>
      </w:pPr>
      <w:r>
        <w:rPr>
          <w:rFonts w:ascii="Amiri" w:hAnsi="Amiri" w:eastAsia="Amiri" w:cs="Amiri"/>
          <w:color w:val="111111"/>
          <w:sz w:val="28"/>
          <w:sz w:val="28"/>
          <w:szCs w:val="28"/>
          <w:rtl w:val="true"/>
          <w:lang w:bidi="ar-SA"/>
        </w:rPr>
        <w:t>و لا بأس أن يخرجوا قبل التروية</w:t>
      </w:r>
      <w:r>
        <w:rPr>
          <w:rFonts w:eastAsia="Amiri" w:cs="Amiri" w:ascii="Amiri" w:hAnsi="Amiri"/>
          <w:color w:val="111111"/>
          <w:sz w:val="28"/>
          <w:szCs w:val="28"/>
          <w:rtl w:val="true"/>
          <w:lang w:bidi="ar-SA"/>
        </w:rPr>
        <w:t xml:space="preserve">» </w:t>
      </w:r>
      <w:r>
        <w:rPr>
          <w:rStyle w:val="FootnoteAnchor"/>
          <w:rtl w:val="true"/>
        </w:rPr>
        <w:footnoteReference w:id="520"/>
      </w:r>
      <w:r>
        <w:rPr>
          <w:rFonts w:ascii="Amiri" w:hAnsi="Amiri" w:eastAsia="Amiri" w:cs="Amiri"/>
          <w:color w:val="111111"/>
          <w:sz w:val="28"/>
          <w:sz w:val="28"/>
          <w:szCs w:val="28"/>
          <w:rtl w:val="true"/>
          <w:lang w:bidi="ar-SA"/>
        </w:rPr>
        <w:t xml:space="preserve">، و نظيره غيره </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نص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انتهيت إلى منى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إلى آخره</w:t>
      </w:r>
      <w:r>
        <w:rPr>
          <w:rFonts w:eastAsia="Amiri" w:cs="Amiri" w:ascii="Amiri" w:hAnsi="Amiri"/>
          <w:color w:val="111111"/>
          <w:sz w:val="28"/>
          <w:szCs w:val="28"/>
          <w:rtl w:val="true"/>
          <w:lang w:bidi="ar-SA"/>
        </w:rPr>
        <w:t xml:space="preserve">» </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يستحب لإمام الحاج و أميرهم أن يصلّي الظهر بمنى، لما في صحيح ابن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ينبغي للإمام أن يصلّي الظهر يوم التروية إلّا بمنى، و يبيت بها الى طلوع الشمس</w:t>
      </w:r>
      <w:r>
        <w:rPr>
          <w:rFonts w:eastAsia="Amiri" w:cs="Amiri" w:ascii="Amiri" w:hAnsi="Amiri"/>
          <w:color w:val="111111"/>
          <w:sz w:val="28"/>
          <w:szCs w:val="28"/>
          <w:rtl w:val="true"/>
          <w:lang w:bidi="ar-SA"/>
        </w:rPr>
        <w:t xml:space="preserve">» </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نص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بصلاة الظهر في منى لغير الإمام أيضا </w:t>
      </w:r>
      <w:r>
        <w:rPr>
          <w:rStyle w:val="FootnoteAnchor"/>
          <w:rtl w:val="true"/>
        </w:rPr>
        <w:footnoteReference w:id="524"/>
      </w:r>
      <w:r>
        <w:rPr>
          <w:rFonts w:ascii="Amiri" w:hAnsi="Amiri" w:eastAsia="Amiri" w:cs="Amiri"/>
          <w:color w:val="111111"/>
          <w:sz w:val="28"/>
          <w:sz w:val="28"/>
          <w:szCs w:val="28"/>
          <w:rtl w:val="true"/>
          <w:lang w:bidi="ar-SA"/>
        </w:rPr>
        <w:t>، و لا بأس به بعد إمكان الحمل على مراتب الفضيلة، أو التخيير لغير الامام بينهما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استحباب الخروج يوم التروية ثابت لكل أحد إلّا المضطر، كالشيخ و غيره و لو لخشية الزحام فيخرج قبله، و في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السؤال عن خروج خائف الزحام قبل يوم التروية،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ذيله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يعجل بيوم؟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بيومين؟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من 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أيضا محمول على الكراهة، بقرينة إطلاق ما دل على جواز الإحرام للحج، عند الفراغ عن اعمال العمرة</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حكى عن الشيخ عدم جواز الخروج قبل الثلاثة </w:t>
      </w:r>
      <w:r>
        <w:rPr>
          <w:rStyle w:val="FootnoteAnchor"/>
          <w:rtl w:val="true"/>
        </w:rPr>
        <w:footnoteReference w:id="526"/>
      </w:r>
      <w:r>
        <w:rPr>
          <w:rFonts w:ascii="Amiri" w:hAnsi="Amiri" w:eastAsia="Amiri" w:cs="Amiri"/>
          <w:color w:val="111111"/>
          <w:sz w:val="28"/>
          <w:sz w:val="28"/>
          <w:szCs w:val="28"/>
          <w:rtl w:val="true"/>
          <w:lang w:bidi="ar-SA"/>
        </w:rPr>
        <w:t>، و لكنه محجوج</w:t>
      </w:r>
    </w:p>
    <w:p>
      <w:pPr>
        <w:pStyle w:val="BookText"/>
        <w:rPr/>
      </w:pPr>
      <w:r>
        <w:rPr>
          <w:rFonts w:ascii="Amiri" w:hAnsi="Amiri" w:eastAsia="Amiri" w:cs="Amiri"/>
          <w:color w:val="111111"/>
          <w:sz w:val="28"/>
          <w:sz w:val="28"/>
          <w:szCs w:val="28"/>
          <w:rtl w:val="true"/>
          <w:lang w:bidi="ar-SA"/>
        </w:rPr>
        <w:t>بالإطلاق المزبور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 المراد من الأمور المسطورة أيضا عدم تأكد رجحانه على غيره، أو مزاحمته لمرجح آخر، لا أنّ المصلحة المقتضية للرجحان مفقودة في المضطر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يستحب أيضا أن يغتسل للوقوف بعرفة، لحسن الحلبي </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من مقدمات الوقوف بعض أحكام أخر راجعة إلى منى، سيأتي التعرض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أي الوقوف بمسمّاه ركن في الحجّ يبطل بالإخلال به عمدا و عن علم، بلا اشكال فيه نصا و فتوى، و يكفي من النص ما ورد بلسان نفي الحج لأصحاب الأراك و هم الذين يقفون عند الأراك، الخارج عن عرفة </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فمرجع مثل هذا اللسان إلى نفي الحج لمن لم يقف بعرفة، و سيأتي وجه ركنية مسمّاه عند التعرض لزمان وجوبه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تركه ناسيا حتى فات وقته و لم يصل بالمشعر بطل حجه، و ظاهر هذه العبارة بقرينة ما يأتي من المصنف، من نسبة الاجتزاء بإدراك اضطراريهما إلى قوم، المشعر بتردده فيه، صورة فوت وقتي عرفة، و لو الاضطراري منه، مع عدم درك اختياري المشعر، سواء أدرك اضطرارية أيضا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فيستفاد من العبارة فرضان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صورة فوت اضطراريهما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صورة فوت اختياري المشعر، مع فوت اضطراري عرفة أيضا</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الحكم في كليهما بطلان الحج، بلا اشكال ظاهرا في الأول، و على المشهور</w:t>
      </w:r>
    </w:p>
    <w:p>
      <w:pPr>
        <w:pStyle w:val="BookText"/>
        <w:rPr/>
      </w:pPr>
      <w:r>
        <w:rPr>
          <w:rFonts w:ascii="Amiri" w:hAnsi="Amiri" w:eastAsia="Amiri" w:cs="Amiri"/>
          <w:color w:val="111111"/>
          <w:sz w:val="28"/>
          <w:sz w:val="28"/>
          <w:szCs w:val="28"/>
          <w:rtl w:val="true"/>
          <w:lang w:bidi="ar-SA"/>
        </w:rPr>
        <w:t>في الأخير خلافا لبعض آخر، حيث التزم بصحته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الصورة الأولى فربما يستفاد من فحوى ما يدل على أنّ مدار درك الحج بدرك جمع قبل الزوال، و بدونه لا حج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عنه من أدرك اختياري عرفة أو اضطرارية على قول، و بقي الباقي تحته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فحوى جملة أخرى من النصوص الدالة على فوت الحج عند فوت اضطراري عرفة أيضا، بفوت اختياري المشعر، فإن دلالتها على فوت الحج بفوت اضطراري المشعر أيضا بالفحوى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الصورة الثانية، فالمشهور على فوت الحج بفوت الاضطراري من عرفة و اختياري المشعر، و عدم كفاية درك اضطراري المشعر محضا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المستند فيه جملة من النصوص المشار إليها، مثل الصحيح الحلبي المشتمل ذيله 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يدرك المشعر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قبل أن يفيض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فاته الحج</w:t>
      </w:r>
      <w:r>
        <w:rPr>
          <w:rFonts w:eastAsia="Amiri" w:cs="Amiri" w:ascii="Amiri" w:hAnsi="Amiri"/>
          <w:color w:val="111111"/>
          <w:sz w:val="28"/>
          <w:szCs w:val="28"/>
          <w:rtl w:val="true"/>
          <w:lang w:bidi="ar-SA"/>
        </w:rPr>
        <w:t xml:space="preserve">» </w:t>
      </w:r>
      <w:r>
        <w:rPr>
          <w:rStyle w:val="FootnoteAnchor"/>
          <w:rtl w:val="true"/>
        </w:rPr>
        <w:footnoteReference w:id="529"/>
      </w:r>
      <w:r>
        <w:rPr>
          <w:rFonts w:ascii="Amiri" w:hAnsi="Amiri" w:eastAsia="Amiri" w:cs="Amiri"/>
          <w:color w:val="111111"/>
          <w:sz w:val="28"/>
          <w:sz w:val="28"/>
          <w:szCs w:val="28"/>
          <w:rtl w:val="true"/>
          <w:lang w:bidi="ar-SA"/>
        </w:rPr>
        <w:t>، و نظيره جملة أخرى من النصوص، الصريحة في مورد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قبالها مطلقات مشتملة على أنّ من أدرك المشعر قبل الزوال من يوم النحر فقد أدرك الحج </w:t>
      </w:r>
      <w:r>
        <w:rPr>
          <w:rStyle w:val="FootnoteAnchor"/>
          <w:rtl w:val="true"/>
        </w:rPr>
        <w:footnoteReference w:id="530"/>
      </w:r>
      <w:r>
        <w:rPr>
          <w:rFonts w:ascii="Amiri" w:hAnsi="Amiri" w:eastAsia="Amiri" w:cs="Amiri"/>
          <w:color w:val="111111"/>
          <w:sz w:val="28"/>
          <w:sz w:val="28"/>
          <w:szCs w:val="28"/>
          <w:rtl w:val="true"/>
          <w:lang w:bidi="ar-SA"/>
        </w:rPr>
        <w:t>، و لا يخفى أنّ الأمر يدور بين تقييد مثل هذه المطلقات بمن أدرك اضطراري عرفة، كما هو مقتضى النصوص السابقة، أو الأخذ بإطلاق هذه، و حمل فوت الحج في السابقة على فوت مرتبة كمال الحج لا أصله، كما هو مختار المدارك</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المشهور على تقديم الجمع الأول، و لكن الانصاف منع قوة أحد الجمعين على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ترجع المسألة إلى الشك في شرطية درك اضطراري 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ظرف وجود اضطراري المشعر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صحة الحج، للمضطر عن درك</w:t>
      </w:r>
    </w:p>
    <w:p>
      <w:pPr>
        <w:pStyle w:val="BookText"/>
        <w:rPr/>
      </w:pPr>
      <w:r>
        <w:rPr>
          <w:rFonts w:ascii="Amiri" w:hAnsi="Amiri" w:eastAsia="Amiri" w:cs="Amiri"/>
          <w:color w:val="111111"/>
          <w:sz w:val="28"/>
          <w:sz w:val="28"/>
          <w:szCs w:val="28"/>
          <w:rtl w:val="true"/>
          <w:lang w:bidi="ar-SA"/>
        </w:rPr>
        <w:t>الاختياريين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الأصل يقتضي عدم الشرطية، و لا يعتد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مثل هذه المسألة مع وضوح مدرك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مخالفتهم، و إن كان الاحتياط يقتضي الوفاق معهم عملا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من فحاوي هذه النصوص يستفاد أيضا كفاية درك اضطراريهما في صحة الحج، و إليه أيضا جنح بعض الأعاظم، منهم المحقق في الشرائع </w:t>
      </w:r>
      <w:r>
        <w:rPr>
          <w:rStyle w:val="FootnoteAnchor"/>
          <w:rtl w:val="true"/>
        </w:rPr>
        <w:footnoteReference w:id="531"/>
      </w:r>
      <w:r>
        <w:rPr>
          <w:rFonts w:ascii="Amiri" w:hAnsi="Amiri" w:eastAsia="Amiri" w:cs="Amiri"/>
          <w:color w:val="111111"/>
          <w:sz w:val="28"/>
          <w:sz w:val="28"/>
          <w:szCs w:val="28"/>
          <w:rtl w:val="true"/>
          <w:lang w:bidi="ar-SA"/>
        </w:rPr>
        <w:t>، خلافا لبعض آخر، حيث ذهب إلى عدم كفايته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عمدة سندهم عموم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لم يدرك الناس بالمشعر قبل طلوع الشمس فلا حج له</w:t>
      </w:r>
      <w:r>
        <w:rPr>
          <w:rFonts w:eastAsia="Amiri" w:cs="Amiri" w:ascii="Amiri" w:hAnsi="Amiri"/>
          <w:color w:val="111111"/>
          <w:sz w:val="28"/>
          <w:szCs w:val="28"/>
          <w:rtl w:val="true"/>
          <w:lang w:bidi="ar-SA"/>
        </w:rPr>
        <w:t xml:space="preserve">» </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لكن في قباله جملة أخرى من المطلقات، الدالة على أنّ من أدرك المشعر قبل الزوال فقد أدرك الحج </w:t>
      </w:r>
      <w:r>
        <w:rPr>
          <w:rStyle w:val="FootnoteAnchor"/>
          <w:rtl w:val="true"/>
        </w:rPr>
        <w:footnoteReference w:id="5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يصلح لرفع اليد به عن الأولى بالحمل على نفي الكمال، كما احتملنا في الطائفة السابقة، بل و على فرض التقييد لا بد أن تقيد الاولى بمن لم يدرك اضطراري المشعر أيضا على وجه، أو بمن لم يدرك اضطراري عرفة على وجه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ظهر من مجموع النصوص المزبورة حكم من أدرك اختياري المشعر، و لو لم يدرك الوقوف بعرفة مطلقا، فإنّ مقتضى النصوص المزبورة بأجمعها صحة حجه و تماميته</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انه في صورة درك اختياري عرفة، مع نسيانه أو جهله عن درك</w:t>
      </w:r>
    </w:p>
    <w:p>
      <w:pPr>
        <w:pStyle w:val="BookText"/>
        <w:rPr/>
      </w:pPr>
      <w:r>
        <w:rPr>
          <w:rFonts w:ascii="Amiri" w:hAnsi="Amiri" w:eastAsia="Amiri" w:cs="Amiri"/>
          <w:color w:val="111111"/>
          <w:sz w:val="28"/>
          <w:sz w:val="28"/>
          <w:szCs w:val="28"/>
          <w:rtl w:val="true"/>
          <w:lang w:bidi="ar-SA"/>
        </w:rPr>
        <w:t>الوقوف بالمشعر، و لو الاضطراري منه، كان مقتضى جملة من النصوص صحة حجه و تماميته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مثل ما دل تارة 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 عرفة</w:t>
      </w:r>
      <w:r>
        <w:rPr>
          <w:rFonts w:eastAsia="Amiri" w:cs="Amiri" w:ascii="Amiri" w:hAnsi="Amiri"/>
          <w:color w:val="111111"/>
          <w:sz w:val="28"/>
          <w:szCs w:val="28"/>
          <w:rtl w:val="true"/>
          <w:lang w:bidi="ar-SA"/>
        </w:rPr>
        <w:t xml:space="preserve">» </w:t>
      </w:r>
      <w:r>
        <w:rPr>
          <w:rStyle w:val="FootnoteAnchor"/>
          <w:rtl w:val="true"/>
        </w:rPr>
        <w:footnoteReference w:id="534"/>
      </w:r>
      <w:r>
        <w:rPr>
          <w:rFonts w:ascii="Amiri" w:hAnsi="Amiri" w:eastAsia="Amiri" w:cs="Amiri"/>
          <w:color w:val="111111"/>
          <w:sz w:val="28"/>
          <w:sz w:val="28"/>
          <w:szCs w:val="28"/>
          <w:rtl w:val="true"/>
          <w:lang w:bidi="ar-SA"/>
        </w:rPr>
        <w:t>، و اخرى بما دل صريحا على صورة فوت اضطراري المشعر بجهله،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535"/>
      </w:r>
      <w:r>
        <w:rPr>
          <w:rFonts w:ascii="Amiri" w:hAnsi="Amiri" w:eastAsia="Amiri" w:cs="Amiri"/>
          <w:color w:val="111111"/>
          <w:sz w:val="28"/>
          <w:sz w:val="28"/>
          <w:szCs w:val="28"/>
          <w:rtl w:val="true"/>
          <w:lang w:bidi="ar-SA"/>
        </w:rPr>
        <w:t>المنزل على صورة دركه اختياري 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قباله ما ورد بعموم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فاتتك المزدلفة فقد فاتك الحج</w:t>
      </w:r>
      <w:r>
        <w:rPr>
          <w:rFonts w:eastAsia="Amiri" w:cs="Amiri" w:ascii="Amiri" w:hAnsi="Amiri"/>
          <w:color w:val="111111"/>
          <w:sz w:val="28"/>
          <w:szCs w:val="28"/>
          <w:rtl w:val="true"/>
          <w:lang w:bidi="ar-SA"/>
        </w:rPr>
        <w:t xml:space="preserve">» </w:t>
      </w:r>
      <w:r>
        <w:rPr>
          <w:rStyle w:val="FootnoteAnchor"/>
          <w:rtl w:val="true"/>
        </w:rPr>
        <w:footnoteReference w:id="536"/>
      </w:r>
      <w:r>
        <w:rPr>
          <w:rFonts w:ascii="Amiri" w:hAnsi="Amiri" w:eastAsia="Amiri" w:cs="Amiri"/>
          <w:color w:val="111111"/>
          <w:sz w:val="28"/>
          <w:sz w:val="28"/>
          <w:szCs w:val="28"/>
          <w:rtl w:val="true"/>
          <w:lang w:bidi="ar-SA"/>
        </w:rPr>
        <w:t xml:space="preserve">، و بمفهوم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أدرك المزدلفة قبل زوال الشمس يوم النحر قد أدرك الحج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فإطلاقه يقتضي عدم درك الحج بفوت المزدلفة مطلقا، و إن أدرك اختياري 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نص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عرفة سنة، و المزدلفة فريضة</w:t>
      </w:r>
      <w:r>
        <w:rPr>
          <w:rFonts w:eastAsia="Amiri" w:cs="Amiri" w:ascii="Amiri" w:hAnsi="Amiri"/>
          <w:color w:val="111111"/>
          <w:sz w:val="28"/>
          <w:szCs w:val="28"/>
          <w:rtl w:val="true"/>
          <w:lang w:bidi="ar-SA"/>
        </w:rPr>
        <w:t xml:space="preserve">» </w:t>
      </w:r>
      <w:r>
        <w:rPr>
          <w:rStyle w:val="FootnoteAnchor"/>
          <w:rtl w:val="true"/>
        </w:rPr>
        <w:footnoteReference w:id="537"/>
      </w:r>
      <w:r>
        <w:rPr>
          <w:rFonts w:ascii="Amiri" w:hAnsi="Amiri" w:eastAsia="Amiri" w:cs="Amiri"/>
          <w:color w:val="111111"/>
          <w:sz w:val="28"/>
          <w:sz w:val="28"/>
          <w:szCs w:val="28"/>
          <w:rtl w:val="true"/>
          <w:lang w:bidi="ar-SA"/>
        </w:rPr>
        <w:t>، و حينئذ فاللازم تقييد هذه المطلقات بصورة درك اختياري عرفة، بقرينة نفي البأس في النصوص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مقتضى إطلاقها جواز الاقتصار بدرك اضطراري عرفة فقط أيضا إذ القدر الخارج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بقرينة النصوص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صورة عدم درك وقت عرفة مطلقا، و بقي الباقي تحته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المقدار أيضا لا يتنافى مع كون عرفة من السنة، و المزدلفة من الفريضة، بعد البناء على الاكتفاء باضطراري المشعر فقط أيضا، كما هو مذهب المدارك</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بنينا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عدم الاكتفاء باضطراري المشعر فقط، أمكن التعدّي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بالفحوى المستفاد من هذا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عدم الاكتفاء باضطراري عرفة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لكن الكلمات غير مساعدة لذلك، بل مقتضى استقصاء الجواهر جميع شقوق المسألة و تمييز صحيحها عن فاسدها، عدم جعل ذلك من الفروض الصحيحة، بل يستفاد من فحاوي كلماتهم تسلم فساده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في كشف اللثام حكاية الاكتفاء بأحد الاضطراريين عن ظاهر أبي علي </w:t>
      </w:r>
      <w:r>
        <w:rPr>
          <w:rStyle w:val="FootnoteAnchor"/>
          <w:rtl w:val="true"/>
        </w:rPr>
        <w:footnoteReference w:id="538"/>
      </w:r>
      <w:r>
        <w:rPr>
          <w:rFonts w:ascii="Amiri" w:hAnsi="Amiri" w:eastAsia="Amiri" w:cs="Amiri"/>
          <w:color w:val="111111"/>
          <w:sz w:val="28"/>
          <w:sz w:val="28"/>
          <w:szCs w:val="28"/>
          <w:rtl w:val="true"/>
          <w:lang w:bidi="ar-SA"/>
        </w:rPr>
        <w:t>، فإن تم حينئذ إجماعا على الفساد فهو، و إلّا فمقتضى الجمع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نص الاكتفاء بعرفة و فوت المزدلفة مطلقا، و بين نص عدم الاكتفاء بصرف الوقوف بعرفة، مع فوت المشعر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الصحة، لإمكان حمل الثاني بقرينة الأول على نفي الكمال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في الاكتفاء باضطراري المزدلفة ليلها بدل يومها في كل مورد يكتفي باضطراري المشعر وجه، و السند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فحوى دليل الاضطراري اليومي، كما هو في الجواهر </w:t>
      </w:r>
      <w:r>
        <w:rPr>
          <w:rStyle w:val="FootnoteAnchor"/>
          <w:rtl w:val="true"/>
        </w:rPr>
        <w:footnoteReference w:id="5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قوله في خبر مسمع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أفاض من المشعر قبل أن يفيض الناس،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جاهلا فلا شي‌ء عليه، و إن كان أفاض قبل طلوع الفجر فعليه دم شاة</w:t>
      </w:r>
      <w:r>
        <w:rPr>
          <w:rFonts w:eastAsia="Amiri" w:cs="Amiri" w:ascii="Amiri" w:hAnsi="Amiri"/>
          <w:color w:val="111111"/>
          <w:sz w:val="28"/>
          <w:szCs w:val="28"/>
          <w:rtl w:val="true"/>
          <w:lang w:bidi="ar-SA"/>
        </w:rPr>
        <w:t xml:space="preserve">» </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الانصاف انصرافه إلى فرض دركه اختياري عرفة، فلا يبقى في البين ما يستفاد منه بدلية اضطراري الليلية عن النهارية في الاكتفاء به أيضا، في كل مورد يكتفى باضطراري النهاري منه، إلّا الفحوى و الأولوية المدعى من الجواهر</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لا حكاية الترديد عن سبط الشهيد في ذلك، لأمكن دعوى عدم</w:t>
      </w:r>
      <w:bookmarkStart w:id="246" w:name="pg19818_204051"/>
    </w:p>
    <w:p>
      <w:pPr>
        <w:pStyle w:val="BookText"/>
        <w:rPr/>
      </w:pPr>
      <w:bookmarkEnd w:id="246"/>
      <w:r>
        <w:rPr>
          <w:rFonts w:ascii="Amiri" w:hAnsi="Amiri" w:eastAsia="Amiri" w:cs="Amiri"/>
          <w:color w:val="111111"/>
          <w:sz w:val="28"/>
          <w:sz w:val="28"/>
          <w:szCs w:val="28"/>
          <w:rtl w:val="true"/>
          <w:lang w:bidi="ar-SA"/>
        </w:rPr>
        <w:t>الفصل بينهما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هذا الترديد في الفحوى و الأولوية، أشكل التعدّي عما اشتمل على الاكتفاء باضطرار النهاري بالمشعر إلى اضطرار الليلي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محيص عن الاقتصار على مورد النص، و هو صورة درك اختياري عرفة، كما هو منصرف نص مسمع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الجواهر التصريح بالاكتفاء باضطراري عرفة مع اضطراري المشعر بليلتها أيضا، و هو فرع تمامية مبناه، من جريان الفحوى في مثله </w:t>
      </w:r>
      <w:r>
        <w:rPr>
          <w:rStyle w:val="FootnoteAnchor"/>
          <w:rtl w:val="true"/>
        </w:rPr>
        <w:footnoteReference w:id="541"/>
      </w:r>
      <w:r>
        <w:rPr>
          <w:rFonts w:ascii="Amiri" w:hAnsi="Amiri" w:eastAsia="Amiri" w:cs="Amiri"/>
          <w:color w:val="111111"/>
          <w:sz w:val="28"/>
          <w:sz w:val="28"/>
          <w:szCs w:val="28"/>
          <w:rtl w:val="true"/>
          <w:lang w:bidi="ar-SA"/>
        </w:rPr>
        <w:t>و فيه نظر، و الأحوط فيه اعادة الحج، و اللّٰه العالم</w:t>
      </w:r>
      <w:r>
        <w:rPr>
          <w:rFonts w:eastAsia="Amiri" w:cs="Amiri" w:ascii="Amiri" w:hAnsi="Amiri"/>
          <w:color w:val="111111"/>
          <w:sz w:val="28"/>
          <w:szCs w:val="28"/>
          <w:rtl w:val="true"/>
          <w:lang w:bidi="ar-SA"/>
        </w:rPr>
        <w:t>.</w:t>
      </w:r>
    </w:p>
    <w:p>
      <w:pPr>
        <w:pStyle w:val="Heading5"/>
        <w:numPr>
          <w:ilvl w:val="4"/>
          <w:numId w:val="1"/>
        </w:numPr>
        <w:rPr/>
      </w:pPr>
      <w:bookmarkStart w:id="247" w:name="__RefHeading___Toc3320864_2314609296"/>
      <w:bookmarkStart w:id="248" w:name="_Toc90"/>
      <w:bookmarkEnd w:id="247"/>
      <w:r>
        <w:rPr>
          <w:rtl w:val="true"/>
        </w:rPr>
        <w:t>بقي في المقام التنبيه على أمرين</w:t>
      </w:r>
      <w:r>
        <w:rPr>
          <w:rtl w:val="true"/>
        </w:rPr>
        <w:t>:</w:t>
      </w:r>
      <w:bookmarkEnd w:id="248"/>
    </w:p>
    <w:p>
      <w:pPr>
        <w:pStyle w:val="Heading6"/>
        <w:numPr>
          <w:ilvl w:val="5"/>
          <w:numId w:val="1"/>
        </w:numPr>
        <w:rPr/>
      </w:pPr>
      <w:bookmarkStart w:id="249" w:name="__RefHeading___Toc3320866_2314609296"/>
      <w:bookmarkStart w:id="250" w:name="_Toc91"/>
      <w:bookmarkEnd w:id="249"/>
      <w:r>
        <w:rPr>
          <w:rtl w:val="true"/>
        </w:rPr>
        <w:t>أحدهما</w:t>
      </w:r>
      <w:r>
        <w:rPr>
          <w:rtl w:val="true"/>
        </w:rPr>
        <w:t>:</w:t>
      </w:r>
      <w:bookmarkEnd w:id="250"/>
    </w:p>
    <w:p>
      <w:pPr>
        <w:pStyle w:val="BookText"/>
        <w:rPr/>
      </w:pPr>
      <w:r>
        <w:rPr>
          <w:rFonts w:ascii="Amiri" w:hAnsi="Amiri" w:eastAsia="Amiri" w:cs="Amiri"/>
          <w:color w:val="111111"/>
          <w:sz w:val="28"/>
          <w:sz w:val="28"/>
          <w:szCs w:val="28"/>
          <w:rtl w:val="true"/>
          <w:lang w:bidi="ar-SA"/>
        </w:rPr>
        <w:t>انه بعد ما اتضح الاكتفاء بأحد الموقفين الاختياريين عند الاضطرار بفوت أحدهما، ففي ترجيح أي واحد منهما عند الدوران اشكال، لعدم ثبوت الترجيح بالأسبق زمانا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يدعى أنّ مقتضى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النص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الوقوف في المشعر من الفريضة، و الوقوف بعرفة من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بضميمة كبرى أخرى في ذيل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بأنّ الركوع و السجود فريضة، و القراءة سنة، و لا تترك الفريضة بالسنة، أهمية الفريضة من السنة، و لازمة في المقام تقديم الوقوف بالمشعر على الوقوف بعرفة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هذه الجهة أيضا يقدّم درك اضطراري المشعر على اضطراري عرفة، في ظرف المزاحمة، و البناء على كفاية، درك اضطراري أحدهما، فضلا عما لو لم نقل بكفاية درك اضطراري عرفة، مع الاكتفاء باضطراري المشعر</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الاكتفاء به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اشكال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مزاحمة اختياري عرفة فقط مع اضطراري المشعر، فعلى القول بعدم كفاية اضطرارية فقط، فلا إشكال في تقديم اختياري 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القول بكفايته، فلا إشكال في تقديم اختياري 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القول بكفايته، ففي تقديم اختياري عرفة على اضطراري المشعر وجه، من جهة انّ الاختياري من كل وقوف أهم، و لو من اضطراري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أقل من الشك، فينتهي الأمر إلى التعيين و التخيير، لو لا احتمال أهمية الاضطراري المزبور أيضا، لكونه فريضته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محيص حينئذ عن انتهاء الأمر فيه إلى التخيير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انعكس الأمر فيتعيّن تقديم اختياري المشعر جزما، لأهميته عنه بتا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دار الأمر بين ترك اختياري كل من الوقوفين أو ترك سائر المناسك، مثل الإحرام أو الطواف أو السعي أو مناسك منى بجميعها أو بعضها، فلا شبهة في انّ إطلاق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يقتضي حفظ وجود متعلقه، المستتبع للاضطرار في ترك غيره، المنتهي أمره إلى بدله، من الفعل الاضطراري، الصادر عن نفسه أو نائبه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حينئذ وقوع التزاحم في الجهات المزبورة</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عليه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قرينة خارجية على إثبات أهمية أحد الجانبين، كان لا محيص عن انتهاء الأمر في أمثال المقام إلى التخيير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احتمال جريان قاعدة التخيير بين الوقوفين و غيرهما من سائر المناسك منسد في كلمات الأصحاب، بل بناؤهم غالبا على ترجيح الوقوفين، و لو اختياريهما على سائر المناسك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لذا ذهب جلهم إلى كون المناط في فوت طواف العمرة إلى زمان فوت اختياري عرفة، و إن خالفهم الجواهر فيه </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bookmarkStart w:id="251" w:name="pg19818_204053"/>
    </w:p>
    <w:p>
      <w:pPr>
        <w:pStyle w:val="BookText"/>
        <w:rPr/>
      </w:pPr>
      <w:bookmarkEnd w:id="251"/>
      <w:r>
        <w:rPr>
          <w:rFonts w:ascii="Amiri" w:hAnsi="Amiri" w:eastAsia="Amiri" w:cs="Amiri"/>
          <w:color w:val="111111"/>
          <w:sz w:val="28"/>
          <w:sz w:val="28"/>
          <w:szCs w:val="28"/>
          <w:rtl w:val="true"/>
          <w:lang w:bidi="ar-SA"/>
        </w:rPr>
        <w:t>و هكذا بناؤهم في تدارك الإحرام من الميقات مقدارا لا يخاف معه فوت الحج، و لو بمرتبته الأقصى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في العدول من التمتع إلى الافراد، بنوا على كون المدار على فوت الحج باختياري وقوفه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لعل عمدة الوجه في إحراز أهميته، ما ورد من بعض النصوص المشار إليها سابقا،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الحج عرفة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علاوة على كون المشعر أيضا أهم من عرفة، لما عرفت من أنه فريضة، و لا تترك بالسنة، بمقتضى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فيقدّم الوقوفان حفظا للحج بمرتبته الأقصى، الملازم لدرك اختياري وقوفهما على غيرهما من سائر المناسك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فينتقل حفظهما إلى حفظ بدلهما، المأتي به بنفسه أو بنائبه،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بالنسبة إلى ملاحظة أهمية الوقوفين على غيرهما، و أما في فرض مزاحمة غيرهما بعضها مع البعض، فلا يبعد تقديم ما هو ركن عن غيره، لأهمية الركن جزما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في غير الركن فلا محيص عن انتهاء الأمر إلى التخيير، إلّا إذا ثبت في مورد قرينة على الأهمية، من إجماع أو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لا أظن قيام إجماع في البين، لعدم تعرضهم لمثل هذه المزاحمات، فكأنهم أو كلوها على القواعد، فتدبّر</w:t>
      </w:r>
      <w:r>
        <w:rPr>
          <w:rFonts w:eastAsia="Amiri" w:cs="Amiri" w:ascii="Amiri" w:hAnsi="Amiri"/>
          <w:color w:val="111111"/>
          <w:sz w:val="28"/>
          <w:szCs w:val="28"/>
          <w:rtl w:val="true"/>
          <w:lang w:bidi="ar-SA"/>
        </w:rPr>
        <w:t>.</w:t>
      </w:r>
    </w:p>
    <w:p>
      <w:pPr>
        <w:pStyle w:val="Heading6"/>
        <w:numPr>
          <w:ilvl w:val="5"/>
          <w:numId w:val="1"/>
        </w:numPr>
        <w:rPr/>
      </w:pPr>
      <w:bookmarkStart w:id="252" w:name="__RefHeading___Toc3320868_2314609296"/>
      <w:bookmarkStart w:id="253" w:name="_Toc92"/>
      <w:bookmarkEnd w:id="252"/>
      <w:r>
        <w:rPr>
          <w:rtl w:val="true"/>
        </w:rPr>
        <w:t>الأمر الثاني</w:t>
      </w:r>
      <w:bookmarkEnd w:id="253"/>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مقتضى القاعدة الأولية كون جميع أنحاء تروك المناسك ملحقة بالتروك العمدية بمقتضى إطلاق أوامرها، و لو 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يثبت العذر في نسيان جميعها، إلّا فوت الموقفين، و لو باضطراريهما 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فتبقى هذه الصورة فقط تحت القاعدة الأولية، المستفادة من إطلاق نفي الحج بفوت الموقوفين إلى طلوع الشمس من يوم النحر، في صحيح حريز </w:t>
      </w:r>
      <w:r>
        <w:rPr>
          <w:rStyle w:val="FootnoteAnchor"/>
          <w:rtl w:val="true"/>
        </w:rPr>
        <w:footnoteReference w:id="543"/>
      </w:r>
      <w:r>
        <w:rPr>
          <w:rFonts w:ascii="IRNazanin" w:hAnsi="IRNazanin" w:eastAsia="IRNazanin"/>
          <w:color w:val="111111"/>
          <w:sz w:val="28"/>
          <w:sz w:val="28"/>
          <w:szCs w:val="28"/>
          <w:rtl w:val="true"/>
          <w:lang w:bidi="fa-IR"/>
        </w:rPr>
        <w:t>، و خبر</w:t>
      </w:r>
    </w:p>
    <w:p>
      <w:pPr>
        <w:pStyle w:val="BookText"/>
        <w:rPr/>
      </w:pPr>
      <w:r>
        <w:rPr>
          <w:rFonts w:ascii="IRNazanin" w:hAnsi="IRNazanin" w:eastAsia="IRNazanin"/>
          <w:color w:val="111111"/>
          <w:sz w:val="28"/>
          <w:sz w:val="28"/>
          <w:szCs w:val="28"/>
          <w:rtl w:val="true"/>
          <w:lang w:bidi="fa-IR"/>
        </w:rPr>
        <w:t xml:space="preserve">إسحاق </w:t>
      </w:r>
      <w:r>
        <w:rPr>
          <w:rStyle w:val="FootnoteAnchor"/>
          <w:rtl w:val="true"/>
        </w:rPr>
        <w:footnoteReference w:id="5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أيضا مستند من لم يكتف باضطراري المشعر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قد تقدّم ما فيه، و انه قابل للتقييد بما دل على أن من أدرك زوال الشمس من يوم النحر للمزدلفة فقد أدرك الحج، بحمل نفي الحج في الأول بالنسبة إلى هذه الصورة على نفي الكمال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بهذه الملاحظة صار امتياز أركان الحج عن أركان الصلاة بإضرار فوتها عمدا لا نسيانا، بخلاف الصلاة فإنّ مناط ركنية الشي‌ء فيها على الفوت و لو نسيانا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فأركان الحج من قبيل الأجزاء غير الركنية في الصلاة من هذه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ما هو في الحقيقة ركن مثل الركنية في الصلاة هو فوت مجموع الموقفين حتى الاضطراريين، فغير الأركان في باب الحج ما لا يضر بفوتها في وقتها و لو عمدا، كطواف النساء و أمثاله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توهم انّ ذلك ينافي أصل الجزئية للحج، صحيح لو أريد منها الجزئية لجميع مراتبها، و إلّا فالجزئية هي للمرتبة الأقصى المطلوبة منه، فلا تنافي بينها و بين عدم إضرار فوتها بمرتبة أخرى من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بهذه الملاحظة صارت هذه أيضا من مناسك الحج كسائر المناسك، سوى انّ ركنيتها بمعنى أنّ تركها مضر بالحج في حال العمد دون النسيان، و هذه مضرة في حال العمد بمرتبة دون مرتبة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و لئن دققت النظر ترى الأركان أيضا غير مأخوذة في جميع مراتبها، و إنما أخذت بعض المراتب بالقياس إلى حالتي العمد و السهو، فما هو مأخوذ في جميع المراتب هو فوت الموقفين فقط</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بذلك ظهر فساد توهم كون ما لا يضر فوته بالحج و لو عمدا من قبيل الواجبات في الواجب، فلا يصلح حينئذ عدّها في مناسك الحج و من أجزائه</w:t>
      </w:r>
    </w:p>
    <w:p>
      <w:pPr>
        <w:pStyle w:val="BookText"/>
        <w:rPr/>
      </w:pPr>
      <w:r>
        <w:rPr>
          <w:rFonts w:ascii="Amiri" w:hAnsi="Amiri" w:eastAsia="Amiri" w:cs="Amiri"/>
          <w:color w:val="111111"/>
          <w:sz w:val="28"/>
          <w:sz w:val="28"/>
          <w:szCs w:val="28"/>
          <w:rtl w:val="true"/>
          <w:lang w:bidi="ar-SA"/>
        </w:rPr>
        <w:t>في عرض سائر الأركان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لم يكن من هذا القبيل تروك الإحرام غير الجماع قبل الوقوفين عمدا، فإنّ جميعها من التكاليف الثابتة على المحرم، بلا صلاحيتها للإعداد في مناسك الحج، فالحج حينئذ ملتئم من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بعضها تكاليف محضة ثابتة في حال الإحرام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بعضها مأخوذة في الحج ببعض مراتبه حتى في حال العمد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بعضها مأخوذة في جميع مراتبها في خصوص حال العمد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بعضها مأخوذة في أصل الطبيعة بلحاظ جميع الحالات، كمجموع الموقفين من حيث المجموع، بمعنى إضرار تركهما أجمع فيه لا المجموع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ذلك كله بلحاظ حال النسيان، و أما بالنسبة إلى حال الجهل فقد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القاعدة الأولية ربما انقلبت بقاعدة ثانوية أخرى،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أيما امرئ ركب أمرا بجهالة فلا شي‌ء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بناء على إطلاق نفي الشي‌ء، بالنسبة إلى المؤاخذة الأخروية و الجريمة الدنيوية و اعادة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لازمة إلحاق الجهل بباب النسيان في كلية المقامات، إلّا ما خرج، بل ربما يقال بمثله في أجزاء الصلاة أيضا في غير أركانها، علاوة عن تخيل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إليها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قد حققنا عدم العموم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وجه يشمل حال الجهل حكما و موضوعا، إلّا ما كان يلحق بالنسيان، و لو في مقدماته، كما في بعض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بناء المشهور أيضا الأخذ بعموم نص الجهالة في الحكم بالأجزاء كلية، و إنما حكمهم بالأجزاء في باب الحج أيضا إنما هو لنصوص خاصة، لا من جهة مثل هذا العموم</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لعل عمدة النكتة في ذلك هو انّ هذا العموم كعموم رفع النسيان، إنما هو ناظر إلى مانعيتهما عن تأثير المقتضيات الواقعية في حالهما، ما دام وجودهما،</w:t>
      </w:r>
    </w:p>
    <w:p>
      <w:pPr>
        <w:pStyle w:val="BookText"/>
        <w:rPr/>
      </w:pPr>
      <w:r>
        <w:rPr>
          <w:rFonts w:ascii="Amiri" w:hAnsi="Amiri" w:eastAsia="Amiri" w:cs="Amiri"/>
          <w:color w:val="111111"/>
          <w:sz w:val="28"/>
          <w:sz w:val="28"/>
          <w:szCs w:val="28"/>
          <w:rtl w:val="true"/>
          <w:lang w:bidi="ar-SA"/>
        </w:rPr>
        <w:t>بلا نظر لهما إلى حال انكشاف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فالمصالح الواقعية الثابتة اقتضاؤها على الإطلاق، تبقى على تأثيرها في حال الانكشاف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أشرنا إلى هذه الجهة في بعض المقامات السابقة، و ذكرنا هناك النكتة الفارقة بين الإعادة و المؤاخذة دنيوية أو أخروية، فإنهما مرفوعان بهما على الإطلاق، لأنّ مقتضاهما نفس حدوث العمل في حال الجهل المانع، بخلاف الإعادة، فإنّ مقتضاه بقاء المصلحة في حال الالتفات غير المقرون بالمانع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فلا تصلح مثل هذه العمومات لقلب القاعدة الأولية في جميع العبادات، فيحتاج قلبها إلى دليل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ورد في صحيحة 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فوت الوقوف بعرفات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بالوقوف بالمشعر، معللا بأنّ اللّٰه أعذر لعبده و قد تم حجه </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يخفى انّ مقتضى هذا التعليل كون الترك العذري غير مانع عن صحة الحج إلّا ما خرج، و هو يشمل الترك بجهالة أيضا، و يتعدّى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بمقتضى العلة المزبورة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سائر مناسك الحج كذلك، خصوصا في الإحرام الذي ورد فيه النص بمعذورية الجاهل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طواف الزيارة و السعي كان بناؤهم على عدم معذورية الجاهل، و النص في طواف الزيارة ناطق به أيضا، الملحق به طواف السعي أيضا</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في غيره فالظاهر أيضا بناء الأصحاب على معذورية الجاهل حتى انّ في الحدائق في باب الوقوف بمعرفة ادعى استفاضة النصوص على معذورية الجاهل </w:t>
      </w:r>
      <w:r>
        <w:rPr>
          <w:rStyle w:val="FootnoteAnchor"/>
          <w:rtl w:val="true"/>
        </w:rPr>
        <w:footnoteReference w:id="5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عمدة تشكيكه كانت في معذورية الناسي، و فيه نظر و تأمل</w:t>
      </w:r>
      <w:r>
        <w:rPr>
          <w:rFonts w:eastAsia="Amiri" w:cs="Amiri" w:ascii="Amiri" w:hAnsi="Amiri"/>
          <w:color w:val="111111"/>
          <w:sz w:val="28"/>
          <w:szCs w:val="28"/>
          <w:rtl w:val="true"/>
          <w:lang w:bidi="ar-SA"/>
        </w:rPr>
        <w:t>.</w:t>
      </w:r>
      <w:bookmarkStart w:id="254" w:name="pg19818_204057"/>
    </w:p>
    <w:p>
      <w:pPr>
        <w:pStyle w:val="BookText"/>
        <w:rPr/>
      </w:pPr>
      <w:bookmarkEnd w:id="254"/>
      <w:r>
        <w:rPr>
          <w:rFonts w:ascii="Amiri" w:hAnsi="Amiri" w:eastAsia="Amiri" w:cs="Amiri"/>
          <w:color w:val="111111"/>
          <w:sz w:val="28"/>
          <w:sz w:val="28"/>
          <w:szCs w:val="28"/>
          <w:rtl w:val="true"/>
          <w:lang w:bidi="ar-SA"/>
        </w:rPr>
        <w:t>و بالجملة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مثل هذه العلة كافية في إثبات عذر النسيان و الجهل في كلية المناسك إلّا ما خرج، بل و في الجواهر نسبة عذرية الجهل بالوقوف في المشعر إلى الأصحاب </w:t>
      </w:r>
      <w:r>
        <w:rPr>
          <w:rStyle w:val="FootnoteAnchor"/>
          <w:rtl w:val="true"/>
        </w:rPr>
        <w:footnoteReference w:id="5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أمكن دعوى الفحوى في عذريته بالنسبة إلى الوقوف بعرفة، لكونه من السنة التي يكون أمرها أهون من الفريضة، كما لا يخفى</w:t>
      </w:r>
      <w:r>
        <w:rPr>
          <w:rFonts w:eastAsia="Amiri" w:cs="Amiri" w:ascii="Amiri" w:hAnsi="Amiri"/>
          <w:color w:val="111111"/>
          <w:sz w:val="28"/>
          <w:szCs w:val="28"/>
          <w:rtl w:val="true"/>
          <w:lang w:bidi="ar-SA"/>
        </w:rPr>
        <w:t>.</w:t>
      </w:r>
    </w:p>
    <w:p>
      <w:pPr>
        <w:pStyle w:val="Heading5"/>
        <w:numPr>
          <w:ilvl w:val="4"/>
          <w:numId w:val="1"/>
        </w:numPr>
        <w:rPr/>
      </w:pPr>
      <w:bookmarkStart w:id="255" w:name="__RefHeading___Toc3320870_2314609296"/>
      <w:bookmarkStart w:id="256" w:name="_Toc93"/>
      <w:bookmarkEnd w:id="255"/>
      <w:r>
        <w:rPr>
          <w:rtl w:val="true"/>
        </w:rPr>
        <w:t>و يجب فيه</w:t>
      </w:r>
      <w:bookmarkEnd w:id="256"/>
    </w:p>
    <w:p>
      <w:pPr>
        <w:pStyle w:val="BookText"/>
        <w:rPr/>
      </w:pPr>
      <w:r>
        <w:rPr>
          <w:rFonts w:ascii="Amiri" w:hAnsi="Amiri" w:eastAsia="Amiri" w:cs="Amiri"/>
          <w:color w:val="111111"/>
          <w:sz w:val="28"/>
          <w:sz w:val="28"/>
          <w:szCs w:val="28"/>
          <w:rtl w:val="true"/>
          <w:lang w:bidi="ar-SA"/>
        </w:rPr>
        <w:t>أي في الوقوف بعرفات النية بلا اشكال، لكونه من العبادات مستقلا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ذكرنا شرح النية و كيفية الاجتزاء بها في باب الإحرام و الطواف، بلا احتياج الى التكرار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يجب أيضا الكون بعرفات إلى غروب الشمس من يوم عرفة بلا اشكال فيه نصا و فتوى، و في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يفيض من عرفات؟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ذهبت الحمرة من هاهنا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أشار بيده الى المشرق </w:t>
      </w:r>
      <w:r>
        <w:rPr>
          <w:rStyle w:val="FootnoteAnchor"/>
          <w:rtl w:val="true"/>
        </w:rPr>
        <w:footnoteReference w:id="548"/>
      </w:r>
      <w:r>
        <w:rPr>
          <w:rFonts w:ascii="Amiri" w:hAnsi="Amiri" w:eastAsia="Amiri" w:cs="Amiri"/>
          <w:color w:val="111111"/>
          <w:sz w:val="28"/>
          <w:sz w:val="28"/>
          <w:szCs w:val="28"/>
          <w:rtl w:val="true"/>
          <w:lang w:bidi="ar-SA"/>
        </w:rPr>
        <w:t>، أي مطلع الفجر، و هو كاشف عن أنّ الغروب في المقام مثل الغروب في باب الصلاة و الصوم، غير استتار القرص، كما هو مذهب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المراد من الوقوف فيه أيضا مطلق كونه فيه، قائما أو قاعدا أو نائما، راكبا أو ماشيا، للإطلاق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إشكال أيضا فتوى و نصا في عدم كفاية الوقوف بعرفة قبل الزوال محضا، في صحة الحج، بل و لا في عدم جواز تأخير الوقوف من غروب الشمس اختيارا</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يدل على الأول ما دل من النص من الأمر بالغسل و الصلاة و الدعاء إذا</w:t>
      </w:r>
    </w:p>
    <w:p>
      <w:pPr>
        <w:pStyle w:val="BookText"/>
        <w:rPr/>
      </w:pPr>
      <w:r>
        <w:rPr>
          <w:rFonts w:ascii="IRNazanin" w:hAnsi="IRNazanin" w:eastAsia="IRNazanin"/>
          <w:color w:val="111111"/>
          <w:sz w:val="28"/>
          <w:sz w:val="28"/>
          <w:szCs w:val="28"/>
          <w:rtl w:val="true"/>
          <w:lang w:bidi="fa-IR"/>
        </w:rPr>
        <w:t xml:space="preserve">زالت الشمس </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بقطع التلبية عند زوال الشمس، و الاغتسال، و عليك بالتكبير و التهليل و التحميد و التسبيح و الثناء على اللّٰه، وصل الظهر و العصر بأذان و إقامتين </w:t>
      </w:r>
      <w:r>
        <w:rPr>
          <w:rStyle w:val="FootnoteAnchor"/>
          <w:rtl w:val="true"/>
        </w:rPr>
        <w:footnoteReference w:id="550"/>
      </w:r>
      <w:r>
        <w:rPr>
          <w:rFonts w:ascii="Amiri" w:hAnsi="Amiri" w:eastAsia="Amiri" w:cs="Amiri"/>
          <w:color w:val="111111"/>
          <w:sz w:val="28"/>
          <w:sz w:val="28"/>
          <w:szCs w:val="28"/>
          <w:rtl w:val="true"/>
          <w:lang w:bidi="ar-SA"/>
        </w:rPr>
        <w:t>، بناء على ظهور كون هذه من وظائف الوقوف غير المنفك عنه، فتحديدها بالزوال، يكشف عن تحديد وقوفه به، كما انّ المستند للثاني ما في خبر الدعائم المشتمل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يقف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تغرب الشمس</w:t>
      </w:r>
      <w:r>
        <w:rPr>
          <w:rFonts w:eastAsia="Amiri" w:cs="Amiri" w:ascii="Amiri" w:hAnsi="Amiri"/>
          <w:color w:val="111111"/>
          <w:sz w:val="28"/>
          <w:szCs w:val="28"/>
          <w:rtl w:val="true"/>
          <w:lang w:bidi="ar-SA"/>
        </w:rPr>
        <w:t xml:space="preserve">» </w:t>
      </w:r>
      <w:r>
        <w:rPr>
          <w:rStyle w:val="FootnoteAnchor"/>
          <w:rtl w:val="true"/>
        </w:rPr>
        <w:footnoteReference w:id="551"/>
      </w:r>
      <w:r>
        <w:rPr>
          <w:rFonts w:ascii="Amiri" w:hAnsi="Amiri" w:eastAsia="Amiri" w:cs="Amiri"/>
          <w:color w:val="111111"/>
          <w:sz w:val="28"/>
          <w:sz w:val="28"/>
          <w:szCs w:val="28"/>
          <w:rtl w:val="true"/>
          <w:lang w:bidi="ar-SA"/>
        </w:rPr>
        <w:t>، فإن أمره التعييني في التحديد بالغروب أيضا، يكشف عن تعيينه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لا إشكال في انّ الركن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كون تركه مضرا بالحج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مسماه، جمعا بين ما تقدّم، و بين ما دل على انه لو أفاض قبل الغروب عامدا عليه بدنة، مثل ما في المرسلة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أفاض من عرفات قبل أن تغرب الشمس،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بدنة</w:t>
      </w:r>
      <w:r>
        <w:rPr>
          <w:rFonts w:eastAsia="Amiri" w:cs="Amiri" w:ascii="Amiri" w:hAnsi="Amiri"/>
          <w:color w:val="111111"/>
          <w:sz w:val="28"/>
          <w:szCs w:val="28"/>
          <w:rtl w:val="true"/>
          <w:lang w:bidi="ar-SA"/>
        </w:rPr>
        <w:t xml:space="preserve">» </w:t>
      </w:r>
      <w:r>
        <w:rPr>
          <w:rStyle w:val="FootnoteAnchor"/>
          <w:rtl w:val="true"/>
        </w:rPr>
        <w:footnoteReference w:id="552"/>
      </w:r>
      <w:r>
        <w:rPr>
          <w:rFonts w:ascii="Amiri" w:hAnsi="Amiri" w:eastAsia="Amiri" w:cs="Amiri"/>
          <w:color w:val="111111"/>
          <w:sz w:val="28"/>
          <w:sz w:val="28"/>
          <w:szCs w:val="28"/>
          <w:rtl w:val="true"/>
          <w:lang w:bidi="ar-SA"/>
        </w:rPr>
        <w:t xml:space="preserve">، و نظيره في خبر الدعائم </w:t>
      </w:r>
      <w:r>
        <w:rPr>
          <w:rStyle w:val="FootnoteAnchor"/>
          <w:rtl w:val="true"/>
        </w:rPr>
        <w:footnoteReference w:id="553"/>
      </w:r>
      <w:r>
        <w:rPr>
          <w:rFonts w:ascii="Amiri" w:hAnsi="Amiri" w:eastAsia="Amiri" w:cs="Amiri"/>
          <w:color w:val="111111"/>
          <w:sz w:val="28"/>
          <w:sz w:val="28"/>
          <w:szCs w:val="28"/>
          <w:rtl w:val="true"/>
          <w:lang w:bidi="ar-SA"/>
        </w:rPr>
        <w:t>، و لا يضر ضعف سندهما مع الجبر بعمل الأصحاب، و بين ما دل على نفي الحج عمن وقف بأراك و أمثاله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الكلام في أنّ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الموجب تركه للإثم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استمرار وقوفه من أول الزوال إلى الغروب، كما نسبوه إلى الأصحاب، أو الواجب استمراره من بعد الصلاتين الى الغروب، أو الواجب منه كالركن مسمّاه</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تقريب كون الواجب منه أيضا مسماه، و هو الركن أيضا </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يرده ما دل على وجوب البدنة بالإفاضة قبل الغروب، إذ الظاهر منه كونه جريمة ملازمة مع الحرمة، لو لا دعوى ثبوت كفارة الصيد نسيانا، فثبوت الكفارة في باب الحج لا يلازم الإثم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ربما يدل على الوجوب المزبور، الملازم لحرمة الإفاضة قبل الغروب، ما دل على تعيين وقت الإفاضة بذهاب الحرمة، و ترخيصه به في جواب السؤال عن الرخصة في الإفاضة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يفيض؟ كما أشرنا إلى نصه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حمل السؤال عن وقت الإفاضة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وجه لا يترتب عليها بدنة، و هو غير السؤال عن أصل الرخصة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غاية البعد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انه يرد وجوب الاستيعاب من أول الزوال أيضا، ما دل على الأمر بالوقوف بعد الصلاتين، و حكاية فعل رسول اللّٰه صلّى اللّٰه عليه و آله أيضا من انه صلّى الظهرين ثم مضى الى الموقف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مثل ذلك أيضا ظاهر في انّ الوقوف الواجب لم يكن من أول الزوال، و الأخبار السابقة المحددة للاغتسال و الدعاء و التحميد بالزوال أيضا غير دالة على وجوب الوقوف من الزوال، بل غاية دلالتها على عدم الوجوب قبل الظهر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توجيه ذلك كلّه بإمكان كون ذلك كله حين وقوفه الواجب، و انّ المراد من الوقوف المأمور به بعد الصلاة هو الوقوف في المواقع الخاصة المستحبة، كما في الجواهر </w:t>
      </w:r>
      <w:r>
        <w:rPr>
          <w:rStyle w:val="FootnoteAnchor"/>
          <w:rtl w:val="true"/>
        </w:rPr>
        <w:footnoteReference w:id="555"/>
      </w:r>
      <w:r>
        <w:rPr>
          <w:rFonts w:ascii="Amiri" w:hAnsi="Amiri" w:eastAsia="Amiri" w:cs="Amiri"/>
          <w:color w:val="111111"/>
          <w:sz w:val="28"/>
          <w:sz w:val="28"/>
          <w:szCs w:val="28"/>
          <w:rtl w:val="true"/>
          <w:lang w:bidi="ar-SA"/>
        </w:rPr>
        <w:t>، خلاف ظاهر الأمر، و لا شاهد له على الاستيعاب، إلّا محتملات كلمات الأصحاب، بعد توجيهها على وجه يرجع الى مختاره، و هو كما ترى</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اذن فأقوى الاحتمالات ما نسبه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المحكي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الأكثر، من</w:t>
      </w:r>
      <w:bookmarkStart w:id="257" w:name="pg19818_204060"/>
    </w:p>
    <w:p>
      <w:pPr>
        <w:pStyle w:val="BookText"/>
        <w:rPr/>
      </w:pPr>
      <w:bookmarkEnd w:id="257"/>
      <w:r>
        <w:rPr>
          <w:rFonts w:ascii="Amiri" w:hAnsi="Amiri" w:eastAsia="Amiri" w:cs="Amiri"/>
          <w:color w:val="111111"/>
          <w:sz w:val="28"/>
          <w:sz w:val="28"/>
          <w:szCs w:val="28"/>
          <w:rtl w:val="true"/>
          <w:lang w:bidi="ar-SA"/>
        </w:rPr>
        <w:t xml:space="preserve">وجوبه من بعد الصلاتين، بعد جمعهما بأذان و إقامتين </w:t>
      </w:r>
      <w:r>
        <w:rPr>
          <w:rStyle w:val="FootnoteAnchor"/>
          <w:rtl w:val="true"/>
        </w:rPr>
        <w:footnoteReference w:id="556"/>
      </w:r>
      <w:r>
        <w:rPr>
          <w:rFonts w:ascii="IRNazanin" w:hAnsi="IRNazanin" w:eastAsia="IRNazanin"/>
          <w:color w:val="111111"/>
          <w:sz w:val="28"/>
          <w:sz w:val="28"/>
          <w:szCs w:val="28"/>
          <w:rtl w:val="true"/>
          <w:lang w:bidi="fa-IR"/>
        </w:rPr>
        <w:t>، إذ هو المستفاد من مجموع نصوص الباب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حينئذ يجب بقاؤه فيها بعد صلاتية عند جمعهما إلى الغروب، فلو خرج عامدا فعليه بدنة، و إن كان جاهلا فلا شي‌ء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يلحق به الناسي، لعموم العلة السابقة في المعذورية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الرياض </w:t>
      </w:r>
      <w:r>
        <w:rPr>
          <w:rStyle w:val="FootnoteAnchor"/>
          <w:rtl w:val="true"/>
        </w:rPr>
        <w:footnoteReference w:id="5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 شاة على العامد، و لعله لعموم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ترك نسكا فعليه 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المحمول على الشاة، و فيه انه مخصص بلا مجمل مبين في المقام بالبدنة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الشرائع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لو عاد إليها بعد إفاضته قبل الغروب لم يكن عليه شي‌ء </w:t>
      </w:r>
      <w:r>
        <w:rPr>
          <w:rStyle w:val="FootnoteAnchor"/>
          <w:rtl w:val="true"/>
        </w:rPr>
        <w:footnoteReference w:id="558"/>
      </w:r>
      <w:r>
        <w:rPr>
          <w:rFonts w:ascii="Amiri" w:hAnsi="Amiri" w:eastAsia="Amiri" w:cs="Amiri"/>
          <w:color w:val="111111"/>
          <w:sz w:val="28"/>
          <w:sz w:val="28"/>
          <w:szCs w:val="28"/>
          <w:rtl w:val="true"/>
          <w:lang w:bidi="ar-SA"/>
        </w:rPr>
        <w:t>، و ظاهره الشمول لمن أفاض منها عمدا، و إنما يتم على فرض وجوب الاستيعاب، و هو أيضا لا يناسب البدنة إلّا على وجه بعيد، و لذا استشكل عليه بعض الأجلة بعدم وجه لسقوط البدنة عنه، و في كشف اللثام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تقويته أيضا </w:t>
      </w:r>
      <w:r>
        <w:rPr>
          <w:rStyle w:val="FootnoteAnchor"/>
          <w:rtl w:val="true"/>
        </w:rPr>
        <w:footnoteReference w:id="559"/>
      </w:r>
      <w:r>
        <w:rPr>
          <w:rFonts w:ascii="Amiri" w:hAnsi="Amiri" w:eastAsia="Amiri" w:cs="Amiri"/>
          <w:color w:val="111111"/>
          <w:sz w:val="28"/>
          <w:sz w:val="28"/>
          <w:szCs w:val="28"/>
          <w:rtl w:val="true"/>
          <w:lang w:bidi="ar-SA"/>
        </w:rPr>
        <w:t>، و اللّٰه العالم</w:t>
      </w:r>
      <w:r>
        <w:rPr>
          <w:rFonts w:eastAsia="Amiri" w:cs="Amiri" w:ascii="Amiri" w:hAnsi="Amiri"/>
          <w:color w:val="111111"/>
          <w:sz w:val="28"/>
          <w:szCs w:val="28"/>
          <w:rtl w:val="true"/>
          <w:lang w:bidi="ar-SA"/>
        </w:rPr>
        <w:t>.</w:t>
      </w:r>
    </w:p>
    <w:p>
      <w:pPr>
        <w:pStyle w:val="Heading5"/>
        <w:numPr>
          <w:ilvl w:val="4"/>
          <w:numId w:val="1"/>
        </w:numPr>
        <w:rPr/>
      </w:pPr>
      <w:bookmarkStart w:id="258" w:name="__RefHeading___Toc3320872_2314609296"/>
      <w:bookmarkStart w:id="259" w:name="_Toc94"/>
      <w:bookmarkEnd w:id="258"/>
      <w:r>
        <w:rPr>
          <w:rtl w:val="true"/>
        </w:rPr>
        <w:t>و لو لم يتمكن من الوقوف نهارا وقف ليلا</w:t>
      </w:r>
      <w:bookmarkEnd w:id="259"/>
    </w:p>
    <w:p>
      <w:pPr>
        <w:pStyle w:val="BookText"/>
        <w:rPr/>
      </w:pPr>
      <w:r>
        <w:rPr>
          <w:rFonts w:ascii="Amiri" w:hAnsi="Amiri" w:eastAsia="Amiri" w:cs="Amiri"/>
          <w:color w:val="111111"/>
          <w:sz w:val="28"/>
          <w:sz w:val="28"/>
          <w:szCs w:val="28"/>
          <w:rtl w:val="true"/>
          <w:lang w:bidi="ar-SA"/>
        </w:rPr>
        <w:t>و لو قبل الفجر بقليل، بلا اشكال فيه فتوى و نصا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أدرك الإمام بجمع، فقال</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ظن أنه يأتي عرفات فيقف قليلا ثم يدرك جمعا قبل طلوع الشمس فليأتها</w:t>
      </w:r>
      <w:r>
        <w:rPr>
          <w:rFonts w:eastAsia="Amiri" w:cs="Amiri" w:ascii="Amiri" w:hAnsi="Amiri"/>
          <w:color w:val="111111"/>
          <w:sz w:val="28"/>
          <w:szCs w:val="28"/>
          <w:rtl w:val="true"/>
          <w:lang w:bidi="ar-SA"/>
        </w:rPr>
        <w:t xml:space="preserve">» </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bookmarkStart w:id="260" w:name="pg19818_204061"/>
    </w:p>
    <w:p>
      <w:pPr>
        <w:pStyle w:val="BookText"/>
        <w:rPr/>
      </w:pPr>
      <w:bookmarkEnd w:id="260"/>
      <w:r>
        <w:rPr>
          <w:rFonts w:ascii="Amiri" w:hAnsi="Amiri" w:eastAsia="Amiri" w:cs="Amiri"/>
          <w:color w:val="111111"/>
          <w:sz w:val="28"/>
          <w:sz w:val="28"/>
          <w:szCs w:val="28"/>
          <w:rtl w:val="true"/>
          <w:lang w:bidi="ar-SA"/>
        </w:rPr>
        <w:t>و في نص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في مهل حتى يأتي عرفات الى آخره</w:t>
      </w:r>
      <w:r>
        <w:rPr>
          <w:rFonts w:eastAsia="Amiri" w:cs="Amiri" w:ascii="Amiri" w:hAnsi="Amiri"/>
          <w:color w:val="111111"/>
          <w:sz w:val="28"/>
          <w:szCs w:val="28"/>
          <w:rtl w:val="true"/>
          <w:lang w:bidi="ar-SA"/>
        </w:rPr>
        <w:t xml:space="preserve">» </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مقتضاهما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المسلم عندهم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وجوب أزيد من المسمّى لإطلاق القليل في الأول بالنسبة إلى ليله، و ظهور الثانية أيضا في إفاضته قبل الفجر، مقدمة لدرك الناس، كما هو الغالب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ظهور الأمر بالطبيعة في المقام، في كفاية أول وجودها المنطبق على المسمّى، بلا قرينة في المقام على لزوم الاستمرار إلى زمان خاص،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لم يتمكن من الوقوف المزبور ليلا أيضا، أو نسي حتى طلع الفجر وقف بالمشعر و أجزأه، لما في ذيل النص الثاني، المشتمل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 قدم رجل و قد فاتته عرفات فليقف بالمشعر الحرام فإن اللّٰه تعالى أعذر لعبده</w:t>
      </w:r>
      <w:r>
        <w:rPr>
          <w:rFonts w:eastAsia="Amiri" w:cs="Amiri" w:ascii="Amiri" w:hAnsi="Amiri"/>
          <w:color w:val="111111"/>
          <w:sz w:val="28"/>
          <w:szCs w:val="28"/>
          <w:rtl w:val="true"/>
          <w:lang w:bidi="ar-SA"/>
        </w:rPr>
        <w:t xml:space="preserve">» </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بهذه العلة أيضا يلحق الجاهل القاصر بالناسي، و أما المقصّر فملحق بالعامد في المقام، بل في كل مقام قرن جهله بنسيانه، فإنّ المنصرف منه ما كان قاصرا، كما هو الشأن في منصرف نسيانه غالبا، نعم لا يبعد في مورد إطلاق فيه الجاهل، شموله للمقصر أيضا، لو لا قرينة أخرى على خلافة، و يجمع بين استحقاقه للعقوبة مع أجزائه، كما يجمع ذلك في باب الجهر و الإخفات</w:t>
      </w:r>
      <w:r>
        <w:rPr>
          <w:rFonts w:eastAsia="Amiri" w:cs="Amiri" w:ascii="Amiri" w:hAnsi="Amiri"/>
          <w:color w:val="111111"/>
          <w:sz w:val="28"/>
          <w:szCs w:val="28"/>
          <w:rtl w:val="true"/>
          <w:lang w:bidi="ar-SA"/>
        </w:rPr>
        <w:t>.</w:t>
      </w:r>
    </w:p>
    <w:p>
      <w:pPr>
        <w:pStyle w:val="Heading5"/>
        <w:numPr>
          <w:ilvl w:val="4"/>
          <w:numId w:val="1"/>
        </w:numPr>
        <w:rPr/>
      </w:pPr>
      <w:bookmarkStart w:id="261" w:name="__RefHeading___Toc3320874_2314609296"/>
      <w:bookmarkStart w:id="262" w:name="_Toc95"/>
      <w:bookmarkEnd w:id="261"/>
      <w:r>
        <w:rPr>
          <w:rtl w:val="true"/>
        </w:rPr>
        <w:t>و لو أفاض منها قبل الغروب وجب عليه بدنة</w:t>
      </w:r>
      <w:bookmarkEnd w:id="262"/>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خلافا لبعض</w:t>
      </w:r>
      <w:bookmarkStart w:id="263" w:name="pg19818_204062"/>
    </w:p>
    <w:p>
      <w:pPr>
        <w:pStyle w:val="BookText"/>
        <w:rPr/>
      </w:pPr>
      <w:bookmarkEnd w:id="263"/>
      <w:r>
        <w:rPr>
          <w:rFonts w:ascii="Amiri" w:hAnsi="Amiri" w:eastAsia="Amiri" w:cs="Amiri"/>
          <w:color w:val="111111"/>
          <w:sz w:val="28"/>
          <w:sz w:val="28"/>
          <w:szCs w:val="28"/>
          <w:rtl w:val="true"/>
          <w:lang w:bidi="ar-SA"/>
        </w:rPr>
        <w:t>حيث التزم بشاة، و تقدّم وجهه مع فساده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عجز صام ثمانية عشر يوما إن كان عالما بوظيفته، و لو كان جاهلا بها حكما أو موضوعا أو ناسيا فلا شي‌ء عليه، كما تقدّم وجه الجميع، و إطلاق الجاهل في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بقرينة نفي البدنة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منصرف إلى القاصر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نمرة، و ثوية، و ذو المجاز، و عرنة، و الأراك حدود خارج عن الموقف، لا يجزئ الوقوف بها، لما في خبر سماعة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اتق الأراك و نمرة، و هي بطن عرنة، و ثوية و ذي المجاز، فإنه ليس من عرفة و لا تقف فيه</w:t>
      </w:r>
      <w:r>
        <w:rPr>
          <w:rFonts w:eastAsia="Amiri" w:cs="Amiri" w:ascii="Amiri" w:hAnsi="Amiri"/>
          <w:color w:val="111111"/>
          <w:sz w:val="28"/>
          <w:szCs w:val="28"/>
          <w:rtl w:val="true"/>
          <w:lang w:bidi="ar-SA"/>
        </w:rPr>
        <w:t xml:space="preserve">» </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4" w:name="__RefHeading___Toc3320876_2314609296"/>
      <w:bookmarkStart w:id="265" w:name="_Toc96"/>
      <w:bookmarkEnd w:id="264"/>
      <w:r>
        <w:rPr>
          <w:rtl w:val="true"/>
        </w:rPr>
        <w:t>و يستحب</w:t>
      </w:r>
      <w:bookmarkEnd w:id="265"/>
    </w:p>
    <w:p>
      <w:pPr>
        <w:pStyle w:val="BookText"/>
        <w:rPr/>
      </w:pPr>
      <w:r>
        <w:rPr>
          <w:rFonts w:ascii="Amiri" w:hAnsi="Amiri" w:eastAsia="Amiri" w:cs="Amiri"/>
          <w:color w:val="111111"/>
          <w:sz w:val="28"/>
          <w:sz w:val="28"/>
          <w:szCs w:val="28"/>
          <w:rtl w:val="true"/>
          <w:lang w:bidi="ar-SA"/>
        </w:rPr>
        <w:t>فيه أمور،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يخرج إلى منى يوم التروية بعد الزوال، لما تقدّم سابقا عند الشروع في أحكام الوقوف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تقدم أيضا أنّ الامام و هو أمير الحاج كما قيل يصلّي بها ثم يبيت بها إلى فجر عرفة، و لا يجوز وادي محسر حتى تطلع الشمس</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الأول فلما في النص، من انه يصلّي بها الغداة </w:t>
      </w:r>
      <w:r>
        <w:rPr>
          <w:rStyle w:val="FootnoteAnchor"/>
          <w:rtl w:val="true"/>
        </w:rPr>
        <w:footnoteReference w:id="564"/>
      </w:r>
      <w:r>
        <w:rPr>
          <w:rFonts w:ascii="Amiri" w:hAnsi="Amiri" w:eastAsia="Amiri" w:cs="Amiri"/>
          <w:color w:val="111111"/>
          <w:sz w:val="28"/>
          <w:sz w:val="28"/>
          <w:szCs w:val="28"/>
          <w:rtl w:val="true"/>
          <w:lang w:bidi="ar-SA"/>
        </w:rPr>
        <w:t xml:space="preserve">، و ذلك أيضا في غير الامام، و أما هو فيقف بها إلى طلوع الشمس، لما في خبر الدعائم من حكاية فعل رسول اللّٰه صلّى اللّٰه عليه و آله من انه لم يخرج من منى حتى طلعت الشمس </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نص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السنة أن لا يخرج الامام حتى تطلع الشمس</w:t>
      </w:r>
      <w:r>
        <w:rPr>
          <w:rFonts w:eastAsia="Amiri" w:cs="Amiri" w:ascii="Amiri" w:hAnsi="Amiri"/>
          <w:color w:val="111111"/>
          <w:sz w:val="28"/>
          <w:szCs w:val="28"/>
          <w:rtl w:val="true"/>
          <w:lang w:bidi="ar-SA"/>
        </w:rPr>
        <w:t xml:space="preserve">» </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الثاني فلصحيح هشام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يجوز وادي محسر حتى تطلع الشمس</w:t>
      </w:r>
      <w:r>
        <w:rPr>
          <w:rFonts w:eastAsia="Amiri" w:cs="Amiri" w:ascii="Amiri" w:hAnsi="Amiri"/>
          <w:color w:val="111111"/>
          <w:sz w:val="28"/>
          <w:szCs w:val="28"/>
          <w:rtl w:val="true"/>
          <w:lang w:bidi="ar-SA"/>
        </w:rPr>
        <w:t xml:space="preserve">» </w:t>
      </w:r>
      <w:r>
        <w:rPr>
          <w:rStyle w:val="FootnoteAnchor"/>
          <w:rtl w:val="true"/>
        </w:rPr>
        <w:footnoteReference w:id="567"/>
      </w:r>
      <w:r>
        <w:rPr>
          <w:rFonts w:ascii="Amiri" w:hAnsi="Amiri" w:eastAsia="Amiri" w:cs="Amiri"/>
          <w:color w:val="111111"/>
          <w:sz w:val="28"/>
          <w:sz w:val="28"/>
          <w:szCs w:val="28"/>
          <w:rtl w:val="true"/>
          <w:lang w:bidi="ar-SA"/>
        </w:rPr>
        <w:t xml:space="preserve">، المحمول على الكراهة، بقرينة نفي البأس عن النفوذ من منى الى عرفات قبل طلوع الشمس في نص آخر </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يدعو عند نزولها و الخروج منها و في الطريق، و في النص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توجهت إلى منى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 و إذا انتهيت إلى منى فقل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 و إذا غدوت الى عرفة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w:t>
      </w:r>
      <w:r>
        <w:rPr>
          <w:rFonts w:eastAsia="Amiri" w:cs="Amiri" w:ascii="Amiri" w:hAnsi="Amiri"/>
          <w:color w:val="111111"/>
          <w:sz w:val="28"/>
          <w:szCs w:val="28"/>
          <w:rtl w:val="true"/>
          <w:lang w:bidi="ar-SA"/>
        </w:rPr>
        <w:t xml:space="preserve">» </w:t>
      </w:r>
      <w:r>
        <w:rPr>
          <w:rStyle w:val="FootnoteAnchor"/>
          <w:rtl w:val="true"/>
        </w:rPr>
        <w:footnoteReference w:id="569"/>
      </w:r>
      <w:r>
        <w:rPr>
          <w:rFonts w:ascii="Amiri" w:hAnsi="Amiri" w:eastAsia="Amiri" w:cs="Amiri"/>
          <w:color w:val="111111"/>
          <w:sz w:val="28"/>
          <w:sz w:val="28"/>
          <w:szCs w:val="28"/>
          <w:rtl w:val="true"/>
          <w:lang w:bidi="ar-SA"/>
        </w:rPr>
        <w:t>، و فحواه يشمل الطريق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يقف في عرفات مع السفح في ميسرة الجبل داعيا قائما، و في الموثق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 الجبل أحب إليك أم على الأرض؟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الأرض</w:t>
      </w:r>
      <w:r>
        <w:rPr>
          <w:rFonts w:eastAsia="Amiri" w:cs="Amiri" w:ascii="Amiri" w:hAnsi="Amiri"/>
          <w:color w:val="111111"/>
          <w:sz w:val="28"/>
          <w:szCs w:val="28"/>
          <w:rtl w:val="true"/>
          <w:lang w:bidi="ar-SA"/>
        </w:rPr>
        <w:t xml:space="preserve">» </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عرفات كلها موقف، و أفضل المواقف سفح الجبل</w:t>
      </w:r>
      <w:r>
        <w:rPr>
          <w:rFonts w:eastAsia="Amiri" w:cs="Amiri" w:ascii="Amiri" w:hAnsi="Amiri"/>
          <w:color w:val="111111"/>
          <w:sz w:val="28"/>
          <w:szCs w:val="28"/>
          <w:rtl w:val="true"/>
          <w:lang w:bidi="ar-SA"/>
        </w:rPr>
        <w:t xml:space="preserve">» </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قف في ميسرة الجبل فإن رسول اللّٰه صلّى اللّٰه عليه و آله وقف بعرفات في ميسرة الجبل</w:t>
      </w:r>
      <w:r>
        <w:rPr>
          <w:rFonts w:eastAsia="Amiri" w:cs="Amiri" w:ascii="Amiri" w:hAnsi="Amiri"/>
          <w:color w:val="111111"/>
          <w:sz w:val="28"/>
          <w:szCs w:val="28"/>
          <w:rtl w:val="true"/>
          <w:lang w:bidi="ar-SA"/>
        </w:rPr>
        <w:t xml:space="preserve">» </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أعلّمك دعاء يوم عرفة، و هو دعاء من كان قبلي من الأنبياء،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w:t>
      </w:r>
      <w:r>
        <w:rPr>
          <w:rFonts w:eastAsia="Amiri" w:cs="Amiri" w:ascii="Amiri" w:hAnsi="Amiri"/>
          <w:color w:val="111111"/>
          <w:sz w:val="28"/>
          <w:szCs w:val="28"/>
          <w:rtl w:val="true"/>
          <w:lang w:bidi="ar-SA"/>
        </w:rPr>
        <w:t xml:space="preserve">» </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bookmarkStart w:id="266" w:name="pg19818_204064"/>
    </w:p>
    <w:p>
      <w:pPr>
        <w:pStyle w:val="BookText"/>
        <w:rPr/>
      </w:pPr>
      <w:bookmarkEnd w:id="266"/>
      <w:r>
        <w:rPr>
          <w:rFonts w:ascii="Amiri" w:hAnsi="Amiri" w:eastAsia="Amiri" w:cs="Amiri"/>
          <w:color w:val="111111"/>
          <w:sz w:val="28"/>
          <w:sz w:val="28"/>
          <w:szCs w:val="28"/>
          <w:rtl w:val="true"/>
          <w:lang w:bidi="ar-SA"/>
        </w:rPr>
        <w:t>و أما كونه قائما، فلم نجد فيه نصا بالخصوص، و لا بأس به لكونه أحمز، و لأن القيام الى التضرع و الخضوع أقرب، إلّا إذا أوجب كسالة من التعب فيجلس في دعائه لحفظ الخشوع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يجمع بين الظهرين بأذان واحد و إقامتين، و ربما لما في النص عن معاوية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تجمع بينهما لتفرغ نفسك للدعاء، فإنه يوم دعاء و مسألة</w:t>
      </w:r>
      <w:r>
        <w:rPr>
          <w:rFonts w:eastAsia="Amiri" w:cs="Amiri" w:ascii="Amiri" w:hAnsi="Amiri"/>
          <w:color w:val="111111"/>
          <w:sz w:val="28"/>
          <w:szCs w:val="28"/>
          <w:rtl w:val="true"/>
          <w:lang w:bidi="ar-SA"/>
        </w:rPr>
        <w:t xml:space="preserve">» </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صلى الظهر و العصر بأذان و إقامتين، ثم مضى الموقف و توقف فيه</w:t>
      </w:r>
      <w:r>
        <w:rPr>
          <w:rFonts w:eastAsia="Amiri" w:cs="Amiri" w:ascii="Amiri" w:hAnsi="Amiri"/>
          <w:color w:val="111111"/>
          <w:sz w:val="28"/>
          <w:szCs w:val="28"/>
          <w:rtl w:val="true"/>
          <w:lang w:bidi="ar-SA"/>
        </w:rPr>
        <w:t xml:space="preserve">» </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ربما يشعر النص الثاني بوجوب الجمع بأذان واحد مقدمة لاستيعاب الوقوف، و لكن في النص جعل حكمة الجمع فراغ النفس للدعاء، مع انّ في لزوم الاستيعاب مهما أمكن أول الكلام، كي يقتضي ذلك ترك الأذان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توهم دلالة الأمر بالجمع على سقوط الأذان الثاني، فيكفي ذلك لعدم المشروعية، الملازم للزوم الجمع المزبور، فرارا عن التشريع، فيمكن منعه بإمكان حمله على دفع توهم تأكد الاستحباب كما في سائر المقامات، فلا ينافي المشروعية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فلا موجب لتوهم وجوب هذا الجمع بوجه، كما لا يخفى</w:t>
      </w:r>
      <w:r>
        <w:rPr>
          <w:rFonts w:eastAsia="Amiri" w:cs="Amiri" w:ascii="Amiri" w:hAnsi="Amiri"/>
          <w:color w:val="111111"/>
          <w:sz w:val="28"/>
          <w:szCs w:val="28"/>
          <w:rtl w:val="true"/>
          <w:lang w:bidi="ar-SA"/>
        </w:rPr>
        <w:t>.</w:t>
      </w:r>
    </w:p>
    <w:p>
      <w:pPr>
        <w:pStyle w:val="Heading5"/>
        <w:numPr>
          <w:ilvl w:val="4"/>
          <w:numId w:val="1"/>
        </w:numPr>
        <w:rPr/>
      </w:pPr>
      <w:bookmarkStart w:id="267" w:name="__RefHeading___Toc3320878_2314609296"/>
      <w:bookmarkStart w:id="268" w:name="_Toc97"/>
      <w:bookmarkEnd w:id="267"/>
      <w:r>
        <w:rPr>
          <w:rtl w:val="true"/>
        </w:rPr>
        <w:t>و يكره الوقوف في أعلى الجبل</w:t>
      </w:r>
      <w:bookmarkEnd w:id="268"/>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عند المصنف و جماعة، و في قيام الدليل على الكراهة نظر، لأنّ غاية ما في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كون الوقوف على الأرض أحب، و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تعليق الأمر به على الضيق، و النص الأول لا يقتضي إلّا أفضلية الأرض لا مرجوحيته الجبل، كما انّ التعليق بالضيق كان لحفظ الأفضل مهما أمكن لا لمرجوحيته</w:t>
      </w:r>
      <w:r>
        <w:rPr>
          <w:rFonts w:eastAsia="Amiri" w:cs="Amiri" w:ascii="Amiri" w:hAnsi="Amiri"/>
          <w:color w:val="111111"/>
          <w:sz w:val="28"/>
          <w:szCs w:val="28"/>
          <w:rtl w:val="true"/>
          <w:lang w:bidi="ar-SA"/>
        </w:rPr>
        <w:t>.</w:t>
      </w:r>
      <w:bookmarkStart w:id="269" w:name="pg19818_204065"/>
    </w:p>
    <w:p>
      <w:pPr>
        <w:pStyle w:val="BookText"/>
        <w:rPr/>
      </w:pPr>
      <w:bookmarkEnd w:id="269"/>
      <w:r>
        <w:rPr>
          <w:rFonts w:ascii="Amiri" w:hAnsi="Amiri" w:eastAsia="Amiri" w:cs="Amiri"/>
          <w:color w:val="111111"/>
          <w:sz w:val="28"/>
          <w:sz w:val="28"/>
          <w:szCs w:val="28"/>
          <w:rtl w:val="true"/>
          <w:lang w:bidi="ar-SA"/>
        </w:rPr>
        <w:t xml:space="preserve">و يكره أيضا الوقوف قاعدا و راكبا لما عن التذكرة من دعوى الاتفاق على ذلك </w:t>
      </w:r>
      <w:r>
        <w:rPr>
          <w:rStyle w:val="FootnoteAnchor"/>
          <w:rtl w:val="true"/>
        </w:rPr>
        <w:footnoteReference w:id="576"/>
      </w:r>
      <w:r>
        <w:rPr>
          <w:rFonts w:ascii="Amiri" w:hAnsi="Amiri" w:eastAsia="Amiri" w:cs="Amiri"/>
          <w:color w:val="111111"/>
          <w:sz w:val="28"/>
          <w:sz w:val="28"/>
          <w:szCs w:val="28"/>
          <w:rtl w:val="true"/>
          <w:lang w:bidi="ar-SA"/>
        </w:rPr>
        <w:t>، و لم أظفر فيه على نص بالخصوص، بل في بعض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أبا عبد اللّٰه جعفر بن محمد عليهما السلام على بغلة رافعا يده الى السماء </w:t>
      </w:r>
      <w:r>
        <w:rPr>
          <w:rStyle w:val="FootnoteAnchor"/>
          <w:rtl w:val="true"/>
        </w:rPr>
        <w:footnoteReference w:id="577"/>
      </w:r>
      <w:r>
        <w:rPr>
          <w:rFonts w:ascii="Amiri" w:hAnsi="Amiri" w:eastAsia="Amiri" w:cs="Amiri"/>
          <w:color w:val="111111"/>
          <w:sz w:val="28"/>
          <w:sz w:val="28"/>
          <w:szCs w:val="28"/>
          <w:rtl w:val="true"/>
          <w:lang w:bidi="ar-SA"/>
        </w:rPr>
        <w:t>، و مع تمامية الاتفاق المزبور لا بد من حمل هذا النص على اقتران ركوبه بجهة راجحة، مثل تعبه، المانع عن الخشوع في دعائه قائما 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يكره الوقوف بغير وضوء، لخبر علي بن جعفر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يصلح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بعد السؤال عنه </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70" w:name="__RefHeading___Toc3320880_2314609296"/>
      <w:bookmarkStart w:id="271" w:name="_Toc98"/>
      <w:bookmarkEnd w:id="270"/>
      <w:r>
        <w:rPr>
          <w:rtl w:val="true"/>
        </w:rPr>
        <w:t>الفصل الثالث</w:t>
      </w:r>
      <w:r>
        <w:rPr>
          <w:rtl w:val="true"/>
        </w:rPr>
        <w:t xml:space="preserve">: </w:t>
      </w:r>
      <w:r>
        <w:rPr>
          <w:rtl w:val="true"/>
        </w:rPr>
        <w:t>في الوقوف بالمشعر</w:t>
      </w:r>
      <w:bookmarkEnd w:id="271"/>
    </w:p>
    <w:p>
      <w:pPr>
        <w:pStyle w:val="Heading5"/>
        <w:numPr>
          <w:ilvl w:val="4"/>
          <w:numId w:val="1"/>
        </w:numPr>
        <w:rPr/>
      </w:pPr>
      <w:bookmarkStart w:id="272" w:name="__RefHeading___Toc3320882_2314609296"/>
      <w:bookmarkStart w:id="273" w:name="_Toc99"/>
      <w:bookmarkEnd w:id="272"/>
      <w:r>
        <w:rPr>
          <w:rtl w:val="true"/>
        </w:rPr>
        <w:t>اشارة</w:t>
      </w:r>
      <w:bookmarkEnd w:id="273"/>
    </w:p>
    <w:p>
      <w:pPr>
        <w:pStyle w:val="BookText"/>
        <w:rPr/>
      </w:pPr>
      <w:r>
        <w:rPr>
          <w:rFonts w:ascii="Amiri" w:hAnsi="Amiri" w:eastAsia="Amiri" w:cs="Amiri"/>
          <w:color w:val="111111"/>
          <w:sz w:val="28"/>
          <w:sz w:val="28"/>
          <w:szCs w:val="28"/>
          <w:rtl w:val="true"/>
          <w:lang w:bidi="ar-SA"/>
        </w:rPr>
        <w:t>و هو المسمّى بالمزدلفة، و في النص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للّٰه تعالى منسك أحب إلى اللّٰه تعالى من موضع المشعر الحرام، و ذلك أنه يذل فيه كل جبار عنيد</w:t>
      </w:r>
      <w:r>
        <w:rPr>
          <w:rFonts w:eastAsia="Amiri" w:cs="Amiri" w:ascii="Amiri" w:hAnsi="Amiri"/>
          <w:color w:val="111111"/>
          <w:sz w:val="28"/>
          <w:szCs w:val="28"/>
          <w:rtl w:val="true"/>
          <w:lang w:bidi="ar-SA"/>
        </w:rPr>
        <w:t xml:space="preserve">» </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غربت الشمس من يوم عرفة أفاض إلى المشعر، و في النص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غربت الشمس فأفض مع الناس و عليك السكينة و الوقار</w:t>
      </w:r>
      <w:r>
        <w:rPr>
          <w:rFonts w:eastAsia="Amiri" w:cs="Amiri" w:ascii="Amiri" w:hAnsi="Amiri"/>
          <w:color w:val="111111"/>
          <w:sz w:val="28"/>
          <w:szCs w:val="28"/>
          <w:rtl w:val="true"/>
          <w:lang w:bidi="ar-SA"/>
        </w:rPr>
        <w:t xml:space="preserve">» </w:t>
      </w:r>
      <w:r>
        <w:rPr>
          <w:rStyle w:val="FootnoteAnchor"/>
          <w:rtl w:val="true"/>
        </w:rPr>
        <w:footnoteReference w:id="5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تقدّم أيضا عدم جواز الإفاضة منها قبل غروب الشمس، بل لو أفاض عمدا كانت عليه بدنة</w:t>
      </w:r>
      <w:r>
        <w:rPr>
          <w:rFonts w:eastAsia="Amiri" w:cs="Amiri" w:ascii="Amiri" w:hAnsi="Amiri"/>
          <w:color w:val="111111"/>
          <w:sz w:val="28"/>
          <w:szCs w:val="28"/>
          <w:rtl w:val="true"/>
          <w:lang w:bidi="ar-SA"/>
        </w:rPr>
        <w:t>.</w:t>
      </w:r>
    </w:p>
    <w:p>
      <w:pPr>
        <w:pStyle w:val="Heading5"/>
        <w:numPr>
          <w:ilvl w:val="4"/>
          <w:numId w:val="1"/>
        </w:numPr>
        <w:rPr/>
      </w:pPr>
      <w:bookmarkStart w:id="274" w:name="__RefHeading___Toc3320884_2314609296"/>
      <w:bookmarkStart w:id="275" w:name="_Toc100"/>
      <w:bookmarkEnd w:id="274"/>
      <w:r>
        <w:rPr>
          <w:rtl w:val="true"/>
        </w:rPr>
        <w:t>و يستحب أن يقتصد في المسير و يدعو عند الكثيب الأحمر</w:t>
      </w:r>
      <w:bookmarkEnd w:id="275"/>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كل</w:t>
      </w:r>
    </w:p>
    <w:p>
      <w:pPr>
        <w:pStyle w:val="BookText"/>
        <w:rPr/>
      </w:pPr>
      <w:r>
        <w:rPr>
          <w:rFonts w:ascii="Amiri" w:hAnsi="Amiri" w:eastAsia="Amiri" w:cs="Amiri"/>
          <w:color w:val="111111"/>
          <w:sz w:val="28"/>
          <w:sz w:val="28"/>
          <w:szCs w:val="28"/>
          <w:rtl w:val="true"/>
          <w:lang w:bidi="ar-SA"/>
        </w:rPr>
        <w:t xml:space="preserve">ذلك لما في صحيح معاوية المحكية في الجواهر </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يؤخر العشاءين حتى يصليهما فيهما، لما في النص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يصليهما حتى ينتهي إلى جمع، و إن مضى من الليل ما مضى</w:t>
      </w:r>
      <w:r>
        <w:rPr>
          <w:rFonts w:eastAsia="Amiri" w:cs="Amiri" w:ascii="Amiri" w:hAnsi="Amiri"/>
          <w:color w:val="111111"/>
          <w:sz w:val="28"/>
          <w:szCs w:val="28"/>
          <w:rtl w:val="true"/>
          <w:lang w:bidi="ar-SA"/>
        </w:rPr>
        <w:t xml:space="preserve">» </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يصلّي المغرب حتى يأتي جمعا و إن ذهب ثلث الليل</w:t>
      </w:r>
      <w:r>
        <w:rPr>
          <w:rFonts w:eastAsia="Amiri" w:cs="Amiri" w:ascii="Amiri" w:hAnsi="Amiri"/>
          <w:color w:val="111111"/>
          <w:sz w:val="28"/>
          <w:szCs w:val="28"/>
          <w:rtl w:val="true"/>
          <w:lang w:bidi="ar-SA"/>
        </w:rPr>
        <w:t xml:space="preserve">» </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فيحمل الأول أيضا على مضي أوقات الفضيلة، لأهمية حفظ فضيلة المكان في المقام عن فضل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بظاهرهما أفتى الشيخ بوجوب التأخير </w:t>
      </w:r>
      <w:r>
        <w:rPr>
          <w:rStyle w:val="FootnoteAnchor"/>
          <w:rtl w:val="true"/>
        </w:rPr>
        <w:footnoteReference w:id="584"/>
      </w:r>
      <w:r>
        <w:rPr>
          <w:rFonts w:ascii="Amiri" w:hAnsi="Amiri" w:eastAsia="Amiri" w:cs="Amiri"/>
          <w:color w:val="111111"/>
          <w:sz w:val="28"/>
          <w:sz w:val="28"/>
          <w:szCs w:val="28"/>
          <w:rtl w:val="true"/>
          <w:lang w:bidi="ar-SA"/>
        </w:rPr>
        <w:t xml:space="preserve">، و في كشف اللثام حكايته عن الأكثر </w:t>
      </w:r>
      <w:r>
        <w:rPr>
          <w:rStyle w:val="FootnoteAnchor"/>
          <w:rtl w:val="true"/>
        </w:rPr>
        <w:footnoteReference w:id="585"/>
      </w:r>
      <w:r>
        <w:rPr>
          <w:rFonts w:ascii="Amiri" w:hAnsi="Amiri" w:eastAsia="Amiri" w:cs="Amiri"/>
          <w:color w:val="111111"/>
          <w:sz w:val="28"/>
          <w:sz w:val="28"/>
          <w:szCs w:val="28"/>
          <w:rtl w:val="true"/>
          <w:lang w:bidi="ar-SA"/>
        </w:rPr>
        <w:t>، لكن الانصاف كونهما في مقام دفع توهم فضيلة التعجيل، مضافا إلى ظهور جملة من النصوص في استحبابه، ففي بعضها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أن يصلّي الرجل المغرب إذا أمسى بعرفة</w:t>
      </w:r>
      <w:r>
        <w:rPr>
          <w:rFonts w:eastAsia="Amiri" w:cs="Amiri" w:ascii="Amiri" w:hAnsi="Amiri"/>
          <w:color w:val="111111"/>
          <w:sz w:val="28"/>
          <w:szCs w:val="28"/>
          <w:rtl w:val="true"/>
          <w:lang w:bidi="ar-SA"/>
        </w:rPr>
        <w:t xml:space="preserve">» </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النص المشتمل على ذهاب الثلث يستفاد عدم البأس بالتأخير و لو صار ربع الليل، بل إطلاق الأول يقتضي البلوغ إلى حد لا يجوز تأخره بخروج وقته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إطلاق فيه على وجه يزاحم دليل الوقت أيضا، إذ هو في مقام دفع توهم التعجيل، الراجح لحفظ أوقات الفضيلة، لا لبيان تشريع توسعة الوقت للصلاة،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يجمع بينهما بأذان و إقامتين بلا صلاة نافلة بينهما، و في النص</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 المغرب و العشاء يجمع بأذان واحد و إقامتين، و لا تصل بينهما بشي‌ء</w:t>
      </w:r>
      <w:r>
        <w:rPr>
          <w:rFonts w:eastAsia="Amiri" w:cs="Amiri" w:ascii="Amiri" w:hAnsi="Amiri"/>
          <w:color w:val="111111"/>
          <w:sz w:val="28"/>
          <w:szCs w:val="28"/>
          <w:rtl w:val="true"/>
          <w:lang w:bidi="ar-SA"/>
        </w:rPr>
        <w:t xml:space="preserve">» </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bookmarkStart w:id="276" w:name="pg19818_204067"/>
    </w:p>
    <w:p>
      <w:pPr>
        <w:pStyle w:val="BookText"/>
        <w:rPr/>
      </w:pPr>
      <w:bookmarkEnd w:id="276"/>
      <w:r>
        <w:rPr>
          <w:rFonts w:ascii="Amiri" w:hAnsi="Amiri" w:eastAsia="Amiri" w:cs="Amiri"/>
          <w:color w:val="111111"/>
          <w:sz w:val="28"/>
          <w:sz w:val="28"/>
          <w:szCs w:val="28"/>
          <w:rtl w:val="true"/>
          <w:lang w:bidi="ar-SA"/>
        </w:rPr>
        <w:t>و في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ركعات النافلة بعد المغرب؟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صلّهما بعد العشاء</w:t>
      </w:r>
      <w:r>
        <w:rPr>
          <w:rFonts w:eastAsia="Amiri" w:cs="Amiri" w:ascii="Amiri" w:hAnsi="Amiri"/>
          <w:color w:val="111111"/>
          <w:sz w:val="28"/>
          <w:szCs w:val="28"/>
          <w:rtl w:val="true"/>
          <w:lang w:bidi="ar-SA"/>
        </w:rPr>
        <w:t xml:space="preserve">» </w:t>
      </w:r>
      <w:r>
        <w:rPr>
          <w:rStyle w:val="FootnoteAnchor"/>
          <w:rtl w:val="true"/>
        </w:rPr>
        <w:footnoteReference w:id="588"/>
      </w:r>
      <w:r>
        <w:rPr>
          <w:rFonts w:ascii="Amiri" w:hAnsi="Amiri" w:eastAsia="Amiri" w:cs="Amiri"/>
          <w:color w:val="111111"/>
          <w:sz w:val="28"/>
          <w:sz w:val="28"/>
          <w:szCs w:val="28"/>
          <w:rtl w:val="true"/>
          <w:lang w:bidi="ar-SA"/>
        </w:rPr>
        <w:t>، و ظاهره يوهم عدم مشروعية الأذان الثاني، و النافلة بعد المغرب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أمكن حمل الأمر في أمثال المقام على دفع توهم تأكد الفضل، و انّ الأفضل الصلاة بعدهما، لا لدفع أصل المشروعية، كي يلازم وجوب الجمع المزبور، فرارا عن التشريع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الأصحاب أيضا فهموا ما ذكرنا، و لذا جعلوه في زمرة الآداب و المستحبات، و لقد أشرنا إلى نظيره في الجمع بين الصلاتين بعرفة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الجمع هنا لا يقتضي أزيد من ترك الأذان الثاني، و أما تأخير النافلة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حمل تأخير النوافل في المقام على قضائهما لفوت وقتهما عند البلوغ الى جمع غالبا، و حينئذ وجه تأخره أحقية ذي الوقت بوقته</w:t>
      </w:r>
      <w:r>
        <w:rPr>
          <w:rFonts w:eastAsia="Amiri" w:cs="Amiri" w:ascii="Amiri" w:hAnsi="Amiri"/>
          <w:color w:val="111111"/>
          <w:sz w:val="28"/>
          <w:szCs w:val="28"/>
          <w:rtl w:val="true"/>
          <w:lang w:bidi="ar-SA"/>
        </w:rPr>
        <w:t>.</w:t>
      </w:r>
    </w:p>
    <w:p>
      <w:pPr>
        <w:pStyle w:val="Heading5"/>
        <w:numPr>
          <w:ilvl w:val="4"/>
          <w:numId w:val="1"/>
        </w:numPr>
        <w:rPr/>
      </w:pPr>
      <w:bookmarkStart w:id="277" w:name="__RefHeading___Toc3320886_2314609296"/>
      <w:bookmarkStart w:id="278" w:name="_Toc101"/>
      <w:bookmarkEnd w:id="277"/>
      <w:r>
        <w:rPr>
          <w:rtl w:val="true"/>
        </w:rPr>
        <w:t>و يجب فيه النية</w:t>
      </w:r>
      <w:bookmarkEnd w:id="278"/>
    </w:p>
    <w:p>
      <w:pPr>
        <w:pStyle w:val="BookText"/>
        <w:rPr/>
      </w:pPr>
      <w:r>
        <w:rPr>
          <w:rFonts w:ascii="Amiri" w:hAnsi="Amiri" w:eastAsia="Amiri" w:cs="Amiri"/>
          <w:color w:val="111111"/>
          <w:sz w:val="28"/>
          <w:sz w:val="28"/>
          <w:szCs w:val="28"/>
          <w:rtl w:val="true"/>
          <w:lang w:bidi="ar-SA"/>
        </w:rPr>
        <w:t>بنحو تقدّم في سائر المناسك لعباديته كغيره 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الكون فيه من طلوع الفجر الى طلوع الشمس، أما الأول فلصحيح معاوية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أصبح على طهر بعد ما تصل الفجر، فقف إن شئت قريبا من الجبل، و إن شئت حيث تبيت، فإذا وقفت فاحمد اللّٰه، إلى آخره</w:t>
      </w:r>
      <w:r>
        <w:rPr>
          <w:rFonts w:eastAsia="Amiri" w:cs="Amiri" w:ascii="Amiri" w:hAnsi="Amiri"/>
          <w:color w:val="111111"/>
          <w:sz w:val="28"/>
          <w:szCs w:val="28"/>
          <w:rtl w:val="true"/>
          <w:lang w:bidi="ar-SA"/>
        </w:rPr>
        <w:t xml:space="preserve">» </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اقتضاء النص المزبور الاستيعاب من طلوع الفجر نظر، بل ظاهر الأمر بالوقوف بعد الصلاة، كون بدو وجوبه بعدها، كما هو الشأن في الوقوف بعرفة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ينافي ذلك كون صلاته في الجمع، لعدم اقتضاء ذلك دخول وقت صلاته في الوقت الواجب</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ربما يستفاد منه عدم جواز الاكتفاء به قبل الفجر، لظهور الأمر</w:t>
      </w:r>
    </w:p>
    <w:p>
      <w:pPr>
        <w:pStyle w:val="BookText"/>
        <w:rPr/>
      </w:pPr>
      <w:r>
        <w:rPr>
          <w:rFonts w:ascii="Amiri" w:hAnsi="Amiri" w:eastAsia="Amiri" w:cs="Amiri"/>
          <w:color w:val="111111"/>
          <w:sz w:val="28"/>
          <w:sz w:val="28"/>
          <w:szCs w:val="28"/>
          <w:rtl w:val="true"/>
          <w:lang w:bidi="ar-SA"/>
        </w:rPr>
        <w:t>بالوقوف بعد الصلاة في الوجوب تعيينا، و بعد وحدة المطلوب يقتضي ذلك تعيينه عليه عند الاختيار و التمكن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يدل عليه أيضا ما في خبر مسمع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أفاض عن جمع قبل إفاضة الناس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جاهلا فلا شي‌ء عليه، و إن كان أفاض قبل طلوع الفجر فعليه دم شاة</w:t>
      </w:r>
      <w:r>
        <w:rPr>
          <w:rFonts w:eastAsia="Amiri" w:cs="Amiri" w:ascii="Amiri" w:hAnsi="Amiri"/>
          <w:color w:val="111111"/>
          <w:sz w:val="28"/>
          <w:szCs w:val="28"/>
          <w:rtl w:val="true"/>
          <w:lang w:bidi="ar-SA"/>
        </w:rPr>
        <w:t xml:space="preserve">» </w:t>
      </w:r>
      <w:r>
        <w:rPr>
          <w:rStyle w:val="FootnoteAnchor"/>
          <w:rtl w:val="true"/>
        </w:rPr>
        <w:footnoteReference w:id="590"/>
      </w:r>
      <w:r>
        <w:rPr>
          <w:rFonts w:ascii="Amiri" w:hAnsi="Amiri" w:eastAsia="Amiri" w:cs="Amiri"/>
          <w:color w:val="111111"/>
          <w:sz w:val="28"/>
          <w:sz w:val="28"/>
          <w:szCs w:val="28"/>
          <w:rtl w:val="true"/>
          <w:lang w:bidi="ar-SA"/>
        </w:rPr>
        <w:t>، بناء على ملازمة الكفارة في غير الصيد للإثم، و لو بقرينة فهم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دلالته على الاجتزاء بالوقوف ليلا في صحة الحج لا ينافي وجوب هذا الوقوف أيضا تعيينا، غاية الأمر لا يكون ركنا فلا يجتزئ بالوقوف الليلي اختيارا عن الخروج عن عهدة الواجب، فيترتب عليه الإثم، كما هو الشأن في سائر الواجبات غير الركنية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مع عدم الوقوف ليلا بمسمّاه، لا بد من حفظ الركن بمسمّى الوقوف في هذه القطعة، 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أدرك المشعر قبل طلوع الشمس فقد أدرك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يستفاد أيضا عدم الاكتفاء في امتثال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اختيارا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طلوع الفجر، للجزم بصلاحية ما هو واجب من الوقوف، ان يقع مصداقا لما هو ركنه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فبعد عدم إدراك الحج، بالوقوف بعد الشمس، يستكشف عدم وجوبه أيضا رأسا في حق المختار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في جملة من النصوص، المشتملة على أن درك الحج بدرك جمع الى زوال يوم النحر، فهو منزّل على من لم يتمكن من وقوفه الاختياري إجماعا، و سنشير إليه أيضا عن قريب إن شاء اللّٰه</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فتلخص مما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المستفاد من مجموع النصوص، هو كون الركن من هذا الوقوف من الليل الى طلوع الشمس، و الواجب منه غير الركني، من بعد</w:t>
      </w:r>
    </w:p>
    <w:p>
      <w:pPr>
        <w:pStyle w:val="BookText"/>
        <w:rPr/>
      </w:pPr>
      <w:r>
        <w:rPr>
          <w:rFonts w:ascii="Amiri" w:hAnsi="Amiri" w:eastAsia="Amiri" w:cs="Amiri"/>
          <w:color w:val="111111"/>
          <w:sz w:val="28"/>
          <w:sz w:val="28"/>
          <w:szCs w:val="28"/>
          <w:rtl w:val="true"/>
          <w:lang w:bidi="ar-SA"/>
        </w:rPr>
        <w:t>الفجر، بمعنى عدم الاجتزاء عنه بالوقوف قبله، كما لا يجتزئ عنه بالوقوف بعد طلوع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يبقى الكلام في لزوم استيعاب الوقوف من بعد الفجر إلى طلوع الشمس، كما هو المنسوب إلى جل الأعاظم، أم لا يجب تعيينا زائدا عن الركن، الذي دائرته أوسع منه، بل الواجب المزبور غير الركني، المنطبق عليه الركن أيضا أحيانا، هو المسمّى من الوقوف ما بين طلوع الفجر و طلوع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أشرت، سابقا إلى أنّ لزوم الاستيعاب من طلوع الفجر، خلاف ظاهر نص معاوية السابق، كما انّ لزوم الاستيعاب إلى طلوع الشمس أيضا خلاف ظاهر الموثقة، المشتملة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أن تطلع الشمس بقليل لغير الامام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و ظاهر المرسلة المشتملة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ينبغي للإمام أن يقف بجمع حتى تطلع الشمس، و سائر الناس إن شاءوا عجّلوا، و إن شاءوا أخروا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يؤيده النهي عن تجاوز وادي محسر قبل طلوع الشمس، بناء على حمل التجاوز عن الوادي، تجاوزه عن تمامه، لا التجاوز عن حده الملاصق بالمشعر، الملازم لدخوله، بل يكفي لنفي لزوم الاستيعاب من الجانبين أيضا الأصل، فلا يجب بين الطلوعين أيضا إلّا المسمّى، كما هو مختار الجواهر </w:t>
      </w:r>
      <w:r>
        <w:rPr>
          <w:rStyle w:val="FootnoteAnchor"/>
          <w:rtl w:val="true"/>
        </w:rPr>
        <w:footnoteReference w:id="591"/>
      </w:r>
      <w:r>
        <w:rPr>
          <w:rFonts w:ascii="IRNazanin" w:hAnsi="IRNazanin" w:eastAsia="IRNazanin"/>
          <w:color w:val="111111"/>
          <w:sz w:val="28"/>
          <w:sz w:val="28"/>
          <w:szCs w:val="28"/>
          <w:rtl w:val="true"/>
          <w:lang w:bidi="fa-IR"/>
        </w:rPr>
        <w:t>و جمع آخر</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قد يدعى في قبال 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وجوب الوقوف بين الطلوعين للمختار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 جواز الاكتفاء للمختار بالوقوف الليلي، مستندا إلى ما في صحيحة هشام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المتقدم من المزدلفة إلى منى يرمون الجمار و يصلّون الفجر في منازلهم بمنى لا بأس</w:t>
      </w:r>
      <w:r>
        <w:rPr>
          <w:rFonts w:eastAsia="Amiri" w:cs="Amiri" w:ascii="Amiri" w:hAnsi="Amiri"/>
          <w:color w:val="111111"/>
          <w:sz w:val="28"/>
          <w:szCs w:val="28"/>
          <w:rtl w:val="true"/>
          <w:lang w:bidi="ar-SA"/>
        </w:rPr>
        <w:t xml:space="preserve">» </w:t>
      </w:r>
      <w:r>
        <w:rPr>
          <w:rStyle w:val="FootnoteAnchor"/>
          <w:rtl w:val="true"/>
        </w:rPr>
        <w:footnoteReference w:id="592"/>
      </w:r>
      <w:r>
        <w:rPr>
          <w:rFonts w:ascii="Amiri" w:hAnsi="Amiri" w:eastAsia="Amiri" w:cs="Amiri"/>
          <w:color w:val="111111"/>
          <w:sz w:val="28"/>
          <w:sz w:val="28"/>
          <w:szCs w:val="28"/>
          <w:rtl w:val="true"/>
          <w:lang w:bidi="ar-SA"/>
        </w:rPr>
        <w:t xml:space="preserve">، علاوة على 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أدرك المشعر قبل</w:t>
      </w:r>
    </w:p>
    <w:p>
      <w:pPr>
        <w:pStyle w:val="BookText"/>
        <w:rPr/>
      </w:pPr>
      <w:r>
        <w:rPr>
          <w:rFonts w:ascii="Amiri" w:hAnsi="Amiri" w:eastAsia="Amiri" w:cs="Amiri"/>
          <w:color w:val="111111"/>
          <w:sz w:val="28"/>
          <w:sz w:val="28"/>
          <w:szCs w:val="28"/>
          <w:rtl w:val="true"/>
          <w:lang w:bidi="ar-SA"/>
        </w:rPr>
        <w:t>طلوع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الشامل للإدراك ليلا، مضافا إلى عدم اشتمال رواية مسمع </w:t>
      </w:r>
      <w:r>
        <w:rPr>
          <w:rStyle w:val="FootnoteAnchor"/>
          <w:rtl w:val="true"/>
        </w:rPr>
        <w:footnoteReference w:id="593"/>
      </w:r>
      <w:r>
        <w:rPr>
          <w:rFonts w:ascii="Amiri" w:hAnsi="Amiri" w:eastAsia="Amiri" w:cs="Amiri"/>
          <w:color w:val="111111"/>
          <w:sz w:val="28"/>
          <w:sz w:val="28"/>
          <w:szCs w:val="28"/>
          <w:rtl w:val="true"/>
          <w:lang w:bidi="ar-SA"/>
        </w:rPr>
        <w:t>للرجوع مع التمكن، تحصيلا للوقوف فيه بين الطلوعين، و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بعض الأجلة، كما هو في الجواهر </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لكن لا يخفى ما في الأول، من انّ الظاهر كونه في مقام بيان وظيفة المتقدّم، و أما من كان وظيفته التقدّم، فليس النص المزبور في مقام 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دلالة النص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تقدّم يفعل كذا، و أما أن تقدمه مشروع فلا يستفاد من النص، فلو جمع بينه و بين رواية مسمع،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دم 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يرتاب أحد في حرمة تقدمه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بأس للضعفاء من الرجال الذين يخافون على أنفسهم، و هكذا المرأة، كما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عدم تعرضه للرجوع فغاية الأمر كان سكوته بمنزلة الإطلاق، و هو يتقيد بالأمر بالوقوف تعيينا بعد الصلاتين، كما في النص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فإطلاقه لا يقتضي إلّا التوسعة في الركنية، و نحن أيضا نقول بمقتضاه، و لا دلالة فيه على نفي وجوب شي‌ء آخر لا ينوط به درك حجه بتمام مراتبه، و لو للمختار إجماعا كما أشرنا</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فاته الوقوف بين الطلوعين لضرورة، فإلى الزوال يقف، و ذلك لأنّ مقتضى الجمع بين ما دل على تحديد درك الحج بطلوع الشمس، و بين ما دل على تحديده بالزوال، حمل الأخير، على المضطر، و الأول على المختار، لأظهرية كل واحد في مورده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الإنصاف انّ العمدة في هذا الجمع فهم المجمعين، و لو لا الإجماع المزبور لكنا نقول بحمل الأول على الفضيلة، و الأخير على الاجزاء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مع الغض عن ذلك فلا دلالة فيه على وجوب درك جمع بعد الشمس، حتى لمن أدرك جمعا بمسماه ليلا، لعدم شمول إطلاقه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في النص أيضا من الأمر بالرجوع إلى جمع أو المشعر لمن أتى من عرفات إلى منى، و لو في ارتفاع النهار، فغير مرتبط بمورد الكلام، إذ ظاهره عدم وقوفه فيه ليلا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لا دلالة فيه على وجوب الاستيعاب إلى الزوال في وقوفه، بل الأصل يقتضي الاكتفاء بالمسمّى، المتحقق به الركن في المقام أيضا، كما هو الشأن في الاختياري على المختار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فملخص ما يستفاد من مجموع أدلة الباب، هو أنه لو لم يتمكن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إدراك اختياري المشعر، و لا إدراك مسمّاه فيه ليلا، وجب الوقوف في المشعر من طلوع الشمس إلى الزوال بمسمّاه لا مستوعبا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في غير هذه الصورة فالأصل البراءة عنه، لعدم وفاء دليل بوجوبه، لعدم دليل يفي بلزوم الاستيعاب، و لو قلنا به في اختيارية، فضلا عما لو لم نقل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ليس حال اضطراري الموقف حال اختيارية في وجوبه و إن أدرك الركن في ليله، و لم أر في كلماتهم ما تعرض لهذه الجهة، و إن كان إطلاق الوقت عليه اضطرار بدل الاختياري يوهم جريان حكمه فيه، و لكن النصوص الواردة غير وافية، لإثباته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تم في مثله إجماع على المماثلة للوقت الاختياري من جميع الجهات فهو، و إلّا فالنظر فيه مجال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في الاكتفاء في درك الحج بدركه حتى مع فوت وقوفي عرفة كلام آخر تقدّم شطر منه، و لا نعيده لعدم المجال</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التأمل فيما ذكرنا ظهر وجه أنه لو أفاض قبل الفجر عالما</w:t>
      </w:r>
    </w:p>
    <w:p>
      <w:pPr>
        <w:pStyle w:val="BookText"/>
        <w:rPr/>
      </w:pPr>
      <w:r>
        <w:rPr>
          <w:rFonts w:ascii="Amiri" w:hAnsi="Amiri" w:eastAsia="Amiri" w:cs="Amiri"/>
          <w:color w:val="111111"/>
          <w:sz w:val="28"/>
          <w:sz w:val="28"/>
          <w:szCs w:val="28"/>
          <w:rtl w:val="true"/>
          <w:lang w:bidi="ar-SA"/>
        </w:rPr>
        <w:t>عامدا كفّر بشاة، لنص مسمع المتقدّم، و هو مشتمل على نفي الشي‌ء على الجاهل المنصرف في المقام إلى القاصر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يلحق به الناسي، لعموم التعليل بالعذرية في بعض النصوص السابقة في الوقوف بعرفة، الجارية في المقام أيضا، و صح حجه حينئذ، لظهور النص المذكور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أيضا استكشفنا التوسعة في ركنية هذا الوقوف، بعدم اختصاص مسمّاه الركني، بخصوص بين الطلوعين، و إن وجب هو أيضا مستوعبا أو بمسماه بينهما، على الخلاف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الوقوف الليلي يفي بصحة حجه و إن كان وقف بعرفات و لو الاضطراري منه عند المصنف و جماعة، و لكن 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وفاقا لجمع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كفايته مطلقا، خصوصا في المقام الذي يكون في أصل ركنيته اختياريا، و إن كان في أصل وقوفه اضطراريا، لفحوى ما ورد في الاجتزاء به في حق الضعاف من بني هاشم، الجاري في كل مضطر، بالمناط و عدم الفصل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يجوز للمرأة و الخائف الإفاضة قبله أي قبل الفجر، للنص المشتمل على الأمر بتعجيل ضعفاء بني هاشم بالليل </w:t>
      </w:r>
      <w:r>
        <w:rPr>
          <w:rStyle w:val="FootnoteAnchor"/>
          <w:rtl w:val="true"/>
        </w:rPr>
        <w:footnoteReference w:id="5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بمناط الضعف الملازم غالبا لخوف التلف يتعدّى إلى كل مضطر، و لو من غير هذه الجهة</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بهذه الملاحظة نلتزم بكونه من الأوقات الاضطرارية، كما انّ في المرأة أيضا ورد نص مخصوص مشتمل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فأفض بهن بليل كما صنع رسول اللّٰه 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596"/>
      </w:r>
      <w:r>
        <w:rPr>
          <w:rFonts w:ascii="Amiri" w:hAnsi="Amiri" w:eastAsia="Amiri" w:cs="Amiri"/>
          <w:color w:val="111111"/>
          <w:sz w:val="28"/>
          <w:sz w:val="28"/>
          <w:szCs w:val="28"/>
          <w:rtl w:val="true"/>
          <w:lang w:bidi="ar-SA"/>
        </w:rPr>
        <w:t>، و إطلاقه يقتضي كونه موقفا اختياريا لهم، و عليه الفتوى أيضا</w:t>
      </w:r>
      <w:r>
        <w:rPr>
          <w:rFonts w:eastAsia="Amiri" w:cs="Amiri" w:ascii="Amiri" w:hAnsi="Amiri"/>
          <w:color w:val="111111"/>
          <w:sz w:val="28"/>
          <w:szCs w:val="28"/>
          <w:rtl w:val="true"/>
          <w:lang w:bidi="ar-SA"/>
        </w:rPr>
        <w:t>.</w:t>
      </w:r>
      <w:bookmarkStart w:id="279" w:name="pg19818_204073"/>
    </w:p>
    <w:p>
      <w:pPr>
        <w:pStyle w:val="BookText"/>
        <w:rPr/>
      </w:pPr>
      <w:bookmarkEnd w:id="279"/>
      <w:r>
        <w:rPr>
          <w:rFonts w:ascii="Amiri" w:hAnsi="Amiri" w:eastAsia="Amiri" w:cs="Amiri"/>
          <w:color w:val="111111"/>
          <w:sz w:val="28"/>
          <w:sz w:val="28"/>
          <w:szCs w:val="28"/>
          <w:rtl w:val="true"/>
          <w:lang w:bidi="ar-SA"/>
        </w:rPr>
        <w:t xml:space="preserve">و حد المشعر ما بين المأزمين إلى الحياض إلى واد محسر بلا اشكال فتوى و نصا، و في صحيحة معاوية التصريح بما يوافق المتن </w:t>
      </w:r>
      <w:r>
        <w:rPr>
          <w:rStyle w:val="FootnoteAnchor"/>
          <w:rtl w:val="true"/>
        </w:rPr>
        <w:footnoteReference w:id="597"/>
      </w:r>
      <w:r>
        <w:rPr>
          <w:rFonts w:ascii="IRNazanin" w:hAnsi="IRNazanin" w:eastAsia="IRNazanin"/>
          <w:color w:val="111111"/>
          <w:sz w:val="28"/>
          <w:sz w:val="28"/>
          <w:szCs w:val="28"/>
          <w:rtl w:val="true"/>
          <w:lang w:bidi="fa-IR"/>
        </w:rPr>
        <w:t xml:space="preserve">، و بمعناه نصوص اخرى </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الوقوف بمسمّاه ركن من الليل إلى طلوع الشمس من يوم النحر للمختار، و إلى زوال الشمس للمضطر، لما عرفت من بنائهم على الجمع بين التحديد بطلوع الشمس أو الزوال بذلك و لو للإجماع المتقدّم، و لنا في هذا النحو من الجمع نظر و اشكال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تركه ليلا و نهارا عمدا بطل حجه، لمفهوم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الموصول في المقام متضمن للشرطية، نظير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مقتضى وحدة المطلوب أيضا و إن لم نقل بالمفهوم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ناسيا و أدرك عرفات و لو باختياريها فقط صح حجه، خلافا لبعض آخر في الأخير، تقدّم الكلام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يلحق بالناسي في المقام الجاهل، و ذلك لخبر مسمع، إذ الجهل هنا عذر عن ترك الواجب غير الركني منه، و لا يلازم ذلك عذريته في ركنيته أيضا، بل العمدة فيه عموم التعليل بالأعذرية السابقة، مضافا إلى النص المذكور في الرياض </w:t>
      </w:r>
      <w:r>
        <w:rPr>
          <w:rStyle w:val="FootnoteAnchor"/>
          <w:rtl w:val="true"/>
        </w:rPr>
        <w:footnoteReference w:id="599"/>
      </w:r>
      <w:r>
        <w:rPr>
          <w:rFonts w:ascii="Amiri" w:hAnsi="Amiri" w:eastAsia="Amiri" w:cs="Amiri"/>
          <w:color w:val="111111"/>
          <w:sz w:val="28"/>
          <w:sz w:val="28"/>
          <w:szCs w:val="28"/>
          <w:rtl w:val="true"/>
          <w:lang w:bidi="ar-SA"/>
        </w:rPr>
        <w:t>، الصريح في عدم الإضرار بالجهل، فالاحتياط لا يترك</w:t>
      </w:r>
      <w:r>
        <w:rPr>
          <w:rFonts w:eastAsia="Amiri" w:cs="Amiri" w:ascii="Amiri" w:hAnsi="Amiri"/>
          <w:color w:val="111111"/>
          <w:sz w:val="28"/>
          <w:szCs w:val="28"/>
          <w:rtl w:val="true"/>
          <w:lang w:bidi="ar-SA"/>
        </w:rPr>
        <w:t>.</w:t>
      </w:r>
    </w:p>
    <w:p>
      <w:pPr>
        <w:pStyle w:val="Heading5"/>
        <w:numPr>
          <w:ilvl w:val="4"/>
          <w:numId w:val="1"/>
        </w:numPr>
        <w:rPr/>
      </w:pPr>
      <w:bookmarkStart w:id="280" w:name="__RefHeading___Toc3320888_2314609296"/>
      <w:bookmarkStart w:id="281" w:name="_Toc102"/>
      <w:bookmarkEnd w:id="280"/>
      <w:r>
        <w:rPr>
          <w:rtl w:val="true"/>
        </w:rPr>
        <w:t>مسائل</w:t>
      </w:r>
      <w:bookmarkEnd w:id="281"/>
    </w:p>
    <w:p>
      <w:pPr>
        <w:pStyle w:val="Heading6"/>
        <w:numPr>
          <w:ilvl w:val="5"/>
          <w:numId w:val="1"/>
        </w:numPr>
        <w:rPr/>
      </w:pPr>
      <w:bookmarkStart w:id="282" w:name="__RefHeading___Toc3320890_2314609296"/>
      <w:bookmarkStart w:id="283" w:name="_Toc103"/>
      <w:bookmarkEnd w:id="282"/>
      <w:r>
        <w:rPr>
          <w:rtl w:val="true"/>
        </w:rPr>
        <w:t>الاولى</w:t>
      </w:r>
      <w:r>
        <w:rPr>
          <w:rtl w:val="true"/>
        </w:rPr>
        <w:t>:</w:t>
      </w:r>
      <w:bookmarkEnd w:id="283"/>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 قد تقدّم أنّ وقت الوقوف الاختياري بعرفات من زوال الشمس يوم عرفة إلى غروبها</w:t>
      </w:r>
      <w:r>
        <w:rPr>
          <w:rFonts w:eastAsia="Amiri" w:cs="Amiri" w:ascii="Amiri" w:hAnsi="Amiri"/>
          <w:color w:val="111111"/>
          <w:sz w:val="28"/>
          <w:szCs w:val="28"/>
          <w:rtl w:val="true"/>
          <w:lang w:bidi="ar-SA"/>
        </w:rPr>
        <w:t>.</w:t>
      </w:r>
      <w:bookmarkStart w:id="284" w:name="pg19818_204074"/>
    </w:p>
    <w:p>
      <w:pPr>
        <w:pStyle w:val="BookText"/>
        <w:rPr/>
      </w:pPr>
      <w:bookmarkEnd w:id="284"/>
      <w:r>
        <w:rPr>
          <w:rFonts w:ascii="Amiri" w:hAnsi="Amiri" w:eastAsia="Amiri" w:cs="Amiri"/>
          <w:color w:val="111111"/>
          <w:sz w:val="28"/>
          <w:sz w:val="28"/>
          <w:szCs w:val="28"/>
          <w:rtl w:val="true"/>
          <w:lang w:bidi="ar-SA"/>
        </w:rPr>
        <w:t>و الاضطراري منه إلى الفجر من يوم النحر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وقت الوقوف الاختياري بالمشعر من طلوع الفجر يوم النحر الى طلوع الشمس مع التوسعة في ركنيته، حيث إنّ وقته من أول الليل الى طلوع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الاضطراري منه إلى الزوال من يوم النحر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أدرك أحد الموقفين اختيارا وفاته الآخر لضرورة، مع درك اضطرارية أولا صح حجه إجماعا في الأول، و على المشهور في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أدرك الاضطراريين معا بلا درك اختياري واحد منهما فاته الحج على قول، خلافا للمشهور، مع ضعف مستنده،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لو أدرك أحدهما أي أحد الاضطراريين، فإنه يبطل حجه إجماعا عند المصنف، و قد حكى كاشف اللثام هذا القول عن ظاهر أبي علي </w:t>
      </w:r>
      <w:r>
        <w:rPr>
          <w:rStyle w:val="FootnoteAnchor"/>
          <w:rtl w:val="true"/>
        </w:rPr>
        <w:footnoteReference w:id="600"/>
      </w:r>
      <w:r>
        <w:rPr>
          <w:rFonts w:ascii="Amiri" w:hAnsi="Amiri" w:eastAsia="Amiri" w:cs="Amiri"/>
          <w:color w:val="111111"/>
          <w:sz w:val="28"/>
          <w:sz w:val="28"/>
          <w:szCs w:val="28"/>
          <w:rtl w:val="true"/>
          <w:lang w:bidi="ar-SA"/>
        </w:rPr>
        <w:t>، بل عن المدارك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الاكتفاء باضطراري المشعر فقط </w:t>
      </w:r>
      <w:r>
        <w:rPr>
          <w:rStyle w:val="FootnoteAnchor"/>
          <w:rtl w:val="true"/>
        </w:rPr>
        <w:footnoteReference w:id="601"/>
      </w:r>
      <w:r>
        <w:rPr>
          <w:rFonts w:ascii="Amiri" w:hAnsi="Amiri" w:eastAsia="Amiri" w:cs="Amiri"/>
          <w:color w:val="111111"/>
          <w:sz w:val="28"/>
          <w:sz w:val="28"/>
          <w:szCs w:val="28"/>
          <w:rtl w:val="true"/>
          <w:lang w:bidi="ar-SA"/>
        </w:rPr>
        <w:t>، كما أشرنا إليه سابقا،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عرفت منا أيضا إتمام الدليل على الاكتفاء بأي واحد منهما، نظرا إلى ما هو الأقرب من أنحاء الجمع، بحمل نفي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بفوت 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نفي الكمال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أقل من الشك في كيفية أنحاء الجمع بين النصوص، فترجع المسألة إلى الشك في الشرطية أو الجزئية فالأصل البراءة</w:t>
      </w:r>
      <w:r>
        <w:rPr>
          <w:rFonts w:eastAsia="Amiri" w:cs="Amiri" w:ascii="Amiri" w:hAnsi="Amiri"/>
          <w:color w:val="111111"/>
          <w:sz w:val="28"/>
          <w:szCs w:val="28"/>
          <w:rtl w:val="true"/>
          <w:lang w:bidi="ar-SA"/>
        </w:rPr>
        <w:t>.</w:t>
      </w:r>
    </w:p>
    <w:p>
      <w:pPr>
        <w:pStyle w:val="Heading6"/>
        <w:numPr>
          <w:ilvl w:val="5"/>
          <w:numId w:val="1"/>
        </w:numPr>
        <w:rPr/>
      </w:pPr>
      <w:bookmarkStart w:id="285" w:name="__RefHeading___Toc3320892_2314609296"/>
      <w:bookmarkStart w:id="286" w:name="_Toc104"/>
      <w:bookmarkEnd w:id="285"/>
      <w:r>
        <w:rPr>
          <w:rtl w:val="true"/>
        </w:rPr>
        <w:t>الثانية</w:t>
      </w:r>
      <w:r>
        <w:rPr>
          <w:rtl w:val="true"/>
        </w:rPr>
        <w:t xml:space="preserve">: </w:t>
      </w:r>
      <w:r>
        <w:rPr>
          <w:rtl w:val="true"/>
        </w:rPr>
        <w:t>من فاته الحج سقطت عنه أفعاله</w:t>
      </w:r>
      <w:bookmarkEnd w:id="286"/>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يحل بعمرة مفردة بلا اشكال فيه في الجملة، و في النص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أيما حاج سائق للهدي، أو مفرد</w:t>
      </w:r>
    </w:p>
    <w:p>
      <w:pPr>
        <w:pStyle w:val="BookText"/>
        <w:rPr/>
      </w:pPr>
      <w:r>
        <w:rPr>
          <w:rFonts w:ascii="Amiri" w:hAnsi="Amiri" w:eastAsia="Amiri" w:cs="Amiri"/>
          <w:color w:val="111111"/>
          <w:sz w:val="28"/>
          <w:sz w:val="28"/>
          <w:szCs w:val="28"/>
          <w:rtl w:val="true"/>
          <w:lang w:bidi="ar-SA"/>
        </w:rPr>
        <w:t>للجمع، أو متمتع بالعمرة إلى الحج قدم و قد فاته الحج، فليجعلها عمرة، و عليه الحج من قابل</w:t>
      </w:r>
      <w:r>
        <w:rPr>
          <w:rFonts w:eastAsia="Amiri" w:cs="Amiri" w:ascii="Amiri" w:hAnsi="Amiri"/>
          <w:color w:val="111111"/>
          <w:sz w:val="28"/>
          <w:szCs w:val="28"/>
          <w:rtl w:val="true"/>
          <w:lang w:bidi="ar-SA"/>
        </w:rPr>
        <w:t xml:space="preserve">» </w:t>
      </w:r>
      <w:r>
        <w:rPr>
          <w:rStyle w:val="FootnoteAnchor"/>
          <w:rtl w:val="true"/>
        </w:rPr>
        <w:footnoteReference w:id="6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اقتضاء الأمر وجوب ذلك، الملازم لعدم جواز بقائه على إحرامه إلى القابل إشكال، لإمكان حمله على دفع توهم وجوب إتمام حجه، و لو ببقائه على إحرامه إلى السنة الآتية، فلا يستفاد من مثل هذا الأمر تعيين التحلل بعمرة مفردة فعلا، و إن ذهب إليه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الأمر بجعل ما بيده عمرة، ظهور في مشروعية عنوان العمرة في حقه، و لازمة قصد العدول في امتثال أمره، و إن لم يكن عنوانه من الحقائق القصدية كالظهرية في الصلاة، إذ بعد فرض احتياج كل عبادة إلى قصد امتثال شخص أمره، ففي المقام، بعد ما قصد في إحرامه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أحد مناسك حجه و عمرته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امتثال أمر حجه، فتبديله الى امتثال أمر العمرة، يحتاج إلى العدول في نيته، و هذا العدول حينئذ على خلاف القاعدة، المحتاج إلى قيام الدليل، و إلّا فلا يصلح مثل هذا القصد لتغيير ما وقع، عما هو عليه، و لذلك كان النص الوارد في المقام على خلاف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الغرض من الأمر بجعله عمرة، إيجاد محللات العمرة، من الطواف قبل الوقوفين و غيره، لم يحتج هذا المقدار الى قصد العدول، إذ لا يراد حينئذ إلّا إيجاد مناسك مخصوصة، بعنوان عبادية نفسها، بلا احتياج إلى إيجادها بعنوان كونها عمرة عبادية</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حينئذ أمكن كون النص وفق القاعدة، لو بنينا على إطلاق محللية المناسك المخصوصة عن كل إحرام وقع صحيحا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الكلمات لا تساعده، علاوة على انّ التحقيق خلافه، إذ من المعلوم انّ اختلاف محللات الاحرامات، يكشف عن اختلاف مراتب الإحرام، على وجه لا يتحلل</w:t>
      </w:r>
    </w:p>
    <w:p>
      <w:pPr>
        <w:pStyle w:val="BookText"/>
        <w:rPr/>
      </w:pPr>
      <w:r>
        <w:rPr>
          <w:rFonts w:ascii="Amiri" w:hAnsi="Amiri" w:eastAsia="Amiri" w:cs="Amiri"/>
          <w:color w:val="111111"/>
          <w:sz w:val="28"/>
          <w:sz w:val="28"/>
          <w:szCs w:val="28"/>
          <w:rtl w:val="true"/>
          <w:lang w:bidi="ar-SA"/>
        </w:rPr>
        <w:t>بعضها بصرف الطواف و التقصير قبل الوقوفين، و بعضها يتحلل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الاختلاف لا بد أن يكون إما ناشئا عن خصوصية وقوعه في المواقيت الخاصة، أو ناشئا عن قصد كونه إحرام عمرة أو 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مجال للمصير إلى الأول، إذ كثيرا ما يكونان من حيث الميقات أيضا متحدين، و مع ذلك يختلف المحلل، كإحرام العمرة المفردة لمن يمر على أحد المواقيت، أو عن أدنى الحل مع إحرام العمرة المتمتع بها للعابر عن أحدها، أو كان ناسيا على وجه يكون تكليفه العود إلى أدنى الحل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هاتين العمرتين متحدان ميقاتا، و مع ذلك مختلفان محللا،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محيص عن دعوى كون الاختلاف المزبور ناشئا عن قصد إحرامه لعمرة مفردة أو المتمتع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لأن أبيت عن اختلاف مراتب الإحرام، فلا محيص لك عن دعوى كون اقترانه بالقصد الخاص أوجب الاختلاف في كيفية الإحلال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أي تقدير، لا تصلح محللات العمرة أن تكون محللات عن إحرام قصد كونه للحج، فالحكم بجعل العمرة بالمعنى المزبور في النص يرجع إلى الاكتفاء بمحللات العمرة عن إحرامه الحجي، و هو أيضا خلاف قاعدة أخرى، محتاج الى قيام دليل على مثله، فالنص المزبور حينئذ وارد على خلاف القاعدة مختص بالمورد، فلا يتعدّى حينئذ إلى غيره، و لذا لا أظن أحدا يلتزم بأنّ من أحرم بالحج، له أن يتحلل بمحللات العمرة عند تمكنه من إتمام حجه، و هكذا 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بعد ما اتضح ذلك لا يبقى مجال لإرجاع النص إلى مقتضى القواعد، فلا بأس حينئذ بالأخذ بظهور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يجعل ما 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عمرة عبادية محتاجة إلى قصد عدوله من امتثال شخص أمره إلى أمر آخر، كما هو ظاهر، و على ما ذكرنا أيضا جل من الأعاظم كما لا يخفى على من راجع</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 كيف كان، بعد ما جعل ما بيده عمرة يقضي الحج في</w:t>
      </w:r>
      <w:bookmarkStart w:id="287" w:name="pg19818_204077"/>
    </w:p>
    <w:p>
      <w:pPr>
        <w:pStyle w:val="BookText"/>
        <w:rPr/>
      </w:pPr>
      <w:bookmarkEnd w:id="287"/>
      <w:r>
        <w:rPr>
          <w:rFonts w:ascii="IRNazanin" w:hAnsi="IRNazanin" w:eastAsia="IRNazanin"/>
          <w:color w:val="111111"/>
          <w:sz w:val="28"/>
          <w:sz w:val="28"/>
          <w:szCs w:val="28"/>
          <w:rtl w:val="true"/>
          <w:lang w:bidi="fa-IR"/>
        </w:rPr>
        <w:t>القابل مع الوجوب، امتثالا لأمره</w:t>
      </w:r>
      <w:r>
        <w:rPr>
          <w:rFonts w:eastAsia="IRNazanin" w:cs="IRNazanin"/>
          <w:color w:val="111111"/>
          <w:sz w:val="28"/>
          <w:szCs w:val="28"/>
          <w:rtl w:val="true"/>
          <w:lang w:bidi="fa-IR"/>
        </w:rPr>
        <w:t>.</w:t>
      </w:r>
    </w:p>
    <w:p>
      <w:pPr>
        <w:pStyle w:val="Heading6"/>
        <w:numPr>
          <w:ilvl w:val="5"/>
          <w:numId w:val="1"/>
        </w:numPr>
        <w:rPr/>
      </w:pPr>
      <w:bookmarkStart w:id="288" w:name="__RefHeading___Toc3320894_2314609296"/>
      <w:bookmarkStart w:id="289" w:name="_Toc105"/>
      <w:bookmarkEnd w:id="288"/>
      <w:r>
        <w:rPr>
          <w:rtl w:val="true"/>
        </w:rPr>
        <w:t>الثالثة</w:t>
      </w:r>
      <w:r>
        <w:rPr>
          <w:rtl w:val="true"/>
        </w:rPr>
        <w:t xml:space="preserve">: </w:t>
      </w:r>
      <w:r>
        <w:rPr>
          <w:rtl w:val="true"/>
        </w:rPr>
        <w:t>يستحب الوقوف</w:t>
      </w:r>
      <w:bookmarkEnd w:id="289"/>
    </w:p>
    <w:p>
      <w:pPr>
        <w:pStyle w:val="BookText"/>
        <w:rPr/>
      </w:pPr>
      <w:r>
        <w:rPr>
          <w:rFonts w:ascii="Amiri" w:hAnsi="Amiri" w:eastAsia="Amiri" w:cs="Amiri"/>
          <w:color w:val="111111"/>
          <w:sz w:val="28"/>
          <w:sz w:val="28"/>
          <w:szCs w:val="28"/>
          <w:rtl w:val="true"/>
          <w:lang w:bidi="ar-SA"/>
        </w:rPr>
        <w:t>بالمشعر بعد الصلاة، لما تقدّم في النص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يستحب أيضا الدعاء بالمأثور، للنص المزبور الذي ورد الأمر فيه بالدعاء بعد الوقوف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يستحب وطء المشعر بالرجل للصرورة، و عن الحلبيين إطلاقه </w:t>
      </w:r>
      <w:r>
        <w:rPr>
          <w:rStyle w:val="FootnoteAnchor"/>
          <w:rtl w:val="true"/>
        </w:rPr>
        <w:footnoteReference w:id="603"/>
      </w:r>
      <w:r>
        <w:rPr>
          <w:rFonts w:ascii="Amiri" w:hAnsi="Amiri" w:eastAsia="Amiri" w:cs="Amiri"/>
          <w:color w:val="111111"/>
          <w:sz w:val="28"/>
          <w:sz w:val="28"/>
          <w:szCs w:val="28"/>
          <w:rtl w:val="true"/>
          <w:lang w:bidi="ar-SA"/>
        </w:rPr>
        <w:t>، و لكن في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يستحب للصورة أن يقف على المشعر الحرام و يطأه برجله</w:t>
      </w:r>
      <w:r>
        <w:rPr>
          <w:rFonts w:eastAsia="Amiri" w:cs="Amiri" w:ascii="Amiri" w:hAnsi="Amiri"/>
          <w:color w:val="111111"/>
          <w:sz w:val="28"/>
          <w:szCs w:val="28"/>
          <w:rtl w:val="true"/>
          <w:lang w:bidi="ar-SA"/>
        </w:rPr>
        <w:t xml:space="preserve">» </w:t>
      </w:r>
      <w:r>
        <w:rPr>
          <w:rStyle w:val="FootnoteAnchor"/>
          <w:rtl w:val="true"/>
        </w:rPr>
        <w:footnoteReference w:id="6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يطأه برجله، و في الجواهر وجّهه بجعل الواو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Style w:val="FootnoteAnchor"/>
          <w:rtl w:val="true"/>
        </w:rPr>
        <w:footnoteReference w:id="605"/>
      </w:r>
      <w:r>
        <w:rPr>
          <w:rFonts w:ascii="Amiri" w:hAnsi="Amiri" w:eastAsia="Amiri" w:cs="Amiri"/>
          <w:color w:val="111111"/>
          <w:sz w:val="28"/>
          <w:sz w:val="28"/>
          <w:szCs w:val="28"/>
          <w:rtl w:val="true"/>
          <w:lang w:bidi="ar-SA"/>
        </w:rPr>
        <w:t>، و في نسخة الرياض الموجودة عندي ذكر كلمة أو في مقام ذكر النص، و لعله بملاحظة موافقته لفتوى من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أي حال ففي النص تخصيص الحكم بالصرورة، فلا وجه للإطلاق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الصعود على قزح، و ذكر اللّٰه عليه كما روته العامة عن الصادق عن أبيه عن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النبي ركب القصوى الى آخره </w:t>
      </w:r>
      <w:r>
        <w:rPr>
          <w:rStyle w:val="FootnoteAnchor"/>
          <w:rtl w:val="true"/>
        </w:rPr>
        <w:footnoteReference w:id="606"/>
      </w:r>
      <w:r>
        <w:rPr>
          <w:rFonts w:ascii="Amiri" w:hAnsi="Amiri" w:eastAsia="Amiri" w:cs="Amiri"/>
          <w:color w:val="111111"/>
          <w:sz w:val="28"/>
          <w:sz w:val="28"/>
          <w:szCs w:val="28"/>
          <w:rtl w:val="true"/>
          <w:lang w:bidi="ar-SA"/>
        </w:rPr>
        <w:t>، المشتمل على مضمون ما في المتن، و مع التسامح في أدلة السنن يكفي ذلك و لا بأس به رجاء</w:t>
      </w:r>
      <w:r>
        <w:rPr>
          <w:rFonts w:eastAsia="Amiri" w:cs="Amiri" w:ascii="Amiri" w:hAnsi="Amiri"/>
          <w:color w:val="111111"/>
          <w:sz w:val="28"/>
          <w:szCs w:val="28"/>
          <w:rtl w:val="true"/>
          <w:lang w:bidi="ar-SA"/>
        </w:rPr>
        <w:t>.</w:t>
      </w:r>
    </w:p>
    <w:p>
      <w:pPr>
        <w:pStyle w:val="Heading6"/>
        <w:numPr>
          <w:ilvl w:val="5"/>
          <w:numId w:val="1"/>
        </w:numPr>
        <w:rPr/>
      </w:pPr>
      <w:bookmarkStart w:id="290" w:name="__RefHeading___Toc3320896_2314609296"/>
      <w:bookmarkStart w:id="291" w:name="_Toc106"/>
      <w:bookmarkEnd w:id="290"/>
      <w:r>
        <w:rPr>
          <w:rtl w:val="true"/>
        </w:rPr>
        <w:t>الرابعة</w:t>
      </w:r>
      <w:r>
        <w:rPr>
          <w:rtl w:val="true"/>
        </w:rPr>
        <w:t xml:space="preserve">: </w:t>
      </w:r>
      <w:r>
        <w:rPr>
          <w:rtl w:val="true"/>
        </w:rPr>
        <w:t>يستحب التقاط حصى الرمي منه</w:t>
      </w:r>
      <w:bookmarkEnd w:id="291"/>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لما في النص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w:t>
      </w:r>
      <w:bookmarkStart w:id="292" w:name="pg19818_204078"/>
    </w:p>
    <w:p>
      <w:pPr>
        <w:pStyle w:val="BookText"/>
        <w:rPr/>
      </w:pPr>
      <w:bookmarkEnd w:id="292"/>
      <w:r>
        <w:rPr>
          <w:rFonts w:ascii="Amiri" w:hAnsi="Amiri" w:eastAsia="Amiri" w:cs="Amiri"/>
          <w:color w:val="111111"/>
          <w:sz w:val="28"/>
          <w:sz w:val="28"/>
          <w:szCs w:val="28"/>
          <w:rtl w:val="true"/>
          <w:lang w:bidi="ar-SA"/>
        </w:rPr>
        <w:t>حصى الجمار من جمع، و إن أخذته من رحلك بمنى أجزأك</w:t>
      </w:r>
      <w:r>
        <w:rPr>
          <w:rFonts w:eastAsia="Amiri" w:cs="Amiri" w:ascii="Amiri" w:hAnsi="Amiri"/>
          <w:color w:val="111111"/>
          <w:sz w:val="28"/>
          <w:szCs w:val="28"/>
          <w:rtl w:val="true"/>
          <w:lang w:bidi="ar-SA"/>
        </w:rPr>
        <w:t xml:space="preserve">» </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يجوز أخذ الحصاة المزبورة من أي جهات الحرم كان عدا المساجد التي في الحرم، و في النص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يجوز أخذ حصى الجمار من جميع الحرم إلّا من المسجد الحرام و مسجد الخيف</w:t>
      </w:r>
      <w:r>
        <w:rPr>
          <w:rFonts w:eastAsia="Amiri" w:cs="Amiri" w:ascii="Amiri" w:hAnsi="Amiri"/>
          <w:color w:val="111111"/>
          <w:sz w:val="28"/>
          <w:szCs w:val="28"/>
          <w:rtl w:val="true"/>
          <w:lang w:bidi="ar-SA"/>
        </w:rPr>
        <w:t xml:space="preserve">» </w:t>
      </w:r>
      <w:r>
        <w:rPr>
          <w:rStyle w:val="FootnoteAnchor"/>
          <w:rtl w:val="true"/>
        </w:rPr>
        <w:footnoteReference w:id="608"/>
      </w:r>
      <w:r>
        <w:rPr>
          <w:rFonts w:ascii="Amiri" w:hAnsi="Amiri" w:eastAsia="Amiri" w:cs="Amiri"/>
          <w:color w:val="111111"/>
          <w:sz w:val="28"/>
          <w:sz w:val="28"/>
          <w:szCs w:val="28"/>
          <w:rtl w:val="true"/>
          <w:lang w:bidi="ar-SA"/>
        </w:rPr>
        <w:t>، و لا إطلاق فيه على وجه يشمل بقية المساجد، و لذا ذهب بعضهم الى تخصيص الحكم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مبنى القائل بإطلاق المساجد حرمة إخراج الحصى منها، و ذلك أيضا تضييق لدائرة التكليف، و إلّا فالوضع لا يتضيق به، بناء على كون الرمي ضد المأمور به،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يستحب أن تكون برشا بقدر الأنملة، كحلية، منفصلة، ملتقطة، لما في النص من الأمر بالأخذ من البرش و كره الصم منها </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نص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بقية القيود </w:t>
      </w:r>
      <w:r>
        <w:rPr>
          <w:rStyle w:val="FootnoteAnchor"/>
          <w:rtl w:val="true"/>
        </w:rPr>
        <w:footnoteReference w:id="610"/>
      </w:r>
      <w:r>
        <w:rPr>
          <w:rFonts w:ascii="Amiri" w:hAnsi="Amiri" w:eastAsia="Amiri" w:cs="Amiri"/>
          <w:color w:val="111111"/>
          <w:sz w:val="28"/>
          <w:sz w:val="28"/>
          <w:szCs w:val="28"/>
          <w:rtl w:val="true"/>
          <w:lang w:bidi="ar-SA"/>
        </w:rPr>
        <w:t xml:space="preserve">، فراجع إلى الجواهر ترى نصه كما حكينا </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3" w:name="__RefHeading___Toc3320898_2314609296"/>
      <w:bookmarkStart w:id="294" w:name="_Toc107"/>
      <w:bookmarkEnd w:id="293"/>
      <w:r>
        <w:rPr>
          <w:rtl w:val="true"/>
        </w:rPr>
        <w:t>الفصل الرابع</w:t>
      </w:r>
      <w:r>
        <w:rPr>
          <w:rtl w:val="true"/>
        </w:rPr>
        <w:t xml:space="preserve">: </w:t>
      </w:r>
      <w:r>
        <w:rPr>
          <w:rtl w:val="true"/>
        </w:rPr>
        <w:t>في نزول منى</w:t>
      </w:r>
      <w:bookmarkEnd w:id="294"/>
    </w:p>
    <w:p>
      <w:pPr>
        <w:pStyle w:val="Heading5"/>
        <w:numPr>
          <w:ilvl w:val="4"/>
          <w:numId w:val="1"/>
        </w:numPr>
        <w:rPr/>
      </w:pPr>
      <w:bookmarkStart w:id="295" w:name="__RefHeading___Toc3320900_2314609296"/>
      <w:bookmarkStart w:id="296" w:name="_Toc108"/>
      <w:bookmarkEnd w:id="295"/>
      <w:r>
        <w:rPr>
          <w:rtl w:val="true"/>
        </w:rPr>
        <w:t>و يجب يوم النحر بمنى ثلاثة</w:t>
      </w:r>
      <w:bookmarkEnd w:id="296"/>
    </w:p>
    <w:p>
      <w:pPr>
        <w:pStyle w:val="Heading6"/>
        <w:numPr>
          <w:ilvl w:val="5"/>
          <w:numId w:val="1"/>
        </w:numPr>
        <w:rPr/>
      </w:pPr>
      <w:bookmarkStart w:id="297" w:name="__RefHeading___Toc3320902_2314609296"/>
      <w:bookmarkStart w:id="298" w:name="_Toc109"/>
      <w:bookmarkEnd w:id="297"/>
      <w:r>
        <w:rPr>
          <w:rtl w:val="true"/>
        </w:rPr>
        <w:t>اشارة</w:t>
      </w:r>
      <w:bookmarkEnd w:id="298"/>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أمور، و مقتضى ذلك عدم كون نفس الوقوف بها واجبا إلّا من باب 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عدا الكون بها ليالي التشريق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ما يجي‌ء الكلام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واجب نفسي و على أي حال فتلك الأمور</w:t>
      </w:r>
      <w:r>
        <w:rPr>
          <w:rFonts w:eastAsia="Amiri" w:cs="Amiri" w:ascii="Amiri" w:hAnsi="Amiri"/>
          <w:color w:val="111111"/>
          <w:sz w:val="28"/>
          <w:szCs w:val="28"/>
          <w:rtl w:val="true"/>
          <w:lang w:bidi="ar-SA"/>
        </w:rPr>
        <w:t>:</w:t>
      </w:r>
      <w:bookmarkStart w:id="299" w:name="pg19818_204079"/>
    </w:p>
    <w:p>
      <w:pPr>
        <w:pStyle w:val="Heading6"/>
        <w:numPr>
          <w:ilvl w:val="5"/>
          <w:numId w:val="1"/>
        </w:numPr>
        <w:rPr/>
      </w:pPr>
      <w:bookmarkStart w:id="300" w:name="__RefHeading___Toc3320904_2314609296"/>
      <w:bookmarkStart w:id="301" w:name="_Toc110"/>
      <w:bookmarkEnd w:id="299"/>
      <w:bookmarkEnd w:id="300"/>
      <w:r>
        <w:rPr>
          <w:rtl w:val="true"/>
        </w:rPr>
        <w:t>أحدها</w:t>
      </w:r>
      <w:r>
        <w:rPr>
          <w:rtl w:val="true"/>
        </w:rPr>
        <w:t xml:space="preserve">: </w:t>
      </w:r>
      <w:r>
        <w:rPr>
          <w:rtl w:val="true"/>
        </w:rPr>
        <w:t>رمي جمرة العقبة</w:t>
      </w:r>
      <w:bookmarkEnd w:id="301"/>
    </w:p>
    <w:p>
      <w:pPr>
        <w:pStyle w:val="BookText"/>
        <w:rPr/>
      </w:pPr>
      <w:r>
        <w:rPr>
          <w:rFonts w:ascii="Amiri" w:hAnsi="Amiri" w:eastAsia="Amiri" w:cs="Amiri"/>
          <w:color w:val="111111"/>
          <w:sz w:val="28"/>
          <w:sz w:val="28"/>
          <w:szCs w:val="28"/>
          <w:rtl w:val="true"/>
          <w:lang w:bidi="ar-SA"/>
        </w:rPr>
        <w:t xml:space="preserve">على المشهور، بل عن السرائر نفي الخلاف فيه </w:t>
      </w:r>
      <w:r>
        <w:rPr>
          <w:rStyle w:val="FootnoteAnchor"/>
          <w:rtl w:val="true"/>
        </w:rPr>
        <w:footnoteReference w:id="6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طعن على من نسب الخلاف إلى الشيخ، بأنّ مراده من السنة كونه مأخوذا منها لا أنه ندب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فيكفي ظهور الأمر فيه في النص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ائت الجمرة القصوى فارم بها</w:t>
      </w:r>
      <w:r>
        <w:rPr>
          <w:rFonts w:eastAsia="Amiri" w:cs="Amiri" w:ascii="Amiri" w:hAnsi="Amiri"/>
          <w:color w:val="111111"/>
          <w:sz w:val="28"/>
          <w:szCs w:val="28"/>
          <w:rtl w:val="true"/>
          <w:lang w:bidi="ar-SA"/>
        </w:rPr>
        <w:t xml:space="preserve">» </w:t>
      </w:r>
      <w:r>
        <w:rPr>
          <w:rStyle w:val="FootnoteAnchor"/>
          <w:rtl w:val="true"/>
        </w:rPr>
        <w:footnoteReference w:id="6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هكذا في نصوص اخرى </w:t>
      </w:r>
      <w:r>
        <w:rPr>
          <w:rStyle w:val="FootnoteAnchor"/>
          <w:rtl w:val="true"/>
        </w:rPr>
        <w:footnoteReference w:id="614"/>
      </w:r>
      <w:r>
        <w:rPr>
          <w:rFonts w:ascii="Amiri" w:hAnsi="Amiri" w:eastAsia="Amiri" w:cs="Amiri"/>
          <w:color w:val="111111"/>
          <w:sz w:val="28"/>
          <w:sz w:val="28"/>
          <w:szCs w:val="28"/>
          <w:rtl w:val="true"/>
          <w:lang w:bidi="ar-SA"/>
        </w:rPr>
        <w:t>، مع عمل الأصحاب بظاهرها، فيكفي هذا المقدار لإثبات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بد أن يكون بسبع حصيات، لما في رواية أبي بصير من الأمر بأخذ واحدة تتميما لما في يده من الست </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أن تكون ملتقطة من الحرم غير المساجد، على خلاف في غير مسجد الحرام و الخيف،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لتكن الحصيات أبكارا، لما في النص من النهي عن أخذ حصى الجمار و من خارج الحرم </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أن يكون مع النية المقارنة لحين الرمي لا حين الإصابة إلى الجمرة، لأنّ الرمي عبادة محتاجة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يعتبر فيه أصابه الحصاة إلى الجمرة بفعله بما يسمّى رميا، فلا يجزئ غيره، لظاهر الأمر به، المنصرف إلى هذه الخصوصيات</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النص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رميت بحصاة فوقعت في المحمل فأعد مكانها</w:t>
      </w:r>
      <w:r>
        <w:rPr>
          <w:rFonts w:eastAsia="Amiri" w:cs="Amiri" w:ascii="Amiri" w:hAnsi="Amiri"/>
          <w:color w:val="111111"/>
          <w:sz w:val="28"/>
          <w:szCs w:val="28"/>
          <w:rtl w:val="true"/>
          <w:lang w:bidi="ar-SA"/>
        </w:rPr>
        <w:t xml:space="preserve">» </w:t>
      </w:r>
      <w:r>
        <w:rPr>
          <w:rStyle w:val="FootnoteAnchor"/>
          <w:rtl w:val="true"/>
        </w:rPr>
        <w:footnoteReference w:id="617"/>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إطلاقه يشمل ما لو أصابت الجمرة بعده بحركته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في قباله ما في ذيله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أصابت إنسانا أو جملا ثم وقعت على الجمار أجزأك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بذلك يقيّد إطلاق الصدر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لم تصدق أصابته إليها برميه لم يجز، و لا يجزئ أيضا لو قصرت حركته فأصابتها بتحريك غيره، لعدم صدق أصابتها برميه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انه لو شك في الإصابة فالأصل العدم، فيعيد كما هو الشأن لو شك في العدد حين التشاغل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صدق التجاوز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بالدخول في فعل آخر مرتب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فيبني على وجوده لقاعدة التجاوز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انه لو شك في انه وقعت السبعة بدفعات أو مرة، بعد صدق الفراغ عنه، يبني على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يعتبر فيه أيضا أن يكون متعاقبا و إن كانت الإصابة مرة، و لا يجدي العكس، للشك في اندراج الثاني في الدليل، بخلاف الأول، لشمول الإطلاق له،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يستحب أن تكون الحصاة رخوة غير صلبة، و في النص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كره الصم منها</w:t>
      </w:r>
      <w:r>
        <w:rPr>
          <w:rFonts w:eastAsia="Amiri" w:cs="Amiri" w:ascii="Amiri" w:hAnsi="Amiri"/>
          <w:color w:val="111111"/>
          <w:sz w:val="28"/>
          <w:szCs w:val="28"/>
          <w:rtl w:val="true"/>
          <w:lang w:bidi="ar-SA"/>
        </w:rPr>
        <w:t xml:space="preserve">» </w:t>
      </w:r>
      <w:r>
        <w:rPr>
          <w:rStyle w:val="FootnoteAnchor"/>
          <w:rtl w:val="true"/>
        </w:rPr>
        <w:footnoteReference w:id="618"/>
      </w:r>
      <w:r>
        <w:rPr>
          <w:rFonts w:ascii="Amiri" w:hAnsi="Amiri" w:eastAsia="Amiri" w:cs="Amiri"/>
          <w:color w:val="111111"/>
          <w:sz w:val="28"/>
          <w:sz w:val="28"/>
          <w:szCs w:val="28"/>
          <w:rtl w:val="true"/>
          <w:lang w:bidi="ar-SA"/>
        </w:rPr>
        <w:t>، و في اقتضائه استحباب الرخوة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تكون برشا قدر الأنملة ملتقطة، لا مكسرة، و لا صلبة، كل ذلك لما عرفت وجه بعضها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عدم الكسر فلرواية أبي بصير </w:t>
      </w:r>
      <w:r>
        <w:rPr>
          <w:rStyle w:val="FootnoteAnchor"/>
          <w:rtl w:val="true"/>
        </w:rPr>
        <w:footnoteReference w:id="619"/>
      </w:r>
      <w:r>
        <w:rPr>
          <w:rFonts w:ascii="Amiri" w:hAnsi="Amiri" w:eastAsia="Amiri" w:cs="Amiri"/>
          <w:color w:val="111111"/>
          <w:sz w:val="28"/>
          <w:sz w:val="28"/>
          <w:szCs w:val="28"/>
          <w:rtl w:val="true"/>
          <w:lang w:bidi="ar-SA"/>
        </w:rPr>
        <w:t>، بناء على كون الغرض من النهي عن كسره عدم الرمي بمكسوره، و إلّا فلا يرتبط بالمدعى</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يستحب الدعاء عند كل حصاة، لما في النص من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الحصى في يدك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w:t>
      </w:r>
      <w:r>
        <w:rPr>
          <w:rFonts w:eastAsia="Amiri" w:cs="Amiri" w:ascii="Amiri" w:hAnsi="Amiri"/>
          <w:color w:val="111111"/>
          <w:sz w:val="28"/>
          <w:szCs w:val="28"/>
          <w:rtl w:val="true"/>
          <w:lang w:bidi="ar-SA"/>
        </w:rPr>
        <w:t xml:space="preserve">» </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الطهارة حال الرمي، لما في النص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يستحب أن يرمى الجمار عن طهر</w:t>
      </w:r>
      <w:r>
        <w:rPr>
          <w:rFonts w:eastAsia="Amiri" w:cs="Amiri" w:ascii="Amiri" w:hAnsi="Amiri"/>
          <w:color w:val="111111"/>
          <w:sz w:val="28"/>
          <w:szCs w:val="28"/>
          <w:rtl w:val="true"/>
          <w:lang w:bidi="ar-SA"/>
        </w:rPr>
        <w:t xml:space="preserve">» </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التباعد بين الرامي و المرمى إليه بمقدار عشرة أذرع إلى خمسة عشرة ذراعا، لحسنة معاوية، المشتملة على نظير ما في الكتاب، من قوله عشرة أذرع أو خمسة عشر </w:t>
      </w:r>
      <w:r>
        <w:rPr>
          <w:rStyle w:val="FootnoteAnchor"/>
          <w:rtl w:val="true"/>
        </w:rPr>
        <w:footnoteReference w:id="6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حمل الترديد على بيان مراتب الفضيلة، و يمكن أن يكون لبيان حدي الأقل و الأكثر في أصل الفضل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نص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التعبير بالخطوة </w:t>
      </w:r>
      <w:r>
        <w:rPr>
          <w:rStyle w:val="FootnoteAnchor"/>
          <w:rtl w:val="true"/>
        </w:rPr>
        <w:footnoteReference w:id="623"/>
      </w:r>
      <w:r>
        <w:rPr>
          <w:rFonts w:ascii="Amiri" w:hAnsi="Amiri" w:eastAsia="Amiri" w:cs="Amiri"/>
          <w:color w:val="111111"/>
          <w:sz w:val="28"/>
          <w:sz w:val="28"/>
          <w:szCs w:val="28"/>
          <w:rtl w:val="true"/>
          <w:lang w:bidi="ar-SA"/>
        </w:rPr>
        <w:t>، و هو قريب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يكون الرمي خذفا، و في النص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تخذفهن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الحصاة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خذفا</w:t>
      </w:r>
      <w:r>
        <w:rPr>
          <w:rFonts w:eastAsia="Amiri" w:cs="Amiri" w:ascii="Amiri" w:hAnsi="Amiri"/>
          <w:color w:val="111111"/>
          <w:sz w:val="28"/>
          <w:szCs w:val="28"/>
          <w:rtl w:val="true"/>
          <w:lang w:bidi="ar-SA"/>
        </w:rPr>
        <w:t xml:space="preserve">» </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أن يستقبل هذه الجمرة و يستدبر القبلة، لما حكي عن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النبي صلّى اللّٰه عليه و آله فعل هكذا </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حسن معاوية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فارمها من قبل وجهها و لا ترمها من أعلاها</w:t>
      </w:r>
      <w:r>
        <w:rPr>
          <w:rFonts w:eastAsia="Amiri" w:cs="Amiri" w:ascii="Amiri" w:hAnsi="Amiri"/>
          <w:color w:val="111111"/>
          <w:sz w:val="28"/>
          <w:szCs w:val="28"/>
          <w:rtl w:val="true"/>
          <w:lang w:bidi="ar-SA"/>
        </w:rPr>
        <w:t xml:space="preserve">» </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غيرها يستقبلهما، أما استقبال الجمرة فلانصراف الإطلاقات إليه، و أما استقبال الكعبة فإنه خير المجالس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نقف على رواية بالخصوص عدا المرسلة </w:t>
      </w:r>
      <w:r>
        <w:rPr>
          <w:rStyle w:val="FootnoteAnchor"/>
          <w:rtl w:val="true"/>
        </w:rPr>
        <w:footnoteReference w:id="627"/>
      </w:r>
      <w:r>
        <w:rPr>
          <w:rFonts w:ascii="Amiri" w:hAnsi="Amiri" w:eastAsia="Amiri" w:cs="Amiri"/>
          <w:color w:val="111111"/>
          <w:sz w:val="28"/>
          <w:sz w:val="28"/>
          <w:szCs w:val="28"/>
          <w:rtl w:val="true"/>
          <w:lang w:bidi="ar-SA"/>
        </w:rPr>
        <w:t>، و الأمر فيه بعد التسامح في الأدلة سهل فلا بأس</w:t>
      </w:r>
    </w:p>
    <w:p>
      <w:pPr>
        <w:pStyle w:val="BookText"/>
        <w:rPr/>
      </w:pPr>
      <w:r>
        <w:rPr>
          <w:rFonts w:ascii="IRNazanin" w:hAnsi="IRNazanin" w:eastAsia="IRNazanin"/>
          <w:color w:val="111111"/>
          <w:sz w:val="28"/>
          <w:sz w:val="28"/>
          <w:szCs w:val="28"/>
          <w:rtl w:val="true"/>
          <w:lang w:bidi="fa-IR"/>
        </w:rPr>
        <w:t>به رجاء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يجوز الرمي عن العليل بلا اشكال مع بقاء العلة إلى آخر وقته،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مع عدمه، لإطلاق النص و الفتوى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النص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الكسير و المبطون يرمي عنهما، و الصبيان يرمي عنهم </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الموثقة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المريض يرمى عنه الجمار</w:t>
      </w:r>
      <w:r>
        <w:rPr>
          <w:rFonts w:eastAsia="Amiri" w:cs="Amiri" w:ascii="Amiri" w:hAnsi="Amiri"/>
          <w:color w:val="111111"/>
          <w:sz w:val="28"/>
          <w:szCs w:val="28"/>
          <w:rtl w:val="true"/>
          <w:lang w:bidi="ar-SA"/>
        </w:rPr>
        <w:t xml:space="preserve">» </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شمول إطلاقها لصورة العلم بالبرء في يومه الذي هو وقته نظر، لانصراف الإطلاقات المزبورة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بحكم الغلبة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صورة البقاء في تمام اليوم، كما سيجي‌ء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فلو لا استفادة الإجماع من إطلاق الكلمات لمثل هذه الصورة، كان للنظر، فيه مجال، كما هو الشأن في غير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إطلاقها يقتضي عدم شرطية الاستئذان، بل المقام من باب النيابة الجعلية الإلهية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النص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يرمي عن المغمى عليه</w:t>
      </w:r>
      <w:r>
        <w:rPr>
          <w:rFonts w:eastAsia="Amiri" w:cs="Amiri" w:ascii="Amiri" w:hAnsi="Amiri"/>
          <w:color w:val="111111"/>
          <w:sz w:val="28"/>
          <w:szCs w:val="28"/>
          <w:rtl w:val="true"/>
          <w:lang w:bidi="ar-SA"/>
        </w:rPr>
        <w:t xml:space="preserve">» </w:t>
      </w:r>
      <w:r>
        <w:rPr>
          <w:rStyle w:val="FootnoteAnchor"/>
          <w:rtl w:val="true"/>
        </w:rPr>
        <w:footnoteReference w:id="6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اقتضائه الاجزاء مع كشف التمكن في خارج الوقت وجه، للإطلاق المنصرف إلى بيان وظيفته، التي بإتيانها كان يسقط تكليفه، و إن كانت القاعدة الأولية لا تقتضي الاجزاء، لعدم كشف مثل هذه الأوامر عن البدلية التامة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لا نظرها إلى حيث إسقاط الوظيفة رأسا، و لو بتفويت محلها على وجه لا يبقى مجال للتدارك، كان لإطلاقاتها الأولية في وجوب القيام بها مع التمكن مجال</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الشاهد على ما ذكرنا عدم جواز تحصيل العذر و تفويت الاختيار، و لو</w:t>
      </w:r>
      <w:bookmarkStart w:id="302" w:name="pg19818_204083"/>
    </w:p>
    <w:p>
      <w:pPr>
        <w:pStyle w:val="BookText"/>
        <w:rPr/>
      </w:pPr>
      <w:bookmarkEnd w:id="302"/>
      <w:r>
        <w:rPr>
          <w:rFonts w:ascii="Amiri" w:hAnsi="Amiri" w:eastAsia="Amiri" w:cs="Amiri"/>
          <w:color w:val="111111"/>
          <w:sz w:val="28"/>
          <w:sz w:val="28"/>
          <w:szCs w:val="28"/>
          <w:rtl w:val="true"/>
          <w:lang w:bidi="ar-SA"/>
        </w:rPr>
        <w:t>كان وافيا بتمام مراتب المبدل، و لو كان في ظرف الاضطرار جائزا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نقول بأنّ الأجزاء في أمثال المقام، على فرض ثبوته لا بد أن يكون من باب تفويت محل التدارك، لا من باب الوفاء بتمام المصلحة المتداركة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ينافي ذلك أيضا جواز اقدامه بالفعل الاضطراري، حتى مع علمه بطروء الاختيار في الوقت، على القول به، لإمكان قيام مصلحة في ترخيص التفويت لما زاد بتعجيله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الأمر كل ذلك يحتاج إلى دليل واف بإطلاقه لجميع المراحل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أشرنا في بعض مسائل الصلاة، إلى أن بناء الأصحاب في كلية الصلوات الاضطرارية، بل و كذلك في الصوم، على الأجزاء و عدم وجوب القضاء بعود التمكن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يبعد دعوى إلحاق باب الحج أيضا بهما من تلك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نظرهم إلى استفادتهم من إطلاقات الأوامر الاضطرارية الواردة في المواقع الخاصة، كونها في مقام بيان الوظيفة المسقطة لما في عهدة المكلف من التكليف، فتدبر في أمثال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للرمي أحكاما أخر ستجي‌ء عند الرجوع إلى منى بعد الطواف و السعي، و سنعرضها عند كلام المصنف إن شاء اللّٰه</w:t>
      </w:r>
      <w:r>
        <w:rPr>
          <w:rFonts w:eastAsia="Amiri" w:cs="Amiri" w:ascii="Amiri" w:hAnsi="Amiri"/>
          <w:color w:val="111111"/>
          <w:sz w:val="28"/>
          <w:szCs w:val="28"/>
          <w:rtl w:val="true"/>
          <w:lang w:bidi="ar-SA"/>
        </w:rPr>
        <w:t>.</w:t>
      </w:r>
    </w:p>
    <w:p>
      <w:pPr>
        <w:pStyle w:val="Heading6"/>
        <w:numPr>
          <w:ilvl w:val="5"/>
          <w:numId w:val="1"/>
        </w:numPr>
        <w:rPr/>
      </w:pPr>
      <w:bookmarkStart w:id="303" w:name="__RefHeading___Toc3320906_2314609296"/>
      <w:bookmarkStart w:id="304" w:name="_Toc111"/>
      <w:bookmarkEnd w:id="303"/>
      <w:r>
        <w:rPr>
          <w:rtl w:val="true"/>
        </w:rPr>
        <w:t>الثاني من الواجبات في منى على المتمتع</w:t>
      </w:r>
      <w:r>
        <w:rPr>
          <w:rtl w:val="true"/>
        </w:rPr>
        <w:t xml:space="preserve">: </w:t>
      </w:r>
      <w:r>
        <w:rPr>
          <w:rtl w:val="true"/>
        </w:rPr>
        <w:t>الذبح،</w:t>
      </w:r>
      <w:bookmarkEnd w:id="304"/>
    </w:p>
    <w:p>
      <w:pPr>
        <w:pStyle w:val="Heading6"/>
        <w:numPr>
          <w:ilvl w:val="5"/>
          <w:numId w:val="1"/>
        </w:numPr>
        <w:rPr/>
      </w:pPr>
      <w:bookmarkStart w:id="305" w:name="__RefHeading___Toc3320908_2314609296"/>
      <w:bookmarkStart w:id="306" w:name="_Toc112"/>
      <w:bookmarkEnd w:id="305"/>
      <w:r>
        <w:rPr>
          <w:rtl w:val="true"/>
        </w:rPr>
        <w:t>اشارة</w:t>
      </w:r>
      <w:bookmarkEnd w:id="306"/>
    </w:p>
    <w:p>
      <w:pPr>
        <w:pStyle w:val="BookText"/>
        <w:rPr/>
      </w:pPr>
      <w:r>
        <w:rPr>
          <w:rFonts w:ascii="Amiri" w:hAnsi="Amiri" w:eastAsia="Amiri" w:cs="Amiri"/>
          <w:color w:val="111111"/>
          <w:sz w:val="28"/>
          <w:sz w:val="28"/>
          <w:szCs w:val="28"/>
          <w:rtl w:val="true"/>
          <w:lang w:bidi="ar-SA"/>
        </w:rPr>
        <w:t>و يجب الرمي ثم الذبح مرتبا كترتب الحلق على الذبح أيضا، بلا إشكال في أصل الوجوب</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الوجوب فلنص سعيد الأعرج، المشتمل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تمتع في أشهر الحج ثمّ أقام بمكة حتى يحضر الحج فعليه شاة، و إن تمتع في غير أشهر الحج ثم تجاوز مكة حتى يحضر الحج فليس عليه دم </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نص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على المتمتع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الهدي؟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أفضله بدنه، و أوسطه بقرة، و أخسه شاة</w:t>
      </w:r>
      <w:r>
        <w:rPr>
          <w:rFonts w:eastAsia="Amiri" w:cs="Amiri" w:ascii="Amiri" w:hAnsi="Amiri"/>
          <w:color w:val="111111"/>
          <w:sz w:val="28"/>
          <w:szCs w:val="28"/>
          <w:rtl w:val="true"/>
          <w:lang w:bidi="ar-SA"/>
        </w:rPr>
        <w:t xml:space="preserve">» </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الترتيب المزبور، فنسب إلى أكثر المتأخرين، و عمدة ما دل على الترتيب بين الرمي و الهدي قوله في نص سعيد السمان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فأمر من كان عليها منهن هدي أن ترمي و لا تبرح حتى تذبح</w:t>
      </w:r>
      <w:r>
        <w:rPr>
          <w:rFonts w:eastAsia="Amiri" w:cs="Amiri" w:ascii="Amiri" w:hAnsi="Amiri"/>
          <w:color w:val="111111"/>
          <w:sz w:val="28"/>
          <w:szCs w:val="28"/>
          <w:rtl w:val="true"/>
          <w:lang w:bidi="ar-SA"/>
        </w:rPr>
        <w:t xml:space="preserve">» </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نص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فيرمين الجمرة ثم يصبرن ساعة ثم ليقصرن</w:t>
      </w:r>
      <w:r>
        <w:rPr>
          <w:rFonts w:eastAsia="Amiri" w:cs="Amiri" w:ascii="Amiri" w:hAnsi="Amiri"/>
          <w:color w:val="111111"/>
          <w:sz w:val="28"/>
          <w:szCs w:val="28"/>
          <w:rtl w:val="true"/>
          <w:lang w:bidi="ar-SA"/>
        </w:rPr>
        <w:t xml:space="preserve">» </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فيرمين الجمرة، فإن لم يكن عليهن ذبح فليأخذن من شعورهن</w:t>
      </w:r>
      <w:r>
        <w:rPr>
          <w:rFonts w:eastAsia="Amiri" w:cs="Amiri" w:ascii="Amiri" w:hAnsi="Amiri"/>
          <w:color w:val="111111"/>
          <w:sz w:val="28"/>
          <w:szCs w:val="28"/>
          <w:rtl w:val="true"/>
          <w:lang w:bidi="ar-SA"/>
        </w:rPr>
        <w:t xml:space="preserve">» </w:t>
      </w:r>
      <w:r>
        <w:rPr>
          <w:rStyle w:val="FootnoteAnchor"/>
          <w:rtl w:val="true"/>
        </w:rPr>
        <w:footnoteReference w:id="6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فمفهومه دال على تقديم الذبح على التقصير، بل في نص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التصريح به،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ذبحت أضحيتك فاحلق رأسك</w:t>
      </w:r>
      <w:r>
        <w:rPr>
          <w:rFonts w:eastAsia="Amiri" w:cs="Amiri" w:ascii="Amiri" w:hAnsi="Amiri"/>
          <w:color w:val="111111"/>
          <w:sz w:val="28"/>
          <w:szCs w:val="28"/>
          <w:rtl w:val="true"/>
          <w:lang w:bidi="ar-SA"/>
        </w:rPr>
        <w:t xml:space="preserve">» </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مع ذلك كله ذهب جماعة إلى عدم وجوب الترتيب، منهم صاحب الرياض </w:t>
      </w:r>
      <w:r>
        <w:rPr>
          <w:rStyle w:val="FootnoteAnchor"/>
          <w:rtl w:val="true"/>
        </w:rPr>
        <w:footnoteReference w:id="637"/>
      </w:r>
      <w:r>
        <w:rPr>
          <w:rFonts w:ascii="Amiri" w:hAnsi="Amiri" w:eastAsia="Amiri" w:cs="Amiri"/>
          <w:color w:val="111111"/>
          <w:sz w:val="28"/>
          <w:sz w:val="28"/>
          <w:szCs w:val="28"/>
          <w:rtl w:val="true"/>
          <w:lang w:bidi="ar-SA"/>
        </w:rPr>
        <w:t xml:space="preserve">، بل و عن العلّامة في المختلف أيضا </w:t>
      </w:r>
      <w:r>
        <w:rPr>
          <w:rStyle w:val="FootnoteAnchor"/>
          <w:rtl w:val="true"/>
        </w:rPr>
        <w:footnoteReference w:id="6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مستندين في ذلك إلى ما في خبر أحمد بن محمد بن أبي نصر المشتمل على قول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حرج</w:t>
      </w:r>
      <w:r>
        <w:rPr>
          <w:rFonts w:eastAsia="Amiri" w:cs="Amiri" w:ascii="Amiri" w:hAnsi="Amiri"/>
          <w:color w:val="111111"/>
          <w:sz w:val="28"/>
          <w:szCs w:val="28"/>
          <w:rtl w:val="true"/>
          <w:lang w:bidi="ar-SA"/>
        </w:rPr>
        <w:t xml:space="preserve">» </w:t>
      </w:r>
      <w:r>
        <w:rPr>
          <w:rStyle w:val="FootnoteAnchor"/>
          <w:rtl w:val="true"/>
        </w:rPr>
        <w:footnoteReference w:id="639"/>
      </w:r>
      <w:r>
        <w:rPr>
          <w:rFonts w:ascii="Amiri" w:hAnsi="Amiri" w:eastAsia="Amiri" w:cs="Amiri"/>
          <w:color w:val="111111"/>
          <w:sz w:val="28"/>
          <w:sz w:val="28"/>
          <w:szCs w:val="28"/>
          <w:rtl w:val="true"/>
          <w:lang w:bidi="ar-SA"/>
        </w:rPr>
        <w:t>فيمن قدّم ما لا ينبغي تقديمه، و أخّر ما لا ينبغي تأخيره من الأمور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ترك الاستفصال يكشف عن إطلاقه لحال العمد أيضا</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توهم صرف نفي الحرج في الرواية إلى ما توهمه السائل، من بطلان حجهم بعد علمهم ذلك، مدفوع بأنّ إطلاقه يقتضي الترخيص فيما فعلوا، و هو</w:t>
      </w:r>
    </w:p>
    <w:p>
      <w:pPr>
        <w:pStyle w:val="BookText"/>
        <w:rPr/>
      </w:pPr>
      <w:r>
        <w:rPr>
          <w:rFonts w:ascii="Amiri" w:hAnsi="Amiri" w:eastAsia="Amiri" w:cs="Amiri"/>
          <w:color w:val="111111"/>
          <w:sz w:val="28"/>
          <w:sz w:val="28"/>
          <w:szCs w:val="28"/>
          <w:rtl w:val="true"/>
          <w:lang w:bidi="ar-SA"/>
        </w:rPr>
        <w:t>كاشف عن جوازه، و بمثل ذلك أمكن رفع اليد عن النهي عن العود في نص آخر، و عن النصوص السابقة، بالحمل على الفضيلة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الأمر دائر بين هذا الجمع و جمع آخر، بالتزام التقييد في إطلاق نفي الحرج، و صرفه إلى نفي اعادة العمل، و عدم الضير بالمخالفة عمدا، كما عليه الأصحاب أيضا، عدا النادر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الدوران يرجع الأمر إلى التعيين و التخيير، و قاعدة الاشتغال تقتضي الترتيب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أي حال لا إشكال في عدم ركنية الترتيب المزبور، فلو تركه عمدا لا ضير فيه، لصحيح ابن سنان المشتمل على نفي البأس، و النهي عن العود لمثل ذلك </w:t>
      </w:r>
      <w:r>
        <w:rPr>
          <w:rStyle w:val="FootnoteAnchor"/>
          <w:rtl w:val="true"/>
        </w:rPr>
        <w:footnoteReference w:id="6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الأمر بإمرار الموسى بعد الحلق </w:t>
      </w:r>
      <w:r>
        <w:rPr>
          <w:rStyle w:val="FootnoteAnchor"/>
          <w:rtl w:val="true"/>
        </w:rPr>
        <w:footnoteReference w:id="641"/>
      </w:r>
      <w:r>
        <w:rPr>
          <w:rFonts w:ascii="IRNazanin" w:hAnsi="IRNazanin" w:eastAsia="IRNazanin"/>
          <w:color w:val="111111"/>
          <w:sz w:val="28"/>
          <w:sz w:val="28"/>
          <w:szCs w:val="28"/>
          <w:rtl w:val="true"/>
          <w:lang w:bidi="fa-IR"/>
        </w:rPr>
        <w:t>، محمول على ضرب من الندب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كما انّ التمسك بالآية الشريفة </w:t>
      </w:r>
      <w:r>
        <w:rPr>
          <w:rStyle w:val="FootnoteAnchor"/>
          <w:rtl w:val="true"/>
        </w:rPr>
        <w:footnoteReference w:id="642"/>
      </w:r>
      <w:r>
        <w:rPr>
          <w:rFonts w:ascii="Amiri" w:hAnsi="Amiri" w:eastAsia="Amiri" w:cs="Amiri"/>
          <w:color w:val="111111"/>
          <w:sz w:val="28"/>
          <w:sz w:val="28"/>
          <w:szCs w:val="28"/>
          <w:rtl w:val="true"/>
          <w:lang w:bidi="ar-SA"/>
        </w:rPr>
        <w:t>أيضا كاشف عن أصل الترتيب، لا على وجوب العود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الظاهر أنّ التمسك بها كان لعوده، و حينئذ حمل ذلك على الندب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بقرينة نفي البأس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يضر بدلالة الآية أيضا</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أي الذبح عبارة عن الهدي على المتمتع خاصة في الفرض و النفل، و يدل عليه نص سعيد </w:t>
      </w:r>
      <w:r>
        <w:rPr>
          <w:rStyle w:val="FootnoteAnchor"/>
          <w:rtl w:val="true"/>
        </w:rPr>
        <w:footnoteReference w:id="643"/>
      </w:r>
      <w:r>
        <w:rPr>
          <w:rFonts w:ascii="Amiri" w:hAnsi="Amiri" w:eastAsia="Amiri" w:cs="Amiri"/>
          <w:color w:val="111111"/>
          <w:sz w:val="28"/>
          <w:sz w:val="28"/>
          <w:szCs w:val="28"/>
          <w:rtl w:val="true"/>
          <w:lang w:bidi="ar-SA"/>
        </w:rPr>
        <w:t>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إطلاقه يشمل الفرض و النفل، و نظيره في نفي الوجوب عن غيره ما في خبر إسحاق،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لم يكن متمتعا لا يجب عليه الهدي</w:t>
      </w:r>
      <w:r>
        <w:rPr>
          <w:rFonts w:eastAsia="Amiri" w:cs="Amiri" w:ascii="Amiri" w:hAnsi="Amiri"/>
          <w:color w:val="111111"/>
          <w:sz w:val="28"/>
          <w:szCs w:val="28"/>
          <w:rtl w:val="true"/>
          <w:lang w:bidi="ar-SA"/>
        </w:rPr>
        <w:t xml:space="preserve">» </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في صحيح العيص في رجل اعتمر في رجب،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أقام بمكة حتى يخرج منها حاجا فقد وجب عليه الهدي</w:t>
      </w:r>
      <w:r>
        <w:rPr>
          <w:rFonts w:eastAsia="Amiri" w:cs="Amiri" w:ascii="Amiri" w:hAnsi="Amiri"/>
          <w:color w:val="111111"/>
          <w:sz w:val="28"/>
          <w:szCs w:val="28"/>
          <w:rtl w:val="true"/>
          <w:lang w:bidi="ar-SA"/>
        </w:rPr>
        <w:t xml:space="preserve">» </w:t>
      </w:r>
      <w:r>
        <w:rPr>
          <w:rStyle w:val="FootnoteAnchor"/>
          <w:rtl w:val="true"/>
        </w:rPr>
        <w:footnoteReference w:id="645"/>
      </w:r>
      <w:r>
        <w:rPr>
          <w:rFonts w:ascii="Amiri" w:hAnsi="Amiri" w:eastAsia="Amiri" w:cs="Amiri"/>
          <w:color w:val="111111"/>
          <w:sz w:val="28"/>
          <w:sz w:val="28"/>
          <w:szCs w:val="28"/>
          <w:rtl w:val="true"/>
          <w:lang w:bidi="ar-SA"/>
        </w:rPr>
        <w:t>، محمول على إقامته فيها ليحج متمتعا بعمرة جديدة في أشهرها، و لو بقرينة ذيله، و إلّا فيطرح باعراض المشهور، الموهن لسنده، أو جهته الموافقة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أيضا لو لا حمله على الاستحباب، بقرينة النصوص النافية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إطلاق النصوص السابقة يشمل المكي المتمتع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توهم رجوع الإشارة في الآية الشريفة إلى الهدي، خلاف النصوص المفسرة لها بالتمتع، فتوهم سلار حينئذ </w:t>
      </w:r>
      <w:r>
        <w:rPr>
          <w:rStyle w:val="FootnoteAnchor"/>
          <w:rtl w:val="true"/>
        </w:rPr>
        <w:footnoteReference w:id="646"/>
      </w:r>
      <w:r>
        <w:rPr>
          <w:rFonts w:ascii="Amiri" w:hAnsi="Amiri" w:eastAsia="Amiri" w:cs="Amiri"/>
          <w:color w:val="111111"/>
          <w:sz w:val="28"/>
          <w:sz w:val="28"/>
          <w:szCs w:val="28"/>
          <w:rtl w:val="true"/>
          <w:lang w:bidi="ar-SA"/>
        </w:rPr>
        <w:t>في غير محله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للمولى إلزام المملوك، بالصوم أو أن يهدي عنه بلا اشكال، و في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فمره فليصم، و إن شئت فاذبح عنه</w:t>
      </w:r>
      <w:r>
        <w:rPr>
          <w:rFonts w:eastAsia="Amiri" w:cs="Amiri" w:ascii="Amiri" w:hAnsi="Amiri"/>
          <w:color w:val="111111"/>
          <w:sz w:val="28"/>
          <w:szCs w:val="28"/>
          <w:rtl w:val="true"/>
          <w:lang w:bidi="ar-SA"/>
        </w:rPr>
        <w:t xml:space="preserve">» </w:t>
      </w:r>
      <w:r>
        <w:rPr>
          <w:rStyle w:val="FootnoteAnchor"/>
          <w:rtl w:val="true"/>
        </w:rPr>
        <w:footnoteReference w:id="647"/>
      </w:r>
      <w:r>
        <w:rPr>
          <w:rFonts w:ascii="Amiri" w:hAnsi="Amiri" w:eastAsia="Amiri" w:cs="Amiri"/>
          <w:color w:val="111111"/>
          <w:sz w:val="28"/>
          <w:sz w:val="28"/>
          <w:szCs w:val="28"/>
          <w:rtl w:val="true"/>
          <w:lang w:bidi="ar-SA"/>
        </w:rPr>
        <w:t xml:space="preserve">، و نظيرها غيرها </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ما في خبر علي بن حمزة من أمر المولى بالذبح عنه </w:t>
      </w:r>
      <w:r>
        <w:rPr>
          <w:rStyle w:val="FootnoteAnchor"/>
          <w:rtl w:val="true"/>
        </w:rPr>
        <w:footnoteReference w:id="649"/>
      </w:r>
      <w:r>
        <w:rPr>
          <w:rFonts w:ascii="Amiri" w:hAnsi="Amiri" w:eastAsia="Amiri" w:cs="Amiri"/>
          <w:color w:val="111111"/>
          <w:sz w:val="28"/>
          <w:sz w:val="28"/>
          <w:szCs w:val="28"/>
          <w:rtl w:val="true"/>
          <w:lang w:bidi="ar-SA"/>
        </w:rPr>
        <w:t>، محمول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بقرينة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الندب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أعتق قبل أحد الموقفين لزمه أي العبد المعتق الهدي مع القدرة و إلّا صام، لارتفاع المانع، بل و في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أعتق قبل صومه لزمه الهدي و إن لم تكن حجته حجة الإسلام </w:t>
      </w:r>
      <w:r>
        <w:rPr>
          <w:rStyle w:val="FootnoteAnchor"/>
          <w:rtl w:val="true"/>
        </w:rPr>
        <w:footnoteReference w:id="650"/>
      </w:r>
      <w:r>
        <w:rPr>
          <w:rFonts w:ascii="Amiri" w:hAnsi="Amiri" w:eastAsia="Amiri" w:cs="Amiri"/>
          <w:color w:val="111111"/>
          <w:sz w:val="28"/>
          <w:sz w:val="28"/>
          <w:szCs w:val="28"/>
          <w:rtl w:val="true"/>
          <w:lang w:bidi="ar-SA"/>
        </w:rPr>
        <w:t>، لما تقدّم من شرطية الحرية فيها</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اختصاص الآية، الموجبة للهدي بحجة الإسلام نظر، بل إطلاق وجوب</w:t>
      </w:r>
      <w:bookmarkStart w:id="307" w:name="pg19818_204087"/>
    </w:p>
    <w:p>
      <w:pPr>
        <w:pStyle w:val="BookText"/>
        <w:rPr/>
      </w:pPr>
      <w:bookmarkEnd w:id="307"/>
      <w:r>
        <w:rPr>
          <w:rFonts w:ascii="Amiri" w:hAnsi="Amiri" w:eastAsia="Amiri" w:cs="Amiri"/>
          <w:color w:val="111111"/>
          <w:sz w:val="28"/>
          <w:sz w:val="28"/>
          <w:szCs w:val="28"/>
          <w:rtl w:val="true"/>
          <w:lang w:bidi="ar-SA"/>
        </w:rPr>
        <w:t>الهدي على المتمتع مع تمكنه يشمله</w:t>
      </w:r>
      <w:r>
        <w:rPr>
          <w:rFonts w:eastAsia="Amiri" w:cs="Amiri" w:ascii="Amiri" w:hAnsi="Amiri"/>
          <w:color w:val="111111"/>
          <w:sz w:val="28"/>
          <w:szCs w:val="28"/>
          <w:rtl w:val="true"/>
          <w:lang w:bidi="ar-SA"/>
        </w:rPr>
        <w:t>.</w:t>
      </w:r>
    </w:p>
    <w:p>
      <w:pPr>
        <w:pStyle w:val="Heading6"/>
        <w:numPr>
          <w:ilvl w:val="5"/>
          <w:numId w:val="1"/>
        </w:numPr>
        <w:rPr/>
      </w:pPr>
      <w:bookmarkStart w:id="308" w:name="__RefHeading___Toc3320910_2314609296"/>
      <w:bookmarkStart w:id="309" w:name="_Toc113"/>
      <w:bookmarkEnd w:id="308"/>
      <w:r>
        <w:rPr>
          <w:rtl w:val="true"/>
        </w:rPr>
        <w:t>و تجب فيه النية</w:t>
      </w:r>
      <w:bookmarkEnd w:id="309"/>
    </w:p>
    <w:p>
      <w:pPr>
        <w:pStyle w:val="BookText"/>
        <w:rPr/>
      </w:pPr>
      <w:r>
        <w:rPr>
          <w:rFonts w:ascii="Amiri" w:hAnsi="Amiri" w:eastAsia="Amiri" w:cs="Amiri"/>
          <w:color w:val="111111"/>
          <w:sz w:val="28"/>
          <w:sz w:val="28"/>
          <w:szCs w:val="28"/>
          <w:rtl w:val="true"/>
          <w:lang w:bidi="ar-SA"/>
        </w:rPr>
        <w:t>بنحو تقدّم، و أن يكون ذبحه بمنى بلا اشكال، و في نص الكرخي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هديا واجبا فلا تنحره إلّا بمنى</w:t>
      </w:r>
      <w:r>
        <w:rPr>
          <w:rFonts w:eastAsia="Amiri" w:cs="Amiri" w:ascii="Amiri" w:hAnsi="Amiri"/>
          <w:color w:val="111111"/>
          <w:sz w:val="28"/>
          <w:szCs w:val="28"/>
          <w:rtl w:val="true"/>
          <w:lang w:bidi="ar-SA"/>
        </w:rPr>
        <w:t xml:space="preserve">» </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ما يستفاد من بعض النصوص من جواز نحره بمكة </w:t>
      </w:r>
      <w:r>
        <w:rPr>
          <w:rStyle w:val="FootnoteAnchor"/>
          <w:rtl w:val="true"/>
        </w:rPr>
        <w:footnoteReference w:id="652"/>
      </w:r>
      <w:r>
        <w:rPr>
          <w:rFonts w:ascii="IRNazanin" w:hAnsi="IRNazanin" w:eastAsia="IRNazanin"/>
          <w:color w:val="111111"/>
          <w:sz w:val="28"/>
          <w:sz w:val="28"/>
          <w:szCs w:val="28"/>
          <w:rtl w:val="true"/>
          <w:lang w:bidi="fa-IR"/>
        </w:rPr>
        <w:t>، مطروح أو مؤول بالندب، لإعراض الأصحاب عن ظاهرها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ليكن ذلك في يوم النحر بلا اشكال فيه، بمعنى عدم جواز تقديمه عليه، لكونه من مناسك منى، المعلوم نزولهم فيها يوم النحر، و في كشف اللثام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دعوى الإجماع عليه </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أما بمعنى عدم جواز تأخيره، ففيه خلاف، فعن المشهور تعيين يوم النحر للناسي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خذوا عني مناسككم</w:t>
      </w:r>
      <w:r>
        <w:rPr>
          <w:rFonts w:eastAsia="Amiri" w:cs="Amiri" w:ascii="Amiri" w:hAnsi="Amiri"/>
          <w:color w:val="111111"/>
          <w:sz w:val="28"/>
          <w:szCs w:val="28"/>
          <w:rtl w:val="true"/>
          <w:lang w:bidi="ar-SA"/>
        </w:rPr>
        <w:t xml:space="preserve">» </w:t>
      </w:r>
      <w:r>
        <w:rPr>
          <w:rStyle w:val="FootnoteAnchor"/>
          <w:rtl w:val="true"/>
        </w:rPr>
        <w:footnoteReference w:id="654"/>
      </w:r>
      <w:r>
        <w:rPr>
          <w:rFonts w:ascii="Amiri" w:hAnsi="Amiri" w:eastAsia="Amiri" w:cs="Amiri"/>
          <w:color w:val="111111"/>
          <w:sz w:val="28"/>
          <w:sz w:val="28"/>
          <w:szCs w:val="28"/>
          <w:rtl w:val="true"/>
          <w:lang w:bidi="ar-SA"/>
        </w:rPr>
        <w:t xml:space="preserve">، و في النص أيضا في سياق الهدي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أشعر أو قلّد فلا ينحره إلّا يوم الأضحى</w:t>
      </w:r>
      <w:r>
        <w:rPr>
          <w:rFonts w:eastAsia="Amiri" w:cs="Amiri" w:ascii="Amiri" w:hAnsi="Amiri"/>
          <w:color w:val="111111"/>
          <w:sz w:val="28"/>
          <w:szCs w:val="28"/>
          <w:rtl w:val="true"/>
          <w:lang w:bidi="ar-SA"/>
        </w:rPr>
        <w:t xml:space="preserve">» </w:t>
      </w:r>
      <w:r>
        <w:rPr>
          <w:rStyle w:val="FootnoteAnchor"/>
          <w:rtl w:val="true"/>
        </w:rPr>
        <w:footnoteReference w:id="655"/>
      </w:r>
      <w:r>
        <w:rPr>
          <w:rFonts w:ascii="Amiri" w:hAnsi="Amiri" w:eastAsia="Amiri" w:cs="Amiri"/>
          <w:color w:val="111111"/>
          <w:sz w:val="28"/>
          <w:sz w:val="28"/>
          <w:szCs w:val="28"/>
          <w:rtl w:val="true"/>
          <w:lang w:bidi="ar-SA"/>
        </w:rPr>
        <w:t>، بانضمام عدم القول بالفصل بينه و بين الهدي الواجب من تلك الجهة</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مع ذلك كله فعن المصباح التصريح بجواز التأخير طول ذي الحجة، و أن يوم النحر أفضل، و لكن في النص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النحر بمنى ثلاثة أيام، فمن أراد الصوم لم يصم حتى تمضي الثلاثة</w:t>
      </w:r>
      <w:r>
        <w:rPr>
          <w:rFonts w:eastAsia="Amiri" w:cs="Amiri" w:ascii="Amiri" w:hAnsi="Amiri"/>
          <w:color w:val="111111"/>
          <w:sz w:val="28"/>
          <w:szCs w:val="28"/>
          <w:rtl w:val="true"/>
          <w:lang w:bidi="ar-SA"/>
        </w:rPr>
        <w:t xml:space="preserve">» </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بالصوم يوم النفر، معللا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أيام الذبح قد مضت</w:t>
      </w:r>
      <w:r>
        <w:rPr>
          <w:rFonts w:eastAsia="Amiri" w:cs="Amiri" w:ascii="Amiri" w:hAnsi="Amiri"/>
          <w:color w:val="111111"/>
          <w:sz w:val="28"/>
          <w:szCs w:val="28"/>
          <w:rtl w:val="true"/>
          <w:lang w:bidi="ar-SA"/>
        </w:rPr>
        <w:t xml:space="preserve">» </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تكون أيام النحر في منى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أخر عنهن مختارا أثم </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نظره إلى ما ورد من الأمر بالذبح في عشية اليوم الثالث لواجد الهدي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النص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الأضحى كم هو بمنى؟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أربعة أيام</w:t>
      </w:r>
      <w:r>
        <w:rPr>
          <w:rFonts w:eastAsia="Amiri" w:cs="Amiri" w:ascii="Amiri" w:hAnsi="Amiri"/>
          <w:color w:val="111111"/>
          <w:sz w:val="28"/>
          <w:szCs w:val="28"/>
          <w:rtl w:val="true"/>
          <w:lang w:bidi="ar-SA"/>
        </w:rPr>
        <w:t xml:space="preserve">» </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يخفى ما فيه من اختصاصه بالأضحية المستحبة، و لا يشمل الهدي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 النص غير شامل للمتمكن المختار، نعم نصوص الثلاثة كافية لإثبات مدعاه، بناء على حملها على ثلاثة التشريق، فإنها بضم العيد تصير أربعة، و لو بقرينة نفي الصوم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مؤيدا بحكمه بمضي أيام الذبح يوم النفر، الذي هو بعد ثلاثة أيام التشريق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ينافيها الأمر للخائفة عن حيضها إن توكل من يذبح عنها، إذ لا يستفاد منها تعيين خصوص يوم النحر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انه يمكن الجمع بينها و بين أدلة وجوب خصوص يوم الأضحى، بحملها على الفضيلة، و هو مقدّم على تقييد هذه بصورة العذر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أقل من الدوران و إجمال الوقت من هذه الجهة، فيرجع الأمر إلى شرطية يوم النحر في الواجب، فالأصل البراءة عنه، و ليس المقام من صغريات التعيين و التخيير، كما لا يخفى</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مقتضى الحكم بمضي أيام الذبح في يوم النفر تعيين وجوبه فيها، و حمل يوم النفر على خروج ذي الحجة خلاف الظاهر، و لأن أجمل هذا النص</w:t>
      </w:r>
      <w:bookmarkStart w:id="310" w:name="pg19818_204089"/>
    </w:p>
    <w:p>
      <w:pPr>
        <w:pStyle w:val="BookText"/>
        <w:rPr/>
      </w:pPr>
      <w:bookmarkEnd w:id="310"/>
      <w:r>
        <w:rPr>
          <w:rFonts w:ascii="Amiri" w:hAnsi="Amiri" w:eastAsia="Amiri" w:cs="Amiri"/>
          <w:color w:val="111111"/>
          <w:sz w:val="28"/>
          <w:sz w:val="28"/>
          <w:szCs w:val="28"/>
          <w:rtl w:val="true"/>
          <w:lang w:bidi="ar-SA"/>
        </w:rPr>
        <w:t>من تلك الجهة فالتحديد في زمان الذبح بالثلاثة كاف لإثبات زمان الوجوب الذي يكون التأخير عنه موجبا للإثم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الظاهر إطباقهم على الاجزاء طول ذي الحجة، و استدلوا بما دل على أنّ من لا يجد الغنم يأمر من يشتري عنه و يذبح، و إن مضى ذو الحجة أخّر ذلك إلى القابل </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نسي أن يذبح بمنى حتى زار البيت، فاشترى بمكة ثم ذبح </w:t>
      </w:r>
      <w:r>
        <w:rPr>
          <w:rStyle w:val="FootnoteAnchor"/>
          <w:rtl w:val="true"/>
        </w:rPr>
        <w:footnoteReference w:id="661"/>
      </w:r>
      <w:r>
        <w:rPr>
          <w:rFonts w:ascii="Amiri" w:hAnsi="Amiri" w:eastAsia="Amiri" w:cs="Amiri"/>
          <w:color w:val="111111"/>
          <w:sz w:val="28"/>
          <w:sz w:val="28"/>
          <w:szCs w:val="28"/>
          <w:rtl w:val="true"/>
          <w:lang w:bidi="ar-SA"/>
        </w:rPr>
        <w:t>بناء على حمله على ذبحه بمنى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انّ غاية دلالتهما الاجتزاء بالذبح المزبور للمعذور، و أما المختار فلا يكون مورد هذه النصوص، فالعمدة في البين هو ظهور اتفاق كلماتهم، و فيه الكفاية</w:t>
      </w:r>
      <w:r>
        <w:rPr>
          <w:rFonts w:eastAsia="Amiri" w:cs="Amiri" w:ascii="Amiri" w:hAnsi="Amiri"/>
          <w:color w:val="111111"/>
          <w:sz w:val="28"/>
          <w:szCs w:val="28"/>
          <w:rtl w:val="true"/>
          <w:lang w:bidi="ar-SA"/>
        </w:rPr>
        <w:t>.</w:t>
      </w:r>
    </w:p>
    <w:p>
      <w:pPr>
        <w:pStyle w:val="Heading6"/>
        <w:numPr>
          <w:ilvl w:val="5"/>
          <w:numId w:val="1"/>
        </w:numPr>
        <w:rPr/>
      </w:pPr>
      <w:bookmarkStart w:id="311" w:name="__RefHeading___Toc3320912_2314609296"/>
      <w:bookmarkStart w:id="312" w:name="_Toc114"/>
      <w:bookmarkEnd w:id="311"/>
      <w:r>
        <w:rPr>
          <w:rtl w:val="true"/>
        </w:rPr>
        <w:t>و يجب عدم المشاركة في الهدي</w:t>
      </w:r>
      <w:bookmarkEnd w:id="312"/>
    </w:p>
    <w:p>
      <w:pPr>
        <w:pStyle w:val="BookText"/>
        <w:rPr/>
      </w:pPr>
      <w:r>
        <w:rPr>
          <w:rFonts w:ascii="Amiri" w:hAnsi="Amiri" w:eastAsia="Amiri" w:cs="Amiri"/>
          <w:color w:val="111111"/>
          <w:sz w:val="28"/>
          <w:sz w:val="28"/>
          <w:szCs w:val="28"/>
          <w:rtl w:val="true"/>
          <w:lang w:bidi="ar-SA"/>
        </w:rPr>
        <w:t>الواجب بلا اشكال مع الاختيار و التمكن، و على المشهور حتى مع الضرورة، و في النص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النفر تجزيهم البقرة؟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في الهدي فلا، و أما في الأضحى فنعم</w:t>
      </w:r>
      <w:r>
        <w:rPr>
          <w:rFonts w:eastAsia="Amiri" w:cs="Amiri" w:ascii="Amiri" w:hAnsi="Amiri"/>
          <w:color w:val="111111"/>
          <w:sz w:val="28"/>
          <w:szCs w:val="28"/>
          <w:rtl w:val="true"/>
          <w:lang w:bidi="ar-SA"/>
        </w:rPr>
        <w:t xml:space="preserve">» </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 و البدنة تجزئ في الأمصار عن سبعة، و أما في منى فلا تجزئ إلّا عن واحد</w:t>
      </w:r>
      <w:r>
        <w:rPr>
          <w:rFonts w:eastAsia="Amiri" w:cs="Amiri" w:ascii="Amiri" w:hAnsi="Amiri"/>
          <w:color w:val="111111"/>
          <w:sz w:val="28"/>
          <w:szCs w:val="28"/>
          <w:rtl w:val="true"/>
          <w:lang w:bidi="ar-SA"/>
        </w:rPr>
        <w:t xml:space="preserve">» </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قبالها ما اشتمل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كنا نتمتع في عهد رسول اللّٰه صلّى اللّٰه عليه و آله و نشترك السبعة في البقرة أو البدنة</w:t>
      </w:r>
      <w:r>
        <w:rPr>
          <w:rFonts w:eastAsia="Amiri" w:cs="Amiri" w:ascii="Amiri" w:hAnsi="Amiri"/>
          <w:color w:val="111111"/>
          <w:sz w:val="28"/>
          <w:szCs w:val="28"/>
          <w:rtl w:val="true"/>
          <w:lang w:bidi="ar-SA"/>
        </w:rPr>
        <w:t xml:space="preserve">» </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تجزئ البقرة عن خمسة بمنى إن كانوا من أهل خوان</w:t>
      </w:r>
    </w:p>
    <w:p>
      <w:pPr>
        <w:pStyle w:val="BookText"/>
        <w:rPr/>
      </w:pP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 xml:space="preserve">» </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تجزئ عن سبعة إذا اجتمعوا من أهل بيت واحد و من غيرهم</w:t>
      </w:r>
      <w:r>
        <w:rPr>
          <w:rFonts w:eastAsia="Amiri" w:cs="Amiri" w:ascii="Amiri" w:hAnsi="Amiri"/>
          <w:color w:val="111111"/>
          <w:sz w:val="28"/>
          <w:szCs w:val="28"/>
          <w:rtl w:val="true"/>
          <w:lang w:bidi="ar-SA"/>
        </w:rPr>
        <w:t xml:space="preserve">» </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رابع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الجذعة تجزئ عن ثلاثة من أهل بيت واحد، و المسنة تجزئ عن سبعة، و الجزور تجزئ عن عشرة متفرقين</w:t>
      </w:r>
      <w:r>
        <w:rPr>
          <w:rFonts w:eastAsia="Amiri" w:cs="Amiri" w:ascii="Amiri" w:hAnsi="Amiri"/>
          <w:color w:val="111111"/>
          <w:sz w:val="28"/>
          <w:szCs w:val="28"/>
          <w:rtl w:val="true"/>
          <w:lang w:bidi="ar-SA"/>
        </w:rPr>
        <w:t xml:space="preserve">» </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خامس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اشتركوا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خف فهو أفضل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عن كم تجزئ؟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سبعين</w:t>
      </w:r>
      <w:r>
        <w:rPr>
          <w:rFonts w:eastAsia="Amiri" w:cs="Amiri" w:ascii="Amiri" w:hAnsi="Amiri"/>
          <w:color w:val="111111"/>
          <w:sz w:val="28"/>
          <w:szCs w:val="28"/>
          <w:rtl w:val="true"/>
          <w:lang w:bidi="ar-SA"/>
        </w:rPr>
        <w:t xml:space="preserve">» </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جملة أخرى من النصوص التصريح في الأضحية </w:t>
      </w:r>
      <w:r>
        <w:rPr>
          <w:rStyle w:val="FootnoteAnchor"/>
          <w:rtl w:val="true"/>
        </w:rPr>
        <w:footnoteReference w:id="669"/>
      </w:r>
      <w:r>
        <w:rPr>
          <w:rFonts w:ascii="Amiri" w:hAnsi="Amiri" w:eastAsia="Amiri" w:cs="Amiri"/>
          <w:color w:val="111111"/>
          <w:sz w:val="28"/>
          <w:sz w:val="28"/>
          <w:szCs w:val="28"/>
          <w:rtl w:val="true"/>
          <w:lang w:bidi="ar-SA"/>
        </w:rPr>
        <w:t xml:space="preserve">، و في بعض نصوص الأضاحي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أحب ذلك إلّا من ضرورة</w:t>
      </w:r>
      <w:r>
        <w:rPr>
          <w:rFonts w:eastAsia="Amiri" w:cs="Amiri" w:ascii="Amiri" w:hAnsi="Amiri"/>
          <w:color w:val="111111"/>
          <w:sz w:val="28"/>
          <w:szCs w:val="28"/>
          <w:rtl w:val="true"/>
          <w:lang w:bidi="ar-SA"/>
        </w:rPr>
        <w:t xml:space="preserve">» </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يخفى انّ الأمر يدور بين حمل الاولى على الفضيلة، على مراتبها من حيث الضرورة و الاختيار أيضا بقرينة الأخيرة، بل و رواية فضيلة الأخف الدالة على أفضلية الانفراد بالفحوى، و بين حمل الطائفة الثانية على الأضحية، و تخصيص عدم الشركة بالهدي الواجب بإبقاء الأولى على ظهورها، و تخصيص الجواز بالضرورة، و لأهل خوان واحد، بملاحظة بعض المفاهيم في النصوص السابقة، مع ضم مفهوم دليل الضرورة في النص الأخير</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دليل الضرورة مختص بالأضاحي، فلا يشمل المقام، فلم يبق في البين إلّا المفاهيم المزبورة، و لازمها تخصيص الجواز مطلقا لأهل خوان</w:t>
      </w:r>
      <w:bookmarkStart w:id="313" w:name="pg19818_204091"/>
    </w:p>
    <w:p>
      <w:pPr>
        <w:pStyle w:val="BookText"/>
        <w:rPr/>
      </w:pPr>
      <w:bookmarkEnd w:id="313"/>
      <w:r>
        <w:rPr>
          <w:rFonts w:ascii="Amiri" w:hAnsi="Amiri" w:eastAsia="Amiri" w:cs="Amiri"/>
          <w:color w:val="111111"/>
          <w:sz w:val="28"/>
          <w:sz w:val="28"/>
          <w:szCs w:val="28"/>
          <w:rtl w:val="true"/>
          <w:lang w:bidi="ar-SA"/>
        </w:rPr>
        <w:t>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الاحتمال كالاحتمال الأول، لم يعرف له قائل بإطلاقه الشامل لحال الاختيار، فلا محيص، إما عن تخصيص الثانية بحال الضرورة، علاوة على التقييد بخوان واحد بالإجماع، أو عن حمل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بقرينة الطائفة الأخيرة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الأضحية، و الثاني أولى كما صنعه في الجواهر </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14" w:name="__RefHeading___Toc3320914_2314609296"/>
      <w:bookmarkStart w:id="315" w:name="_Toc115"/>
      <w:bookmarkEnd w:id="314"/>
      <w:r>
        <w:rPr>
          <w:rtl w:val="true"/>
        </w:rPr>
        <w:t>و يجب في الهدي أيضا أن يكون من النعم</w:t>
      </w:r>
      <w:bookmarkEnd w:id="315"/>
    </w:p>
    <w:p>
      <w:pPr>
        <w:pStyle w:val="BookText"/>
        <w:rPr/>
      </w:pPr>
      <w:r>
        <w:rPr>
          <w:rFonts w:ascii="Amiri" w:hAnsi="Amiri" w:eastAsia="Amiri" w:cs="Amiri"/>
          <w:color w:val="111111"/>
          <w:sz w:val="28"/>
          <w:sz w:val="28"/>
          <w:szCs w:val="28"/>
          <w:rtl w:val="true"/>
          <w:lang w:bidi="ar-SA"/>
        </w:rPr>
        <w:t>من البقر و الإبل و الغنم، و في النص 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أفضله بدنة، و أوسطه بقرة، و أخسه شاة</w:t>
      </w:r>
      <w:r>
        <w:rPr>
          <w:rFonts w:eastAsia="Amiri" w:cs="Amiri" w:ascii="Amiri" w:hAnsi="Amiri"/>
          <w:color w:val="111111"/>
          <w:sz w:val="28"/>
          <w:szCs w:val="28"/>
          <w:rtl w:val="true"/>
          <w:lang w:bidi="ar-SA"/>
        </w:rPr>
        <w:t xml:space="preserve">» </w:t>
      </w:r>
      <w:r>
        <w:rPr>
          <w:rStyle w:val="FootnoteAnchor"/>
          <w:rtl w:val="true"/>
        </w:rPr>
        <w:footnoteReference w:id="672"/>
      </w:r>
      <w:r>
        <w:rPr>
          <w:rFonts w:ascii="Amiri" w:hAnsi="Amiri" w:eastAsia="Amiri" w:cs="Amiri"/>
          <w:color w:val="111111"/>
          <w:sz w:val="28"/>
          <w:sz w:val="28"/>
          <w:szCs w:val="28"/>
          <w:rtl w:val="true"/>
          <w:lang w:bidi="ar-SA"/>
        </w:rPr>
        <w:t>و عليه استقرت الفتاوى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يعتبر أيضا أن يكون ثنيا قد دخل في السادسة إن كان من البدن، و في الثانية إن كان من البقر و الغنم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النص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يجزئ الثني من الإبل، و الثنية من البقر، و الثنية من المعز، و الجذعة من الضأن</w:t>
      </w:r>
      <w:r>
        <w:rPr>
          <w:rFonts w:eastAsia="Amiri" w:cs="Amiri" w:ascii="Amiri" w:hAnsi="Amiri"/>
          <w:color w:val="111111"/>
          <w:sz w:val="28"/>
          <w:szCs w:val="28"/>
          <w:rtl w:val="true"/>
          <w:lang w:bidi="ar-SA"/>
        </w:rPr>
        <w:t xml:space="preserve">» </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جملة من النصوص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الجذع من المعز لا يلقح، و الجذع من الضأن يلقح</w:t>
      </w:r>
      <w:r>
        <w:rPr>
          <w:rFonts w:eastAsia="Amiri" w:cs="Amiri" w:ascii="Amiri" w:hAnsi="Amiri"/>
          <w:color w:val="111111"/>
          <w:sz w:val="28"/>
          <w:szCs w:val="28"/>
          <w:rtl w:val="true"/>
          <w:lang w:bidi="ar-SA"/>
        </w:rPr>
        <w:t xml:space="preserve">» </w:t>
      </w:r>
      <w:r>
        <w:rPr>
          <w:rStyle w:val="FootnoteAnchor"/>
          <w:rtl w:val="true"/>
        </w:rPr>
        <w:footnoteReference w:id="674"/>
      </w:r>
      <w:r>
        <w:rPr>
          <w:rFonts w:ascii="Amiri" w:hAnsi="Amiri" w:eastAsia="Amiri" w:cs="Amiri"/>
          <w:color w:val="111111"/>
          <w:sz w:val="28"/>
          <w:sz w:val="28"/>
          <w:szCs w:val="28"/>
          <w:rtl w:val="true"/>
          <w:lang w:bidi="ar-SA"/>
        </w:rPr>
        <w:t>، و ذلك قرينة أصغرية الجذع من الثنية، و لذا حملوه على ما تم عامه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ابن إدريس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تم عليه ستة أشهر </w:t>
      </w:r>
      <w:r>
        <w:rPr>
          <w:rStyle w:val="FootnoteAnchor"/>
          <w:rtl w:val="true"/>
        </w:rPr>
        <w:footnoteReference w:id="675"/>
      </w:r>
      <w:r>
        <w:rPr>
          <w:rFonts w:ascii="Amiri" w:hAnsi="Amiri" w:eastAsia="Amiri" w:cs="Amiri"/>
          <w:color w:val="111111"/>
          <w:sz w:val="28"/>
          <w:sz w:val="28"/>
          <w:szCs w:val="28"/>
          <w:rtl w:val="true"/>
          <w:lang w:bidi="ar-SA"/>
        </w:rPr>
        <w:t xml:space="preserve">، و رده في الجواهر بعدم السند </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أي حال تفسير العناوين المزبورة بما ذكر معروف كما عرفت، و عن بعض آخر تفسير الأخيرين بدخولهما في الثالثة، و الأصل مع الإجمال يقتضي</w:t>
      </w:r>
    </w:p>
    <w:p>
      <w:pPr>
        <w:pStyle w:val="BookText"/>
        <w:rPr/>
      </w:pPr>
      <w:r>
        <w:rPr>
          <w:rFonts w:ascii="Amiri" w:hAnsi="Amiri" w:eastAsia="Amiri" w:cs="Amiri"/>
          <w:color w:val="111111"/>
          <w:sz w:val="28"/>
          <w:sz w:val="28"/>
          <w:szCs w:val="28"/>
          <w:rtl w:val="true"/>
          <w:lang w:bidi="ar-SA"/>
        </w:rPr>
        <w:t>الاجتزاء بالأقل،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ظهر مما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يجزئ من الضأن الجذع 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يعتبر أيضا أن يكون تاما، فلا تجزئ العوراء، و لا العرجاء، و لا المريضة، و لا مكسورة القرن من داخل، و لا مقطوعة الأذن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لما في الصحيح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يكون هديا واجبا، فإنه لا يجوز أن يكون ناقصا</w:t>
      </w:r>
      <w:r>
        <w:rPr>
          <w:rFonts w:eastAsia="Amiri" w:cs="Amiri" w:ascii="Amiri" w:hAnsi="Amiri"/>
          <w:color w:val="111111"/>
          <w:sz w:val="28"/>
          <w:szCs w:val="28"/>
          <w:rtl w:val="true"/>
          <w:lang w:bidi="ar-SA"/>
        </w:rPr>
        <w:t xml:space="preserve">» </w:t>
      </w:r>
      <w:r>
        <w:rPr>
          <w:rStyle w:val="FootnoteAnchor"/>
          <w:rtl w:val="true"/>
        </w:rPr>
        <w:footnoteReference w:id="677"/>
      </w:r>
      <w:r>
        <w:rPr>
          <w:rFonts w:ascii="Amiri" w:hAnsi="Amiri" w:eastAsia="Amiri" w:cs="Amiri"/>
          <w:color w:val="111111"/>
          <w:sz w:val="28"/>
          <w:sz w:val="28"/>
          <w:szCs w:val="28"/>
          <w:rtl w:val="true"/>
          <w:lang w:bidi="ar-SA"/>
        </w:rPr>
        <w:t>، و المذكورات كلها من الناقص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لا بأس بمكسور القرن خارجا، لنصوص مستفيضة، مشتملة على نفي البأس عنه إن كان أصله صحيحا </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لا بأس بمشقوق الاذن و مثقوبة، للنصوص الدالة على الاجتزاء بها، مثل ما في مرسل أبي بصير و غيره </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لكنها في الأضاحي، و التعدّي عنها إلى الهدي الواجب مشكل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فعموم عدم الاجتزاء بالناقص يقتضي عدم الاجتزاء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يدّعى انصرافها عنها، أو لا أقل من التشكيك، فيرجع إلى الشك في مانعية ذلك عن الصحة، و الأصل البراءة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أيضا بالاجتزاء بما لا قرن له خلقة و لا اذن أو لا ذنب كذلك، للأصل و الإطلاقات</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كذلك فيما لا قرن له، لعدم كونه ناقصا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إشكال، لعموم عدم الاجتزاء بالناقص، عرضيا كان النقص أم خلقيا</w:t>
      </w:r>
      <w:r>
        <w:rPr>
          <w:rFonts w:eastAsia="Amiri" w:cs="Amiri" w:ascii="Amiri" w:hAnsi="Amiri"/>
          <w:color w:val="111111"/>
          <w:sz w:val="28"/>
          <w:szCs w:val="28"/>
          <w:rtl w:val="true"/>
          <w:lang w:bidi="ar-SA"/>
        </w:rPr>
        <w:t>.</w:t>
      </w:r>
      <w:bookmarkStart w:id="316" w:name="pg19818_204093"/>
    </w:p>
    <w:p>
      <w:pPr>
        <w:pStyle w:val="BookText"/>
        <w:rPr/>
      </w:pPr>
      <w:bookmarkEnd w:id="316"/>
      <w:r>
        <w:rPr>
          <w:rFonts w:ascii="Amiri" w:hAnsi="Amiri" w:eastAsia="Amiri" w:cs="Amiri"/>
          <w:color w:val="111111"/>
          <w:sz w:val="28"/>
          <w:sz w:val="28"/>
          <w:szCs w:val="28"/>
          <w:rtl w:val="true"/>
          <w:lang w:bidi="ar-SA"/>
        </w:rPr>
        <w:t xml:space="preserve">و يعتبر أيضا أن يكون غير مهزول لخبر منصور في الهدي، و في ذيله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اشتراه و هو يعلم انه مهزول لم يجز عنه</w:t>
      </w:r>
      <w:r>
        <w:rPr>
          <w:rFonts w:eastAsia="Amiri" w:cs="Amiri" w:ascii="Amiri" w:hAnsi="Amiri"/>
          <w:color w:val="111111"/>
          <w:sz w:val="28"/>
          <w:szCs w:val="28"/>
          <w:rtl w:val="true"/>
          <w:lang w:bidi="ar-SA"/>
        </w:rPr>
        <w:t xml:space="preserve">» </w:t>
      </w:r>
      <w:r>
        <w:rPr>
          <w:rStyle w:val="FootnoteAnchor"/>
          <w:rtl w:val="true"/>
        </w:rPr>
        <w:footnoteReference w:id="680"/>
      </w:r>
      <w:r>
        <w:rPr>
          <w:rFonts w:ascii="Amiri" w:hAnsi="Amiri" w:eastAsia="Amiri" w:cs="Amiri"/>
          <w:color w:val="111111"/>
          <w:sz w:val="28"/>
          <w:sz w:val="28"/>
          <w:szCs w:val="28"/>
          <w:rtl w:val="true"/>
          <w:lang w:bidi="ar-SA"/>
        </w:rPr>
        <w:t>، و هو المشهور بين الأصحاب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المصنف و جماعة تحديد الهزال بحيث لا يكون على كليتيها شحم، و سندهم فيه خبر الفضل، المشتمل ذيله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على كليتيها شي‌ء من الشحم فقد أجزأت</w:t>
      </w:r>
      <w:r>
        <w:rPr>
          <w:rFonts w:eastAsia="Amiri" w:cs="Amiri" w:ascii="Amiri" w:hAnsi="Amiri"/>
          <w:color w:val="111111"/>
          <w:sz w:val="28"/>
          <w:szCs w:val="28"/>
          <w:rtl w:val="true"/>
          <w:lang w:bidi="ar-SA"/>
        </w:rPr>
        <w:t xml:space="preserve">» </w:t>
      </w:r>
      <w:r>
        <w:rPr>
          <w:rStyle w:val="FootnoteAnchor"/>
          <w:rtl w:val="true"/>
        </w:rPr>
        <w:footnoteReference w:id="681"/>
      </w:r>
      <w:r>
        <w:rPr>
          <w:rFonts w:ascii="Amiri" w:hAnsi="Amiri" w:eastAsia="Amiri" w:cs="Amiri"/>
          <w:color w:val="111111"/>
          <w:sz w:val="28"/>
          <w:sz w:val="28"/>
          <w:szCs w:val="28"/>
          <w:rtl w:val="true"/>
          <w:lang w:bidi="ar-SA"/>
        </w:rPr>
        <w:t>، و لضعفه و إضماره طرحه بعضهم، و أخذ بما يسمّى عرفا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يكون التحديد المزبور أول مرتبة يسمّى بها مهزولا عرفا، و لا أقل من الشك في صدق المفهوم، لا في مصداقه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فالمرجع في الزائد عنه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مع التشكيك في الأنقص منه أيضا يؤخذ بالأنقص للأصل المزبور، كما لا يخفى</w:t>
      </w:r>
      <w:r>
        <w:rPr>
          <w:rFonts w:eastAsia="Amiri" w:cs="Amiri" w:ascii="Amiri" w:hAnsi="Amiri"/>
          <w:color w:val="111111"/>
          <w:sz w:val="28"/>
          <w:szCs w:val="28"/>
          <w:rtl w:val="true"/>
          <w:lang w:bidi="ar-SA"/>
        </w:rPr>
        <w:t>.</w:t>
      </w:r>
    </w:p>
    <w:p>
      <w:pPr>
        <w:pStyle w:val="Heading6"/>
        <w:numPr>
          <w:ilvl w:val="5"/>
          <w:numId w:val="1"/>
        </w:numPr>
        <w:rPr/>
      </w:pPr>
      <w:bookmarkStart w:id="317" w:name="__RefHeading___Toc3320916_2314609296"/>
      <w:bookmarkStart w:id="318" w:name="_Toc116"/>
      <w:bookmarkEnd w:id="317"/>
      <w:r>
        <w:rPr>
          <w:rtl w:val="true"/>
        </w:rPr>
        <w:t>و يستحب أن تكون سمينة</w:t>
      </w:r>
      <w:bookmarkEnd w:id="318"/>
    </w:p>
    <w:p>
      <w:pPr>
        <w:pStyle w:val="BookText"/>
        <w:rPr/>
      </w:pPr>
      <w:r>
        <w:rPr>
          <w:rFonts w:ascii="Amiri" w:hAnsi="Amiri" w:eastAsia="Amiri" w:cs="Amiri"/>
          <w:color w:val="111111"/>
          <w:sz w:val="28"/>
          <w:sz w:val="28"/>
          <w:szCs w:val="28"/>
          <w:rtl w:val="true"/>
          <w:lang w:bidi="ar-SA"/>
        </w:rPr>
        <w:t>بلا خلاف، و يساعده فحوى ما دل على الإناث من الإبل و البقر، و الفحولة من الغنم، إذ بمثله يستفاد اعتبار المرغوبية فيها، فكلما ازدادت فيها جهة المرغوبية لسمن أو غيره كان أفضل على ما قيل</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أن تكون مما قد عرّف بها </w:t>
      </w:r>
      <w:r>
        <w:rPr>
          <w:rStyle w:val="FootnoteAnchor"/>
          <w:rtl w:val="true"/>
        </w:rPr>
        <w:footnoteReference w:id="682"/>
      </w:r>
      <w:r>
        <w:rPr>
          <w:rFonts w:ascii="Amiri" w:hAnsi="Amiri" w:eastAsia="Amiri" w:cs="Amiri"/>
          <w:color w:val="111111"/>
          <w:sz w:val="28"/>
          <w:sz w:val="28"/>
          <w:szCs w:val="28"/>
          <w:rtl w:val="true"/>
          <w:lang w:bidi="ar-SA"/>
        </w:rPr>
        <w:t>إناثا من الإبل و البقر، و ذكرانا من الضأن و المعز و في النص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أفضل البدن ذوات الأرحام من الإبل و البقر، و قد تجزئ الذكورة من البدن، و الضحايا من الغنم الفحولة</w:t>
      </w:r>
      <w:r>
        <w:rPr>
          <w:rFonts w:eastAsia="Amiri" w:cs="Amiri" w:ascii="Amiri" w:hAnsi="Amiri"/>
          <w:color w:val="111111"/>
          <w:sz w:val="28"/>
          <w:szCs w:val="28"/>
          <w:rtl w:val="true"/>
          <w:lang w:bidi="ar-SA"/>
        </w:rPr>
        <w:t xml:space="preserve">» </w:t>
      </w:r>
      <w:r>
        <w:rPr>
          <w:rStyle w:val="FootnoteAnchor"/>
          <w:rtl w:val="true"/>
        </w:rPr>
        <w:footnoteReference w:id="6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و إن</w:t>
      </w:r>
    </w:p>
    <w:p>
      <w:pPr>
        <w:pStyle w:val="BookText"/>
        <w:rPr/>
      </w:pPr>
      <w:r>
        <w:rPr>
          <w:rFonts w:ascii="Amiri" w:hAnsi="Amiri" w:eastAsia="Amiri" w:cs="Amiri"/>
          <w:color w:val="111111"/>
          <w:sz w:val="28"/>
          <w:sz w:val="28"/>
          <w:szCs w:val="28"/>
          <w:rtl w:val="true"/>
          <w:lang w:bidi="ar-SA"/>
        </w:rPr>
        <w:t>احتمل كونه لبيان صفات الأضحية، و لكن فحواه كاف في المقام جزما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يظهر عن بعض الأجلة عدم الاجتزاء بالذكورة من ثور أو جمل، و هو محجوج بالأصل و الإطلاقات، مع عدم مساعدة دليل على خلافها، بل في النص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الذكور و الإناث من الإبل و البقر تجزئ</w:t>
      </w:r>
      <w:r>
        <w:rPr>
          <w:rFonts w:eastAsia="Amiri" w:cs="Amiri" w:ascii="Amiri" w:hAnsi="Amiri"/>
          <w:color w:val="111111"/>
          <w:sz w:val="28"/>
          <w:szCs w:val="28"/>
          <w:rtl w:val="true"/>
          <w:lang w:bidi="ar-SA"/>
        </w:rPr>
        <w:t xml:space="preserve">» </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الدعاء عند الذبح، لنص معاوية و صفوان </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أن يأكل ثلثه، و يهدي ثلثه، و يطعم القانع و المعتر بثلثه الأخير صدقة، لما في النص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ثلثا، و اهد ثلثا، و تصدّق بثلث</w:t>
      </w:r>
      <w:r>
        <w:rPr>
          <w:rFonts w:eastAsia="Amiri" w:cs="Amiri" w:ascii="Amiri" w:hAnsi="Amiri"/>
          <w:color w:val="111111"/>
          <w:sz w:val="28"/>
          <w:szCs w:val="28"/>
          <w:rtl w:val="true"/>
          <w:lang w:bidi="ar-SA"/>
        </w:rPr>
        <w:t xml:space="preserve">» </w:t>
      </w:r>
      <w:r>
        <w:rPr>
          <w:rStyle w:val="FootnoteAnchor"/>
          <w:rtl w:val="true"/>
        </w:rPr>
        <w:footnoteReference w:id="686"/>
      </w:r>
      <w:r>
        <w:rPr>
          <w:rFonts w:ascii="Amiri" w:hAnsi="Amiri" w:eastAsia="Amiri" w:cs="Amiri"/>
          <w:color w:val="111111"/>
          <w:sz w:val="28"/>
          <w:sz w:val="28"/>
          <w:szCs w:val="28"/>
          <w:rtl w:val="true"/>
          <w:lang w:bidi="ar-SA"/>
        </w:rPr>
        <w:t>و يحتمل حمل العبارة على إعطاء ثلث الهدية للقانع و المعتر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فثلثه الأخير للمسكين، على ما يستفاد من مجموع الآيتين،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فَكُلُوا مِنْهٰا وَ أَطْعِمُوا الْقٰانِعَ وَ الْمُعْتَرَّ </w:t>
      </w:r>
      <w:r>
        <w:rPr>
          <w:rStyle w:val="FootnoteAnchor"/>
          <w:rtl w:val="true"/>
        </w:rPr>
        <w:footnoteReference w:id="687"/>
      </w:r>
      <w:r>
        <w:rPr>
          <w:rFonts w:ascii="Amiri" w:hAnsi="Amiri" w:eastAsia="Amiri" w:cs="Amiri"/>
          <w:color w:val="111111"/>
          <w:sz w:val="28"/>
          <w:sz w:val="28"/>
          <w:szCs w:val="28"/>
          <w:rtl w:val="true"/>
          <w:lang w:bidi="ar-SA"/>
        </w:rPr>
        <w:t xml:space="preserve">، و قوله أيضا فَكُلُوا مِنْهٰا وَ أَطْعِمُوا الْبٰائِسَ الْفَقِيرَ </w:t>
      </w:r>
      <w:r>
        <w:rPr>
          <w:rStyle w:val="FootnoteAnchor"/>
          <w:rtl w:val="true"/>
        </w:rPr>
        <w:footnoteReference w:id="688"/>
      </w:r>
      <w:r>
        <w:rPr>
          <w:rFonts w:ascii="Amiri" w:hAnsi="Amiri" w:eastAsia="Amiri" w:cs="Amiri"/>
          <w:color w:val="111111"/>
          <w:sz w:val="28"/>
          <w:sz w:val="28"/>
          <w:szCs w:val="28"/>
          <w:rtl w:val="true"/>
          <w:lang w:bidi="ar-SA"/>
        </w:rPr>
        <w:t xml:space="preserve">، و في النص أيضا بهذا المضمون </w:t>
      </w:r>
      <w:r>
        <w:rPr>
          <w:rStyle w:val="FootnoteAnchor"/>
          <w:rtl w:val="true"/>
        </w:rPr>
        <w:footnoteReference w:id="689"/>
      </w:r>
      <w:r>
        <w:rPr>
          <w:rFonts w:ascii="IRNazanin" w:hAnsi="IRNazanin" w:eastAsia="IRNazanin"/>
          <w:color w:val="111111"/>
          <w:sz w:val="28"/>
          <w:sz w:val="28"/>
          <w:szCs w:val="28"/>
          <w:rtl w:val="true"/>
          <w:lang w:bidi="fa-IR"/>
        </w:rPr>
        <w:t>، فراجع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لو فقد الهدي بأقسامه و وجد ثمنه خلّفه عند من يشتريه و يذبح طول ذي الحجة، و في الشرائع جعل انتقال فرضه الى الصوم أشبه </w:t>
      </w:r>
      <w:r>
        <w:rPr>
          <w:rStyle w:val="FootnoteAnchor"/>
          <w:rtl w:val="true"/>
        </w:rPr>
        <w:footnoteReference w:id="690"/>
      </w:r>
      <w:r>
        <w:rPr>
          <w:rFonts w:ascii="IRNazanin" w:hAnsi="IRNazanin" w:eastAsia="IRNazanin"/>
          <w:color w:val="111111"/>
          <w:sz w:val="28"/>
          <w:sz w:val="28"/>
          <w:szCs w:val="28"/>
          <w:rtl w:val="true"/>
          <w:lang w:bidi="fa-IR"/>
        </w:rPr>
        <w:t>، و المشهور على الأول</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يدل على قول المشهور ما في الحسن كالصحيح في متمتع يجد الثمن</w:t>
      </w:r>
    </w:p>
    <w:p>
      <w:pPr>
        <w:pStyle w:val="BookText"/>
        <w:rPr/>
      </w:pPr>
      <w:r>
        <w:rPr>
          <w:rFonts w:ascii="Amiri" w:hAnsi="Amiri" w:eastAsia="Amiri" w:cs="Amiri"/>
          <w:color w:val="111111"/>
          <w:sz w:val="28"/>
          <w:sz w:val="28"/>
          <w:szCs w:val="28"/>
          <w:rtl w:val="true"/>
          <w:lang w:bidi="ar-SA"/>
        </w:rPr>
        <w:t>و لا يجد الغنم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يخلّف الثمن عند بعض أهل مكة، و يأمر من يشتري له و يذبح عنه، فإذا مضى ذو الحجة أخّر ذلك إلى قابل ذي الحجة</w:t>
      </w:r>
      <w:r>
        <w:rPr>
          <w:rFonts w:eastAsia="Amiri" w:cs="Amiri" w:ascii="Amiri" w:hAnsi="Amiri"/>
          <w:color w:val="111111"/>
          <w:sz w:val="28"/>
          <w:szCs w:val="28"/>
          <w:rtl w:val="true"/>
          <w:lang w:bidi="ar-SA"/>
        </w:rPr>
        <w:t xml:space="preserve">» </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قباله ما دل على أنّ من وجد ثمن هديه يوم النفر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يصوم، لأنّ أيام الذبح قد مضت</w:t>
      </w:r>
      <w:r>
        <w:rPr>
          <w:rFonts w:eastAsia="Amiri" w:cs="Amiri" w:ascii="Amiri" w:hAnsi="Amiri"/>
          <w:color w:val="111111"/>
          <w:sz w:val="28"/>
          <w:szCs w:val="28"/>
          <w:rtl w:val="true"/>
          <w:lang w:bidi="ar-SA"/>
        </w:rPr>
        <w:t xml:space="preserve">» </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وجد هديا يوم خرج من منى،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أجزأه صيامه</w:t>
      </w:r>
      <w:r>
        <w:rPr>
          <w:rFonts w:eastAsia="Amiri" w:cs="Amiri" w:ascii="Amiri" w:hAnsi="Amiri"/>
          <w:color w:val="111111"/>
          <w:sz w:val="28"/>
          <w:szCs w:val="28"/>
          <w:rtl w:val="true"/>
          <w:lang w:bidi="ar-SA"/>
        </w:rPr>
        <w:t xml:space="preserve">» </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من الثاني أجزاء الصيام لا تعيينه، كما انّ الأمر به في الأول لدفع توهم الحظر، بظن التمكن من الذبح الواجب، فأفاد بأنه مضى زمان وجوبه، فلا ينافي ذلك مع بقاء زمان اجزائه، مع الاجتزاء بالصوم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فمقتضى الجمع بين النصوص هو الذي أفاد به أبو علي من التخيير بين الذبح و الصيام، ما دام بقاء ذي الحجة، و هو واجد للثمن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و لو فقده أي الثمن أيضا طول ذي الحجة، فيدخل في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لم يجد فصيام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صام حينذاك ثلاثة أيام متواليات في الحج، يعني في سفره قبل رجوعه إلى أهله، مع كونه في شهره الذي هو في المقام ذو الحجة</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 ذلك لما في خبر رفاعة </w:t>
      </w:r>
      <w:r>
        <w:rPr>
          <w:rStyle w:val="FootnoteAnchor"/>
          <w:rtl w:val="true"/>
        </w:rPr>
        <w:footnoteReference w:id="694"/>
      </w:r>
      <w:r>
        <w:rPr>
          <w:rFonts w:ascii="Amiri" w:hAnsi="Amiri" w:eastAsia="Amiri" w:cs="Amiri"/>
          <w:color w:val="111111"/>
          <w:sz w:val="28"/>
          <w:sz w:val="28"/>
          <w:szCs w:val="28"/>
          <w:rtl w:val="true"/>
          <w:lang w:bidi="ar-SA"/>
        </w:rPr>
        <w:t xml:space="preserve">حيث تمسك بالآية الشريفة فَصِيٰامُ ثَلٰاثَةِ أَيّٰامٍ فِي الْحَجِّ </w:t>
      </w:r>
      <w:r>
        <w:rPr>
          <w:rStyle w:val="FootnoteAnchor"/>
          <w:rtl w:val="true"/>
        </w:rPr>
        <w:footnoteReference w:id="695"/>
      </w:r>
      <w:r>
        <w:rPr>
          <w:rFonts w:ascii="Amiri" w:hAnsi="Amiri" w:eastAsia="Amiri" w:cs="Amiri"/>
          <w:color w:val="111111"/>
          <w:sz w:val="28"/>
          <w:sz w:val="28"/>
          <w:szCs w:val="28"/>
          <w:rtl w:val="true"/>
          <w:lang w:bidi="ar-SA"/>
        </w:rPr>
        <w:t xml:space="preserve">يقول في ذي حجة، و ذلك بضميمة نص آخر مشتمل على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يصوم الثلاثة متفرقة</w:t>
      </w:r>
      <w:r>
        <w:rPr>
          <w:rFonts w:eastAsia="Amiri" w:cs="Amiri" w:ascii="Amiri" w:hAnsi="Amiri"/>
          <w:color w:val="111111"/>
          <w:sz w:val="28"/>
          <w:szCs w:val="28"/>
          <w:rtl w:val="true"/>
          <w:lang w:bidi="ar-SA"/>
        </w:rPr>
        <w:t xml:space="preserve">» </w:t>
      </w:r>
      <w:r>
        <w:rPr>
          <w:rStyle w:val="FootnoteAnchor"/>
          <w:rtl w:val="true"/>
        </w:rPr>
        <w:footnoteReference w:id="696"/>
      </w:r>
      <w:r>
        <w:rPr>
          <w:rFonts w:ascii="Amiri" w:hAnsi="Amiri" w:eastAsia="Amiri" w:cs="Amiri"/>
          <w:color w:val="111111"/>
          <w:sz w:val="28"/>
          <w:sz w:val="28"/>
          <w:szCs w:val="28"/>
          <w:rtl w:val="true"/>
          <w:lang w:bidi="ar-SA"/>
        </w:rPr>
        <w:t>، فهو دليل وجوب التوالي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إطلاق شرح الحج بذي الحجة في النص المزبور، يشمل أي وقت منه قبل أيام الحج و بعدها، و توهم عدم تقدّم وقت البدل عن المبدل اجتهاد في قبال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و في النص الأمر بالصوم بيوم قبل التروية و يومها و يوم عرفة، حذرا من الوقوع في العيد المحرّم صومه </w:t>
      </w:r>
      <w:r>
        <w:rPr>
          <w:rStyle w:val="FootnoteAnchor"/>
          <w:rtl w:val="true"/>
        </w:rPr>
        <w:footnoteReference w:id="6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يستفاد الأفضلية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لم يتيسّر هذه الأيام بصوم يوم النفر المسمّى بالحصبة و يومين بعده</w:t>
      </w:r>
      <w:r>
        <w:rPr>
          <w:rFonts w:eastAsia="Amiri" w:cs="Amiri" w:ascii="Amiri" w:hAnsi="Amiri"/>
          <w:color w:val="111111"/>
          <w:sz w:val="28"/>
          <w:szCs w:val="28"/>
          <w:rtl w:val="true"/>
          <w:lang w:bidi="ar-SA"/>
        </w:rPr>
        <w:t xml:space="preserve">» </w:t>
      </w:r>
      <w:r>
        <w:rPr>
          <w:rStyle w:val="FootnoteAnchor"/>
          <w:rtl w:val="true"/>
        </w:rPr>
        <w:footnoteReference w:id="698"/>
      </w:r>
      <w:r>
        <w:rPr>
          <w:rFonts w:ascii="Amiri" w:hAnsi="Amiri" w:eastAsia="Amiri" w:cs="Amiri"/>
          <w:color w:val="111111"/>
          <w:sz w:val="28"/>
          <w:sz w:val="28"/>
          <w:szCs w:val="28"/>
          <w:rtl w:val="true"/>
          <w:lang w:bidi="ar-SA"/>
        </w:rPr>
        <w:t>، فهذه الأيام مترتبات في الفضيلة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نص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يقم عليه جماله يصوم يوم النفر و بعده يومين في الطريق، و إن شاء إذا رجع إلى أهله </w:t>
      </w:r>
      <w:r>
        <w:rPr>
          <w:rStyle w:val="FootnoteAnchor"/>
          <w:rtl w:val="true"/>
        </w:rPr>
        <w:footnoteReference w:id="699"/>
      </w:r>
      <w:r>
        <w:rPr>
          <w:rFonts w:ascii="Amiri" w:hAnsi="Amiri" w:eastAsia="Amiri" w:cs="Amiri"/>
          <w:color w:val="111111"/>
          <w:sz w:val="28"/>
          <w:sz w:val="28"/>
          <w:szCs w:val="28"/>
          <w:rtl w:val="true"/>
          <w:lang w:bidi="ar-SA"/>
        </w:rPr>
        <w:t>، بعد تقييده ببقاء ذي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اشتمل على الأمر بالصبر إلى يوم النحر، فمحمول على مراعاة احتمال وجدانه واقعا، الذي هو الراجح في المراعاة في وقته، و هو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بظاهر الكلمات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محمول على، استحباب الاحتياط في هذه الشبهة،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يجوز تقديم الثلاثة من أول ذي الحجة، و عمدة الوجه في ذلك إطلاق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يجوز تقديمها على ذي الحجة، لما في النص السابق من تحديد شهره بذي الحجة، و 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بمقتضى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الثلاثة في الحج سفرا و زمانا في ذي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مقتضى إطلاق عدم التفريق بين الثلاثة، لزوم التوالي مهما أمكن</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لم يتمكن إلّا من يوم قبل العيد و يومين بعده، يفرّق في المورد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في نصوص الباب الحكم باجزاء يوم التروية و يوم عرفة و يوم آخر بعدها،</w:t>
      </w:r>
    </w:p>
    <w:p>
      <w:pPr>
        <w:pStyle w:val="BookText"/>
        <w:rPr/>
      </w:pPr>
      <w:r>
        <w:rPr>
          <w:rFonts w:ascii="Amiri" w:hAnsi="Amiri" w:eastAsia="Amiri" w:cs="Amiri"/>
          <w:color w:val="111111"/>
          <w:sz w:val="28"/>
          <w:sz w:val="28"/>
          <w:szCs w:val="28"/>
          <w:rtl w:val="true"/>
          <w:lang w:bidi="ar-SA"/>
        </w:rPr>
        <w:t>و إطلاقه يشمل حال الاختيار، فالأمر يدور بين تقييد هذه بالضرورة أو تخصيص عموم التفريق بهذه الصورة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على التحقيق فالظاهر من النص الاغتفار بفصل يوم النحر، فيتعدّى من مورد النص إلى صورة صوم يوم واحد قبله و يومين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أي حال، لا يبعد ترجيح التخصيص على التقييد بالضرورة، لأنه أمر أجنبي، لا ينتقل الذهن إليه، و اختاره في الجواهر أيضا </w:t>
      </w:r>
      <w:r>
        <w:rPr>
          <w:rStyle w:val="FootnoteAnchor"/>
          <w:rtl w:val="true"/>
        </w:rPr>
        <w:footnoteReference w:id="700"/>
      </w:r>
      <w:r>
        <w:rPr>
          <w:rFonts w:ascii="IRNazanin" w:hAnsi="IRNazanin" w:eastAsia="IRNazanin"/>
          <w:color w:val="111111"/>
          <w:sz w:val="28"/>
          <w:sz w:val="28"/>
          <w:szCs w:val="28"/>
          <w:rtl w:val="true"/>
          <w:lang w:bidi="fa-IR"/>
        </w:rPr>
        <w:t>، فراجع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خرج ذو الحجة و لم يصمها أي الثلاثة الأيام تعيّن الهدي في القابل بمنى على المشهور، و في النص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لم يصم في ذي الحجة حتى يهل المحرم فعليه شاة و ليس له صوم و يذبح بمنى</w:t>
      </w:r>
      <w:r>
        <w:rPr>
          <w:rFonts w:eastAsia="Amiri" w:cs="Amiri" w:ascii="Amiri" w:hAnsi="Amiri"/>
          <w:color w:val="111111"/>
          <w:sz w:val="28"/>
          <w:szCs w:val="28"/>
          <w:rtl w:val="true"/>
          <w:lang w:bidi="ar-SA"/>
        </w:rPr>
        <w:t xml:space="preserve">» </w:t>
      </w:r>
      <w:r>
        <w:rPr>
          <w:rStyle w:val="FootnoteAnchor"/>
          <w:rtl w:val="true"/>
        </w:rPr>
        <w:footnoteReference w:id="701"/>
      </w:r>
      <w:r>
        <w:rPr>
          <w:rFonts w:ascii="Amiri" w:hAnsi="Amiri" w:eastAsia="Amiri" w:cs="Amiri"/>
          <w:color w:val="111111"/>
          <w:sz w:val="28"/>
          <w:sz w:val="28"/>
          <w:szCs w:val="28"/>
          <w:rtl w:val="true"/>
          <w:lang w:bidi="ar-SA"/>
        </w:rPr>
        <w:t>، بمعنى انتظاره إلى العام القابل، كما تومئ إليه نصوص ذبح النائب أيضا، فلا موجب لتوهم الإطلاق كما 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في قبالها جملة من النصوص الدالة بإطلاقها على أنّ له صيام عشرة أيام في منزله بعد رجوعه </w:t>
      </w:r>
      <w:r>
        <w:rPr>
          <w:rStyle w:val="FootnoteAnchor"/>
          <w:rtl w:val="true"/>
        </w:rPr>
        <w:footnoteReference w:id="702"/>
      </w:r>
      <w:r>
        <w:rPr>
          <w:rFonts w:ascii="Amiri" w:hAnsi="Amiri" w:eastAsia="Amiri" w:cs="Amiri"/>
          <w:color w:val="111111"/>
          <w:sz w:val="28"/>
          <w:sz w:val="28"/>
          <w:szCs w:val="28"/>
          <w:rtl w:val="true"/>
          <w:lang w:bidi="ar-SA"/>
        </w:rPr>
        <w:t>، و لقد تقدّم بعضها، و حملناه، على صورة بقاء ذي الحجة بقرينة السابقة، و هنا جموع أخرى بعيدة جدا، فراجع المطولات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ظاهر النص المزبور لزوم الكفارة، المنصرفة إلى العامد، فلا كفارة حينئذ مع الجهل قصورا أو النسيان بعموم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أيما امرئ ركب أمرا بجهالة فلا شي‌ء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بناء على شموله للمؤاخذة الأخروية و الدنيوية، و يلحق به النسيان بعدم القول بالفصل</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إطلاق النص السابق يشمل الجاهل المقصر أيضا، كما لا يخفى</w:t>
      </w:r>
      <w:r>
        <w:rPr>
          <w:rFonts w:eastAsia="Amiri" w:cs="Amiri" w:ascii="Amiri" w:hAnsi="Amiri"/>
          <w:color w:val="111111"/>
          <w:sz w:val="28"/>
          <w:szCs w:val="28"/>
          <w:rtl w:val="true"/>
          <w:lang w:bidi="ar-SA"/>
        </w:rPr>
        <w:t>.</w:t>
      </w:r>
      <w:bookmarkStart w:id="319" w:name="pg19818_204098"/>
    </w:p>
    <w:p>
      <w:pPr>
        <w:pStyle w:val="Heading6"/>
        <w:numPr>
          <w:ilvl w:val="5"/>
          <w:numId w:val="1"/>
        </w:numPr>
        <w:rPr/>
      </w:pPr>
      <w:bookmarkStart w:id="320" w:name="__RefHeading___Toc3320918_2314609296"/>
      <w:bookmarkStart w:id="321" w:name="_Toc117"/>
      <w:bookmarkEnd w:id="319"/>
      <w:bookmarkEnd w:id="320"/>
      <w:r>
        <w:rPr>
          <w:rtl w:val="true"/>
        </w:rPr>
        <w:t>بقي في المقام فروع</w:t>
      </w:r>
      <w:r>
        <w:rPr>
          <w:rtl w:val="true"/>
        </w:rPr>
        <w:t>:</w:t>
      </w:r>
      <w:bookmarkEnd w:id="321"/>
    </w:p>
    <w:p>
      <w:pPr>
        <w:pStyle w:val="Heading6"/>
        <w:numPr>
          <w:ilvl w:val="5"/>
          <w:numId w:val="1"/>
        </w:numPr>
        <w:rPr/>
      </w:pPr>
      <w:bookmarkStart w:id="322" w:name="__RefHeading___Toc3320920_2314609296"/>
      <w:bookmarkStart w:id="323" w:name="_Toc118"/>
      <w:bookmarkEnd w:id="322"/>
      <w:r>
        <w:rPr>
          <w:rtl w:val="true"/>
        </w:rPr>
        <w:t>منها</w:t>
      </w:r>
      <w:r>
        <w:rPr>
          <w:rtl w:val="true"/>
        </w:rPr>
        <w:t xml:space="preserve">: </w:t>
      </w:r>
      <w:r>
        <w:rPr>
          <w:rtl w:val="true"/>
        </w:rPr>
        <w:t>إنه لو صام الثلاثة ثم وجد الهدي</w:t>
      </w:r>
      <w:bookmarkEnd w:id="323"/>
    </w:p>
    <w:p>
      <w:pPr>
        <w:pStyle w:val="BookText"/>
        <w:rPr/>
      </w:pPr>
      <w:r>
        <w:rPr>
          <w:rFonts w:ascii="Amiri" w:hAnsi="Amiri" w:eastAsia="Amiri" w:cs="Amiri"/>
          <w:color w:val="111111"/>
          <w:sz w:val="28"/>
          <w:sz w:val="28"/>
          <w:szCs w:val="28"/>
          <w:rtl w:val="true"/>
          <w:lang w:bidi="ar-SA"/>
        </w:rPr>
        <w:t>و لو قبل التلبس بالسبعة، لم يجب عليه الهدي عند المشهور، و في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صام ثلاثة ثم وجد هديا يوم نفره،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يصوم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ذيله التعليل بأن أيام الذبح قد مضت </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قباله نص آخر مشتمل على الأمر بالذبح و أنّ ما صامه نافلة </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الجواهر حمله على الندب لإعراض المشهور عن ظاهره </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الخوف من إطلاق الكلمات، أمكن حمل النص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بظهور تعليله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سقوط الهدي لو وجده بعد مضي زمان وجوبه كما تقدّم، و لا يشمل صورة الوجدان في زمانه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 المنصرف منه أيضا صورة عدم إحرازه الوجدان من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يبعد، صرف إطلاق الكلمات أيضا إلى هذه الصورة، لا مطلقا كي يشمل صورة علمه بالوجدان في ذي الحجة من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أي حال لا اشكال عندهم في انّ الهدي حينئذ أفضل من إتمام الصوم، للنص السابق، المحمول على الفضلية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ففي الصور التي استشكلنا سقوط الهدي فيها لا يترك الاحتياط</w:t>
      </w:r>
      <w:r>
        <w:rPr>
          <w:rFonts w:eastAsia="Amiri" w:cs="Amiri" w:ascii="Amiri" w:hAnsi="Amiri"/>
          <w:color w:val="111111"/>
          <w:sz w:val="28"/>
          <w:szCs w:val="28"/>
          <w:rtl w:val="true"/>
          <w:lang w:bidi="ar-SA"/>
        </w:rPr>
        <w:t>.</w:t>
      </w:r>
    </w:p>
    <w:p>
      <w:pPr>
        <w:pStyle w:val="Heading6"/>
        <w:numPr>
          <w:ilvl w:val="5"/>
          <w:numId w:val="1"/>
        </w:numPr>
        <w:rPr/>
      </w:pPr>
      <w:bookmarkStart w:id="324" w:name="__RefHeading___Toc3320922_2314609296"/>
      <w:bookmarkStart w:id="325" w:name="_Toc119"/>
      <w:bookmarkEnd w:id="324"/>
      <w:r>
        <w:rPr>
          <w:rtl w:val="true"/>
        </w:rPr>
        <w:t>و منها</w:t>
      </w:r>
      <w:r>
        <w:rPr>
          <w:rtl w:val="true"/>
        </w:rPr>
        <w:t xml:space="preserve">: </w:t>
      </w:r>
      <w:r>
        <w:rPr>
          <w:rtl w:val="true"/>
        </w:rPr>
        <w:t>انه يصوم السبعة الأخرى في منزله</w:t>
      </w:r>
      <w:bookmarkEnd w:id="325"/>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خرج ذو الحجة، للإطلاق الدال أيضا على عدم اعتبار التوالي فيها آية و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في بعض النصوص من الأمر بعدم التفريق في السبعة أيضا محمول على الندب، خصوصا مع ملاحظة عموم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صوم يفرّق إلّا ثلاثة أيام في كفارة اليمين</w:t>
      </w:r>
      <w:r>
        <w:rPr>
          <w:rFonts w:eastAsia="Amiri" w:cs="Amiri" w:ascii="Amiri" w:hAnsi="Amiri"/>
          <w:color w:val="111111"/>
          <w:sz w:val="28"/>
          <w:szCs w:val="28"/>
          <w:rtl w:val="true"/>
          <w:lang w:bidi="ar-SA"/>
        </w:rPr>
        <w:t xml:space="preserve">» </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bookmarkStart w:id="326" w:name="pg19818_204099"/>
    </w:p>
    <w:p>
      <w:pPr>
        <w:pStyle w:val="BookText"/>
        <w:rPr/>
      </w:pPr>
      <w:bookmarkEnd w:id="326"/>
      <w:r>
        <w:rPr>
          <w:rFonts w:ascii="Amiri" w:hAnsi="Amiri" w:eastAsia="Amiri" w:cs="Amiri"/>
          <w:color w:val="111111"/>
          <w:sz w:val="28"/>
          <w:sz w:val="28"/>
          <w:szCs w:val="28"/>
          <w:rtl w:val="true"/>
          <w:lang w:bidi="ar-SA"/>
        </w:rPr>
        <w:t>فإن أقام بمكة انتظر مقدار وصوله إلى أهله ما لم يزد على شهر، على المشهور، و يدل عليه ما في صحيحة معاوية المشتملة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كان له مقام بمكة و أراد أن يصوم السبعة يترك الصيام بقدر مسيره إلى أهله أو شهرا ثم صام</w:t>
      </w:r>
      <w:r>
        <w:rPr>
          <w:rFonts w:eastAsia="Amiri" w:cs="Amiri" w:ascii="Amiri" w:hAnsi="Amiri"/>
          <w:color w:val="111111"/>
          <w:sz w:val="28"/>
          <w:szCs w:val="28"/>
          <w:rtl w:val="true"/>
          <w:lang w:bidi="ar-SA"/>
        </w:rPr>
        <w:t xml:space="preserve">» </w:t>
      </w:r>
      <w:r>
        <w:rPr>
          <w:rStyle w:val="FootnoteAnchor"/>
          <w:rtl w:val="true"/>
        </w:rPr>
        <w:footnoteReference w:id="707"/>
      </w:r>
      <w:r>
        <w:rPr>
          <w:rFonts w:ascii="Amiri" w:hAnsi="Amiri" w:eastAsia="Amiri" w:cs="Amiri"/>
          <w:color w:val="111111"/>
          <w:sz w:val="28"/>
          <w:sz w:val="28"/>
          <w:szCs w:val="28"/>
          <w:rtl w:val="true"/>
          <w:lang w:bidi="ar-SA"/>
        </w:rPr>
        <w:t xml:space="preserve">، و به يقيّد إطلاق الأمر بالصيام بعد أيام التشريق في نص آخر </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في التعدّي من مكة إلى غيرها لمن صار مصدودا، فيه كلام و إشكال، لأنّ في الآية الشريفة الأمر بالسبعة بعد الرجوع إلى الأهل، خرج مورد النص تعبدا و بقي 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أيضا ظاهر كلمات جل الأصحاب، فما في التحرير من التعدّي إلى الطريق </w:t>
      </w:r>
      <w:r>
        <w:rPr>
          <w:rStyle w:val="FootnoteAnchor"/>
          <w:rtl w:val="true"/>
        </w:rPr>
        <w:footnoteReference w:id="709"/>
      </w:r>
      <w:r>
        <w:rPr>
          <w:rFonts w:ascii="Amiri" w:hAnsi="Amiri" w:eastAsia="Amiri" w:cs="Amiri"/>
          <w:color w:val="111111"/>
          <w:sz w:val="28"/>
          <w:sz w:val="28"/>
          <w:szCs w:val="28"/>
          <w:rtl w:val="true"/>
          <w:lang w:bidi="ar-SA"/>
        </w:rPr>
        <w:t>أيضا منظور فيه</w:t>
      </w:r>
      <w:r>
        <w:rPr>
          <w:rFonts w:eastAsia="Amiri" w:cs="Amiri" w:ascii="Amiri" w:hAnsi="Amiri"/>
          <w:color w:val="111111"/>
          <w:sz w:val="28"/>
          <w:szCs w:val="28"/>
          <w:rtl w:val="true"/>
          <w:lang w:bidi="ar-SA"/>
        </w:rPr>
        <w:t>.</w:t>
      </w:r>
    </w:p>
    <w:p>
      <w:pPr>
        <w:pStyle w:val="Heading6"/>
        <w:numPr>
          <w:ilvl w:val="5"/>
          <w:numId w:val="1"/>
        </w:numPr>
        <w:rPr/>
      </w:pPr>
      <w:bookmarkStart w:id="327" w:name="__RefHeading___Toc3320924_2314609296"/>
      <w:bookmarkStart w:id="328" w:name="_Toc120"/>
      <w:bookmarkEnd w:id="327"/>
      <w:r>
        <w:rPr>
          <w:rtl w:val="true"/>
        </w:rPr>
        <w:t>و منها</w:t>
      </w:r>
      <w:r>
        <w:rPr>
          <w:rtl w:val="true"/>
        </w:rPr>
        <w:t xml:space="preserve">: </w:t>
      </w:r>
      <w:r>
        <w:rPr>
          <w:rtl w:val="true"/>
        </w:rPr>
        <w:t>إنه لو مات من وجب عليه الصوم و لم يصم شيئا منها،</w:t>
      </w:r>
      <w:bookmarkEnd w:id="328"/>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صام عنه وليه الثلاثة، و لا قضاء في السبعة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تمام الصيام على وليه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سند الأخير ما في صحيح معاوية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مات و لم يكن له هدي لمتعته، فليصم عنه وليه</w:t>
      </w:r>
      <w:r>
        <w:rPr>
          <w:rFonts w:eastAsia="Amiri" w:cs="Amiri" w:ascii="Amiri" w:hAnsi="Amiri"/>
          <w:color w:val="111111"/>
          <w:sz w:val="28"/>
          <w:szCs w:val="28"/>
          <w:rtl w:val="true"/>
          <w:lang w:bidi="ar-SA"/>
        </w:rPr>
        <w:t xml:space="preserve">» </w:t>
      </w:r>
      <w:r>
        <w:rPr>
          <w:rStyle w:val="FootnoteAnchor"/>
          <w:rtl w:val="true"/>
        </w:rPr>
        <w:footnoteReference w:id="710"/>
      </w:r>
      <w:r>
        <w:rPr>
          <w:rFonts w:ascii="Amiri" w:hAnsi="Amiri" w:eastAsia="Amiri" w:cs="Amiri"/>
          <w:color w:val="111111"/>
          <w:sz w:val="28"/>
          <w:sz w:val="28"/>
          <w:szCs w:val="28"/>
          <w:rtl w:val="true"/>
          <w:lang w:bidi="ar-SA"/>
        </w:rPr>
        <w:t>، مضافا إلى عموم وجوب قضاء ما فات على الولي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قبالهما حسن الحلبي المصرّح بوجوب قضاء الثلاثة على الولي، و عدم قضاء السبعة عليه </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مقتضى الجمع حمل الأول على الندب أو تخصيصه بغير السبعة، كما</w:t>
      </w:r>
      <w:bookmarkStart w:id="329" w:name="pg19818_204100"/>
    </w:p>
    <w:p>
      <w:pPr>
        <w:pStyle w:val="BookText"/>
        <w:rPr/>
      </w:pPr>
      <w:bookmarkEnd w:id="329"/>
      <w:r>
        <w:rPr>
          <w:rFonts w:ascii="Amiri" w:hAnsi="Amiri" w:eastAsia="Amiri" w:cs="Amiri"/>
          <w:color w:val="111111"/>
          <w:sz w:val="28"/>
          <w:sz w:val="28"/>
          <w:szCs w:val="28"/>
          <w:rtl w:val="true"/>
          <w:lang w:bidi="ar-SA"/>
        </w:rPr>
        <w:t xml:space="preserve">صنعه في الرياض </w:t>
      </w:r>
      <w:r>
        <w:rPr>
          <w:rStyle w:val="FootnoteAnchor"/>
          <w:rtl w:val="true"/>
        </w:rPr>
        <w:footnoteReference w:id="712"/>
      </w:r>
      <w:r>
        <w:rPr>
          <w:rFonts w:ascii="Amiri" w:hAnsi="Amiri" w:eastAsia="Amiri" w:cs="Amiri"/>
          <w:color w:val="111111"/>
          <w:sz w:val="28"/>
          <w:sz w:val="28"/>
          <w:szCs w:val="28"/>
          <w:rtl w:val="true"/>
          <w:lang w:bidi="ar-SA"/>
        </w:rPr>
        <w:t>، و لكن الإشكال في سنده باعراض المشهور، فالأحوط ما عليه المشهور، و اللّٰه العالم</w:t>
      </w:r>
      <w:r>
        <w:rPr>
          <w:rFonts w:eastAsia="Amiri" w:cs="Amiri" w:ascii="Amiri" w:hAnsi="Amiri"/>
          <w:color w:val="111111"/>
          <w:sz w:val="28"/>
          <w:szCs w:val="28"/>
          <w:rtl w:val="true"/>
          <w:lang w:bidi="ar-SA"/>
        </w:rPr>
        <w:t>.</w:t>
      </w:r>
    </w:p>
    <w:p>
      <w:pPr>
        <w:pStyle w:val="Heading6"/>
        <w:numPr>
          <w:ilvl w:val="5"/>
          <w:numId w:val="1"/>
        </w:numPr>
        <w:rPr/>
      </w:pPr>
      <w:bookmarkStart w:id="330" w:name="__RefHeading___Toc3320926_2314609296"/>
      <w:bookmarkStart w:id="331" w:name="_Toc121"/>
      <w:bookmarkEnd w:id="330"/>
      <w:r>
        <w:rPr>
          <w:rtl w:val="true"/>
        </w:rPr>
        <w:t>و منها</w:t>
      </w:r>
      <w:r>
        <w:rPr>
          <w:rtl w:val="true"/>
        </w:rPr>
        <w:t xml:space="preserve">: </w:t>
      </w:r>
      <w:r>
        <w:rPr>
          <w:rtl w:val="true"/>
        </w:rPr>
        <w:t>من تعيّن عليه الهدي فمات اخرج من صلب ماله،</w:t>
      </w:r>
      <w:bookmarkEnd w:id="331"/>
    </w:p>
    <w:p>
      <w:pPr>
        <w:pStyle w:val="BookText"/>
        <w:rPr/>
      </w:pPr>
      <w:r>
        <w:rPr>
          <w:rFonts w:ascii="Amiri" w:hAnsi="Amiri" w:eastAsia="Amiri" w:cs="Amiri"/>
          <w:color w:val="111111"/>
          <w:sz w:val="28"/>
          <w:sz w:val="28"/>
          <w:szCs w:val="28"/>
          <w:rtl w:val="true"/>
          <w:lang w:bidi="ar-SA"/>
        </w:rPr>
        <w:t>بلا إشكال في كلماتهم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يكشف عن تعلّق وضع به كعين مقدوره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كونه حق اللّٰه أو حق الفقراء تأمل، و من الممكن كونه من قبيل الحج من الواجبات المتعلقة بالمال، بلا تعلّق وضع أو حق الغير به، و كونه حينئذ دينا لا بد أن يكون بنحو من العناية، كما تقدّم في أول الكتاب،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لم يف ماله بتمام الهدي صرف في بعضه، لقاعدة الميسور، و مع عدم التمكن منه ففي الرجوع إلى الميراث أو وجوب التصدّق به وجهان، مقتضى أصالة عدم تعلّق حق به، و عدم انطباق الدين عليه، الرجوع الى الوارث</w:t>
      </w:r>
      <w:r>
        <w:rPr>
          <w:rFonts w:eastAsia="Amiri" w:cs="Amiri" w:ascii="Amiri" w:hAnsi="Amiri"/>
          <w:color w:val="111111"/>
          <w:sz w:val="28"/>
          <w:szCs w:val="28"/>
          <w:rtl w:val="true"/>
          <w:lang w:bidi="ar-SA"/>
        </w:rPr>
        <w:t>.</w:t>
      </w:r>
    </w:p>
    <w:p>
      <w:pPr>
        <w:pStyle w:val="Heading6"/>
        <w:numPr>
          <w:ilvl w:val="5"/>
          <w:numId w:val="1"/>
        </w:numPr>
        <w:rPr/>
      </w:pPr>
      <w:bookmarkStart w:id="332" w:name="__RefHeading___Toc3320928_2314609296"/>
      <w:bookmarkStart w:id="333" w:name="_Toc122"/>
      <w:bookmarkEnd w:id="332"/>
      <w:r>
        <w:rPr>
          <w:rtl w:val="true"/>
        </w:rPr>
        <w:t>و منها</w:t>
      </w:r>
      <w:r>
        <w:rPr>
          <w:rtl w:val="true"/>
        </w:rPr>
        <w:t xml:space="preserve">: </w:t>
      </w:r>
      <w:r>
        <w:rPr>
          <w:rtl w:val="true"/>
        </w:rPr>
        <w:t>إنه لا يجب بيع ثياب التجمل في الهدي،</w:t>
      </w:r>
      <w:bookmarkEnd w:id="333"/>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يقتصر على الصوم، مع عدم وجدانه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يلحق بها الخادم و الفرس و الدار، التي كانت من مستثنيات الدين، لما عرفت من أنّ الهدي عندهم من الديون المالية، فيجري فيه حكمها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يشعر به ما في ذيل المرسلة أيضا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السؤال عن بيع الثياب المزبورة في الدين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يتزين به المؤمن، يصوم و لا يأخذ من ثيابه شيئا</w:t>
      </w:r>
      <w:r>
        <w:rPr>
          <w:rFonts w:eastAsia="Amiri" w:cs="Amiri" w:ascii="Amiri" w:hAnsi="Amiri"/>
          <w:color w:val="111111"/>
          <w:sz w:val="28"/>
          <w:szCs w:val="28"/>
          <w:rtl w:val="true"/>
          <w:lang w:bidi="ar-SA"/>
        </w:rPr>
        <w:t xml:space="preserve">» </w:t>
      </w:r>
      <w:r>
        <w:rPr>
          <w:rStyle w:val="FootnoteAnchor"/>
          <w:rtl w:val="true"/>
        </w:rPr>
        <w:footnoteReference w:id="713"/>
      </w:r>
      <w:r>
        <w:rPr>
          <w:rFonts w:ascii="Amiri" w:hAnsi="Amiri" w:eastAsia="Amiri" w:cs="Amiri"/>
          <w:color w:val="111111"/>
          <w:sz w:val="28"/>
          <w:sz w:val="28"/>
          <w:szCs w:val="28"/>
          <w:rtl w:val="true"/>
          <w:lang w:bidi="ar-SA"/>
        </w:rPr>
        <w:t>و مناطه سار في الدار و فرس الركوب و الخادم أيضا، و عدم تعرضهم لذلك لعله من باب الإيكال إلى الوضوح، بعد إجرائهم حكم الدين عليه</w:t>
      </w:r>
      <w:r>
        <w:rPr>
          <w:rFonts w:eastAsia="Amiri" w:cs="Amiri" w:ascii="Amiri" w:hAnsi="Amiri"/>
          <w:color w:val="111111"/>
          <w:sz w:val="28"/>
          <w:szCs w:val="28"/>
          <w:rtl w:val="true"/>
          <w:lang w:bidi="ar-SA"/>
        </w:rPr>
        <w:t>.</w:t>
      </w:r>
      <w:bookmarkStart w:id="334" w:name="pg19818_204101"/>
    </w:p>
    <w:p>
      <w:pPr>
        <w:pStyle w:val="Heading6"/>
        <w:numPr>
          <w:ilvl w:val="5"/>
          <w:numId w:val="1"/>
        </w:numPr>
        <w:rPr/>
      </w:pPr>
      <w:bookmarkStart w:id="335" w:name="__RefHeading___Toc3320930_2314609296"/>
      <w:bookmarkStart w:id="336" w:name="_Toc123"/>
      <w:bookmarkEnd w:id="334"/>
      <w:bookmarkEnd w:id="335"/>
      <w:r>
        <w:rPr>
          <w:rtl w:val="true"/>
        </w:rPr>
        <w:t>و منها</w:t>
      </w:r>
      <w:r>
        <w:rPr>
          <w:rtl w:val="true"/>
        </w:rPr>
        <w:t xml:space="preserve">: </w:t>
      </w:r>
      <w:r>
        <w:rPr>
          <w:rtl w:val="true"/>
        </w:rPr>
        <w:t>إنه لو ضل الهدي فذبحه غير صاحبه، ففي الشرائع</w:t>
      </w:r>
      <w:r>
        <w:rPr>
          <w:rtl w:val="true"/>
        </w:rPr>
        <w:t xml:space="preserve">: </w:t>
      </w:r>
      <w:r>
        <w:rPr>
          <w:rtl w:val="true"/>
        </w:rPr>
        <w:t>لم يجز عنه</w:t>
      </w:r>
      <w:r>
        <w:rPr>
          <w:rtl w:val="true"/>
        </w:rPr>
        <w:t>.</w:t>
      </w:r>
      <w:bookmarkEnd w:id="336"/>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ضل الهدي فذبحه غير صاحبه، ففي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يجز عنه </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إطلاقه يشمل ما لو ذبحه الواجد عن صاحبه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شرحه في الجواهر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ناويا به صاحبه </w:t>
      </w:r>
      <w:r>
        <w:rPr>
          <w:rStyle w:val="FootnoteAnchor"/>
          <w:rtl w:val="true"/>
        </w:rPr>
        <w:footnoteReference w:id="715"/>
      </w:r>
      <w:r>
        <w:rPr>
          <w:rFonts w:ascii="Amiri" w:hAnsi="Amiri" w:eastAsia="Amiri" w:cs="Amiri"/>
          <w:color w:val="111111"/>
          <w:sz w:val="28"/>
          <w:sz w:val="28"/>
          <w:szCs w:val="28"/>
          <w:rtl w:val="true"/>
          <w:lang w:bidi="ar-SA"/>
        </w:rPr>
        <w:t>، و لعله للأصل و عدم ثبوت النيابة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في النص تارة الحكم بالاجزاء مطلقا قبل التعريف أو بعده، نوى عن صاحبه أو لم ينو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الجواهر عدم القول بهذا الإطلاق </w:t>
      </w:r>
      <w:r>
        <w:rPr>
          <w:rStyle w:val="FootnoteAnchor"/>
          <w:rtl w:val="true"/>
        </w:rPr>
        <w:footnoteReference w:id="716"/>
      </w:r>
      <w:r>
        <w:rPr>
          <w:rFonts w:ascii="Amiri" w:hAnsi="Amiri" w:eastAsia="Amiri" w:cs="Amiri"/>
          <w:color w:val="111111"/>
          <w:sz w:val="28"/>
          <w:sz w:val="28"/>
          <w:szCs w:val="28"/>
          <w:rtl w:val="true"/>
          <w:lang w:bidi="ar-SA"/>
        </w:rPr>
        <w:t xml:space="preserve">، و لعله مقيّد من الجهتين بصحيح ابن مسلم، المشتمل على التعريف ثم الذبح عنه فيجزئ عن صاحبه </w:t>
      </w:r>
      <w:r>
        <w:rPr>
          <w:rStyle w:val="FootnoteAnchor"/>
          <w:rtl w:val="true"/>
        </w:rPr>
        <w:footnoteReference w:id="717"/>
      </w:r>
      <w:r>
        <w:rPr>
          <w:rFonts w:ascii="Amiri" w:hAnsi="Amiri" w:eastAsia="Amiri" w:cs="Amiri"/>
          <w:color w:val="111111"/>
          <w:sz w:val="28"/>
          <w:sz w:val="28"/>
          <w:szCs w:val="28"/>
          <w:rtl w:val="true"/>
          <w:lang w:bidi="ar-SA"/>
        </w:rPr>
        <w:t>، و لا بأس به بعد نقل الشهرة على وفقه من حيث دخل قصده عنه في كفايته</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وجوب تعريفه فحكى ذلك أيضا عن الشيخ </w:t>
      </w:r>
      <w:r>
        <w:rPr>
          <w:rStyle w:val="FootnoteAnchor"/>
          <w:rtl w:val="true"/>
        </w:rPr>
        <w:footnoteReference w:id="718"/>
      </w:r>
      <w:r>
        <w:rPr>
          <w:rFonts w:ascii="Amiri" w:hAnsi="Amiri" w:eastAsia="Amiri" w:cs="Amiri"/>
          <w:color w:val="111111"/>
          <w:sz w:val="28"/>
          <w:sz w:val="28"/>
          <w:szCs w:val="28"/>
          <w:rtl w:val="true"/>
          <w:lang w:bidi="ar-SA"/>
        </w:rPr>
        <w:t xml:space="preserve">، و وافقه في كشف اللثام </w:t>
      </w:r>
      <w:r>
        <w:rPr>
          <w:rStyle w:val="FootnoteAnchor"/>
          <w:rtl w:val="true"/>
        </w:rPr>
        <w:footnoteReference w:id="719"/>
      </w:r>
      <w:r>
        <w:rPr>
          <w:rFonts w:ascii="Amiri" w:hAnsi="Amiri" w:eastAsia="Amiri" w:cs="Amiri"/>
          <w:color w:val="111111"/>
          <w:sz w:val="28"/>
          <w:sz w:val="28"/>
          <w:szCs w:val="28"/>
          <w:rtl w:val="true"/>
          <w:lang w:bidi="ar-SA"/>
        </w:rPr>
        <w:t xml:space="preserve">، بل في جملة من النصوص الاكتفاء بمجرد الضياع </w:t>
      </w:r>
      <w:r>
        <w:rPr>
          <w:rStyle w:val="FootnoteAnchor"/>
          <w:rtl w:val="true"/>
        </w:rPr>
        <w:footnoteReference w:id="720"/>
      </w:r>
      <w:r>
        <w:rPr>
          <w:rFonts w:ascii="Amiri" w:hAnsi="Amiri" w:eastAsia="Amiri" w:cs="Amiri"/>
          <w:color w:val="111111"/>
          <w:sz w:val="28"/>
          <w:sz w:val="28"/>
          <w:szCs w:val="28"/>
          <w:rtl w:val="true"/>
          <w:lang w:bidi="ar-SA"/>
        </w:rPr>
        <w:t>، و نسب ذلك أيضا إلى بعض الأجلة، و لكن المسند منها وارد في الأضحية، و ما ورد مطلقا قابلا للانطباق على الهدي مرسلة قابلة لأن تكون مأخوذة من هذه المسندات، فلا يصلح الاتكال بمثلها في الهدي الواجب في الذمة، خصوصا مع ما في نص أبي بصير المشتمل على فرض ظن الهلاك، بأنه يشتري مكانه آخر، و إطلاقه مقيّد بصورة عدم علمه بذبح الواجد عن قبله بمنى، بقرينة النصوص الأخرى كما لا يخفى</w:t>
      </w:r>
      <w:r>
        <w:rPr>
          <w:rFonts w:eastAsia="Amiri" w:cs="Amiri" w:ascii="Amiri" w:hAnsi="Amiri"/>
          <w:color w:val="111111"/>
          <w:sz w:val="28"/>
          <w:szCs w:val="28"/>
          <w:rtl w:val="true"/>
          <w:lang w:bidi="ar-SA"/>
        </w:rPr>
        <w:t>.</w:t>
      </w:r>
      <w:bookmarkStart w:id="337" w:name="pg19818_204102"/>
    </w:p>
    <w:p>
      <w:pPr>
        <w:pStyle w:val="Heading6"/>
        <w:numPr>
          <w:ilvl w:val="5"/>
          <w:numId w:val="1"/>
        </w:numPr>
        <w:rPr/>
      </w:pPr>
      <w:bookmarkStart w:id="338" w:name="__RefHeading___Toc3320932_2314609296"/>
      <w:bookmarkStart w:id="339" w:name="_Toc124"/>
      <w:bookmarkEnd w:id="337"/>
      <w:bookmarkEnd w:id="338"/>
      <w:r>
        <w:rPr>
          <w:rtl w:val="true"/>
        </w:rPr>
        <w:t>و منها</w:t>
      </w:r>
      <w:r>
        <w:rPr>
          <w:rtl w:val="true"/>
        </w:rPr>
        <w:t xml:space="preserve">: </w:t>
      </w:r>
      <w:r>
        <w:rPr>
          <w:rtl w:val="true"/>
        </w:rPr>
        <w:t>انه لا يخرج بشي‌ء منها من منى،</w:t>
      </w:r>
      <w:bookmarkEnd w:id="339"/>
    </w:p>
    <w:p>
      <w:pPr>
        <w:pStyle w:val="BookText"/>
        <w:rPr/>
      </w:pPr>
      <w:r>
        <w:rPr>
          <w:rFonts w:ascii="Amiri" w:hAnsi="Amiri" w:eastAsia="Amiri" w:cs="Amiri"/>
          <w:color w:val="111111"/>
          <w:sz w:val="28"/>
          <w:sz w:val="28"/>
          <w:szCs w:val="28"/>
          <w:rtl w:val="true"/>
          <w:lang w:bidi="ar-SA"/>
        </w:rPr>
        <w:t xml:space="preserve">كما في الشرائع </w:t>
      </w:r>
      <w:r>
        <w:rPr>
          <w:rStyle w:val="FootnoteAnchor"/>
          <w:rtl w:val="true"/>
        </w:rPr>
        <w:footnoteReference w:id="721"/>
      </w:r>
      <w:r>
        <w:rPr>
          <w:rFonts w:ascii="Amiri" w:hAnsi="Amiri" w:eastAsia="Amiri" w:cs="Amiri"/>
          <w:color w:val="111111"/>
          <w:sz w:val="28"/>
          <w:sz w:val="28"/>
          <w:szCs w:val="28"/>
          <w:rtl w:val="true"/>
          <w:lang w:bidi="ar-SA"/>
        </w:rPr>
        <w:t>، و لكن في النص و جملة من الكلمات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جواز إخراجه من الحرم، و استثنى في صحيحة ابن مسلم السنام منه </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نص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استثناء السنام و الجلد و الشي‌ء ينتفع به </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نص معاوية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تخصيص النهي بالخروج بشي‌ء من لحمه </w:t>
      </w:r>
      <w:r>
        <w:rPr>
          <w:rStyle w:val="FootnoteAnchor"/>
          <w:rtl w:val="true"/>
        </w:rPr>
        <w:footnoteReference w:id="7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من حيث محل الخروج ساكت، قابل للحمل على 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يعارضه بقية الصحاح الناهية عن الخروج عن الحرم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لو لا ظهور إطلاق الأول في منى، كان الخروج عنه مشكوك الاندراج تحت النهي، فالأصل يقتضي جوازه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بأس بدعوى انصرافه إلى منى، لو لا دعوى معهودية الحرم، بقرينة بقية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فالمتيقن منها حرمة خروجه عن الحرم، و إن كان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إخراج اللحم عن 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عن 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السنام و الجلد فالظاهر جواز خروجها عن الحرم، فضلا عن منى، بل كل شي‌ء ينتفع به منه غير لحمه، المنصوص في صحيح معاوية</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في بعض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الترخيص في إخراج لحم الأضاحي من منى، و هو غير دال على محل الفرض، لاحتمال تخصصه بالأضحية المندوبة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انه على فرض التعميم لا يعارض ما دل على عدم الخروج من الحرم، بل يصلح حينئذ شارحا لنص معاوية السابقة، بحمله على الخروج من الحرم، أو بحمله على الكراهة، و لكن في تماميته على وجه يشمل المقام مشكل،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هدي التمتع، و أما هدي القران فيجب ذبحه أو نحره بمنى إن قرنه بالحج، و بمكة إن قرنه بالعمرة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النص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ذبح إلّا بمنى</w:t>
      </w:r>
      <w:r>
        <w:rPr>
          <w:rFonts w:eastAsia="Amiri" w:cs="Amiri" w:ascii="Amiri" w:hAnsi="Amiri"/>
          <w:color w:val="111111"/>
          <w:sz w:val="28"/>
          <w:szCs w:val="28"/>
          <w:rtl w:val="true"/>
          <w:lang w:bidi="ar-SA"/>
        </w:rPr>
        <w:t xml:space="preserve">» </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 سأل عمن ساق في العمرة بدنة، أين ينحرها؟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بمكة</w:t>
      </w:r>
      <w:r>
        <w:rPr>
          <w:rFonts w:eastAsia="Amiri" w:cs="Amiri" w:ascii="Amiri" w:hAnsi="Amiri"/>
          <w:color w:val="111111"/>
          <w:sz w:val="28"/>
          <w:szCs w:val="28"/>
          <w:rtl w:val="true"/>
          <w:lang w:bidi="ar-SA"/>
        </w:rPr>
        <w:t xml:space="preserve">» </w:t>
      </w:r>
      <w:r>
        <w:rPr>
          <w:rStyle w:val="FootnoteAnchor"/>
          <w:rtl w:val="true"/>
        </w:rPr>
        <w:footnoteReference w:id="7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إطلاقه يقتضي أي مكان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تعيين فناء الكعبة </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أفضل </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تعيين الحزورة منها </w:t>
      </w:r>
      <w:r>
        <w:rPr>
          <w:rStyle w:val="FootnoteAnchor"/>
          <w:rtl w:val="true"/>
        </w:rPr>
        <w:footnoteReference w:id="729"/>
      </w:r>
      <w:r>
        <w:rPr>
          <w:rFonts w:ascii="Amiri" w:hAnsi="Amiri" w:eastAsia="Amiri" w:cs="Amiri"/>
          <w:color w:val="111111"/>
          <w:sz w:val="28"/>
          <w:sz w:val="28"/>
          <w:szCs w:val="28"/>
          <w:rtl w:val="true"/>
          <w:lang w:bidi="ar-SA"/>
        </w:rPr>
        <w:t>، و لا بأس به بعد حملها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بقرينة الإطلاق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الفضيلة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على التقييد لا بد من تعيين الحزورة لا مطلق فناء الكعبة، لعدم الظفر بنص به بخصوصه، غير انه مشهور في كلمات الأصحاب، و لعله لمعهوديته من فعل الأئمة، بضميمة الأمر بأخذ المناسك عنهم، و إلّا فلا يصلح هذا المقدار من الاشتهار سندا، و إن كان يكفي في المستحبات، بناء على الجمع بحمل الأوامر المزبورة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بقرينة إطلاق مكة في النص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الفضل، كما لا يخفى</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يجوز ركوب الهدي و شرب لبنه ما لم يضر به و بولده، لعدم خروجه بالقران أو غيره عن ملكه، و إن تعيّن في الذبح بمنى، بمعنى قصور</w:t>
      </w:r>
    </w:p>
    <w:p>
      <w:pPr>
        <w:pStyle w:val="BookText"/>
        <w:rPr/>
      </w:pPr>
      <w:r>
        <w:rPr>
          <w:rFonts w:ascii="Amiri" w:hAnsi="Amiri" w:eastAsia="Amiri" w:cs="Amiri"/>
          <w:color w:val="111111"/>
          <w:sz w:val="28"/>
          <w:sz w:val="28"/>
          <w:szCs w:val="28"/>
          <w:rtl w:val="true"/>
          <w:lang w:bidi="ar-SA"/>
        </w:rPr>
        <w:t>سلطنته عن العين إلّا في تصرف مخصوص، و ذلك لا يقتضي تعلّق حق الغير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لازمة جواز سائر الانتفاعات به ما لم يضر به، لأنّ إضراره حينئذ خارج عن حيطة سلطنته بخروج عينه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هاهنا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ولدها الملحق بها في التعيين للهدي أيضا مثله لا يجوز الإضرار به أيضا، فلا يجوز شرب لبنه المضر به أو بولده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ما لا يكون ملحقا به في كونه أيضا هديا، فلا بأس بالإضرار به، لأنه ملكه و هو مسلّط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ما ذكرنا أيضا نصوص خاصة واردة في الباب و فيها التصريح بنفي البأس عن ركوبه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مجهد و لا متعب</w:t>
      </w:r>
      <w:r>
        <w:rPr>
          <w:rFonts w:eastAsia="Amiri" w:cs="Amiri" w:ascii="Amiri" w:hAnsi="Amiri"/>
          <w:color w:val="111111"/>
          <w:sz w:val="28"/>
          <w:szCs w:val="28"/>
          <w:rtl w:val="true"/>
          <w:lang w:bidi="ar-SA"/>
        </w:rPr>
        <w:t xml:space="preserve">» </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لم يضر بولدها</w:t>
      </w:r>
      <w:r>
        <w:rPr>
          <w:rFonts w:eastAsia="Amiri" w:cs="Amiri" w:ascii="Amiri" w:hAnsi="Amiri"/>
          <w:color w:val="111111"/>
          <w:sz w:val="28"/>
          <w:szCs w:val="28"/>
          <w:rtl w:val="true"/>
          <w:lang w:bidi="ar-SA"/>
        </w:rPr>
        <w:t xml:space="preserve">» </w:t>
      </w:r>
      <w:r>
        <w:rPr>
          <w:rStyle w:val="FootnoteAnchor"/>
          <w:rtl w:val="true"/>
        </w:rPr>
        <w:footnoteReference w:id="731"/>
      </w:r>
      <w:r>
        <w:rPr>
          <w:rFonts w:ascii="Amiri" w:hAnsi="Amiri" w:eastAsia="Amiri" w:cs="Amiri"/>
          <w:color w:val="111111"/>
          <w:sz w:val="28"/>
          <w:sz w:val="28"/>
          <w:szCs w:val="28"/>
          <w:rtl w:val="true"/>
          <w:lang w:bidi="ar-SA"/>
        </w:rPr>
        <w:t>، و إطلاقها يشمل المضمون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بين المضمون و غيره، بعدم جواز الركوب أو شرب لبنه في المضمون، و إن ركب أو شرب كان ضامنا لمستحق أصله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دعوى الإجماع على التفصيل المزبور </w:t>
      </w:r>
      <w:r>
        <w:rPr>
          <w:rStyle w:val="FootnoteAnchor"/>
          <w:rtl w:val="true"/>
        </w:rPr>
        <w:footnoteReference w:id="732"/>
      </w:r>
      <w:r>
        <w:rPr>
          <w:rFonts w:ascii="Amiri" w:hAnsi="Amiri" w:eastAsia="Amiri" w:cs="Amiri"/>
          <w:color w:val="111111"/>
          <w:sz w:val="28"/>
          <w:sz w:val="28"/>
          <w:szCs w:val="28"/>
          <w:rtl w:val="true"/>
          <w:lang w:bidi="ar-SA"/>
        </w:rPr>
        <w:t xml:space="preserve">، و لذا أجاد في الجواهر حيث أفاد بأنه إن تمّ الإجماع فهو، و إلّا فهو اجتهاد في قبال إطلاق النص و فتاوى كثير، لعدم منافاة الضمان مع إباحة مثل هذه الانتفاعات </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في بعض النصوص السابقة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نتجت بدنتك فأحلبها ما لم يضر بولدها، ثم انحرهما جميعا</w:t>
      </w:r>
      <w:r>
        <w:rPr>
          <w:rFonts w:eastAsia="Amiri" w:cs="Amiri" w:ascii="Amiri" w:hAnsi="Amiri"/>
          <w:color w:val="111111"/>
          <w:sz w:val="28"/>
          <w:szCs w:val="28"/>
          <w:rtl w:val="true"/>
          <w:lang w:bidi="ar-SA"/>
        </w:rPr>
        <w:t xml:space="preserve">» </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نظيره صحيح آخر </w:t>
      </w:r>
      <w:r>
        <w:rPr>
          <w:rStyle w:val="FootnoteAnchor"/>
          <w:rtl w:val="true"/>
        </w:rPr>
        <w:footnoteReference w:id="735"/>
      </w:r>
      <w:r>
        <w:rPr>
          <w:rFonts w:ascii="Amiri" w:hAnsi="Amiri" w:eastAsia="Amiri" w:cs="Amiri"/>
          <w:color w:val="111111"/>
          <w:sz w:val="28"/>
          <w:sz w:val="28"/>
          <w:szCs w:val="28"/>
          <w:rtl w:val="true"/>
          <w:lang w:bidi="ar-SA"/>
        </w:rPr>
        <w:t>، و ظاهرهما صورة نتاجه بعد ما تعيّنت للهدي</w:t>
      </w:r>
      <w:bookmarkStart w:id="340" w:name="pg19818_204105"/>
    </w:p>
    <w:p>
      <w:pPr>
        <w:pStyle w:val="BookText"/>
        <w:rPr/>
      </w:pPr>
      <w:bookmarkEnd w:id="340"/>
      <w:r>
        <w:rPr>
          <w:rFonts w:ascii="Amiri" w:hAnsi="Amiri" w:eastAsia="Amiri" w:cs="Amiri"/>
          <w:color w:val="111111"/>
          <w:sz w:val="28"/>
          <w:sz w:val="28"/>
          <w:szCs w:val="28"/>
          <w:rtl w:val="true"/>
          <w:lang w:bidi="ar-SA"/>
        </w:rPr>
        <w:t>بالقران، فلا يشمل قبله، فيبقى على ملكه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تعيين الولد للهدي تبعا 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 المالك هديه، للإطلاق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إلحاق الصوف و غيره من سائر نماءاته بالولد اشكال، فيبقى تحت أصالة الملكية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المضمونة اشكال، لتعلق حق الغير بنمائه، المحسوب من توابع عينه عرفا مع عدم دليل على إباحتها في غير اللبن و الركوب، و لا وجه للتعدّي عنها إلى غيرها، بعد ما كان على خلاف القاعدة، كما لا يخفى</w:t>
      </w:r>
      <w:r>
        <w:rPr>
          <w:rFonts w:eastAsia="Amiri" w:cs="Amiri" w:ascii="Amiri" w:hAnsi="Amiri"/>
          <w:color w:val="111111"/>
          <w:sz w:val="28"/>
          <w:szCs w:val="28"/>
          <w:rtl w:val="true"/>
          <w:lang w:bidi="ar-SA"/>
        </w:rPr>
        <w:t>.</w:t>
      </w:r>
    </w:p>
    <w:p>
      <w:pPr>
        <w:pStyle w:val="Heading6"/>
        <w:numPr>
          <w:ilvl w:val="5"/>
          <w:numId w:val="1"/>
        </w:numPr>
        <w:rPr/>
      </w:pPr>
      <w:bookmarkStart w:id="341" w:name="__RefHeading___Toc3320934_2314609296"/>
      <w:bookmarkStart w:id="342" w:name="_Toc125"/>
      <w:bookmarkEnd w:id="341"/>
      <w:r>
        <w:rPr>
          <w:rtl w:val="true"/>
        </w:rPr>
        <w:t>و إذا هلك هدي القران لم يلزمه بدله إلّا أن يكون مضمونا</w:t>
      </w:r>
      <w:bookmarkEnd w:id="342"/>
    </w:p>
    <w:p>
      <w:pPr>
        <w:pStyle w:val="BookText"/>
        <w:rPr/>
      </w:pPr>
      <w:r>
        <w:rPr>
          <w:rFonts w:ascii="Amiri" w:hAnsi="Amiri" w:eastAsia="Amiri" w:cs="Amiri"/>
          <w:color w:val="111111"/>
          <w:sz w:val="28"/>
          <w:sz w:val="28"/>
          <w:szCs w:val="28"/>
          <w:rtl w:val="true"/>
          <w:lang w:bidi="ar-SA"/>
        </w:rPr>
        <w:t>، للأصل، بعد عدم خروجه عن ملكه، و لاشتغال ذمته بكلي يكون ذلك فرده، غاية الأمر كان سياقه بإشعاره و عقد التلبية به أخرجه عن تحت سلطانه في التصرفات غير ذبحه بمنى، لعدم مساعدة دليل وجوب ذبحه تعيينا إلّا ذلك، فلا مقتضى للضمان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انه لا يضمن أيضا بلا تفريط، و إن تعلّق النذر بتعيين شخصه للهدي، بلا تعلقه بالكلي في الذمة أصلا، إذ مجرد ذلك لا يوجب ضمانه، بعد عدم المقتضي له من يد أو إتلاف، وفاقا للرياض </w:t>
      </w:r>
      <w:r>
        <w:rPr>
          <w:rStyle w:val="FootnoteAnchor"/>
          <w:rtl w:val="true"/>
        </w:rPr>
        <w:footnoteReference w:id="736"/>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تعلّق نذره بذمته، وجب امتثال ما وجب في ذمته بفرد آخر، مثل كفارته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المراد من الهدي المضمون في كلماتهم، كما في مضمر أبي بصير تفسيره به، و ذلك أيضا غير الضمان المصطلح</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إلى ما ذكرنا أيضا أشار في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السؤال عن الهدي يقلّد أو يشعر ثم يعطب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تطوعا فليس عليه غيره، و إن كان جزاء أو نذرا فعليه بدله</w:t>
      </w:r>
      <w:r>
        <w:rPr>
          <w:rFonts w:eastAsia="Amiri" w:cs="Amiri" w:ascii="Amiri" w:hAnsi="Amiri"/>
          <w:color w:val="111111"/>
          <w:sz w:val="28"/>
          <w:szCs w:val="28"/>
          <w:rtl w:val="true"/>
          <w:lang w:bidi="ar-SA"/>
        </w:rPr>
        <w:t xml:space="preserve">» </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ظاهر نذره بإطلاقه و إن توهم شموله للمتعلّق بالمعيّن الموجود، إلّا أنّ اقترانه بالجزاء لا يصلح للقرينية على الحمل على الكلّي في ذمته، فلا تكون الرواية خلاف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إطلاق الرواية في تطوعه من حيث التفريط و عدمه يقتضي نفي الضمان أيضا، و هو خلاف ما في نص آخر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اشتريت أضحيتك و قمطتها و صارت في رحلك فقد بلغ الهدي محله</w:t>
      </w:r>
      <w:r>
        <w:rPr>
          <w:rFonts w:eastAsia="Amiri" w:cs="Amiri" w:ascii="Amiri" w:hAnsi="Amiri"/>
          <w:color w:val="111111"/>
          <w:sz w:val="28"/>
          <w:szCs w:val="28"/>
          <w:rtl w:val="true"/>
          <w:lang w:bidi="ar-SA"/>
        </w:rPr>
        <w:t xml:space="preserve">» </w:t>
      </w:r>
      <w:r>
        <w:rPr>
          <w:rStyle w:val="FootnoteAnchor"/>
          <w:rtl w:val="true"/>
        </w:rPr>
        <w:footnoteReference w:id="738"/>
      </w:r>
      <w:r>
        <w:rPr>
          <w:rFonts w:ascii="Amiri" w:hAnsi="Amiri" w:eastAsia="Amiri" w:cs="Amiri"/>
          <w:color w:val="111111"/>
          <w:sz w:val="28"/>
          <w:sz w:val="28"/>
          <w:szCs w:val="28"/>
          <w:rtl w:val="true"/>
          <w:lang w:bidi="ar-SA"/>
        </w:rPr>
        <w:t>، بناء على ظهور تقميطها في عدم تفريطه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فمفهومه يقتضي الضمان، فيقيّد به الإطلاق المذكور، و ذيله ربما يكون قرينة على حمل الأضحية في صدره على الهدي المسوق، و إلّا فيمكن التعدّي عنه في طرف المفهوم بالفحوى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أيضا ظاهر المحقق في شرائعه </w:t>
      </w:r>
      <w:r>
        <w:rPr>
          <w:rStyle w:val="FootnoteAnchor"/>
          <w:rtl w:val="true"/>
        </w:rPr>
        <w:footnoteReference w:id="739"/>
      </w:r>
      <w:r>
        <w:rPr>
          <w:rFonts w:ascii="Amiri" w:hAnsi="Amiri" w:eastAsia="Amiri" w:cs="Amiri"/>
          <w:color w:val="111111"/>
          <w:sz w:val="28"/>
          <w:sz w:val="28"/>
          <w:szCs w:val="28"/>
          <w:rtl w:val="true"/>
          <w:lang w:bidi="ar-SA"/>
        </w:rPr>
        <w:t xml:space="preserve">، و إمضاء الجواهر إياه </w:t>
      </w:r>
      <w:r>
        <w:rPr>
          <w:rStyle w:val="FootnoteAnchor"/>
          <w:rtl w:val="true"/>
        </w:rPr>
        <w:footnoteReference w:id="7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ربما يستفاد من جعله إياه في سلك المسلمات قيام الإجماع عليه، بل و يظهر ذلك من كشف اللثام </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تم ذلك إجماعا فهو، و إلّا فللنظر في ضمان التطوع مجال، إذ مجرد قصور سلطة المالك عن العين و تعيينه للذبح بمنى لا يقتضي تعلّق حق غيره به، كي يجي‌ء فيه الضمان المصطلح</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النصوص، فمفهوم القيد المزبور فيها مع ضعفها لا يصلح لتقييد الإطلاق، و لعله لذلك حكى الإشكال في ضمان هدي المسوق تطوعا من المحقق الثاني، معللا بعدم تعيينه بالسياق للصدقة، فلم يجب عليه ضمانه </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إمكان كون مجرد وجوب ذبحه منشأ ضمانه </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يحتاج إلى الدليل، إذ غاية ما ورد في النص ثبوت الفداء في المضمون، المفسر بالجزاء و النذر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نص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التفصيل بين التطوع و الواجب، و انّ في الواجب قيمته </w:t>
      </w:r>
      <w:r>
        <w:rPr>
          <w:rStyle w:val="FootnoteAnchor"/>
          <w:rtl w:val="true"/>
        </w:rPr>
        <w:footnoteReference w:id="7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حمل الواجب فيه على المضمون، بقرينة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لم يكن مضمونا فلا شي‌ء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من النصوص المزبورة يستفاد الضمان في المنذورة نتيجة أم فعلا، و هكذا الكفارة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إشكال حينئذ في ضمانهما، فيما لو تعلّق بالذمة، و إلّا ففيما تعلّق النذر بالمعيّن قد تقدّم الاشكال فيه، بل و ظاهرهم عدم ضمانه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إشكال في الضمان في هدي المتمتع، لكونه من الواجب في الذمة، فبتلفه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بلا تفريط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يتعيّن البدل، مقدمة لامتثال الكلي في ذمته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النص المرسل عن أحمد بن محمد بن عيسى تقييد عدم ضمانه باستيثاقه في رحله، و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أوثقها في رحله فضاعت فقد أجزأت عنه</w:t>
      </w:r>
      <w:r>
        <w:rPr>
          <w:rFonts w:eastAsia="Amiri" w:cs="Amiri" w:ascii="Amiri" w:hAnsi="Amiri"/>
          <w:color w:val="111111"/>
          <w:sz w:val="28"/>
          <w:szCs w:val="28"/>
          <w:rtl w:val="true"/>
          <w:lang w:bidi="ar-SA"/>
        </w:rPr>
        <w:t xml:space="preserve">» </w:t>
      </w:r>
      <w:r>
        <w:rPr>
          <w:rStyle w:val="FootnoteAnchor"/>
          <w:rtl w:val="true"/>
        </w:rPr>
        <w:footnoteReference w:id="745"/>
      </w:r>
      <w:r>
        <w:rPr>
          <w:rFonts w:ascii="Amiri" w:hAnsi="Amiri" w:eastAsia="Amiri" w:cs="Amiri"/>
          <w:color w:val="111111"/>
          <w:sz w:val="28"/>
          <w:sz w:val="28"/>
          <w:szCs w:val="28"/>
          <w:rtl w:val="true"/>
          <w:lang w:bidi="ar-SA"/>
        </w:rPr>
        <w:t>، و لكنها لضعفها و عدم جابر لها لا يصلح لأن يخالف لها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يتعيّن الصدقة في هدي السياق إلّا بالنذر، فبدونه يستحب أكله، و ان يهدي بثلثه، و ان يتصدّق بثلثه، لما في نص شعيب العقرقوفي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ثلثا، و تصدّق بثلث، و اهد ثلثا</w:t>
      </w:r>
      <w:r>
        <w:rPr>
          <w:rFonts w:eastAsia="Amiri" w:cs="Amiri" w:ascii="Amiri" w:hAnsi="Amiri"/>
          <w:color w:val="111111"/>
          <w:sz w:val="28"/>
          <w:szCs w:val="28"/>
          <w:rtl w:val="true"/>
          <w:lang w:bidi="ar-SA"/>
        </w:rPr>
        <w:t xml:space="preserve">» </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يمكن حمل الأمر بالأكل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هدي التمتع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دفع توهم</w:t>
      </w:r>
    </w:p>
    <w:p>
      <w:pPr>
        <w:pStyle w:val="BookText"/>
        <w:rPr/>
      </w:pPr>
      <w:r>
        <w:rPr>
          <w:rFonts w:ascii="Amiri" w:hAnsi="Amiri" w:eastAsia="Amiri" w:cs="Amiri"/>
          <w:color w:val="111111"/>
          <w:sz w:val="28"/>
          <w:sz w:val="28"/>
          <w:szCs w:val="28"/>
          <w:rtl w:val="true"/>
          <w:lang w:bidi="ar-SA"/>
        </w:rPr>
        <w:t>لزوم الصدقة بتمامه، فلا يستفاد منه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بأس باستفادة رجحانه في المقامين، و لو بقرينة فهم الأصحاب و تسلمهم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فاحتمال بعضهم لوجوب الأكل و الإطعام بمثل هذه الأوامر منظور فيه، بل القائل بالوجوب المزبور لا بد أن يلتزم بوجوب التثليث المزبور، لتعلق الأمر كذلك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على القول بوجوب الأكل، ففي تعلّق النذر بتصدقه أجمع اشكال، لعدم مشروعيته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المفروض انّ النذر أيضا كالشرط لا يكون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فالتزامهم بصحة النذر المزبور مناف لوجوب الأكل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ينافي رجحانه، لإمكان رجحان ضده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يعطى الجزار الجلود من الهدي الواجب بنذر أو كفارة أو غيرهما مما يجب في الذمة، و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استثناء هدي التمتع عن هذا الحكم </w:t>
      </w:r>
      <w:r>
        <w:rPr>
          <w:rStyle w:val="FootnoteAnchor"/>
          <w:rtl w:val="true"/>
        </w:rPr>
        <w:footnoteReference w:id="7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النص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يعطي الجزارين من جلود الهدي</w:t>
      </w:r>
      <w:r>
        <w:rPr>
          <w:rFonts w:eastAsia="Amiri" w:cs="Amiri" w:ascii="Amiri" w:hAnsi="Amiri"/>
          <w:color w:val="111111"/>
          <w:sz w:val="28"/>
          <w:szCs w:val="28"/>
          <w:rtl w:val="true"/>
          <w:lang w:bidi="ar-SA"/>
        </w:rPr>
        <w:t xml:space="preserve">» </w:t>
      </w:r>
      <w:r>
        <w:rPr>
          <w:rStyle w:val="FootnoteAnchor"/>
          <w:rtl w:val="true"/>
        </w:rPr>
        <w:footnoteReference w:id="7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إطلاقه يشمل الواجب في التمتع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النهي عن أكله مختص بغير الهدي المزبور، إذ في النص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هدي من نقصان الحج فلا تأكل منه، و كل هدي من تمام الحج فكل</w:t>
      </w:r>
      <w:r>
        <w:rPr>
          <w:rFonts w:eastAsia="Amiri" w:cs="Amiri" w:ascii="Amiri" w:hAnsi="Amiri"/>
          <w:color w:val="111111"/>
          <w:sz w:val="28"/>
          <w:szCs w:val="28"/>
          <w:rtl w:val="true"/>
          <w:lang w:bidi="ar-SA"/>
        </w:rPr>
        <w:t xml:space="preserve">» </w:t>
      </w:r>
      <w:r>
        <w:rPr>
          <w:rStyle w:val="FootnoteAnchor"/>
          <w:rtl w:val="true"/>
        </w:rPr>
        <w:footnoteReference w:id="749"/>
      </w:r>
      <w:r>
        <w:rPr>
          <w:rFonts w:ascii="Amiri" w:hAnsi="Amiri" w:eastAsia="Amiri" w:cs="Amiri"/>
          <w:color w:val="111111"/>
          <w:sz w:val="28"/>
          <w:sz w:val="28"/>
          <w:szCs w:val="28"/>
          <w:rtl w:val="true"/>
          <w:lang w:bidi="ar-SA"/>
        </w:rPr>
        <w:t>، و معلوم انّ الواجب في التمتع من تمامه، و لقد تقدّم أيضا استحباب أكل ثلثه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النهي عن أكل المضمون، مع تفسير المضمون بما كان لنذر أو كفارة </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حينئذ فاستثناء الجواهر لهدي التمتع تمام بالنسبة إلى أكله </w:t>
      </w:r>
      <w:r>
        <w:rPr>
          <w:rStyle w:val="FootnoteAnchor"/>
          <w:rtl w:val="true"/>
        </w:rPr>
        <w:footnoteReference w:id="7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w:t>
      </w:r>
    </w:p>
    <w:p>
      <w:pPr>
        <w:pStyle w:val="BookText"/>
        <w:rPr/>
      </w:pPr>
      <w:r>
        <w:rPr>
          <w:rFonts w:ascii="Amiri" w:hAnsi="Amiri" w:eastAsia="Amiri" w:cs="Amiri"/>
          <w:color w:val="111111"/>
          <w:sz w:val="28"/>
          <w:sz w:val="28"/>
          <w:szCs w:val="28"/>
          <w:rtl w:val="true"/>
          <w:lang w:bidi="ar-SA"/>
        </w:rPr>
        <w:t>بالنسبة إلى إعطاء الجزارين فلم أر تخصيص أحد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المحتمل حمل تخصيصه على التخصيص بلحاظ مجموع ما في متن الشرائع من الأحكام، التي منها أكله و أخذه لنفسه </w:t>
      </w:r>
      <w:r>
        <w:rPr>
          <w:rStyle w:val="FootnoteAnchor"/>
          <w:rtl w:val="true"/>
        </w:rPr>
        <w:footnoteReference w:id="752"/>
      </w:r>
      <w:r>
        <w:rPr>
          <w:rFonts w:ascii="Amiri" w:hAnsi="Amiri" w:eastAsia="Amiri" w:cs="Amiri"/>
          <w:color w:val="111111"/>
          <w:sz w:val="28"/>
          <w:sz w:val="28"/>
          <w:szCs w:val="28"/>
          <w:rtl w:val="true"/>
          <w:lang w:bidi="ar-SA"/>
        </w:rPr>
        <w:t>، و هو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فمع إطلاق النص السابق تكون عهدة التقييد المزبور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في بعض النصوص المشتملة على شرح المضمون في ذيله، بعد النهي عن الأكل،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هو للمساكين</w:t>
      </w:r>
      <w:r>
        <w:rPr>
          <w:rFonts w:eastAsia="Amiri" w:cs="Amiri" w:ascii="Amiri" w:hAnsi="Amiri"/>
          <w:color w:val="111111"/>
          <w:sz w:val="28"/>
          <w:szCs w:val="28"/>
          <w:rtl w:val="true"/>
          <w:lang w:bidi="ar-SA"/>
        </w:rPr>
        <w:t xml:space="preserve">» </w:t>
      </w:r>
      <w:r>
        <w:rPr>
          <w:rStyle w:val="FootnoteAnchor"/>
          <w:rtl w:val="true"/>
        </w:rPr>
        <w:footnoteReference w:id="7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لازمة عدم جواز أخذ جلده و شي‌ء منه لنفسه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في قباله ما دلّ على جواز الانتفاع بجلد الأضحية، و إن تصدق فهو أفضل </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يعطي الأضحية من تسلخها بجلدها؟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Style w:val="FootnoteAnchor"/>
          <w:rtl w:val="true"/>
        </w:rPr>
        <w:footnoteReference w:id="7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تمسك بالآية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فَكُلُوا مِنْهٰا وَ أَطْعِمُوا </w:t>
      </w:r>
      <w:r>
        <w:rPr>
          <w:rFonts w:eastAsia="Amiri" w:cs="Amiri" w:ascii="Amiri" w:hAnsi="Amiri"/>
          <w:color w:val="111111"/>
          <w:sz w:val="28"/>
          <w:szCs w:val="28"/>
          <w:rtl w:val="true"/>
          <w:lang w:bidi="ar-SA"/>
        </w:rPr>
        <w:t xml:space="preserve">.. </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مقتضى الجمع الحمل على الكراهة في المقامين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توهم احتمال التخصيص بالأضحية المندوبة، فلا يشمل الواجب بنذر، مدفوع بأنه هو</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مقتضى إطلاقها، من دون احتياج إلى التشبث بظهور الآية للهدي الواجب، لإمكان حمله على الواجب بالتمتع، الذي لا إشكال في جواز أكله، و حينئذ لا قصور في الأخذ بإطلاق الرخصة، و رفع اليد عن ظهور النواهي بالحمل على الكراهة، كما صنعه بعض الأجلة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أولى من التقييد في الثانية، و إبقاء ظهور النواهي بحالها، كما نسب ذلك الى المشهور</w:t>
      </w:r>
      <w:r>
        <w:rPr>
          <w:rFonts w:eastAsia="Amiri" w:cs="Amiri" w:ascii="Amiri" w:hAnsi="Amiri"/>
          <w:color w:val="111111"/>
          <w:sz w:val="28"/>
          <w:szCs w:val="28"/>
          <w:rtl w:val="true"/>
          <w:lang w:bidi="ar-SA"/>
        </w:rPr>
        <w:t>.</w:t>
      </w:r>
      <w:bookmarkStart w:id="343" w:name="pg19818_204110"/>
    </w:p>
    <w:p>
      <w:pPr>
        <w:pStyle w:val="BookText"/>
        <w:rPr/>
      </w:pPr>
      <w:bookmarkEnd w:id="343"/>
      <w:r>
        <w:rPr>
          <w:rFonts w:ascii="Amiri" w:hAnsi="Amiri" w:eastAsia="Amiri" w:cs="Amiri"/>
          <w:color w:val="111111"/>
          <w:sz w:val="28"/>
          <w:sz w:val="28"/>
          <w:szCs w:val="28"/>
          <w:rtl w:val="true"/>
          <w:lang w:bidi="ar-SA"/>
        </w:rPr>
        <w:t>نعم لو قيل بتساوي الجمعين في نظر العرف، فيرجع إلى الأصل المقتضي لجواز الأكل و الانتفاع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بالنسبة إلى تمليك الجزارين كان الأصل عدم جوازه، و لعل ذلك أيضا مستند من فصل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الذي يسهّل الخطب في المقام ضعف سند الأخير بنفسه، لا من جهة إعراض المشهور، كي يدفع باحتمال كونه من باب الجمع بالتقييد، كما عرفت، و اللّٰه العالم</w:t>
      </w:r>
      <w:r>
        <w:rPr>
          <w:rFonts w:eastAsia="Amiri" w:cs="Amiri" w:ascii="Amiri" w:hAnsi="Amiri"/>
          <w:color w:val="111111"/>
          <w:sz w:val="28"/>
          <w:szCs w:val="28"/>
          <w:rtl w:val="true"/>
          <w:lang w:bidi="ar-SA"/>
        </w:rPr>
        <w:t>.</w:t>
      </w:r>
    </w:p>
    <w:p>
      <w:pPr>
        <w:pStyle w:val="Heading6"/>
        <w:numPr>
          <w:ilvl w:val="5"/>
          <w:numId w:val="1"/>
        </w:numPr>
        <w:rPr/>
      </w:pPr>
      <w:bookmarkStart w:id="344" w:name="__RefHeading___Toc3320936_2314609296"/>
      <w:bookmarkStart w:id="345" w:name="_Toc126"/>
      <w:bookmarkEnd w:id="344"/>
      <w:r>
        <w:rPr>
          <w:rtl w:val="true"/>
        </w:rPr>
        <w:t>و أما الأضحية فمستحبة يوم النحر،</w:t>
      </w:r>
      <w:bookmarkEnd w:id="345"/>
    </w:p>
    <w:p>
      <w:pPr>
        <w:pStyle w:val="BookText"/>
        <w:rPr/>
      </w:pPr>
      <w:r>
        <w:rPr>
          <w:rFonts w:ascii="Amiri" w:hAnsi="Amiri" w:eastAsia="Amiri" w:cs="Amiri"/>
          <w:color w:val="111111"/>
          <w:sz w:val="28"/>
          <w:sz w:val="28"/>
          <w:szCs w:val="28"/>
          <w:rtl w:val="true"/>
          <w:lang w:bidi="ar-SA"/>
        </w:rPr>
        <w:t>و ثلاثة بعده بمنى، و يومان بعده في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الأضحى كم هو بمنى؟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أربعة أيام</w:t>
      </w:r>
      <w:r>
        <w:rPr>
          <w:rFonts w:eastAsia="Amiri" w:cs="Amiri" w:ascii="Amiri" w:hAnsi="Amiri"/>
          <w:color w:val="111111"/>
          <w:sz w:val="28"/>
          <w:szCs w:val="28"/>
          <w:rtl w:val="true"/>
          <w:lang w:bidi="ar-SA"/>
        </w:rPr>
        <w:t xml:space="preserve">» </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غيره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ثلاثة أيام</w:t>
      </w:r>
      <w:r>
        <w:rPr>
          <w:rFonts w:eastAsia="Amiri" w:cs="Amiri" w:ascii="Amiri" w:hAnsi="Amiri"/>
          <w:color w:val="111111"/>
          <w:sz w:val="28"/>
          <w:szCs w:val="28"/>
          <w:rtl w:val="true"/>
          <w:lang w:bidi="ar-SA"/>
        </w:rPr>
        <w:t xml:space="preserve">» </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النصوص على أصل تشريعها متواترة، و في كثير منها التعبير بالوجوب، حتى توهم الإسكافي وجوبها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في كثير من نصوص اخرى بيان حكمتها على نحو يناسب استحبابه، بل في نص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كتب على النحر و لم يكتب عليكم</w:t>
      </w:r>
      <w:r>
        <w:rPr>
          <w:rFonts w:eastAsia="Amiri" w:cs="Amiri" w:ascii="Amiri" w:hAnsi="Amiri"/>
          <w:color w:val="111111"/>
          <w:sz w:val="28"/>
          <w:szCs w:val="28"/>
          <w:rtl w:val="true"/>
          <w:lang w:bidi="ar-SA"/>
        </w:rPr>
        <w:t xml:space="preserve">» </w:t>
      </w:r>
      <w:r>
        <w:rPr>
          <w:rStyle w:val="FootnoteAnchor"/>
          <w:rtl w:val="true"/>
        </w:rPr>
        <w:footnoteReference w:id="759"/>
      </w:r>
      <w:r>
        <w:rPr>
          <w:rFonts w:ascii="Amiri" w:hAnsi="Amiri" w:eastAsia="Amiri" w:cs="Amiri"/>
          <w:color w:val="111111"/>
          <w:sz w:val="28"/>
          <w:sz w:val="28"/>
          <w:szCs w:val="28"/>
          <w:rtl w:val="true"/>
          <w:lang w:bidi="ar-SA"/>
        </w:rPr>
        <w:t>، و بذلك ذهب أصحابنا إلى الاستحباب، حتى كررت دعاوي الإجماعات عليه في كلماتهم</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يجزئ هدي التمتع عنها، لما في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يجزئ الهدي عن</w:t>
      </w:r>
    </w:p>
    <w:p>
      <w:pPr>
        <w:pStyle w:val="BookText"/>
        <w:rPr/>
      </w:pPr>
      <w:r>
        <w:rPr>
          <w:rFonts w:ascii="Amiri" w:hAnsi="Amiri" w:eastAsia="Amiri" w:cs="Amiri"/>
          <w:color w:val="111111"/>
          <w:sz w:val="28"/>
          <w:sz w:val="28"/>
          <w:szCs w:val="28"/>
          <w:rtl w:val="true"/>
          <w:lang w:bidi="ar-SA"/>
        </w:rPr>
        <w:t>الأضحية</w:t>
      </w:r>
      <w:r>
        <w:rPr>
          <w:rFonts w:eastAsia="Amiri" w:cs="Amiri" w:ascii="Amiri" w:hAnsi="Amiri"/>
          <w:color w:val="111111"/>
          <w:sz w:val="28"/>
          <w:szCs w:val="28"/>
          <w:rtl w:val="true"/>
          <w:lang w:bidi="ar-SA"/>
        </w:rPr>
        <w:t xml:space="preserve">» </w:t>
      </w:r>
      <w:r>
        <w:rPr>
          <w:rStyle w:val="FootnoteAnchor"/>
          <w:rtl w:val="true"/>
        </w:rPr>
        <w:footnoteReference w:id="760"/>
      </w:r>
      <w:r>
        <w:rPr>
          <w:rFonts w:ascii="Amiri" w:hAnsi="Amiri" w:eastAsia="Amiri" w:cs="Amiri"/>
          <w:color w:val="111111"/>
          <w:sz w:val="28"/>
          <w:sz w:val="28"/>
          <w:szCs w:val="28"/>
          <w:rtl w:val="true"/>
          <w:lang w:bidi="ar-SA"/>
        </w:rPr>
        <w:t>، و في انصراف الإطلاق إلى الهدي الواجب بالتمتع نظر، فيشمل غيره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فقدها تصدّق بثمنها، و مع اختلاف قيمتها جمعها و تصدّق بثلثها، كما في النص المنسوب إلى عبد اللّٰه بن عمر المشتمل على التثليث في فرض اختلاف القيم </w:t>
      </w:r>
      <w:r>
        <w:rPr>
          <w:rStyle w:val="FootnoteAnchor"/>
          <w:rtl w:val="true"/>
        </w:rPr>
        <w:footnoteReference w:id="761"/>
      </w:r>
      <w:r>
        <w:rPr>
          <w:rFonts w:ascii="Amiri" w:hAnsi="Amiri" w:eastAsia="Amiri" w:cs="Amiri"/>
          <w:color w:val="111111"/>
          <w:sz w:val="28"/>
          <w:sz w:val="28"/>
          <w:szCs w:val="28"/>
          <w:rtl w:val="true"/>
          <w:lang w:bidi="ar-SA"/>
        </w:rPr>
        <w:t>، المعلوم حكم غيره بالفحوى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يكره التضحية بما يربيه كما في النص المنسوب الى محمد بن الفضل، و في ذيله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تربين شيئا من هذا ثم تذبحه</w:t>
      </w:r>
      <w:r>
        <w:rPr>
          <w:rFonts w:eastAsia="Amiri" w:cs="Amiri" w:ascii="Amiri" w:hAnsi="Amiri"/>
          <w:color w:val="111111"/>
          <w:sz w:val="28"/>
          <w:szCs w:val="28"/>
          <w:rtl w:val="true"/>
          <w:lang w:bidi="ar-SA"/>
        </w:rPr>
        <w:t xml:space="preserve">» </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إعطاء الجزار شيئا من الجلود، للنواهي السابقة المطلقة المحمولة على الكراهة بقرينة المرسلة المنسوبة الى الصدوق </w:t>
      </w:r>
      <w:r>
        <w:rPr>
          <w:rStyle w:val="FootnoteAnchor"/>
          <w:rtl w:val="true"/>
        </w:rPr>
        <w:footnoteReference w:id="763"/>
      </w:r>
      <w:r>
        <w:rPr>
          <w:rFonts w:ascii="Amiri" w:hAnsi="Amiri" w:eastAsia="Amiri" w:cs="Amiri"/>
          <w:color w:val="111111"/>
          <w:sz w:val="28"/>
          <w:sz w:val="28"/>
          <w:szCs w:val="28"/>
          <w:rtl w:val="true"/>
          <w:lang w:bidi="ar-SA"/>
        </w:rPr>
        <w:t>، و لكن قد تقدم منهم تضعيف المرسلة فكيف يجمع بينهما في المقام، فراجع الجواهر في المقامين، و لقد تقدّم منا الكلام في المسألة السابقة، من احتمال تخصيص النواهي بغير الأضحية المندوبة، بل من الممكن دعوى انصرافها عنها، و حينئذ ففي ثبوت الكراهة الشرعية نظر، نعم لا بأس بتركه رجاء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أيضا يكره أن يخرج به من منى، لما في النص </w:t>
      </w:r>
      <w:r>
        <w:rPr>
          <w:rStyle w:val="FootnoteAnchor"/>
          <w:rtl w:val="true"/>
        </w:rPr>
        <w:footnoteReference w:id="764"/>
      </w:r>
      <w:r>
        <w:rPr>
          <w:rFonts w:ascii="Amiri" w:hAnsi="Amiri" w:eastAsia="Amiri" w:cs="Amiri"/>
          <w:color w:val="111111"/>
          <w:sz w:val="28"/>
          <w:sz w:val="28"/>
          <w:szCs w:val="28"/>
          <w:rtl w:val="true"/>
          <w:lang w:bidi="ar-SA"/>
        </w:rPr>
        <w:t xml:space="preserve">، و في بعض النصوص استثناء سنامها فراجع </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في المقام بعض إشكالات واهية تعرّض لها في الجواهر بجوابها </w:t>
      </w:r>
      <w:r>
        <w:rPr>
          <w:rStyle w:val="FootnoteAnchor"/>
          <w:rtl w:val="true"/>
        </w:rPr>
        <w:footnoteReference w:id="766"/>
      </w:r>
      <w:r>
        <w:rPr>
          <w:rFonts w:ascii="IRNazanin" w:hAnsi="IRNazanin" w:eastAsia="IRNazanin"/>
          <w:color w:val="111111"/>
          <w:sz w:val="28"/>
          <w:sz w:val="28"/>
          <w:szCs w:val="28"/>
          <w:rtl w:val="true"/>
          <w:lang w:bidi="fa-IR"/>
        </w:rPr>
        <w:t>،</w:t>
      </w:r>
      <w:bookmarkStart w:id="346" w:name="pg19818_204112"/>
    </w:p>
    <w:p>
      <w:pPr>
        <w:pStyle w:val="BookText"/>
        <w:rPr/>
      </w:pPr>
      <w:bookmarkEnd w:id="346"/>
      <w:r>
        <w:rPr>
          <w:rFonts w:ascii="Amiri" w:hAnsi="Amiri" w:eastAsia="Amiri" w:cs="Amiri"/>
          <w:color w:val="111111"/>
          <w:sz w:val="28"/>
          <w:sz w:val="28"/>
          <w:szCs w:val="28"/>
          <w:rtl w:val="true"/>
          <w:lang w:bidi="ar-SA"/>
        </w:rPr>
        <w:t>و هي بالاعراض عنها أجدر في مثل هذا المختصر</w:t>
      </w:r>
      <w:r>
        <w:rPr>
          <w:rFonts w:eastAsia="Amiri" w:cs="Amiri" w:ascii="Amiri" w:hAnsi="Amiri"/>
          <w:color w:val="111111"/>
          <w:sz w:val="28"/>
          <w:szCs w:val="28"/>
          <w:rtl w:val="true"/>
          <w:lang w:bidi="ar-SA"/>
        </w:rPr>
        <w:t>.</w:t>
      </w:r>
    </w:p>
    <w:p>
      <w:pPr>
        <w:pStyle w:val="Heading6"/>
        <w:numPr>
          <w:ilvl w:val="5"/>
          <w:numId w:val="1"/>
        </w:numPr>
        <w:rPr/>
      </w:pPr>
      <w:bookmarkStart w:id="347" w:name="__RefHeading___Toc3320938_2314609296"/>
      <w:bookmarkStart w:id="348" w:name="_Toc127"/>
      <w:bookmarkEnd w:id="347"/>
      <w:r>
        <w:rPr>
          <w:rtl w:val="true"/>
        </w:rPr>
        <w:t>الثالث</w:t>
      </w:r>
      <w:r>
        <w:rPr>
          <w:rtl w:val="true"/>
        </w:rPr>
        <w:t xml:space="preserve">: </w:t>
      </w:r>
      <w:r>
        <w:rPr>
          <w:rtl w:val="true"/>
        </w:rPr>
        <w:t>الحلق، و يجب يوم النحر بعد الذبح الحلق أو التقصير</w:t>
      </w:r>
      <w:bookmarkEnd w:id="348"/>
    </w:p>
    <w:p>
      <w:pPr>
        <w:pStyle w:val="BookText"/>
        <w:rPr/>
      </w:pPr>
      <w:r>
        <w:rPr>
          <w:rFonts w:ascii="Amiri" w:hAnsi="Amiri" w:eastAsia="Amiri" w:cs="Amiri"/>
          <w:color w:val="111111"/>
          <w:sz w:val="28"/>
          <w:sz w:val="28"/>
          <w:szCs w:val="28"/>
          <w:rtl w:val="true"/>
          <w:lang w:bidi="ar-SA"/>
        </w:rPr>
        <w:t>على المشهور، للأمر به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لبّد شعره أو عقصه فليس عليه أن يقصّر و عليه الحلق، و من لم يلبّد تخيّر إن شاء قصّر و إن شاء حلق، و الحلق أفضل</w:t>
      </w:r>
      <w:r>
        <w:rPr>
          <w:rFonts w:eastAsia="Amiri" w:cs="Amiri" w:ascii="Amiri" w:hAnsi="Amiri"/>
          <w:color w:val="111111"/>
          <w:sz w:val="28"/>
          <w:szCs w:val="28"/>
          <w:rtl w:val="true"/>
          <w:lang w:bidi="ar-SA"/>
        </w:rPr>
        <w:t xml:space="preserve">» </w:t>
      </w:r>
      <w:r>
        <w:rPr>
          <w:rStyle w:val="FootnoteAnchor"/>
          <w:rtl w:val="true"/>
        </w:rPr>
        <w:footnoteReference w:id="767"/>
      </w:r>
      <w:r>
        <w:rPr>
          <w:rFonts w:ascii="Amiri" w:hAnsi="Amiri" w:eastAsia="Amiri" w:cs="Amiri"/>
          <w:color w:val="111111"/>
          <w:sz w:val="28"/>
          <w:sz w:val="28"/>
          <w:szCs w:val="28"/>
          <w:rtl w:val="true"/>
          <w:lang w:bidi="ar-SA"/>
        </w:rPr>
        <w:t>، إذ الظاهر من الفقرة السابقة وجوب الحلق عليه تعيينا، لانتفاء عدله الواجب تخييرا بظهور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شاء إلى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حصر تخييره بين الأمرين ظاهر في منع تركهما، كما انّ مقتضى ما تقدّم من لزوم الترتيب بين المناسك الثلاثة كون حلقه بعد ذبحه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تخصيص ظرفه بيوم النحر، فهو فرع اختصاص يوم الذبح به، و إلّا فعلى ما ذكرنا من التوسعة في وقت الذبح إلى اليوم الثالث من أيام التشريق، فليكن وقت الحلق أيضا موسعا، لأنه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بما ذكرنا من النص ظهر وجه قول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الحلق أفضل، و يتأكد للصرورة و الملبّد، و قيل بوجوبه فيهما، و مال إليه في الرياض </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الانصاف منع مقاومة الأمر بالحلق للملبّد و الصرورة مع إطلاق التخيير المستفاد من الآية، و رواية ابن الفضل، و صحيح الحلبي، بل في الصرورة لفظ لا ينبغي في تقصيره، لو لا دعوى أصرحية التعبير بالوجوب في الملبّد عن الإطلاقات المزبورة، خصوصا الآية القابلة للحمل على بيان تشريعهما و لو في كل مورد، و الاحتياط في الملبّد لا ينبغي تركه، و اللّٰه العالم</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يتعيّن في المرأة التقصير، للنبوي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على النساء حلق، و إنما على النساء التقصير</w:t>
      </w:r>
      <w:r>
        <w:rPr>
          <w:rFonts w:eastAsia="Amiri" w:cs="Amiri" w:ascii="Amiri" w:hAnsi="Amiri"/>
          <w:color w:val="111111"/>
          <w:sz w:val="28"/>
          <w:szCs w:val="28"/>
          <w:rtl w:val="true"/>
          <w:lang w:bidi="ar-SA"/>
        </w:rPr>
        <w:t xml:space="preserve">» </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خبر علي بن حمزة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تقصّر المرأة و يحلق الرجل، و إن شاء قصّر إن كان قد حج قبل ذلك</w:t>
      </w:r>
      <w:r>
        <w:rPr>
          <w:rFonts w:eastAsia="Amiri" w:cs="Amiri" w:ascii="Amiri" w:hAnsi="Amiri"/>
          <w:color w:val="111111"/>
          <w:sz w:val="28"/>
          <w:szCs w:val="28"/>
          <w:rtl w:val="true"/>
          <w:lang w:bidi="ar-SA"/>
        </w:rPr>
        <w:t xml:space="preserve">» </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لو رحل الحاج من منى قبل الحلق أو التقصير رجع و فعل أحدهما، للنص الصحيح الآمر بالرجوع المزبور للناسي </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آخر في الجاهل </w:t>
      </w:r>
      <w:r>
        <w:rPr>
          <w:rStyle w:val="FootnoteAnchor"/>
          <w:rtl w:val="true"/>
        </w:rPr>
        <w:footnoteReference w:id="772"/>
      </w:r>
      <w:r>
        <w:rPr>
          <w:rFonts w:ascii="Amiri" w:hAnsi="Amiri" w:eastAsia="Amiri" w:cs="Amiri"/>
          <w:color w:val="111111"/>
          <w:sz w:val="28"/>
          <w:sz w:val="28"/>
          <w:szCs w:val="28"/>
          <w:rtl w:val="true"/>
          <w:lang w:bidi="ar-SA"/>
        </w:rPr>
        <w:t>، و يشمل الحكم العامد بالفحوى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في بعض النصوص في من نسي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يحلق رأسه في الطريق</w:t>
      </w:r>
      <w:r>
        <w:rPr>
          <w:rFonts w:eastAsia="Amiri" w:cs="Amiri" w:ascii="Amiri" w:hAnsi="Amiri"/>
          <w:color w:val="111111"/>
          <w:sz w:val="28"/>
          <w:szCs w:val="28"/>
          <w:rtl w:val="true"/>
          <w:lang w:bidi="ar-SA"/>
        </w:rPr>
        <w:t xml:space="preserve">» </w:t>
      </w:r>
      <w:r>
        <w:rPr>
          <w:rStyle w:val="FootnoteAnchor"/>
          <w:rtl w:val="true"/>
        </w:rPr>
        <w:footnoteReference w:id="773"/>
      </w:r>
      <w:r>
        <w:rPr>
          <w:rFonts w:ascii="Amiri" w:hAnsi="Amiri" w:eastAsia="Amiri" w:cs="Amiri"/>
          <w:color w:val="111111"/>
          <w:sz w:val="28"/>
          <w:sz w:val="28"/>
          <w:szCs w:val="28"/>
          <w:rtl w:val="true"/>
          <w:lang w:bidi="ar-SA"/>
        </w:rPr>
        <w:t>، و في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زار البيت و لم يحلق رأسه،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يحلق بمكة و يحمل شعره إلى منى، و ليس عليه شي‌ء</w:t>
      </w:r>
      <w:r>
        <w:rPr>
          <w:rFonts w:eastAsia="Amiri" w:cs="Amiri" w:ascii="Amiri" w:hAnsi="Amiri"/>
          <w:color w:val="111111"/>
          <w:sz w:val="28"/>
          <w:szCs w:val="28"/>
          <w:rtl w:val="true"/>
          <w:lang w:bidi="ar-SA"/>
        </w:rPr>
        <w:t xml:space="preserve">» </w:t>
      </w:r>
      <w:r>
        <w:rPr>
          <w:rStyle w:val="FootnoteAnchor"/>
          <w:rtl w:val="true"/>
        </w:rPr>
        <w:footnoteReference w:id="774"/>
      </w:r>
      <w:r>
        <w:rPr>
          <w:rFonts w:ascii="Amiri" w:hAnsi="Amiri" w:eastAsia="Amiri" w:cs="Amiri"/>
          <w:color w:val="111111"/>
          <w:sz w:val="28"/>
          <w:sz w:val="28"/>
          <w:szCs w:val="28"/>
          <w:rtl w:val="true"/>
          <w:lang w:bidi="ar-SA"/>
        </w:rPr>
        <w:t>، مطروحان بمخالفتهما لفتوى الأصحاب، أو محمولان على صورة التعذر من العود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إطلاق الأمر و سكوته من إرسال الشعر قرينة حمل الأمر في الثاني على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بعض نصوص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 يستحبون ذلك</w:t>
      </w:r>
      <w:r>
        <w:rPr>
          <w:rFonts w:eastAsia="Amiri" w:cs="Amiri" w:ascii="Amiri" w:hAnsi="Amiri"/>
          <w:color w:val="111111"/>
          <w:sz w:val="28"/>
          <w:szCs w:val="28"/>
          <w:rtl w:val="true"/>
          <w:lang w:bidi="ar-SA"/>
        </w:rPr>
        <w:t xml:space="preserve">» </w:t>
      </w:r>
      <w:r>
        <w:rPr>
          <w:rStyle w:val="FootnoteAnchor"/>
          <w:rtl w:val="true"/>
        </w:rPr>
        <w:footnoteReference w:id="775"/>
      </w:r>
      <w:r>
        <w:rPr>
          <w:rFonts w:ascii="Amiri" w:hAnsi="Amiri" w:eastAsia="Amiri" w:cs="Amiri"/>
          <w:color w:val="111111"/>
          <w:sz w:val="28"/>
          <w:sz w:val="28"/>
          <w:szCs w:val="28"/>
          <w:rtl w:val="true"/>
          <w:lang w:bidi="ar-SA"/>
        </w:rPr>
        <w:t>، أي دفن الشعر بمنى</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بعد نفي الخلاف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وجه قول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تعذّر حلق أو قصّر أين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رواية مسمع</w:t>
      </w:r>
      <w:r>
        <w:rPr>
          <w:rFonts w:eastAsia="Amiri" w:cs="Amiri" w:ascii="Amiri" w:hAnsi="Amiri"/>
          <w:color w:val="111111"/>
          <w:sz w:val="28"/>
          <w:szCs w:val="28"/>
          <w:rtl w:val="true"/>
          <w:lang w:bidi="ar-SA"/>
        </w:rPr>
        <w:t xml:space="preserve">- </w:t>
      </w:r>
      <w:r>
        <w:rPr>
          <w:rStyle w:val="FootnoteAnchor"/>
          <w:rtl w:val="true"/>
        </w:rPr>
        <w:footnoteReference w:id="776"/>
      </w:r>
      <w:r>
        <w:rPr>
          <w:rFonts w:ascii="Amiri" w:hAnsi="Amiri" w:eastAsia="Amiri" w:cs="Amiri"/>
          <w:color w:val="111111"/>
          <w:sz w:val="28"/>
          <w:sz w:val="28"/>
          <w:szCs w:val="28"/>
          <w:rtl w:val="true"/>
          <w:lang w:bidi="ar-SA"/>
        </w:rPr>
        <w:t>وجوبا، و بعث شعره إلى منى ليدفن بها استحبابا، و من ليس على رأسه شعر يمر الموسى عليه عند جمع، و ظاهره الاجزاء عن التقصير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مستنده ما في خبر زرارة الوارد في رجل أقرع، فأمر أن يلبي عنه، و يمر الموسى على رأسه، فإنّ ذلك يجزئ عنه </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لكن لم يعمل به الأكثر، فإن كان عمل البقية به كافيا في جبره فهو، و إلّا فمقتضى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عدم التمكن من الحلق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تعيين التقصير و عدم الاكتفاء بإمرار الموسى عليه، كما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يترك الاحتياط في أمثال المقام، لأنه من قبيل التعيين و 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أحوط منه الجمع بينهما في الصرورة بملاحظة احتمال التعيين في حقه أيضا، لأنه ميسور الحلق المحتمل التعيين في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لم يكن له شعر يقصّره تعيّن عليه الأمر المزبور، لاحتمال بدليته من مجموع النصوص الواردة في الباب، و عدم حصول الإحلال له إلّا به، فالأصل يقتضي تعيينه عليه،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يزور البيت قبل التقصير أو الحلق، لما في صحيح ابن مسلم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زار البيت و هو عالم أنّ ذلك لا ينبغي، فإن عليه دم شاة</w:t>
      </w:r>
      <w:r>
        <w:rPr>
          <w:rFonts w:eastAsia="Amiri" w:cs="Amiri" w:ascii="Amiri" w:hAnsi="Amiri"/>
          <w:color w:val="111111"/>
          <w:sz w:val="28"/>
          <w:szCs w:val="28"/>
          <w:rtl w:val="true"/>
          <w:lang w:bidi="ar-SA"/>
        </w:rPr>
        <w:t xml:space="preserve">» </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آخر،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ينبغي إلّا أن يكون ناسيا</w:t>
      </w:r>
      <w:r>
        <w:rPr>
          <w:rFonts w:eastAsia="Amiri" w:cs="Amiri" w:ascii="Amiri" w:hAnsi="Amiri"/>
          <w:color w:val="111111"/>
          <w:sz w:val="28"/>
          <w:szCs w:val="28"/>
          <w:rtl w:val="true"/>
          <w:lang w:bidi="ar-SA"/>
        </w:rPr>
        <w:t xml:space="preserve">» </w:t>
      </w:r>
      <w:r>
        <w:rPr>
          <w:rStyle w:val="FootnoteAnchor"/>
          <w:rtl w:val="true"/>
        </w:rPr>
        <w:footnoteReference w:id="779"/>
      </w:r>
      <w:r>
        <w:rPr>
          <w:rFonts w:ascii="Amiri" w:hAnsi="Amiri" w:eastAsia="Amiri" w:cs="Amiri"/>
          <w:color w:val="111111"/>
          <w:sz w:val="28"/>
          <w:sz w:val="28"/>
          <w:szCs w:val="28"/>
          <w:rtl w:val="true"/>
          <w:lang w:bidi="ar-SA"/>
        </w:rPr>
        <w:t>، و في 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السؤال عن تقديم ما لا ينبغي تقديمه و تأخير ما لا ينبغي تأخيره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حرج</w:t>
      </w:r>
      <w:r>
        <w:rPr>
          <w:rFonts w:eastAsia="Amiri" w:cs="Amiri" w:ascii="Amiri" w:hAnsi="Amiri"/>
          <w:color w:val="111111"/>
          <w:sz w:val="28"/>
          <w:szCs w:val="28"/>
          <w:rtl w:val="true"/>
          <w:lang w:bidi="ar-SA"/>
        </w:rPr>
        <w:t xml:space="preserve">» </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الانصاف ظهور لا 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النص الأخير الواقع في كلام السائل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الحرمة، إذ هو الّذي دعاه إلى السؤال عما يترتّب على فعله المشروع بخياله، فأجابه الإمام بأنه لا حرج، أي لا شي‌ء مترتّبا على فعله، لا أنّه لا حرج في نفس العمل السابق، لأنّ المفروض انه عالم بأنّه لا ينبغي، لا أنه لا يعلم حكم الواقعة، فتمام سؤاله إنّما هو عمّا يترتّب على 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 هذه قرينة على انه من الأول فهم الحرمة، و انّ مراده من لا ينبغي هو ذلك، كيف و لو فهم من الأول كراهته لم يكن فعله بنظره في معرض ترتب شي‌ء عليه غالبا كي يصير بصدد السؤال عنه، فنفس هذا السؤال شاهد فهمه الحرمة، و الامام عليه السلام أيضا قرّره على فهمه، و ذلك هو الوجه أيضا في مصير الأصحاب إلى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ربما يصير مثل ذلك شاهد حمل لا ينبغي في كلام الإمام أيضا على الحرمة، خصوصا فيما اشتمل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عليه دم شاة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مثل هذه من الشواهد النوعية على الحرمة، فلا مجال لرفع اليد عن ظهور وجوب الكفارة، بحمله على الاستحباب، بقرينة التعبير ب لا ينبغي المجمل، و إن كان مقتضى الإنصاف أنّ مثل هذا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لم يكن له ظهور في الكراهة المصطلحة، على وجه يقاوم 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دم 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الوجوب، لكن مما يصلح للقرينية المانعة عن انعقاد الظهور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نحن فيه، الذي هو من صغريات اتصال الكلام بما يصلح للقرينية، فعلى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رجوع الأصول اللفظية، من أصالة الحقيقة و غيرها إلى أصالة 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الكلام بالاتصال بالمجمل المزبور من موضوع الحجية</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لو كانت الأصول المزبورة معتبرة تعبدا إلى أن تقوم قرينة على خلافها، كان لما أفيد من تقديم 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مجال، لعدم ظهور لا ينبغي في الكراهة، و على فرضه لا يكون بمثابة يقاوم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لذا يقدّم 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لو كانا في كلامين جزما، فلو لا استظهار في</w:t>
      </w:r>
    </w:p>
    <w:p>
      <w:pPr>
        <w:pStyle w:val="BookText"/>
        <w:rPr/>
      </w:pPr>
      <w:r>
        <w:rPr>
          <w:rFonts w:ascii="Amiri" w:hAnsi="Amiri" w:eastAsia="Amiri" w:cs="Amiri"/>
          <w:color w:val="111111"/>
          <w:sz w:val="28"/>
          <w:sz w:val="28"/>
          <w:szCs w:val="28"/>
          <w:rtl w:val="true"/>
          <w:lang w:bidi="ar-SA"/>
        </w:rPr>
        <w:t>الرواية الأولى، لم يكن مجال للتشبث بالبقية، لحرمة التقديم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بهذه البيانات ظهر نحو محاكمة بين الجواهر </w:t>
      </w:r>
      <w:r>
        <w:rPr>
          <w:rStyle w:val="FootnoteAnchor"/>
          <w:rtl w:val="true"/>
        </w:rPr>
        <w:footnoteReference w:id="781"/>
      </w:r>
      <w:r>
        <w:rPr>
          <w:rFonts w:ascii="Amiri" w:hAnsi="Amiri" w:eastAsia="Amiri" w:cs="Amiri"/>
          <w:color w:val="111111"/>
          <w:sz w:val="28"/>
          <w:sz w:val="28"/>
          <w:szCs w:val="28"/>
          <w:rtl w:val="true"/>
          <w:lang w:bidi="ar-SA"/>
        </w:rPr>
        <w:t xml:space="preserve">و الرياض </w:t>
      </w:r>
      <w:r>
        <w:rPr>
          <w:rStyle w:val="FootnoteAnchor"/>
          <w:rtl w:val="true"/>
        </w:rPr>
        <w:footnoteReference w:id="782"/>
      </w:r>
      <w:r>
        <w:rPr>
          <w:rFonts w:ascii="Amiri" w:hAnsi="Amiri" w:eastAsia="Amiri" w:cs="Amiri"/>
          <w:color w:val="111111"/>
          <w:sz w:val="28"/>
          <w:sz w:val="28"/>
          <w:szCs w:val="28"/>
          <w:rtl w:val="true"/>
          <w:lang w:bidi="ar-SA"/>
        </w:rPr>
        <w:t>، المصرين في طرفي المنع و الإثبات، في استفادة المدعى من الأخبار المزبورة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الظاهر من ثبوت الدم على الفعل المزبور، كونه حراما تكليفيا، إما لنفسه، أو من جهة مقدميته لفساد العمل، بمرتبة لا يمكن تداركه 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أي تقدير لا يقتضي ذلك عدم اعادة الطواف بنفسه، لو لا ظهور الاقتصار بالدم في نفس شي‌ء آخر عليه، حتى الإعادة، لإمكان بقاء مرتبة اخرى قابلة للتحصيل بإعادة الطواف، فإطلاق الأمر به بعد التقصير يقتضي وجوبه، لو لا التشكيك في ظهورها في هذه الخصوصية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قبال الظهور المزبور ما في نص آخر من التصريح بالإعادة،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يقصّر و يطوف</w:t>
      </w:r>
      <w:r>
        <w:rPr>
          <w:rFonts w:eastAsia="Amiri" w:cs="Amiri" w:ascii="Amiri" w:hAnsi="Amiri"/>
          <w:color w:val="111111"/>
          <w:sz w:val="28"/>
          <w:szCs w:val="28"/>
          <w:rtl w:val="true"/>
          <w:lang w:bidi="ar-SA"/>
        </w:rPr>
        <w:t xml:space="preserve">» </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فحينئذ يدور الأمر بين الأخذ بالأول و رفع اليد عن ظهور الأمر في الأخير بالإعادة على الاستحباب، أو الأخذ بالأخير و رفع اليد عن الإطلاق في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التكافؤ يرجع إلى إطلاق الأمر بالطواف بعد التقصير، و مع التشكيك في ظهورهما في الترتيب المزبور، يرجع إلى الشك في شرطية الطواف لمثل هذا الشخص، و مقتضى الأصل البراءة</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أصالة الاشتغال </w:t>
      </w:r>
      <w:r>
        <w:rPr>
          <w:rStyle w:val="FootnoteAnchor"/>
          <w:rtl w:val="true"/>
        </w:rPr>
        <w:footnoteReference w:id="784"/>
      </w:r>
      <w:r>
        <w:rPr>
          <w:rFonts w:ascii="Amiri" w:hAnsi="Amiri" w:eastAsia="Amiri" w:cs="Amiri"/>
          <w:color w:val="111111"/>
          <w:sz w:val="28"/>
          <w:sz w:val="28"/>
          <w:szCs w:val="28"/>
          <w:rtl w:val="true"/>
          <w:lang w:bidi="ar-SA"/>
        </w:rPr>
        <w:t>، و هو إنما يصح لو كان الشك في مسقطية المأتي به عن المأمور به، و هو فرع إطلاق الأمر بالطواف عقيب التقصير لكل أحد، إلّا من ثبت في حقه المسقط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هذا الإطلاق لا تنتهي النوبة إلى الأصل، لأنه كاف في إثبات عدم المسقط، حيث إنه من المخصصات اللبية، القابلة إحرازها بالظهور، فانتهاء النبوة إلى الأصول فرع عدم وجود مثل هذا الإطلاق أيضا، و بعده فتنتهي النوبة إلى الشك في أصل الشرطية بالنسبة إلى من قدّم طوافه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لهذه الرواية جهة معارضة اخرى للنص السابق، من حيث اشتماله على نفي البأس في فعله السابق، فإنّ ذلك ينافي ثبوت الجريمة الملازمة للحرمة غالبا، فالأمر يدور أيضا بين 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الاستحباب، أو تقييد نفي البأس من حيث قابلية المحل لتداركه بالطواف جديدا، أو حمله على صورة النسيان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الانصاف تقديم الجمع الأول،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الالتزام بعدم الجريمة و وجوب الإعادة قول ثالث، لم يلتزم به أحد، فينتهي الأمر حينئذ إلى العلم الإجمالي بمخالفة الظاهر في لا بأس، أو مخالفته في الأمر بالطواف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التساقط يرجع إلى الشك في وجوب أحد الأمرين، فمقتضى الاحتياط الجمع بينهما، كما انه لو بنينا على التكافؤ بين الجمعين، كان دليل وجوب الطواف كافيا في إثبات الجريمة التي هي لازمة بالفرض،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التأمل فيما ذكرنا ظهر الوجه في وجوب الإعادة للناسي إذا قدّم طوافه، جمعا بين إطلاق نص ابن يقطين الحاكمة بنفي البأس و اعادة الطواف، و بين إطلاق صحيح جميل الساكت عن الإعادة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يبعد في المقام تقديم نص ابن يقطين على السكوت المزبور، كما لا يخفى</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جميع ما ذكرنا ظهر وجه ما أفاده المصنف أيضا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طاف قبله عمدا كفّر بشاة، و لا شي‌ء على الناسي و يعيد طوافه بناء على إرجاعه إلى الصورتين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يحتمل إرجاعه إلى الأخير، و انّ بناءه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w:t>
      </w:r>
    </w:p>
    <w:p>
      <w:pPr>
        <w:pStyle w:val="BookText"/>
        <w:rPr/>
      </w:pPr>
      <w:r>
        <w:rPr>
          <w:rFonts w:ascii="Amiri" w:hAnsi="Amiri" w:eastAsia="Amiri" w:cs="Amiri"/>
          <w:color w:val="111111"/>
          <w:sz w:val="28"/>
          <w:sz w:val="28"/>
          <w:szCs w:val="28"/>
          <w:rtl w:val="true"/>
          <w:lang w:bidi="ar-SA"/>
        </w:rPr>
        <w:t xml:space="preserve">الصيمري </w:t>
      </w:r>
      <w:r>
        <w:rPr>
          <w:rStyle w:val="FootnoteAnchor"/>
          <w:rtl w:val="true"/>
        </w:rPr>
        <w:footnoteReference w:id="7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عدم اعادة العامد، بل نسب ذلك الى ظاهرهم، و لقد عرفت وجه الجمع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فإذا حلق المتمتع، أو قصّر أحل مما عدا الطيب و النساء، للنصوص المستفيضة التي منها صحيحة معاوية بن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ذبح و حلق أحل من كل شي‌ء أحرم منه إلّا النساء و الطيب، فإذا زار البيت و طاف و سعى بين الصفا و المروة فقد أحل من كل شي‌ء أحرم منه إلّا النساء، فإذا طاف طواف النساء فقد أحلّ من كلّ شي‌ء أحرم منه إلّا الصيد</w:t>
      </w:r>
      <w:r>
        <w:rPr>
          <w:rFonts w:eastAsia="Amiri" w:cs="Amiri" w:ascii="Amiri" w:hAnsi="Amiri"/>
          <w:color w:val="111111"/>
          <w:sz w:val="28"/>
          <w:szCs w:val="28"/>
          <w:rtl w:val="true"/>
          <w:lang w:bidi="ar-SA"/>
        </w:rPr>
        <w:t xml:space="preserve">» </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إطلاقه من حيث حج التمتع و غيره مقيّد بصريح النص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الحاج يوم النحر ما يحل 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إلّا النساء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عن المتمتع ما يحل له يوم النحر؟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إلّا النساء و الطيب</w:t>
      </w:r>
      <w:r>
        <w:rPr>
          <w:rFonts w:eastAsia="Amiri" w:cs="Amiri" w:ascii="Amiri" w:hAnsi="Amiri"/>
          <w:color w:val="111111"/>
          <w:sz w:val="28"/>
          <w:szCs w:val="28"/>
          <w:rtl w:val="true"/>
          <w:lang w:bidi="ar-SA"/>
        </w:rPr>
        <w:t xml:space="preserve">» </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انّ بمثل هذا النص، بل و خبر جميل أيضا، يقيد إطلاق ما في نص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المتمتع إذا حلق رأسه ما يحل 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إلّا النساء</w:t>
      </w:r>
      <w:r>
        <w:rPr>
          <w:rFonts w:eastAsia="Amiri" w:cs="Amiri" w:ascii="Amiri" w:hAnsi="Amiri"/>
          <w:color w:val="111111"/>
          <w:sz w:val="28"/>
          <w:szCs w:val="28"/>
          <w:rtl w:val="true"/>
          <w:lang w:bidi="ar-SA"/>
        </w:rPr>
        <w:t xml:space="preserve">» </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انّ تصديقه لعبد الرحمن، في أمره باستعمال الطيب قبل طوافه </w:t>
      </w:r>
      <w:r>
        <w:rPr>
          <w:rStyle w:val="FootnoteAnchor"/>
          <w:rtl w:val="true"/>
        </w:rPr>
        <w:footnoteReference w:id="789"/>
      </w:r>
      <w:r>
        <w:rPr>
          <w:rFonts w:ascii="Amiri" w:hAnsi="Amiri" w:eastAsia="Amiri" w:cs="Amiri"/>
          <w:color w:val="111111"/>
          <w:sz w:val="28"/>
          <w:sz w:val="28"/>
          <w:szCs w:val="28"/>
          <w:rtl w:val="true"/>
          <w:lang w:bidi="ar-SA"/>
        </w:rPr>
        <w:t>، محمول على المفرد بحجه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إطلاق البقية من تلك الجهة، فلا تصلح إطلاقاتها للمعارضة مع رواية محمد بن حمران، المشتملة على التفصيل بين الحاج و المتمتع </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عموم كل شي‌ء إلّا النساء و الطيب في جملة من النصوص، يقتضي الحل من الصيد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في الصحيحة الأولى استثناء الصيد، فالأمر يدور بين الأخذ بعموم البقية و تخصيص الصيد فيه بالحرمي لا الإحرامي، أو الأخذ بإطلاق الصيد في الصحيحة، و تخصيص كل شي‌ء به، و الأول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أيضا بناء الأصحاب، نعم يحرم الصيد الحرمي على المحل أيضا، فلا ينافي ذلك حصول الإحلال بطواف النساء عن كل شي‌ء حتى الصيد، و يثمر في مضاعفة الفداء، و في أكله لصيد غير الحرم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في جملة من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حصول الإحلال بالرمي، مثل ما عن قرب الاسناد وفقه الرضا عليه السلام </w:t>
      </w:r>
      <w:r>
        <w:rPr>
          <w:rStyle w:val="FootnoteAnchor"/>
          <w:rtl w:val="true"/>
        </w:rPr>
        <w:footnoteReference w:id="791"/>
      </w:r>
      <w:r>
        <w:rPr>
          <w:rFonts w:ascii="Amiri" w:hAnsi="Amiri" w:eastAsia="Amiri" w:cs="Amiri"/>
          <w:color w:val="111111"/>
          <w:sz w:val="28"/>
          <w:sz w:val="28"/>
          <w:szCs w:val="28"/>
          <w:rtl w:val="true"/>
          <w:lang w:bidi="ar-SA"/>
        </w:rPr>
        <w:t>و هما مقيدان بما تقدّم، مع عدم تمامية خبرية الثاني، و لا سند الأول، بعد ضعفه و اعراض المشهور عن ظاهره،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من صحيحة معاوية السابقة، بل و بقية النصوص، ظهر وجه ما أفاده المصنف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طاف طواف الزيارة حل له الطيب، و ظاهره كفاية الطواف المزبور في حلّه، بلا احتياج إلى صلاته، فضلا عن السعي، و هو الذي صار إليه في كشف اللثام، و نسبه الى إطلاق النصوص و الفتاوي </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لعله المراد من النصوص، ما كان بلسان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يحل الطيب حتى يطوف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ورد بهذا المضمون في خبر منصور </w:t>
      </w:r>
      <w:r>
        <w:rPr>
          <w:rStyle w:val="FootnoteAnchor"/>
          <w:rtl w:val="true"/>
        </w:rPr>
        <w:footnoteReference w:id="793"/>
      </w:r>
      <w:r>
        <w:rPr>
          <w:rFonts w:ascii="Amiri" w:hAnsi="Amiri" w:eastAsia="Amiri" w:cs="Amiri"/>
          <w:color w:val="111111"/>
          <w:sz w:val="28"/>
          <w:sz w:val="28"/>
          <w:szCs w:val="28"/>
          <w:rtl w:val="true"/>
          <w:lang w:bidi="ar-SA"/>
        </w:rPr>
        <w:t>، و نظيره ما في خبر المفضل، المشتمل</w:t>
      </w:r>
    </w:p>
    <w:p>
      <w:pPr>
        <w:pStyle w:val="BookText"/>
        <w:rPr/>
      </w:pPr>
      <w:r>
        <w:rPr>
          <w:rFonts w:ascii="Amiri" w:hAnsi="Amiri" w:eastAsia="Amiri" w:cs="Amiri"/>
          <w:color w:val="111111"/>
          <w:sz w:val="28"/>
          <w:sz w:val="28"/>
          <w:szCs w:val="28"/>
          <w:rtl w:val="true"/>
          <w:lang w:bidi="ar-SA"/>
        </w:rPr>
        <w:t xml:space="preserve">ذيله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تزور البيت، فإذا أنت فعلت ذلك فقد أحللت</w:t>
      </w:r>
      <w:r>
        <w:rPr>
          <w:rFonts w:eastAsia="Amiri" w:cs="Amiri" w:ascii="Amiri" w:hAnsi="Amiri"/>
          <w:color w:val="111111"/>
          <w:sz w:val="28"/>
          <w:szCs w:val="28"/>
          <w:rtl w:val="true"/>
          <w:lang w:bidi="ar-SA"/>
        </w:rPr>
        <w:t xml:space="preserve">» </w:t>
      </w:r>
      <w:r>
        <w:rPr>
          <w:rStyle w:val="FootnoteAnchor"/>
          <w:rtl w:val="true"/>
        </w:rPr>
        <w:footnoteReference w:id="794"/>
      </w:r>
      <w:r>
        <w:rPr>
          <w:rFonts w:ascii="Amiri" w:hAnsi="Amiri" w:eastAsia="Amiri" w:cs="Amiri"/>
          <w:color w:val="111111"/>
          <w:sz w:val="28"/>
          <w:sz w:val="28"/>
          <w:szCs w:val="28"/>
          <w:rtl w:val="true"/>
          <w:lang w:bidi="ar-SA"/>
        </w:rPr>
        <w:t>، و إلّا فما ورد بلسان النهي عن مس الطيب قبل الطواف، لا يفي بإثبات محللية الطواف بنفسه، فالعمدة أن سند هذا المدعى ما ذكرنا من اللسان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فربما يعارضه ما في صحيحة معاوية السابقة، من ترتيب الحلية على السعي، الملازم لدخل الصلاة في احلالهما أيضا، بل في صحيحة أخرى منه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ما في خبر آخر لمنصور، عند السؤال عن الطيب،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حتى يطوف بالبيت و بين الصفا و المروة</w:t>
      </w:r>
      <w:r>
        <w:rPr>
          <w:rFonts w:eastAsia="Amiri" w:cs="Amiri" w:ascii="Amiri" w:hAnsi="Amiri"/>
          <w:color w:val="111111"/>
          <w:sz w:val="28"/>
          <w:szCs w:val="28"/>
          <w:rtl w:val="true"/>
          <w:lang w:bidi="ar-SA"/>
        </w:rPr>
        <w:t xml:space="preserve">» </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بمثلها يمكن تقييد خبر منصور السابق و غيره، بصور استتباعه بالصلاة و السعي، و هو أولى من حمل المقيدات على الفضيلة، و مع الدوران يرجع إلى استصحاب الحرمة إلى زمان اليقين الناقض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ذلك كله في المتمتع، و إلّا ففي غيره لا يحتاج إلى الطواف في حل الطيب، لما في خبر حمران المتقدم و بقية المطلقات الآمرة بأن بالحلق يحل من كل شي‌ء إلّا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قدّم المتمتع طواف الزيارة على الوقوف، ففي كونه محللا عن الطيب أيضا وجه، لإطلاق الخبر الأول، لو لا دعوى انصرافه إلى الطواف المعهود المتعارف المؤخر عن الوقوفين، مضافا إلى صلاحية تقييده بما في صحيحة معاوية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زار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قوله إذا حلق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 من كل شي‌ء إلّا الطيب و النساء</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انّ ظاهره أيضا تأخير طواف النساء عن طواف الزيارة، بعين هذا</w:t>
      </w:r>
    </w:p>
    <w:p>
      <w:pPr>
        <w:pStyle w:val="BookText"/>
        <w:rPr/>
      </w:pPr>
      <w:r>
        <w:rPr>
          <w:rFonts w:ascii="Amiri" w:hAnsi="Amiri" w:eastAsia="Amiri" w:cs="Amiri"/>
          <w:color w:val="111111"/>
          <w:sz w:val="28"/>
          <w:sz w:val="28"/>
          <w:szCs w:val="28"/>
          <w:rtl w:val="true"/>
          <w:lang w:bidi="ar-SA"/>
        </w:rPr>
        <w:t>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أقل من الإجمال، فيرجع إلى إطلاق محللية الحلق عن كل شي‌ء، خرج عنه المتمتع غير الصادر عنه الطواف الصحيح، و بقي الباقي تحته، و لازمة عدم حصول التحليل من الطيب أيضا إلّا بالحلق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توهم انّ ذلك ينافي بناءهم على لزوم تجديد التلبية عقيب الطواف السابق على الوقوف، لجملة من النصوص الواردة بأنه يجدد التلبية عقيب كل طواف لئلا يحل، و مثل ذلك كاشف عن محللية الطواف، و لو في الجملة حتى لو وقع قبل الوقوف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 بأنّ النصوص المزبورة، غالبها في الطواف المندوب، الوارد في غير المتمتع، و مثل ذلك لا يكون محللا جزما، خصوصا في المفرد الذي ظهر من جملة من نصوص الباب بأنّ الحلق محلل لكل شي‌ء إلّا النساء، التي لا تحللها إلّا طوافهن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 الظاهر منه عدم محللية الطواف للزيارة عن شي‌ء، فلا محيص عن حمل التعليل بالإحلال، على الإحلال الصوري لا الحقيقي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بهذه المناسبة أيضا حملنا الأمر بالتجديد على ضرب من الندب، فراجع المسألة في أوائل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التأمل فيما ذكرنا ظهر أيضا حكم المفرد و القارن أيضا، من أنهما بحلقهما أو تقصيرهما يتحللان من كل شي‌ء إلّا النساء، للنصوص السابقة، خصوصا المشتملة على التفصيل بين المتمتع و غيره</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تحل النساء لجميعهم مفردين أو متمتعين بطوافهن، لما في صحيح معاوية و غيره من المستفيضة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الاحتياج إلى الصلاة أيضا بلا سعي، كما في صحيحة معاوية، حيث إنه بعد الأمر بالصلاة خلف المقام عقيب الطواف،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أحللت من كل شي‌ء و فرغت من حجك</w:t>
      </w:r>
      <w:r>
        <w:rPr>
          <w:rFonts w:eastAsia="Amiri" w:cs="Amiri" w:ascii="Amiri" w:hAnsi="Amiri"/>
          <w:color w:val="111111"/>
          <w:sz w:val="28"/>
          <w:szCs w:val="28"/>
          <w:rtl w:val="true"/>
          <w:lang w:bidi="ar-SA"/>
        </w:rPr>
        <w:t xml:space="preserve">» </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انّ هذا الطواف مشترك بين الرجال و النساء، لما في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طافت طوافا آخر حل لها فراش زوجها</w:t>
      </w:r>
      <w:r>
        <w:rPr>
          <w:rFonts w:eastAsia="Amiri" w:cs="Amiri" w:ascii="Amiri" w:hAnsi="Amiri"/>
          <w:color w:val="111111"/>
          <w:sz w:val="28"/>
          <w:szCs w:val="28"/>
          <w:rtl w:val="true"/>
          <w:lang w:bidi="ar-SA"/>
        </w:rPr>
        <w:t xml:space="preserve">» </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طواف النساء على الخصيان و المرأة الكبيرة </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ذلك على النساء و الرجال واجب</w:t>
      </w:r>
      <w:r>
        <w:rPr>
          <w:rFonts w:eastAsia="Amiri" w:cs="Amiri" w:ascii="Amiri" w:hAnsi="Amiri"/>
          <w:color w:val="111111"/>
          <w:sz w:val="28"/>
          <w:szCs w:val="28"/>
          <w:rtl w:val="true"/>
          <w:lang w:bidi="ar-SA"/>
        </w:rPr>
        <w:t xml:space="preserve">» </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توهم عدم دلالة النصوص الأخيرة على المحللية، مدفوع بأنّ المعهود من طواف النساء في كل مورد، هو جهة محلليته للفراش، و لذا سمّي بطواف النساء، لمحلليته لهن بما هو فراش للرجال، الجاري في النساء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بمثل هذه المعهودية أمكن دعوى عدم انصراف محللية مخصوصة حاصلة بعد المناسك، بل مهما شرع مثل هذا الطواف بهذا العنوان كان ملازما مع المحللية، فلو شرع فرضا تقديمه على الوقوفين أو على غيره من المناسك بجهة من الجهات، تلزمه المحللية عن النساء لمحض هذه المعهودية الموجبة لصدق هذه التسمية، و بذلك يمتاز عن طواف الزيارة في محلليته للطيب، فإنه ليس في المحللية بهذه المرتبة من المعهودة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بهذه الجهة كان لتخصيص محلليتها بخصوص المتأخر عن مناسك منى كمال مجال، و لا أقل من التشكيك في إطلاقاته فيرجع الى الاستصحاب</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بخلاف المقام، و لئن شئت فافرض أنه لو كان مثل هذا الطواف أيضا مسمّى بطواف الطيب، ربما يستفاد من مثله نحو معهودية لمحلليته له بنحو يفهم العرف منه توأميته مع المحللية في كل مورد شرع فيه، و حينئذ لا يبقى مجال لمقايسة الجواهر هذا المقام بالباب السابق، ليلتزم فيه بانصراف محلليته</w:t>
      </w:r>
      <w:bookmarkStart w:id="349" w:name="pg19818_204123"/>
    </w:p>
    <w:p>
      <w:pPr>
        <w:pStyle w:val="BookText"/>
        <w:rPr/>
      </w:pPr>
      <w:bookmarkEnd w:id="349"/>
      <w:r>
        <w:rPr>
          <w:rFonts w:ascii="Amiri" w:hAnsi="Amiri" w:eastAsia="Amiri" w:cs="Amiri"/>
          <w:color w:val="111111"/>
          <w:sz w:val="28"/>
          <w:sz w:val="28"/>
          <w:szCs w:val="28"/>
          <w:rtl w:val="true"/>
          <w:lang w:bidi="ar-SA"/>
        </w:rPr>
        <w:t xml:space="preserve">أيضا بالطواف الحاصل عقيب المناسك </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إنه على فرض تسليم هذا الانصراف لا يبقى مجال لمحللية الحلق للنساء، إذ جميع النصوص المتكفلة لمحللية الحلق مصرحة بأنه محلّل لغير النساء، و ليس في البين ما يدل على محلليته مطلقا، كي يؤخذ به في غير ما خرج، كما صنعنا في طرف الطيب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الفارق وجود مثل هذا الإطلاق هناك دون المقام، فمن أين نثبت محللية الحلق للنساء، بل المرتكز في الأذهان انحصار تحليلهن بالطواف المذكور، فلو انحصر ذلك أيضا بالطواف الخاص لبقي بالنسبة إلى من قدّم طواف النساء لعذر مسوغ بلا محلل له للنساء، و هو كما ترى،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فتلخّص من جميع ما ذكرنا انّ مواطن التحلل للمتمتع في حجه ثلاثة، 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طواف الزيارة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النساء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حج الافراد و القران مواطنه اثنان، الحلق و يحل من كل شي‌ء إلّا النساء، و طواف النساء المحلل لهن، و اللّٰه العالم</w:t>
      </w:r>
      <w:r>
        <w:rPr>
          <w:rFonts w:eastAsia="Amiri" w:cs="Amiri" w:ascii="Amiri" w:hAnsi="Amiri"/>
          <w:color w:val="111111"/>
          <w:sz w:val="28"/>
          <w:szCs w:val="28"/>
          <w:rtl w:val="true"/>
          <w:lang w:bidi="ar-SA"/>
        </w:rPr>
        <w:t>.</w:t>
      </w:r>
    </w:p>
    <w:p>
      <w:pPr>
        <w:pStyle w:val="Heading4"/>
        <w:numPr>
          <w:ilvl w:val="3"/>
          <w:numId w:val="1"/>
        </w:numPr>
        <w:rPr/>
      </w:pPr>
      <w:bookmarkStart w:id="350" w:name="__RefHeading___Toc3320940_2314609296"/>
      <w:bookmarkStart w:id="351" w:name="_Toc128"/>
      <w:bookmarkEnd w:id="350"/>
      <w:r>
        <w:rPr>
          <w:rtl w:val="true"/>
        </w:rPr>
        <w:t>الفصل الخامس</w:t>
      </w:r>
      <w:r>
        <w:rPr>
          <w:rtl w:val="true"/>
        </w:rPr>
        <w:t xml:space="preserve">: </w:t>
      </w:r>
      <w:r>
        <w:rPr>
          <w:rtl w:val="true"/>
        </w:rPr>
        <w:t>في بقية المناسك</w:t>
      </w:r>
      <w:bookmarkEnd w:id="351"/>
    </w:p>
    <w:p>
      <w:pPr>
        <w:pStyle w:val="Heading5"/>
        <w:numPr>
          <w:ilvl w:val="4"/>
          <w:numId w:val="1"/>
        </w:numPr>
        <w:rPr/>
      </w:pPr>
      <w:bookmarkStart w:id="352" w:name="__RefHeading___Toc3320942_2314609296"/>
      <w:bookmarkStart w:id="353" w:name="_Toc129"/>
      <w:bookmarkEnd w:id="352"/>
      <w:r>
        <w:rPr>
          <w:rtl w:val="true"/>
        </w:rPr>
        <w:t>اشارة</w:t>
      </w:r>
      <w:bookmarkEnd w:id="353"/>
    </w:p>
    <w:p>
      <w:pPr>
        <w:pStyle w:val="BookText"/>
        <w:rPr/>
      </w:pPr>
      <w:r>
        <w:rPr>
          <w:rFonts w:ascii="Amiri" w:hAnsi="Amiri" w:eastAsia="Amiri" w:cs="Amiri"/>
          <w:color w:val="111111"/>
          <w:sz w:val="28"/>
          <w:sz w:val="28"/>
          <w:szCs w:val="28"/>
          <w:rtl w:val="true"/>
          <w:lang w:bidi="ar-SA"/>
        </w:rPr>
        <w:t>فإذا تحلل بمنى مضى ليومه أو غده إلى مكة ليطوف بالبيت إن كان متمتعا</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ظاهره عدم جواز تأخيره عنهما كما في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أفاد بأنه إن أخّره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عن الغد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أثم </w:t>
      </w:r>
      <w:r>
        <w:rPr>
          <w:rStyle w:val="FootnoteAnchor"/>
          <w:rtl w:val="true"/>
        </w:rPr>
        <w:footnoteReference w:id="801"/>
      </w:r>
      <w:r>
        <w:rPr>
          <w:rFonts w:ascii="Amiri" w:hAnsi="Amiri" w:eastAsia="Amiri" w:cs="Amiri"/>
          <w:color w:val="111111"/>
          <w:sz w:val="28"/>
          <w:sz w:val="28"/>
          <w:szCs w:val="28"/>
          <w:rtl w:val="true"/>
          <w:lang w:bidi="ar-SA"/>
        </w:rPr>
        <w:t>، وفاقا لجمع من الأعاظم، لما في صحيحة معاوية من</w:t>
      </w:r>
    </w:p>
    <w:p>
      <w:pPr>
        <w:pStyle w:val="BookText"/>
        <w:rPr/>
      </w:pPr>
      <w:r>
        <w:rPr>
          <w:rFonts w:ascii="Amiri" w:hAnsi="Amiri" w:eastAsia="Amiri" w:cs="Amiri"/>
          <w:color w:val="111111"/>
          <w:sz w:val="28"/>
          <w:sz w:val="28"/>
          <w:szCs w:val="28"/>
          <w:rtl w:val="true"/>
          <w:lang w:bidi="ar-SA"/>
        </w:rPr>
        <w:t xml:space="preserve">النهي عن التأخير عن الغد </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لكن في قباله صحيح ابن سنان المشتمل على نفي البأس عن التأخير إلى يوم النفر </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الى اليوم الثالث</w:t>
      </w:r>
      <w:r>
        <w:rPr>
          <w:rFonts w:eastAsia="Amiri" w:cs="Amiri" w:ascii="Amiri" w:hAnsi="Amiri"/>
          <w:color w:val="111111"/>
          <w:sz w:val="28"/>
          <w:szCs w:val="28"/>
          <w:rtl w:val="true"/>
          <w:lang w:bidi="ar-SA"/>
        </w:rPr>
        <w:t xml:space="preserve">» </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أن تذهب أيام التشريق</w:t>
      </w:r>
      <w:r>
        <w:rPr>
          <w:rFonts w:eastAsia="Amiri" w:cs="Amiri" w:ascii="Amiri" w:hAnsi="Amiri"/>
          <w:color w:val="111111"/>
          <w:sz w:val="28"/>
          <w:szCs w:val="28"/>
          <w:rtl w:val="true"/>
          <w:lang w:bidi="ar-SA"/>
        </w:rPr>
        <w:t xml:space="preserve">» </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مقتضى إطلاق الأخير جواز التأخير بعد ذهاب أيام التشريق إلى آخر ذي الحجة، الذي هو شهر الحج، لقوله الْحَجُّ أَشْهُرٌ مَعْلُومٰاتٌ </w:t>
      </w:r>
      <w:r>
        <w:rPr>
          <w:rStyle w:val="FootnoteAnchor"/>
          <w:rtl w:val="true"/>
        </w:rPr>
        <w:footnoteReference w:id="806"/>
      </w:r>
      <w:r>
        <w:rPr>
          <w:rFonts w:ascii="Amiri" w:hAnsi="Amiri" w:eastAsia="Amiri" w:cs="Amiri"/>
          <w:color w:val="111111"/>
          <w:sz w:val="28"/>
          <w:sz w:val="28"/>
          <w:szCs w:val="28"/>
          <w:rtl w:val="true"/>
          <w:lang w:bidi="ar-SA"/>
        </w:rPr>
        <w:t xml:space="preserve">، و من المعلوم انّ الأمر فيها دائر بين الحمل على مراتب الفضيلة، المستلزم لجواز التأخير بلا اثم إلى آخر ذي الحجة، أو تقييد بعض المطلقات بالمفرد، و حمل ما ورد في خصوص المتمتع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الحرمة، بقرينة التوسعة في المفرد في ذيله، و الأول أولى، وفاقا للجواهر </w:t>
      </w:r>
      <w:r>
        <w:rPr>
          <w:rStyle w:val="FootnoteAnchor"/>
          <w:rtl w:val="true"/>
        </w:rPr>
        <w:footnoteReference w:id="807"/>
      </w:r>
      <w:r>
        <w:rPr>
          <w:rFonts w:ascii="Amiri" w:hAnsi="Amiri" w:eastAsia="Amiri" w:cs="Amiri"/>
          <w:color w:val="111111"/>
          <w:sz w:val="28"/>
          <w:sz w:val="28"/>
          <w:szCs w:val="28"/>
          <w:rtl w:val="true"/>
          <w:lang w:bidi="ar-SA"/>
        </w:rPr>
        <w:t xml:space="preserve">و خلافا للرياض </w:t>
      </w:r>
      <w:r>
        <w:rPr>
          <w:rStyle w:val="FootnoteAnchor"/>
          <w:rtl w:val="true"/>
        </w:rPr>
        <w:footnoteReference w:id="808"/>
      </w:r>
      <w:r>
        <w:rPr>
          <w:rFonts w:ascii="Amiri" w:hAnsi="Amiri" w:eastAsia="Amiri" w:cs="Amiri"/>
          <w:color w:val="111111"/>
          <w:sz w:val="28"/>
          <w:sz w:val="28"/>
          <w:szCs w:val="28"/>
          <w:rtl w:val="true"/>
          <w:lang w:bidi="ar-SA"/>
        </w:rPr>
        <w:t>و على فرض الدوران بين الجمعين فمقتضى الأصل جواز تأخيره و عدم شرطية زمان 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أي حال لا وجه لمصير بعضهم إلى عدم جواز التأخير عن أيام التشريق، إذ نص جواز التأخير حجة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القولين حكي من غير واحد الاجزاء لو أخّر طول ذي الحجة، و إن أثم بالتأخير عن غد، و ذلك مبني على حمل النص الأخير على نفي البأس في اجزائه لا في تأخيره</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لا يخفى انه مضافا إلى كونه خلاف الظاهر بقرينة ذيله، مناف لصريح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ربما أخرته حتى تذهب أيام التشريق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w:t>
      </w:r>
      <w:bookmarkStart w:id="354" w:name="pg19818_204125"/>
    </w:p>
    <w:p>
      <w:pPr>
        <w:pStyle w:val="BookText"/>
        <w:rPr/>
      </w:pPr>
      <w:bookmarkEnd w:id="354"/>
      <w:r>
        <w:rPr>
          <w:rFonts w:ascii="Amiri" w:hAnsi="Amiri" w:eastAsia="Amiri" w:cs="Amiri"/>
          <w:color w:val="111111"/>
          <w:sz w:val="28"/>
          <w:sz w:val="28"/>
          <w:szCs w:val="28"/>
          <w:rtl w:val="true"/>
          <w:lang w:bidi="ar-SA"/>
        </w:rPr>
        <w:t>ظاهره فعله كذلك اختيارا، كما لا يخفى</w:t>
      </w:r>
      <w:r>
        <w:rPr>
          <w:rFonts w:eastAsia="Amiri" w:cs="Amiri" w:ascii="Amiri" w:hAnsi="Amiri"/>
          <w:color w:val="111111"/>
          <w:sz w:val="28"/>
          <w:szCs w:val="28"/>
          <w:rtl w:val="true"/>
          <w:lang w:bidi="ar-SA"/>
        </w:rPr>
        <w:t>.</w:t>
      </w:r>
    </w:p>
    <w:p>
      <w:pPr>
        <w:pStyle w:val="Heading5"/>
        <w:numPr>
          <w:ilvl w:val="4"/>
          <w:numId w:val="1"/>
        </w:numPr>
        <w:rPr/>
      </w:pPr>
      <w:bookmarkStart w:id="355" w:name="__RefHeading___Toc3320944_2314609296"/>
      <w:bookmarkStart w:id="356" w:name="_Toc130"/>
      <w:bookmarkEnd w:id="355"/>
      <w:r>
        <w:rPr>
          <w:rtl w:val="true"/>
        </w:rPr>
        <w:t>و يجوز التأخير للقارن و المفرد طول ذي الحجة،</w:t>
      </w:r>
      <w:bookmarkEnd w:id="356"/>
    </w:p>
    <w:p>
      <w:pPr>
        <w:pStyle w:val="BookText"/>
        <w:rPr/>
      </w:pPr>
      <w:r>
        <w:rPr>
          <w:rFonts w:ascii="Amiri" w:hAnsi="Amiri" w:eastAsia="Amiri" w:cs="Amiri"/>
          <w:color w:val="111111"/>
          <w:sz w:val="28"/>
          <w:sz w:val="28"/>
          <w:szCs w:val="28"/>
          <w:rtl w:val="true"/>
          <w:lang w:bidi="ar-SA"/>
        </w:rPr>
        <w:t xml:space="preserve">فيذهب إلى مكة لطواف الحج للأمر بالتوسعة في حق القارن و المفرد في النص، مضافا الى 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تذهب أيام التشريق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حقهما جزما، و إطلاق قوله في نصّ ابن سنان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يستحب التعجيل مخافة الأحداث و المعاريض</w:t>
      </w:r>
      <w:r>
        <w:rPr>
          <w:rFonts w:eastAsia="Amiri" w:cs="Amiri" w:ascii="Amiri" w:hAnsi="Amiri"/>
          <w:color w:val="111111"/>
          <w:sz w:val="28"/>
          <w:szCs w:val="28"/>
          <w:rtl w:val="true"/>
          <w:lang w:bidi="ar-SA"/>
        </w:rPr>
        <w:t xml:space="preserve">» </w:t>
      </w:r>
      <w:r>
        <w:rPr>
          <w:rStyle w:val="FootnoteAnchor"/>
          <w:rtl w:val="true"/>
        </w:rPr>
        <w:footnoteReference w:id="809"/>
      </w:r>
      <w:r>
        <w:rPr>
          <w:rFonts w:ascii="Amiri" w:hAnsi="Amiri" w:eastAsia="Amiri" w:cs="Amiri"/>
          <w:color w:val="111111"/>
          <w:sz w:val="28"/>
          <w:sz w:val="28"/>
          <w:szCs w:val="28"/>
          <w:rtl w:val="true"/>
          <w:lang w:bidi="ar-SA"/>
        </w:rPr>
        <w:t>يقتضي رجحان التعجيل بهما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كراهة تأخيرهما </w:t>
      </w:r>
      <w:r>
        <w:rPr>
          <w:rStyle w:val="FootnoteAnchor"/>
          <w:rtl w:val="true"/>
        </w:rPr>
        <w:footnoteReference w:id="810"/>
      </w:r>
      <w:r>
        <w:rPr>
          <w:rFonts w:ascii="Amiri" w:hAnsi="Amiri" w:eastAsia="Amiri" w:cs="Amiri"/>
          <w:color w:val="111111"/>
          <w:sz w:val="28"/>
          <w:sz w:val="28"/>
          <w:szCs w:val="28"/>
          <w:rtl w:val="true"/>
          <w:lang w:bidi="ar-SA"/>
        </w:rPr>
        <w:t>، و فيه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في طواف الزيارة، و أما طواف النساء فزمانه طول ذي الحجة، فيجوز التأخير فيه أيضا إجماعا، للإطلاقات، نعم لا يجوز تأخير أفعال الحج عن ذي الحجة، لأنه آخر شهوره و الْحَجُّ أَشْهُرٌ مَعْلُومٰاتٌ </w:t>
      </w:r>
      <w:r>
        <w:rPr>
          <w:rStyle w:val="FootnoteAnchor"/>
          <w:rtl w:val="true"/>
        </w:rPr>
        <w:footnoteReference w:id="811"/>
      </w:r>
      <w:r>
        <w:rPr>
          <w:rFonts w:ascii="Amiri" w:hAnsi="Amiri" w:eastAsia="Amiri" w:cs="Amiri"/>
          <w:color w:val="111111"/>
          <w:sz w:val="28"/>
          <w:sz w:val="28"/>
          <w:szCs w:val="28"/>
          <w:rtl w:val="true"/>
          <w:lang w:bidi="ar-SA"/>
        </w:rPr>
        <w:t>فلا بد من وقوع مناسكه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طوافه يصلّي ركعتيه كما تقدّم شرحه، ثم يسعى للحج بين الصفا و المروة كما تقدّم، ثم يطوف للنساء، كل ذلك سبعا كما عرفت مفصلا، ثم يصلّي ركعتيه كما تقدّم</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إليه أيضا أشار المصنف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صفة ذلك كما قلنا في أفعال العمرة، حيث تعرّض المصنف للطواف و السعي في أفعال العمرة، على خلاف ترتيب الشرائع </w:t>
      </w:r>
      <w:r>
        <w:rPr>
          <w:rStyle w:val="FootnoteAnchor"/>
          <w:rtl w:val="true"/>
        </w:rPr>
        <w:footnoteReference w:id="812"/>
      </w:r>
      <w:r>
        <w:rPr>
          <w:rFonts w:ascii="IRNazanin" w:hAnsi="IRNazanin" w:eastAsia="IRNazanin"/>
          <w:color w:val="111111"/>
          <w:sz w:val="28"/>
          <w:sz w:val="28"/>
          <w:szCs w:val="28"/>
          <w:rtl w:val="true"/>
          <w:lang w:bidi="fa-IR"/>
        </w:rPr>
        <w:t xml:space="preserve">و القواعد </w:t>
      </w:r>
      <w:r>
        <w:rPr>
          <w:rStyle w:val="FootnoteAnchor"/>
          <w:rtl w:val="true"/>
        </w:rPr>
        <w:footnoteReference w:id="813"/>
      </w:r>
      <w:r>
        <w:rPr>
          <w:rFonts w:ascii="IRNazanin" w:hAnsi="IRNazanin" w:eastAsia="IRNazanin"/>
          <w:color w:val="111111"/>
          <w:sz w:val="28"/>
          <w:sz w:val="28"/>
          <w:szCs w:val="28"/>
          <w:rtl w:val="true"/>
          <w:lang w:bidi="fa-IR"/>
        </w:rPr>
        <w:t xml:space="preserve">و النافع </w:t>
      </w:r>
      <w:r>
        <w:rPr>
          <w:rStyle w:val="FootnoteAnchor"/>
          <w:rtl w:val="true"/>
        </w:rPr>
        <w:footnoteReference w:id="814"/>
      </w:r>
      <w:r>
        <w:rPr>
          <w:rFonts w:ascii="Amiri" w:hAnsi="Amiri" w:eastAsia="Amiri" w:cs="Amiri"/>
          <w:color w:val="111111"/>
          <w:sz w:val="28"/>
          <w:sz w:val="28"/>
          <w:szCs w:val="28"/>
          <w:rtl w:val="true"/>
          <w:lang w:bidi="ar-SA"/>
        </w:rPr>
        <w:t>و غيرها، و قد تقدّم</w:t>
      </w:r>
      <w:r>
        <w:rPr>
          <w:rFonts w:eastAsia="Amiri" w:cs="Amiri" w:ascii="Amiri" w:hAnsi="Amiri"/>
          <w:color w:val="111111"/>
          <w:sz w:val="28"/>
          <w:szCs w:val="28"/>
          <w:rtl w:val="true"/>
          <w:lang w:bidi="ar-SA"/>
        </w:rPr>
        <w:t>.</w:t>
      </w:r>
      <w:bookmarkStart w:id="357" w:name="pg19818_204126"/>
    </w:p>
    <w:p>
      <w:pPr>
        <w:pStyle w:val="Heading5"/>
        <w:numPr>
          <w:ilvl w:val="4"/>
          <w:numId w:val="1"/>
        </w:numPr>
        <w:rPr/>
      </w:pPr>
      <w:bookmarkStart w:id="358" w:name="__RefHeading___Toc3320946_2314609296"/>
      <w:bookmarkStart w:id="359" w:name="_Toc131"/>
      <w:bookmarkEnd w:id="357"/>
      <w:bookmarkEnd w:id="358"/>
      <w:r>
        <w:rPr>
          <w:rtl w:val="true"/>
        </w:rPr>
        <w:t>و طواف النساء واجب على كل حاج</w:t>
      </w:r>
      <w:bookmarkEnd w:id="359"/>
    </w:p>
    <w:p>
      <w:pPr>
        <w:pStyle w:val="BookText"/>
        <w:rPr/>
      </w:pPr>
      <w:r>
        <w:rPr>
          <w:rFonts w:ascii="IRNazanin" w:hAnsi="IRNazanin" w:eastAsia="IRNazanin"/>
          <w:color w:val="111111"/>
          <w:sz w:val="28"/>
          <w:sz w:val="28"/>
          <w:szCs w:val="28"/>
          <w:rtl w:val="true"/>
          <w:lang w:bidi="fa-IR"/>
        </w:rPr>
        <w:t>و معتمر مفرد دون المتمتع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فإذا فرغ من هذه المناسك رجع إلى منى و بات بها ليلة الحادي عشر و الثاني عشر من ذي الحجة واجبا و في كونه من مناسك الحج و متمماته اشكال، حكي الأول عن الحلّي </w:t>
      </w:r>
      <w:r>
        <w:rPr>
          <w:rStyle w:val="FootnoteAnchor"/>
          <w:rtl w:val="true"/>
        </w:rPr>
        <w:footnoteReference w:id="815"/>
      </w:r>
      <w:r>
        <w:rPr>
          <w:rFonts w:ascii="Amiri" w:hAnsi="Amiri" w:eastAsia="Amiri" w:cs="Amiri"/>
          <w:color w:val="111111"/>
          <w:sz w:val="28"/>
          <w:sz w:val="28"/>
          <w:szCs w:val="28"/>
          <w:rtl w:val="true"/>
          <w:lang w:bidi="ar-SA"/>
        </w:rPr>
        <w:t>، و لكنه مناف لما دل على أنّ بطواف النساء يتم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ينافي ذلك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 عرفة و رمي الجمار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منه يستفاد كون هذه الرميات أيضا من المناسك، لكن في اقتضاء ذلك كون الوقوف المزبور منها تأمل و إن لم يخل عن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أي حال، ظاهرهم كون هذا الوقوف أيضا واجبا، بل و عباديا يعتبر فيه النية كسائر المناسك، خصوصا لو بنينا على أصالة التعبدية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على أصل وجوبه الأمر بالتبييت في الليلتين المذكورتين في جملة من النصوص، ففي صحيحة معاوية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تبت ليالي التشريق إلّا بمنى، فإن بت في غيرها فعليك دم، و إن خرجت أول الليل فلا ينتصف لك الليل إلّا و أنت بمنى، إلّا أن يكون شغلك بنسكك أو قد خرجت من مكة، و إن خرجت نصف الليل فلا يضرك أن تصبح بغيرها</w:t>
      </w:r>
      <w:r>
        <w:rPr>
          <w:rFonts w:eastAsia="Amiri" w:cs="Amiri" w:ascii="Amiri" w:hAnsi="Amiri"/>
          <w:color w:val="111111"/>
          <w:sz w:val="28"/>
          <w:szCs w:val="28"/>
          <w:rtl w:val="true"/>
          <w:lang w:bidi="ar-SA"/>
        </w:rPr>
        <w:t xml:space="preserve">» </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اشتغل بالزيارة و الدعاء في البيت الى أن طلع الفجر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عليه شي‌ء كان في طاعة اللّٰه</w:t>
      </w:r>
      <w:r>
        <w:rPr>
          <w:rFonts w:eastAsia="Amiri" w:cs="Amiri" w:ascii="Amiri" w:hAnsi="Amiri"/>
          <w:color w:val="111111"/>
          <w:sz w:val="28"/>
          <w:szCs w:val="28"/>
          <w:rtl w:val="true"/>
          <w:lang w:bidi="ar-SA"/>
        </w:rPr>
        <w:t xml:space="preserve">» </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أذن لعباس بالبقاء لسقاية الحاج</w:t>
      </w:r>
      <w:r>
        <w:rPr>
          <w:rFonts w:eastAsia="Amiri" w:cs="Amiri" w:ascii="Amiri" w:hAnsi="Amiri"/>
          <w:color w:val="111111"/>
          <w:sz w:val="28"/>
          <w:szCs w:val="28"/>
          <w:rtl w:val="true"/>
          <w:lang w:bidi="ar-SA"/>
        </w:rPr>
        <w:t xml:space="preserve">» </w:t>
      </w:r>
      <w:r>
        <w:rPr>
          <w:rStyle w:val="FootnoteAnchor"/>
          <w:rtl w:val="true"/>
        </w:rPr>
        <w:footnoteReference w:id="818"/>
      </w:r>
      <w:r>
        <w:rPr>
          <w:rFonts w:ascii="Amiri" w:hAnsi="Amiri" w:eastAsia="Amiri" w:cs="Amiri"/>
          <w:color w:val="111111"/>
          <w:sz w:val="28"/>
          <w:sz w:val="28"/>
          <w:szCs w:val="28"/>
          <w:rtl w:val="true"/>
          <w:lang w:bidi="ar-SA"/>
        </w:rPr>
        <w:t>، و ظاهر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بت في غيرها فعليك 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ثبوت الدم في كل بيتوتة، لأنه من قبيل الطبيعة</w:t>
      </w:r>
    </w:p>
    <w:p>
      <w:pPr>
        <w:pStyle w:val="BookText"/>
        <w:rPr/>
      </w:pPr>
      <w:r>
        <w:rPr>
          <w:rFonts w:ascii="Amiri" w:hAnsi="Amiri" w:eastAsia="Amiri" w:cs="Amiri"/>
          <w:color w:val="111111"/>
          <w:sz w:val="28"/>
          <w:sz w:val="28"/>
          <w:szCs w:val="28"/>
          <w:rtl w:val="true"/>
          <w:lang w:bidi="ar-SA"/>
        </w:rPr>
        <w:t>السارية في كل فرد، لا انّ المراد ثبوته على المجموع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 الأول ما في نص جعفر بن ناجية في من بات ليالي منى بمكة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ثلاث من الغنم</w:t>
      </w:r>
      <w:r>
        <w:rPr>
          <w:rFonts w:eastAsia="Amiri" w:cs="Amiri" w:ascii="Amiri" w:hAnsi="Amiri"/>
          <w:color w:val="111111"/>
          <w:sz w:val="28"/>
          <w:szCs w:val="28"/>
          <w:rtl w:val="true"/>
          <w:lang w:bidi="ar-SA"/>
        </w:rPr>
        <w:t xml:space="preserve">» </w:t>
      </w:r>
      <w:r>
        <w:rPr>
          <w:rStyle w:val="FootnoteAnchor"/>
          <w:rtl w:val="true"/>
        </w:rPr>
        <w:footnoteReference w:id="819"/>
      </w:r>
      <w:r>
        <w:rPr>
          <w:rFonts w:ascii="Amiri" w:hAnsi="Amiri" w:eastAsia="Amiri" w:cs="Amiri"/>
          <w:color w:val="111111"/>
          <w:sz w:val="28"/>
          <w:sz w:val="28"/>
          <w:szCs w:val="28"/>
          <w:rtl w:val="true"/>
          <w:lang w:bidi="ar-SA"/>
        </w:rPr>
        <w:t>بناء على دخول الثلاثة، غاية الأمر بشرائطها الآتية، بل في نص أبي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ثبوت الشاة لنومه في الطريق في ليلته </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قبال هذه النصوص ما في صحيح العيص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فاتته ليلة من ليالي منى،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عليه شي‌ء</w:t>
      </w:r>
      <w:r>
        <w:rPr>
          <w:rFonts w:eastAsia="Amiri" w:cs="Amiri" w:ascii="Amiri" w:hAnsi="Amiri"/>
          <w:color w:val="111111"/>
          <w:sz w:val="28"/>
          <w:szCs w:val="28"/>
          <w:rtl w:val="true"/>
          <w:lang w:bidi="ar-SA"/>
        </w:rPr>
        <w:t xml:space="preserve">» </w:t>
      </w:r>
      <w:r>
        <w:rPr>
          <w:rStyle w:val="FootnoteAnchor"/>
          <w:rtl w:val="true"/>
        </w:rPr>
        <w:footnoteReference w:id="821"/>
      </w:r>
      <w:r>
        <w:rPr>
          <w:rFonts w:ascii="Amiri" w:hAnsi="Amiri" w:eastAsia="Amiri" w:cs="Amiri"/>
          <w:color w:val="111111"/>
          <w:sz w:val="28"/>
          <w:sz w:val="28"/>
          <w:szCs w:val="28"/>
          <w:rtl w:val="true"/>
          <w:lang w:bidi="ar-SA"/>
        </w:rPr>
        <w:t xml:space="preserve">، و نظيره صحيح سعيد </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جملة أخرى من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شي‌ء عليه لو خرج من مكة و نام في الطريق، ففي صحيح هشام بن الحكم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زار الحاج من منى فخرج من مكة فجاوز بيوت مكة فنام ثم أصبح قبل أن يأتي منى فلا شي‌ء عليه</w:t>
      </w:r>
      <w:r>
        <w:rPr>
          <w:rFonts w:eastAsia="Amiri" w:cs="Amiri" w:ascii="Amiri" w:hAnsi="Amiri"/>
          <w:color w:val="111111"/>
          <w:sz w:val="28"/>
          <w:szCs w:val="28"/>
          <w:rtl w:val="true"/>
          <w:lang w:bidi="ar-SA"/>
        </w:rPr>
        <w:t xml:space="preserve">» </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نظيره صحيحة محمّد بن إسماعيل </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عليه، و يستغفر اللّٰه و لا يعود</w:t>
      </w:r>
      <w:r>
        <w:rPr>
          <w:rFonts w:eastAsia="Amiri" w:cs="Amiri" w:ascii="Amiri" w:hAnsi="Amiri"/>
          <w:color w:val="111111"/>
          <w:sz w:val="28"/>
          <w:szCs w:val="28"/>
          <w:rtl w:val="true"/>
          <w:lang w:bidi="ar-SA"/>
        </w:rPr>
        <w:t xml:space="preserve">» </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لا يخفى أنّ مقتضى الجمع بين النصوص المزبورة حمل ثبوت الدم في الأول على الاستحباب، و لكن اعراض المشهور عنها يوهنها و إن قوّى القول بالاستحباب المزبور في الرياض </w:t>
      </w:r>
      <w:r>
        <w:rPr>
          <w:rStyle w:val="FootnoteAnchor"/>
          <w:rtl w:val="true"/>
        </w:rPr>
        <w:footnoteReference w:id="826"/>
      </w:r>
      <w:r>
        <w:rPr>
          <w:rFonts w:ascii="Amiri" w:hAnsi="Amiri" w:eastAsia="Amiri" w:cs="Amiri"/>
          <w:color w:val="111111"/>
          <w:sz w:val="28"/>
          <w:sz w:val="28"/>
          <w:szCs w:val="28"/>
          <w:rtl w:val="true"/>
          <w:lang w:bidi="ar-SA"/>
        </w:rPr>
        <w:t>إن لم ينعقد الإجماع على خلافه</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أيضا ففي ذيل صحيحة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استثناء المشتغل بالعبادة عن وجوب المبيت المزبور، و هكذا في نص آخر تقدّم، و عليه أيضا بناء الأصحاب، كما</w:t>
      </w:r>
    </w:p>
    <w:p>
      <w:pPr>
        <w:pStyle w:val="BookText"/>
        <w:rPr/>
      </w:pPr>
      <w:r>
        <w:rPr>
          <w:rFonts w:ascii="Amiri" w:hAnsi="Amiri" w:eastAsia="Amiri" w:cs="Amiri"/>
          <w:color w:val="111111"/>
          <w:sz w:val="28"/>
          <w:sz w:val="28"/>
          <w:szCs w:val="28"/>
          <w:rtl w:val="true"/>
          <w:lang w:bidi="ar-SA"/>
        </w:rPr>
        <w:t>انّ فيه أيضا عدم الإضرار بالخروج نصف الليل، المحمول على ما بعده، بقرينة الفقرة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و في خبر عبد الغفار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خرج من منى بعد نصف الليل لم يضره شي‌ء</w:t>
      </w:r>
      <w:r>
        <w:rPr>
          <w:rFonts w:eastAsia="Amiri" w:cs="Amiri" w:ascii="Amiri" w:hAnsi="Amiri"/>
          <w:color w:val="111111"/>
          <w:sz w:val="28"/>
          <w:szCs w:val="28"/>
          <w:rtl w:val="true"/>
          <w:lang w:bidi="ar-SA"/>
        </w:rPr>
        <w:t xml:space="preserve">» </w:t>
      </w:r>
      <w:r>
        <w:rPr>
          <w:rStyle w:val="FootnoteAnchor"/>
          <w:rtl w:val="true"/>
        </w:rPr>
        <w:footnoteReference w:id="827"/>
      </w:r>
      <w:r>
        <w:rPr>
          <w:rFonts w:ascii="Amiri" w:hAnsi="Amiri" w:eastAsia="Amiri" w:cs="Amiri"/>
          <w:color w:val="111111"/>
          <w:sz w:val="28"/>
          <w:sz w:val="28"/>
          <w:szCs w:val="28"/>
          <w:rtl w:val="true"/>
          <w:lang w:bidi="ar-SA"/>
        </w:rPr>
        <w:t>، و إطلاقه يقتضي جواز الدخول بمكة و لو قبل الفجر، بل في نص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التصريح بالإصباح بغير منى إذا خرج بعد النصف </w:t>
      </w:r>
      <w:r>
        <w:rPr>
          <w:rStyle w:val="FootnoteAnchor"/>
          <w:rtl w:val="true"/>
        </w:rPr>
        <w:footnoteReference w:id="828"/>
      </w:r>
      <w:r>
        <w:rPr>
          <w:rFonts w:ascii="Amiri" w:hAnsi="Amiri" w:eastAsia="Amiri" w:cs="Amiri"/>
          <w:color w:val="111111"/>
          <w:sz w:val="28"/>
          <w:sz w:val="28"/>
          <w:szCs w:val="28"/>
          <w:rtl w:val="true"/>
          <w:lang w:bidi="ar-SA"/>
        </w:rPr>
        <w:t xml:space="preserve">، و في نص آخر لعلي بن جعفر أيضا مثله </w:t>
      </w:r>
      <w:r>
        <w:rPr>
          <w:rStyle w:val="FootnoteAnchor"/>
          <w:rtl w:val="true"/>
        </w:rPr>
        <w:footnoteReference w:id="8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في بعض الصحاح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زار البيت بالنهار أو عشاء فلا ينفجر الصبح إلّا و هو بمنى، و إن زار بعد نصف الليل أو السحر فلا بأس أن ينفجر الصبح و هو بمكة</w:t>
      </w:r>
      <w:r>
        <w:rPr>
          <w:rFonts w:eastAsia="Amiri" w:cs="Amiri" w:ascii="Amiri" w:hAnsi="Amiri"/>
          <w:color w:val="111111"/>
          <w:sz w:val="28"/>
          <w:szCs w:val="28"/>
          <w:rtl w:val="true"/>
          <w:lang w:bidi="ar-SA"/>
        </w:rPr>
        <w:t xml:space="preserve">» </w:t>
      </w:r>
      <w:r>
        <w:rPr>
          <w:rStyle w:val="FootnoteAnchor"/>
          <w:rtl w:val="true"/>
        </w:rPr>
        <w:footnoteReference w:id="830"/>
      </w:r>
      <w:r>
        <w:rPr>
          <w:rFonts w:ascii="Amiri" w:hAnsi="Amiri" w:eastAsia="Amiri" w:cs="Amiri"/>
          <w:color w:val="111111"/>
          <w:sz w:val="28"/>
          <w:sz w:val="28"/>
          <w:szCs w:val="28"/>
          <w:rtl w:val="true"/>
          <w:lang w:bidi="ar-SA"/>
        </w:rPr>
        <w:t>و إطلاق صدره يقتضي لغير من اشتغل بالعبادة أن يصبح بمنى، و لكن يمكن رفع اليد عنه بالحمل على الفضل بالأخبار السابقة، كما انّ صريح ذيله دال على جواز الإصباح بمكة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بمثله ترفع اليد عما ورد من النهي عن الإصباح بمكة في خبر عبد الغفار، بل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يصلح حتى يتصدق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ظهوره في الحرمة ممنوع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فلا وجه لما في الشرائع من نسبته إلى القول بأنه لا بد من أن لا يدخل مكة إلّا بعد طلوع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 نسبته يشعر بضعفه عنده، بل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نعرف له مأخذا </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في المأخذ ما في خبر عبد الغفار و إن استشكلنا فيه بجهتين،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الظاهر من صحيحة معاوية أنه مهما ورد في أول الليل فلا بد أن يبقى إلى نصف الليل في منى، و نظيره في خبر ابن ناجية، فلا يستفاد منهما كفاية أي نصف منه أولا أو آخرا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ظاهرهما عدم لزوم استيعاب تمام النصف الأول، و أما الاجتزاء بالنصف الثاني فلا يستفاد منهما، بل و لا إطلاق في شي‌ء من النصوص من هذه الجهة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 الدوران في النصفين يتعيّن الأول بنحو ما وصف، لكون المقام من قبيل التعيين و التخيير، لتردد المقيد بين المتباينين، لا الأقل و الأكثر كي يرجع إلى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ظاهر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أحب أن ينشق الفجر إلّا و هو بمنى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بقائه فيه إلى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في بعض النصوص السابقة من الأمر بالاستغفار، فمحمول على الكراهة في الإصباح بغيرها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أن يكون ذلك من جهة فوت الإصباح بمنى، فلا يستفاد الكراهة في غيرها أيضا،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ذلك كله حكم المختار، و أما المضطر و ذوي الأعذار فالظاهر عدم الإشكال في جواز مبيتهم في غير 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لعموم الحرج، و فحوى الرخصة للسقاء، بل و الرعاة على ما حكي النص به عن العامة، و التمسك بالفحوى المزبور يقتضي نفي الفداء في غيرهم أيضا، لظهور نص الرخصة فيه</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على التمسك بنفي الحرج ففي اقتضائه نفي الكفارة إشكال، لو لا دعوى انصراف دليله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بمقتضى مناسبة الحكم مع موضوعه المغروس في الأذهان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القاصر و المضطر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بذلك ربما يشكل في ثبوتها في الناسي و الجاهل أيضا، خصوصا مع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أيما امرئ ركب أمرا بجهالة فلا شي‌ء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الشامل لمثل هذا الجبران جزما، فيتعدّى منه الى الناسي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في الجواهر من وجوبها عليهما، بل و على المضطر في غير مورد النص </w:t>
      </w:r>
      <w:r>
        <w:rPr>
          <w:rStyle w:val="FootnoteAnchor"/>
          <w:rtl w:val="true"/>
        </w:rPr>
        <w:footnoteReference w:id="832"/>
      </w:r>
      <w:r>
        <w:rPr>
          <w:rFonts w:ascii="Amiri" w:hAnsi="Amiri" w:eastAsia="Amiri" w:cs="Amiri"/>
          <w:color w:val="111111"/>
          <w:sz w:val="28"/>
          <w:sz w:val="28"/>
          <w:szCs w:val="28"/>
          <w:rtl w:val="true"/>
          <w:lang w:bidi="ar-SA"/>
        </w:rPr>
        <w:t>منظور فيه، خصوصا مع التعدّي عن</w:t>
      </w:r>
      <w:bookmarkStart w:id="360" w:name="pg19818_204130"/>
    </w:p>
    <w:p>
      <w:pPr>
        <w:pStyle w:val="BookText"/>
        <w:rPr/>
      </w:pPr>
      <w:bookmarkEnd w:id="360"/>
      <w:r>
        <w:rPr>
          <w:rFonts w:ascii="Amiri" w:hAnsi="Amiri" w:eastAsia="Amiri" w:cs="Amiri"/>
          <w:color w:val="111111"/>
          <w:sz w:val="28"/>
          <w:sz w:val="28"/>
          <w:szCs w:val="28"/>
          <w:rtl w:val="true"/>
          <w:lang w:bidi="ar-SA"/>
        </w:rPr>
        <w:t>النص بالفحوى كما اعترف به</w:t>
      </w:r>
      <w:r>
        <w:rPr>
          <w:rFonts w:eastAsia="Amiri" w:cs="Amiri" w:ascii="Amiri" w:hAnsi="Amiri"/>
          <w:color w:val="111111"/>
          <w:sz w:val="28"/>
          <w:szCs w:val="28"/>
          <w:rtl w:val="true"/>
          <w:lang w:bidi="ar-SA"/>
        </w:rPr>
        <w:t>.</w:t>
      </w:r>
    </w:p>
    <w:p>
      <w:pPr>
        <w:pStyle w:val="Heading5"/>
        <w:numPr>
          <w:ilvl w:val="4"/>
          <w:numId w:val="1"/>
        </w:numPr>
        <w:rPr/>
      </w:pPr>
      <w:bookmarkStart w:id="361" w:name="__RefHeading___Toc3320948_2314609296"/>
      <w:bookmarkStart w:id="362" w:name="_Toc132"/>
      <w:bookmarkEnd w:id="361"/>
      <w:r>
        <w:rPr>
          <w:rtl w:val="true"/>
        </w:rPr>
        <w:t>و يرمي في اليومين الجمار الثلاث</w:t>
      </w:r>
      <w:bookmarkEnd w:id="362"/>
    </w:p>
    <w:p>
      <w:pPr>
        <w:pStyle w:val="BookText"/>
        <w:rPr/>
      </w:pPr>
      <w:r>
        <w:rPr>
          <w:rFonts w:ascii="Amiri" w:hAnsi="Amiri" w:eastAsia="Amiri" w:cs="Amiri"/>
          <w:color w:val="111111"/>
          <w:sz w:val="28"/>
          <w:sz w:val="28"/>
          <w:szCs w:val="28"/>
          <w:rtl w:val="true"/>
          <w:lang w:bidi="ar-SA"/>
        </w:rPr>
        <w:t xml:space="preserve">بلا اشكال فيه فتوى و نصا، و النصوص به مستفيضة، و يكفي له ما في النص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الحج عرفة و رمي الجمار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الوسائل عقد بابا لوجوب العود على من نسي رمي الجمار </w:t>
      </w:r>
      <w:r>
        <w:rPr>
          <w:rStyle w:val="FootnoteAnchor"/>
          <w:rtl w:val="true"/>
        </w:rPr>
        <w:footnoteReference w:id="833"/>
      </w:r>
      <w:r>
        <w:rPr>
          <w:rFonts w:ascii="IRNazanin" w:hAnsi="IRNazanin" w:eastAsia="IRNazanin"/>
          <w:color w:val="111111"/>
          <w:sz w:val="28"/>
          <w:sz w:val="28"/>
          <w:szCs w:val="28"/>
          <w:rtl w:val="true"/>
          <w:lang w:bidi="fa-IR"/>
        </w:rPr>
        <w:t xml:space="preserve">، و بابا لأصل وجوبه </w:t>
      </w:r>
      <w:r>
        <w:rPr>
          <w:rStyle w:val="FootnoteAnchor"/>
          <w:rtl w:val="true"/>
        </w:rPr>
        <w:footnoteReference w:id="834"/>
      </w:r>
      <w:r>
        <w:rPr>
          <w:rFonts w:ascii="Amiri" w:hAnsi="Amiri" w:eastAsia="Amiri" w:cs="Amiri"/>
          <w:color w:val="111111"/>
          <w:sz w:val="28"/>
          <w:sz w:val="28"/>
          <w:szCs w:val="28"/>
          <w:rtl w:val="true"/>
          <w:lang w:bidi="ar-SA"/>
        </w:rPr>
        <w:t>، و ذكر النص المذكور فيها فراجع، بل و يستفاد وجوبها في كل يوم من صحيحة معاوية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ارم في كل يوم عند الزوال</w:t>
      </w:r>
      <w:r>
        <w:rPr>
          <w:rFonts w:eastAsia="Amiri" w:cs="Amiri" w:ascii="Amiri" w:hAnsi="Amiri"/>
          <w:color w:val="111111"/>
          <w:sz w:val="28"/>
          <w:szCs w:val="28"/>
          <w:rtl w:val="true"/>
          <w:lang w:bidi="ar-SA"/>
        </w:rPr>
        <w:t xml:space="preserve">» </w:t>
      </w:r>
      <w:r>
        <w:rPr>
          <w:rStyle w:val="FootnoteAnchor"/>
          <w:rtl w:val="true"/>
        </w:rPr>
        <w:footnoteReference w:id="835"/>
      </w:r>
      <w:r>
        <w:rPr>
          <w:rFonts w:ascii="Amiri" w:hAnsi="Amiri" w:eastAsia="Amiri" w:cs="Amiri"/>
          <w:color w:val="111111"/>
          <w:sz w:val="28"/>
          <w:sz w:val="28"/>
          <w:szCs w:val="28"/>
          <w:rtl w:val="true"/>
          <w:lang w:bidi="ar-SA"/>
        </w:rPr>
        <w:t>، و حمل القيد على الاستحباب بقرينة منفصلة لا ينافي استفادة الوجوب لأصل الرمي كل 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ليكن كل جمرة في كل يوم بسبع حصيات بلا اشكال، لمعهودية ذلك، و استفادته من فحوى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الأمر بالرمي في كل يوم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قل كما قلت حين رميت جمرة العقبة</w:t>
      </w:r>
      <w:r>
        <w:rPr>
          <w:rFonts w:eastAsia="Amiri" w:cs="Amiri" w:ascii="Amiri" w:hAnsi="Amiri"/>
          <w:color w:val="111111"/>
          <w:sz w:val="28"/>
          <w:szCs w:val="28"/>
          <w:rtl w:val="true"/>
          <w:lang w:bidi="ar-SA"/>
        </w:rPr>
        <w:t xml:space="preserve">» </w:t>
      </w:r>
      <w:r>
        <w:rPr>
          <w:rStyle w:val="FootnoteAnchor"/>
          <w:rtl w:val="true"/>
        </w:rPr>
        <w:footnoteReference w:id="836"/>
      </w:r>
      <w:r>
        <w:rPr>
          <w:rFonts w:ascii="Amiri" w:hAnsi="Amiri" w:eastAsia="Amiri" w:cs="Amiri"/>
          <w:color w:val="111111"/>
          <w:sz w:val="28"/>
          <w:sz w:val="28"/>
          <w:szCs w:val="28"/>
          <w:rtl w:val="true"/>
          <w:lang w:bidi="ar-SA"/>
        </w:rPr>
        <w:t>، إذ يستفاد منه أنّ حاله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يبدأ بالجمرة الاولى، و يرميها عن يسارها مكبرا داعيا، ثم الثانية كذلك، ثم الثالثة كل ذلك لصحيح معاوية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نكس أعاد على ما يحصل معه الترتيب، سواء كان عمدا أو غيره، لإطلاق الأمر بالإعادة في صحيحة معاوية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يعيدها على الوسطى و جمرة العقبة</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اشكال عندهم في انه يحصل الترتيب في المقام بأربع رميات لا أقل، لما في صحيح معاوية صريحا بيان كيفية تحصيل الترتيب على الوجه المزبور</w:t>
      </w:r>
      <w:r>
        <w:rPr>
          <w:rFonts w:eastAsia="Amiri" w:cs="Amiri" w:ascii="Amiri" w:hAnsi="Amiri"/>
          <w:color w:val="111111"/>
          <w:sz w:val="28"/>
          <w:szCs w:val="28"/>
          <w:rtl w:val="true"/>
          <w:lang w:bidi="ar-SA"/>
        </w:rPr>
        <w:t>.</w:t>
      </w:r>
      <w:bookmarkStart w:id="363" w:name="pg19818_204131"/>
    </w:p>
    <w:p>
      <w:pPr>
        <w:pStyle w:val="BookText"/>
        <w:rPr/>
      </w:pPr>
      <w:bookmarkEnd w:id="363"/>
      <w:r>
        <w:rPr>
          <w:rFonts w:ascii="Amiri" w:hAnsi="Amiri" w:eastAsia="Amiri" w:cs="Amiri"/>
          <w:color w:val="111111"/>
          <w:sz w:val="28"/>
          <w:sz w:val="28"/>
          <w:szCs w:val="28"/>
          <w:rtl w:val="true"/>
          <w:lang w:bidi="ar-SA"/>
        </w:rPr>
        <w:t>و في شمول الإطلاق حال الجهل و النسيان وجه، و دعوى الانصراف موهونة، و توهّم النهي عن الرمي في اللاحقة قبل إكمال السابقة، فلا يتقرب به مع العمد، مدفوع بأن إطلاق المقام حاكم على دليل ترتب التمام على التمام، و مع ذلك لا يترك الاحتياط بإعادة التمام عند العمد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أي حال ففي نصوص الباب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يرمي الجمرة الأولى بثلاث، و الثانية بسبع</w:t>
      </w:r>
      <w:r>
        <w:rPr>
          <w:rFonts w:eastAsia="Amiri" w:cs="Amiri" w:ascii="Amiri" w:hAnsi="Amiri"/>
          <w:color w:val="111111"/>
          <w:sz w:val="28"/>
          <w:szCs w:val="28"/>
          <w:rtl w:val="true"/>
          <w:lang w:bidi="ar-SA"/>
        </w:rPr>
        <w:t xml:space="preserve">» </w:t>
      </w:r>
      <w:r>
        <w:rPr>
          <w:rStyle w:val="FootnoteAnchor"/>
          <w:rtl w:val="true"/>
        </w:rPr>
        <w:footnoteReference w:id="837"/>
      </w:r>
      <w:r>
        <w:rPr>
          <w:rFonts w:ascii="Amiri" w:hAnsi="Amiri" w:eastAsia="Amiri" w:cs="Amiri"/>
          <w:color w:val="111111"/>
          <w:sz w:val="28"/>
          <w:sz w:val="28"/>
          <w:szCs w:val="28"/>
          <w:rtl w:val="true"/>
          <w:lang w:bidi="ar-SA"/>
        </w:rPr>
        <w:t>في من رمى الاولى بأربع، و الثانية بثلاث، و الثالثة بسبع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بقرينة التقابل مع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إعادة الثانية بتمام السبع لا بإتمامه، و إلا فكان يقول مثل الاولى و الثانية بأربع، فلا يبقى معه مجال هذا الاحتمال كما نسب إلى جمع من الأعاظم</w:t>
      </w:r>
      <w:r>
        <w:rPr>
          <w:rFonts w:eastAsia="Amiri" w:cs="Amiri" w:ascii="Amiri" w:hAnsi="Amiri"/>
          <w:color w:val="111111"/>
          <w:sz w:val="28"/>
          <w:szCs w:val="28"/>
          <w:rtl w:val="true"/>
          <w:lang w:bidi="ar-SA"/>
        </w:rPr>
        <w:t>.</w:t>
      </w:r>
    </w:p>
    <w:p>
      <w:pPr>
        <w:pStyle w:val="Heading5"/>
        <w:numPr>
          <w:ilvl w:val="4"/>
          <w:numId w:val="1"/>
        </w:numPr>
        <w:rPr/>
      </w:pPr>
      <w:bookmarkStart w:id="364" w:name="__RefHeading___Toc3320950_2314609296"/>
      <w:bookmarkStart w:id="365" w:name="_Toc133"/>
      <w:bookmarkEnd w:id="364"/>
      <w:r>
        <w:rPr>
          <w:rtl w:val="true"/>
        </w:rPr>
        <w:t>و وقت الرمي ما بين طلوع الشمس إلى غروبها</w:t>
      </w:r>
      <w:bookmarkEnd w:id="365"/>
    </w:p>
    <w:p>
      <w:pPr>
        <w:pStyle w:val="BookText"/>
        <w:rPr/>
      </w:pPr>
      <w:r>
        <w:rPr>
          <w:rFonts w:ascii="Amiri" w:hAnsi="Amiri" w:eastAsia="Amiri" w:cs="Amiri"/>
          <w:color w:val="111111"/>
          <w:sz w:val="28"/>
          <w:sz w:val="28"/>
          <w:szCs w:val="28"/>
          <w:rtl w:val="true"/>
          <w:lang w:bidi="ar-SA"/>
        </w:rPr>
        <w:t xml:space="preserve">على المشهور، و في النص المعمول به التحديد بما بين طلوع الشمس إلى غروبها </w:t>
      </w:r>
      <w:r>
        <w:rPr>
          <w:rStyle w:val="FootnoteAnchor"/>
          <w:rtl w:val="true"/>
        </w:rPr>
        <w:footnoteReference w:id="8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في نص آخر من التحديد بالزوال </w:t>
      </w:r>
      <w:r>
        <w:rPr>
          <w:rStyle w:val="FootnoteAnchor"/>
          <w:rtl w:val="true"/>
        </w:rPr>
        <w:footnoteReference w:id="839"/>
      </w:r>
      <w:r>
        <w:rPr>
          <w:rFonts w:ascii="Amiri" w:hAnsi="Amiri" w:eastAsia="Amiri" w:cs="Amiri"/>
          <w:color w:val="111111"/>
          <w:sz w:val="28"/>
          <w:sz w:val="28"/>
          <w:szCs w:val="28"/>
          <w:rtl w:val="true"/>
          <w:lang w:bidi="ar-SA"/>
        </w:rPr>
        <w:t>محمول على الفضل، و في الفقه الرضوي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 قرب الزوال كان أفضل</w:t>
      </w:r>
      <w:r>
        <w:rPr>
          <w:rFonts w:eastAsia="Amiri" w:cs="Amiri" w:ascii="Amiri" w:hAnsi="Amiri"/>
          <w:color w:val="111111"/>
          <w:sz w:val="28"/>
          <w:szCs w:val="28"/>
          <w:rtl w:val="true"/>
          <w:lang w:bidi="ar-SA"/>
        </w:rPr>
        <w:t xml:space="preserve">» </w:t>
      </w:r>
      <w:r>
        <w:rPr>
          <w:rStyle w:val="FootnoteAnchor"/>
          <w:rtl w:val="true"/>
        </w:rPr>
        <w:footnoteReference w:id="840"/>
      </w:r>
      <w:r>
        <w:rPr>
          <w:rFonts w:ascii="Amiri" w:hAnsi="Amiri" w:eastAsia="Amiri" w:cs="Amiri"/>
          <w:color w:val="111111"/>
          <w:sz w:val="28"/>
          <w:sz w:val="28"/>
          <w:szCs w:val="28"/>
          <w:rtl w:val="true"/>
          <w:lang w:bidi="ar-SA"/>
        </w:rPr>
        <w:t>، و به أفتى جملة منهم، بناء منهم على حجية الرضوي، و فيه 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بأس به رجاء</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يجوز الرمي ليلا إلّا للمعذور كالخائف و الرعاة و المرضى و العبيد، للنصوص المستفيضة المشتملة بعضها على الخائف، و المملوك الذي لا يملك أمره شيئا، و الحاطب، و المدين و المريض، و في ذيله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قدر أن يرمي، و إلّا فارم عنه و هو حاضر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كل ذلك في نص أبي بصير </w:t>
      </w:r>
      <w:r>
        <w:rPr>
          <w:rStyle w:val="FootnoteAnchor"/>
          <w:rtl w:val="true"/>
        </w:rPr>
        <w:footnoteReference w:id="8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w:t>
      </w:r>
      <w:bookmarkStart w:id="366" w:name="pg19818_204132"/>
    </w:p>
    <w:p>
      <w:pPr>
        <w:pStyle w:val="BookText"/>
        <w:rPr/>
      </w:pPr>
      <w:bookmarkEnd w:id="366"/>
      <w:r>
        <w:rPr>
          <w:rFonts w:ascii="Amiri" w:hAnsi="Amiri" w:eastAsia="Amiri" w:cs="Amiri"/>
          <w:color w:val="111111"/>
          <w:sz w:val="28"/>
          <w:sz w:val="28"/>
          <w:szCs w:val="28"/>
          <w:rtl w:val="true"/>
          <w:lang w:bidi="ar-SA"/>
        </w:rPr>
        <w:t>تنزيل إطلاق فقرأتها على فرض حرجية رميهم في النهار، أو عدم قدرته كما فهمه الأصحاب أيضا،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أقام اليوم الثالث بليلته رماها أيضا، 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ارم في كل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صحيحة معاوية السابقة، المنصرفة الى ما ذكرنا، بل في بعض النصوص المحكية في التذكرة عن طريق الخاصة في النفر الأخير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عليك أي ساعة نفرت و رميت قبل الزوال أو بعده</w:t>
      </w:r>
      <w:r>
        <w:rPr>
          <w:rFonts w:eastAsia="Amiri" w:cs="Amiri" w:ascii="Amiri" w:hAnsi="Amiri"/>
          <w:color w:val="111111"/>
          <w:sz w:val="28"/>
          <w:szCs w:val="28"/>
          <w:rtl w:val="true"/>
          <w:lang w:bidi="ar-SA"/>
        </w:rPr>
        <w:t xml:space="preserve">» </w:t>
      </w:r>
      <w:r>
        <w:rPr>
          <w:rStyle w:val="FootnoteAnchor"/>
          <w:rtl w:val="true"/>
        </w:rPr>
        <w:footnoteReference w:id="8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ظاهره لا بدية الرمي فيه كما لا يخفى، و في الجواهر أيضا نفي الخلاف فيه ظاهر </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إلّا يعني و إن لم يقم اليوم الثالث سقط عنه الرمي، و في التذكرة إجماعا، و هو كذلك بعد جواز تفويت مقدمته، و فيه مثل ما في المتن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دفن حصاه بمنى استحبابا و لم يذكر له مستندا، بل في قرب الاسناد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يتركها في منى </w:t>
      </w:r>
      <w:r>
        <w:rPr>
          <w:rStyle w:val="FootnoteAnchor"/>
          <w:rtl w:val="true"/>
        </w:rPr>
        <w:footnoteReference w:id="8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لا يقتضي دفنها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بات الليلتين بغير منى وجب عليه عن كل ليلة شاة، إلّا أن يبيت بمكة مشتغلا بالعبادة، و يجوز أن يخرج بعد نصف الليل على ما تقدّم</w:t>
      </w:r>
      <w:r>
        <w:rPr>
          <w:rFonts w:eastAsia="Amiri" w:cs="Amiri" w:ascii="Amiri" w:hAnsi="Amiri"/>
          <w:color w:val="111111"/>
          <w:sz w:val="28"/>
          <w:szCs w:val="28"/>
          <w:rtl w:val="true"/>
          <w:lang w:bidi="ar-SA"/>
        </w:rPr>
        <w:t>.</w:t>
      </w:r>
    </w:p>
    <w:p>
      <w:pPr>
        <w:pStyle w:val="Heading5"/>
        <w:numPr>
          <w:ilvl w:val="4"/>
          <w:numId w:val="1"/>
        </w:numPr>
        <w:rPr/>
      </w:pPr>
      <w:bookmarkStart w:id="367" w:name="__RefHeading___Toc3320952_2314609296"/>
      <w:bookmarkStart w:id="368" w:name="_Toc134"/>
      <w:bookmarkEnd w:id="367"/>
      <w:r>
        <w:rPr>
          <w:rtl w:val="true"/>
        </w:rPr>
        <w:t>و يجوز النفر الأول لمن اتقى الصيد إذا لم تغرب الشمس</w:t>
      </w:r>
      <w:bookmarkEnd w:id="368"/>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الثاني عشر الذي هو يوم النفر الأول بمنى بشرط اتقاء النساء أيضا، كما في جملة من النصوص المشتملة بعضها على الاتقاء من الصيد </w:t>
      </w:r>
      <w:r>
        <w:rPr>
          <w:rStyle w:val="FootnoteAnchor"/>
          <w:rtl w:val="true"/>
        </w:rPr>
        <w:footnoteReference w:id="845"/>
      </w:r>
      <w:r>
        <w:rPr>
          <w:rFonts w:ascii="IRNazanin" w:hAnsi="IRNazanin" w:eastAsia="IRNazanin"/>
          <w:color w:val="111111"/>
          <w:sz w:val="28"/>
          <w:sz w:val="28"/>
          <w:szCs w:val="28"/>
          <w:rtl w:val="true"/>
          <w:lang w:bidi="fa-IR"/>
        </w:rPr>
        <w:t>، و بعضها من</w:t>
      </w:r>
    </w:p>
    <w:p>
      <w:pPr>
        <w:pStyle w:val="BookText"/>
        <w:rPr/>
      </w:pPr>
      <w:r>
        <w:rPr>
          <w:rFonts w:ascii="IRNazanin" w:hAnsi="IRNazanin" w:eastAsia="IRNazanin"/>
          <w:color w:val="111111"/>
          <w:sz w:val="28"/>
          <w:sz w:val="28"/>
          <w:szCs w:val="28"/>
          <w:rtl w:val="true"/>
          <w:lang w:bidi="fa-IR"/>
        </w:rPr>
        <w:t xml:space="preserve">النساء </w:t>
      </w:r>
      <w:r>
        <w:rPr>
          <w:rStyle w:val="FootnoteAnchor"/>
          <w:rtl w:val="true"/>
        </w:rPr>
        <w:footnoteReference w:id="846"/>
      </w:r>
      <w:r>
        <w:rPr>
          <w:rFonts w:ascii="Amiri" w:hAnsi="Amiri" w:eastAsia="Amiri" w:cs="Amiri"/>
          <w:color w:val="111111"/>
          <w:sz w:val="28"/>
          <w:sz w:val="28"/>
          <w:szCs w:val="28"/>
          <w:rtl w:val="true"/>
          <w:lang w:bidi="ar-SA"/>
        </w:rPr>
        <w:t xml:space="preserve">، و في جملة من النصوص إطلاق الاتقاء </w:t>
      </w:r>
      <w:r>
        <w:rPr>
          <w:rStyle w:val="FootnoteAnchor"/>
          <w:rtl w:val="true"/>
        </w:rPr>
        <w:footnoteReference w:id="847"/>
      </w:r>
      <w:r>
        <w:rPr>
          <w:rFonts w:ascii="Amiri" w:hAnsi="Amiri" w:eastAsia="Amiri" w:cs="Amiri"/>
          <w:color w:val="111111"/>
          <w:sz w:val="28"/>
          <w:sz w:val="28"/>
          <w:szCs w:val="28"/>
          <w:rtl w:val="true"/>
          <w:lang w:bidi="ar-SA"/>
        </w:rPr>
        <w:t>الموهم للاتقاء عن جميع المحرمات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خصّه بعضهم بما فيه كفارة، و لعله للانصراف بحكم الغلبة في محرمات الإحرام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الانصاف انّ الأخبار المخصوصة بالصيد و النساء قابلة لشرح المطلقات، نعم في بعض النصوص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لمن اتقى الكبائر</w:t>
      </w:r>
      <w:r>
        <w:rPr>
          <w:rFonts w:eastAsia="Amiri" w:cs="Amiri" w:ascii="Amiri" w:hAnsi="Amiri"/>
          <w:color w:val="111111"/>
          <w:sz w:val="28"/>
          <w:szCs w:val="28"/>
          <w:rtl w:val="true"/>
          <w:lang w:bidi="ar-SA"/>
        </w:rPr>
        <w:t xml:space="preserve">» </w:t>
      </w:r>
      <w:r>
        <w:rPr>
          <w:rStyle w:val="FootnoteAnchor"/>
          <w:rtl w:val="true"/>
        </w:rPr>
        <w:footnoteReference w:id="848"/>
      </w:r>
      <w:r>
        <w:rPr>
          <w:rFonts w:ascii="Amiri" w:hAnsi="Amiri" w:eastAsia="Amiri" w:cs="Amiri"/>
          <w:color w:val="111111"/>
          <w:sz w:val="28"/>
          <w:sz w:val="28"/>
          <w:szCs w:val="28"/>
          <w:rtl w:val="true"/>
          <w:lang w:bidi="ar-SA"/>
        </w:rPr>
        <w:t>، و لكنه تفسير للآية بمعنى آخر من التعجيل غير المرتبط بالتعجيل في النفر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بعض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لمن اتقى الصيد لا ينفر إلّا النفر الثاني</w:t>
      </w:r>
      <w:r>
        <w:rPr>
          <w:rFonts w:eastAsia="Amiri" w:cs="Amiri" w:ascii="Amiri" w:hAnsi="Amiri"/>
          <w:color w:val="111111"/>
          <w:sz w:val="28"/>
          <w:szCs w:val="28"/>
          <w:rtl w:val="true"/>
          <w:lang w:bidi="ar-SA"/>
        </w:rPr>
        <w:t xml:space="preserve">» </w:t>
      </w:r>
      <w:r>
        <w:rPr>
          <w:rStyle w:val="FootnoteAnchor"/>
          <w:rtl w:val="true"/>
        </w:rPr>
        <w:footnoteReference w:id="849"/>
      </w:r>
      <w:r>
        <w:rPr>
          <w:rFonts w:ascii="Amiri" w:hAnsi="Amiri" w:eastAsia="Amiri" w:cs="Amiri"/>
          <w:color w:val="111111"/>
          <w:sz w:val="28"/>
          <w:sz w:val="28"/>
          <w:szCs w:val="28"/>
          <w:rtl w:val="true"/>
          <w:lang w:bidi="ar-SA"/>
        </w:rPr>
        <w:t>، و هو موافق للعامة، فجهته موهونة لا يصلح للاتكال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إذا غربت الشمس في الثاني عشر بمنى لم يجز النفر، لما في صحيحة ابن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جاء الليل بعد النفر الأول فبت بمنى فليس لك أن تخرج حتى تصبح</w:t>
      </w:r>
      <w:r>
        <w:rPr>
          <w:rFonts w:eastAsia="Amiri" w:cs="Amiri" w:ascii="Amiri" w:hAnsi="Amiri"/>
          <w:color w:val="111111"/>
          <w:sz w:val="28"/>
          <w:szCs w:val="28"/>
          <w:rtl w:val="true"/>
          <w:lang w:bidi="ar-SA"/>
        </w:rPr>
        <w:t xml:space="preserve">» </w:t>
      </w:r>
      <w:r>
        <w:rPr>
          <w:rStyle w:val="FootnoteAnchor"/>
          <w:rtl w:val="true"/>
        </w:rPr>
        <w:footnoteReference w:id="850"/>
      </w:r>
      <w:r>
        <w:rPr>
          <w:rFonts w:ascii="Amiri" w:hAnsi="Amiri" w:eastAsia="Amiri" w:cs="Amiri"/>
          <w:color w:val="111111"/>
          <w:sz w:val="28"/>
          <w:sz w:val="28"/>
          <w:szCs w:val="28"/>
          <w:rtl w:val="true"/>
          <w:lang w:bidi="ar-SA"/>
        </w:rPr>
        <w:t xml:space="preserve">و في خبر أبي بصير مثله </w:t>
      </w:r>
      <w:r>
        <w:rPr>
          <w:rStyle w:val="FootnoteAnchor"/>
          <w:rtl w:val="true"/>
        </w:rPr>
        <w:footnoteReference w:id="8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ظاهرهما عدم جواز الخروج في الليلة الثالثة بعد النصف أيضا، بخلاف الأولتين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نفر من محله قبل الغروب و فاجأه قبل الخروج من حدود منى، فلوجوب التبييت أيضا وجه، لإطلاق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جاء الليل فبت</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في خبر أبي بصير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هو لم ينفر حتى يكون غروبها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يوهم</w:t>
      </w:r>
      <w:bookmarkStart w:id="369" w:name="pg19818_204134"/>
    </w:p>
    <w:p>
      <w:pPr>
        <w:pStyle w:val="BookText"/>
        <w:rPr/>
      </w:pPr>
      <w:bookmarkEnd w:id="369"/>
      <w:r>
        <w:rPr>
          <w:rFonts w:ascii="IRNazanin" w:hAnsi="IRNazanin" w:eastAsia="IRNazanin"/>
          <w:color w:val="111111"/>
          <w:sz w:val="28"/>
          <w:sz w:val="28"/>
          <w:szCs w:val="28"/>
          <w:rtl w:val="true"/>
          <w:lang w:bidi="fa-IR"/>
        </w:rPr>
        <w:t>شمول إطلاقه للمقام، لصدق النفر قبل الغروب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لكن يمكن حمل النفر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بقرينة إطلاق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النفر من منى كلها، لا عن خصوص محله، و لا أقل من الإجمال، فالاستصحاب التعليقي في المقام يقتضي وجوب تبييته، و هو حاكم على استصحاب جواز النفر تخييرا، كما هو الشأن في كل أصل تعليقي، بالنسبة إلى الأصل التخييري في مورده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ظهر مما ذكرنا أنّه إنّما يجوز النفر الأول لمن اتقى الصيد و النساء، إذا لم تغرب الشمس في الثاني عشر بمنى و لا يجوز لغيره، كما عرفت، فإن نفر كان عليه شاة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النافر في النفر الأول سواء في اليوم الأول أم الثاني لا يخرج إلّا بعد الزوال، و في النفر الثاني الذي هو النفر يوم الثالث عشر، و هو آخر أيام التشريق يجوز النفر بعد رميه، و لو كان قبله أي قبل الزوال على المشهور في الجميع، لنص ابن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أردت أن تنفر في يومين فليس لك أن تنفر حتى تزول الشمس، و إن تأخرت إلى آخر أيام التشريق و هو النفر الأخير فلا شي‌ء عليك أي ساعة نفرت و رميت قبل الزوال أو بعده</w:t>
      </w:r>
      <w:r>
        <w:rPr>
          <w:rFonts w:eastAsia="Amiri" w:cs="Amiri" w:ascii="Amiri" w:hAnsi="Amiri"/>
          <w:color w:val="111111"/>
          <w:sz w:val="28"/>
          <w:szCs w:val="28"/>
          <w:rtl w:val="true"/>
          <w:lang w:bidi="ar-SA"/>
        </w:rPr>
        <w:t xml:space="preserve">» </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مع هذا النص المعمول به لدى الأصحاب، لا مجال لتوهم جواز النفر في كل واحد من الأيام بعد الرمي أي ساعة، بزعم أنه لا يجب في الثلاثة إلّا المبيت ليلا، و أما توقف النهار فمن المستحبات، لأنه اجتهاد في قبال النص الصحيح المعمول به</w:t>
      </w:r>
      <w:r>
        <w:rPr>
          <w:rFonts w:eastAsia="Amiri" w:cs="Amiri" w:ascii="Amiri" w:hAnsi="Amiri"/>
          <w:color w:val="111111"/>
          <w:sz w:val="28"/>
          <w:szCs w:val="28"/>
          <w:rtl w:val="true"/>
          <w:lang w:bidi="ar-SA"/>
        </w:rPr>
        <w:t>.</w:t>
      </w:r>
    </w:p>
    <w:p>
      <w:pPr>
        <w:pStyle w:val="Heading5"/>
        <w:numPr>
          <w:ilvl w:val="4"/>
          <w:numId w:val="1"/>
        </w:numPr>
        <w:rPr/>
      </w:pPr>
      <w:bookmarkStart w:id="370" w:name="__RefHeading___Toc3320954_2314609296"/>
      <w:bookmarkStart w:id="371" w:name="_Toc135"/>
      <w:bookmarkEnd w:id="370"/>
      <w:r>
        <w:rPr>
          <w:rtl w:val="true"/>
        </w:rPr>
        <w:t>و لو نسي رمي يوم قضاه في الغد مقدما</w:t>
      </w:r>
      <w:bookmarkEnd w:id="371"/>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رمي الغد، على</w:t>
      </w:r>
      <w:bookmarkStart w:id="372" w:name="pg19818_204135"/>
    </w:p>
    <w:p>
      <w:pPr>
        <w:pStyle w:val="BookText"/>
        <w:rPr/>
      </w:pPr>
      <w:bookmarkEnd w:id="372"/>
      <w:r>
        <w:rPr>
          <w:rFonts w:ascii="Amiri" w:hAnsi="Amiri" w:eastAsia="Amiri" w:cs="Amiri"/>
          <w:color w:val="111111"/>
          <w:sz w:val="28"/>
          <w:sz w:val="28"/>
          <w:szCs w:val="28"/>
          <w:rtl w:val="true"/>
          <w:lang w:bidi="ar-SA"/>
        </w:rPr>
        <w:t>المشهور، لما في النص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يرمي إذا أصبح 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إحداهما بكرة و هي للأمس، و الأخرى عند زوال الشمس</w:t>
      </w:r>
      <w:r>
        <w:rPr>
          <w:rFonts w:eastAsia="Amiri" w:cs="Amiri" w:ascii="Amiri" w:hAnsi="Amiri"/>
          <w:color w:val="111111"/>
          <w:sz w:val="28"/>
          <w:szCs w:val="28"/>
          <w:rtl w:val="true"/>
          <w:lang w:bidi="ar-SA"/>
        </w:rPr>
        <w:t xml:space="preserve">» </w:t>
      </w:r>
      <w:r>
        <w:rPr>
          <w:rStyle w:val="FootnoteAnchor"/>
          <w:rtl w:val="true"/>
        </w:rPr>
        <w:footnoteReference w:id="8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نص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يرمي إذا أصبح مرة لما فاته، و الأخرى ليومه</w:t>
      </w:r>
      <w:r>
        <w:rPr>
          <w:rFonts w:eastAsia="Amiri" w:cs="Amiri" w:ascii="Amiri" w:hAnsi="Amiri"/>
          <w:color w:val="111111"/>
          <w:sz w:val="28"/>
          <w:szCs w:val="28"/>
          <w:rtl w:val="true"/>
          <w:lang w:bidi="ar-SA"/>
        </w:rPr>
        <w:t xml:space="preserve">» </w:t>
      </w:r>
      <w:r>
        <w:rPr>
          <w:rStyle w:val="FootnoteAnchor"/>
          <w:rtl w:val="true"/>
        </w:rPr>
        <w:footnoteReference w:id="8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اشتمال النصين على القيد، المحمول على الاستحباب، بقرينة منفصلة، غير مضر بحجية ظهوره في أصل وجوب القضاء، و وجوب الترتيب بنحو أفاد في المتن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في الرياض من الإشكال في أمثال المقام، في دلالة الأمر على الوجوب، مع فرض استحباب القيد </w:t>
      </w:r>
      <w:r>
        <w:rPr>
          <w:rStyle w:val="FootnoteAnchor"/>
          <w:rtl w:val="true"/>
        </w:rPr>
        <w:footnoteReference w:id="855"/>
      </w:r>
      <w:r>
        <w:rPr>
          <w:rFonts w:ascii="Amiri" w:hAnsi="Amiri" w:eastAsia="Amiri" w:cs="Amiri"/>
          <w:color w:val="111111"/>
          <w:sz w:val="28"/>
          <w:sz w:val="28"/>
          <w:szCs w:val="28"/>
          <w:rtl w:val="true"/>
          <w:lang w:bidi="ar-SA"/>
        </w:rPr>
        <w:t>، منظور فيه، إذ ما أفيد إنما يصح لو فرض صيرورة القرائن المنفصلة موجبة لانقلاب ظهور الكلام، عما استقر عليه، و إلّا فمع بقاء الظهور لا ضير في التفكيك في مرحلة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إطلاق النصوص المزبورة يشمل تركه عمدا أيضا، و يلحق به حال جهله، كما لا يخفى</w:t>
      </w:r>
      <w:r>
        <w:rPr>
          <w:rFonts w:eastAsia="Amiri" w:cs="Amiri" w:ascii="Amiri" w:hAnsi="Amiri"/>
          <w:color w:val="111111"/>
          <w:sz w:val="28"/>
          <w:szCs w:val="28"/>
          <w:rtl w:val="true"/>
          <w:lang w:bidi="ar-SA"/>
        </w:rPr>
        <w:t>.</w:t>
      </w:r>
    </w:p>
    <w:p>
      <w:pPr>
        <w:pStyle w:val="Heading5"/>
        <w:numPr>
          <w:ilvl w:val="4"/>
          <w:numId w:val="1"/>
        </w:numPr>
        <w:rPr/>
      </w:pPr>
      <w:bookmarkStart w:id="373" w:name="__RefHeading___Toc3320956_2314609296"/>
      <w:bookmarkStart w:id="374" w:name="_Toc136"/>
      <w:bookmarkEnd w:id="373"/>
      <w:r>
        <w:rPr>
          <w:rtl w:val="true"/>
        </w:rPr>
        <w:t>و لو نسي جمرة و جهل عينها رمي الثلاث</w:t>
      </w:r>
      <w:bookmarkEnd w:id="374"/>
    </w:p>
    <w:p>
      <w:pPr>
        <w:pStyle w:val="BookText"/>
        <w:rPr/>
      </w:pPr>
      <w:r>
        <w:rPr>
          <w:rFonts w:ascii="Amiri" w:hAnsi="Amiri" w:eastAsia="Amiri" w:cs="Amiri"/>
          <w:color w:val="111111"/>
          <w:sz w:val="28"/>
          <w:sz w:val="28"/>
          <w:szCs w:val="28"/>
          <w:rtl w:val="true"/>
          <w:lang w:bidi="ar-SA"/>
        </w:rPr>
        <w:t>، للعلم الإجمالي المنجز للتكليف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نسي الرمي حتى دخل مكة رجع و رمي ما دامت أيام التشريق باقية، بلا إشكال، للأمر به مع بقاء وقته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قول آخر يرجع و لو بعد أيام التشريق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 ضعيف و إن توهمه بعض، للإطلاقات، مثل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يرجع فيفصل بين كل رميتين بساعة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فاته ذلك و خرج، قال</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عليه شي‌ء</w:t>
      </w:r>
      <w:r>
        <w:rPr>
          <w:rFonts w:eastAsia="Amiri" w:cs="Amiri" w:ascii="Amiri" w:hAnsi="Amiri"/>
          <w:color w:val="111111"/>
          <w:sz w:val="28"/>
          <w:szCs w:val="28"/>
          <w:rtl w:val="true"/>
          <w:lang w:bidi="ar-SA"/>
        </w:rPr>
        <w:t xml:space="preserve">» </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فلترجع فلترم الجمار كما كانت ترمى</w:t>
      </w:r>
      <w:r>
        <w:rPr>
          <w:rFonts w:eastAsia="Amiri" w:cs="Amiri" w:ascii="Amiri" w:hAnsi="Amiri"/>
          <w:color w:val="111111"/>
          <w:sz w:val="28"/>
          <w:szCs w:val="28"/>
          <w:rtl w:val="true"/>
          <w:lang w:bidi="ar-SA"/>
        </w:rPr>
        <w:t xml:space="preserve">» </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ثالث كذلك، و في ذيله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جهل حتى فاته و خرج،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عليه أن يعيده</w:t>
      </w:r>
      <w:r>
        <w:rPr>
          <w:rFonts w:eastAsia="Amiri" w:cs="Amiri" w:ascii="Amiri" w:hAnsi="Amiri"/>
          <w:color w:val="111111"/>
          <w:sz w:val="28"/>
          <w:szCs w:val="28"/>
          <w:rtl w:val="true"/>
          <w:lang w:bidi="ar-SA"/>
        </w:rPr>
        <w:t xml:space="preserve">» </w:t>
      </w:r>
      <w:r>
        <w:rPr>
          <w:rStyle w:val="FootnoteAnchor"/>
          <w:rtl w:val="true"/>
        </w:rPr>
        <w:footnoteReference w:id="8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لكن يمكن التشكيك في مثل هذه الإطلاقات، بملاحظة احتمال كون المراد من فوته في الذيل هو فوت دركه في وقته، لا الفوت مطلقا، و إلّا فلا معنى لتوهم الإعادة، كما انّ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فلترم كما 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خصوصية حفظ الوقت، و من المعلوم انّ الإطلاق إذا اقترن بمثل هذه القيود الصالحة للقرينية، خرج عن ظهور إطلاقه، فلا يبقى مجال للتشبث به لإثبات إطلاق الحكم لمن خرج وقته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توهم جريان الاستصحاب صحيح لو لا ظهور دليل التوقيت في انتفاء المقيد، فيحتاج القضاء حينئذ إلى أمر 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مضافا إلى نص عمر بن يزيد، المشتمل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أغفل رمي الجمار أو بعضها حتى تمضي أيام التشريق فعليه أن يرميها من قابل، فإن لم يحج رمى عنه وليه، فإن لم يكن له ولي استعان برجل من المسلمين يرمى عنه، و انه لا يكون رمي الجمار إلّا في أيام التشريق</w:t>
      </w:r>
      <w:r>
        <w:rPr>
          <w:rFonts w:eastAsia="Amiri" w:cs="Amiri" w:ascii="Amiri" w:hAnsi="Amiri"/>
          <w:color w:val="111111"/>
          <w:sz w:val="28"/>
          <w:szCs w:val="28"/>
          <w:rtl w:val="true"/>
          <w:lang w:bidi="ar-SA"/>
        </w:rPr>
        <w:t xml:space="preserve">» </w:t>
      </w:r>
      <w:r>
        <w:rPr>
          <w:rStyle w:val="FootnoteAnchor"/>
          <w:rtl w:val="true"/>
        </w:rPr>
        <w:footnoteReference w:id="8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ضعف الرواية منجبر بالعمل كما في الجواهر </w:t>
      </w:r>
      <w:r>
        <w:rPr>
          <w:rStyle w:val="FootnoteAnchor"/>
          <w:rtl w:val="true"/>
        </w:rPr>
        <w:footnoteReference w:id="860"/>
      </w:r>
      <w:r>
        <w:rPr>
          <w:rFonts w:ascii="Amiri" w:hAnsi="Amiri" w:eastAsia="Amiri" w:cs="Amiri"/>
          <w:color w:val="111111"/>
          <w:sz w:val="28"/>
          <w:sz w:val="28"/>
          <w:szCs w:val="28"/>
          <w:rtl w:val="true"/>
          <w:lang w:bidi="ar-SA"/>
        </w:rPr>
        <w:t>، و مع هذا الانجبار لا بد من الأخذ بظاهره، من وجوب القضاء بنفسه، و إلّا فيقضي عنه وليه، و إلّا فيستعين بمسلم آخر في القضاء عنه</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حمل هذه المراحل على الاستحباب بزعم ضعف الخبر، منظور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w:t>
      </w:r>
      <w:bookmarkStart w:id="375" w:name="pg19818_204137"/>
    </w:p>
    <w:p>
      <w:pPr>
        <w:pStyle w:val="BookText"/>
        <w:rPr/>
      </w:pPr>
      <w:bookmarkEnd w:id="375"/>
      <w:r>
        <w:rPr>
          <w:rFonts w:ascii="Amiri" w:hAnsi="Amiri" w:eastAsia="Amiri" w:cs="Amiri"/>
          <w:color w:val="111111"/>
          <w:sz w:val="28"/>
          <w:sz w:val="28"/>
          <w:szCs w:val="28"/>
          <w:rtl w:val="true"/>
          <w:lang w:bidi="ar-SA"/>
        </w:rPr>
        <w:t>انه على فرض الضعف لا وجه للاستحباب أيضا شرعا، غاية الأمر عدم الترك رجاء باحتمال المحبوبية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ظاهر النص ترتب الاستنابة على عدم حجه، لا على عدم تمكنه منه، فله الاستنابة مع التمكن من العود، و هو أيضا ظاهر الشرائع </w:t>
      </w:r>
      <w:r>
        <w:rPr>
          <w:rStyle w:val="FootnoteAnchor"/>
          <w:rtl w:val="true"/>
        </w:rPr>
        <w:footnoteReference w:id="861"/>
      </w:r>
      <w:r>
        <w:rPr>
          <w:rFonts w:ascii="Amiri" w:hAnsi="Amiri" w:eastAsia="Amiri" w:cs="Amiri"/>
          <w:color w:val="111111"/>
          <w:sz w:val="28"/>
          <w:sz w:val="28"/>
          <w:szCs w:val="28"/>
          <w:rtl w:val="true"/>
          <w:lang w:bidi="ar-SA"/>
        </w:rPr>
        <w:t>، خلافا للمصنف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تعذر مضى و رمى في القابل أو استناب مستحبا، و لعل نظره إلى إطلاق نفي الشي‌ء عليه، و لكنه مقيد بالرمي في القابل، أو الاستنابة بالنص المعمول به لدى المشهور</w:t>
      </w:r>
      <w:r>
        <w:rPr>
          <w:rFonts w:eastAsia="Amiri" w:cs="Amiri" w:ascii="Amiri" w:hAnsi="Amiri"/>
          <w:color w:val="111111"/>
          <w:sz w:val="28"/>
          <w:szCs w:val="28"/>
          <w:rtl w:val="true"/>
          <w:lang w:bidi="ar-SA"/>
        </w:rPr>
        <w:t>.</w:t>
      </w:r>
    </w:p>
    <w:p>
      <w:pPr>
        <w:pStyle w:val="Heading5"/>
        <w:numPr>
          <w:ilvl w:val="4"/>
          <w:numId w:val="1"/>
        </w:numPr>
        <w:rPr/>
      </w:pPr>
      <w:bookmarkStart w:id="376" w:name="__RefHeading___Toc3320958_2314609296"/>
      <w:bookmarkStart w:id="377" w:name="_Toc137"/>
      <w:bookmarkEnd w:id="376"/>
      <w:r>
        <w:rPr>
          <w:rtl w:val="true"/>
        </w:rPr>
        <w:t>و يستحب الإقامة بمنى أيام التشريق</w:t>
      </w:r>
      <w:bookmarkEnd w:id="377"/>
    </w:p>
    <w:p>
      <w:pPr>
        <w:pStyle w:val="BookText"/>
        <w:rPr/>
      </w:pPr>
      <w:r>
        <w:rPr>
          <w:rFonts w:ascii="Amiri" w:hAnsi="Amiri" w:eastAsia="Amiri" w:cs="Amiri"/>
          <w:color w:val="111111"/>
          <w:sz w:val="28"/>
          <w:sz w:val="28"/>
          <w:szCs w:val="28"/>
          <w:rtl w:val="true"/>
          <w:lang w:bidi="ar-SA"/>
        </w:rPr>
        <w:t xml:space="preserve">، لما في خبر العيص </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المقام بمنى أفضل</w:t>
      </w:r>
      <w:r>
        <w:rPr>
          <w:rFonts w:eastAsia="Amiri" w:cs="Amiri" w:ascii="Amiri" w:hAnsi="Amiri"/>
          <w:color w:val="111111"/>
          <w:sz w:val="28"/>
          <w:szCs w:val="28"/>
          <w:rtl w:val="true"/>
          <w:lang w:bidi="ar-SA"/>
        </w:rPr>
        <w:t xml:space="preserve">» </w:t>
      </w:r>
      <w:r>
        <w:rPr>
          <w:rStyle w:val="FootnoteAnchor"/>
          <w:rtl w:val="true"/>
        </w:rPr>
        <w:footnoteReference w:id="8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نص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أن يأتي الرجل مكة فيطوف بها في أيام منى و لا يبيت بها</w:t>
      </w:r>
      <w:r>
        <w:rPr>
          <w:rFonts w:eastAsia="Amiri" w:cs="Amiri" w:ascii="Amiri" w:hAnsi="Amiri"/>
          <w:color w:val="111111"/>
          <w:sz w:val="28"/>
          <w:szCs w:val="28"/>
          <w:rtl w:val="true"/>
          <w:lang w:bidi="ar-SA"/>
        </w:rPr>
        <w:t xml:space="preserve">» </w:t>
      </w:r>
      <w:r>
        <w:rPr>
          <w:rStyle w:val="FootnoteAnchor"/>
          <w:rtl w:val="true"/>
        </w:rPr>
        <w:footnoteReference w:id="864"/>
      </w:r>
      <w:r>
        <w:rPr>
          <w:rFonts w:ascii="Amiri" w:hAnsi="Amiri" w:eastAsia="Amiri" w:cs="Amiri"/>
          <w:color w:val="111111"/>
          <w:sz w:val="28"/>
          <w:sz w:val="28"/>
          <w:szCs w:val="28"/>
          <w:rtl w:val="true"/>
          <w:lang w:bidi="ar-SA"/>
        </w:rPr>
        <w:t xml:space="preserve">، و نظيره صحيح آخر </w:t>
      </w:r>
      <w:r>
        <w:rPr>
          <w:rStyle w:val="FootnoteAnchor"/>
          <w:rtl w:val="true"/>
        </w:rPr>
        <w:footnoteReference w:id="865"/>
      </w:r>
      <w:r>
        <w:rPr>
          <w:rFonts w:ascii="Amiri" w:hAnsi="Amiri" w:eastAsia="Amiri" w:cs="Amiri"/>
          <w:color w:val="111111"/>
          <w:sz w:val="28"/>
          <w:sz w:val="28"/>
          <w:szCs w:val="28"/>
          <w:rtl w:val="true"/>
          <w:lang w:bidi="ar-SA"/>
        </w:rPr>
        <w:t>، إذ لا تنافي بين رجحان الضدين مع أفضلية أحدهما من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ذلك نقض على من التزم بأنّ الأمر بشي‌ء يقتضي النهي عن ضده الخاص، و ذلك أيضا لو لا تصحيح الترتيب على هذا القول بتقريب حققناه في محله</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فرغ من هذه المناسك تم حجه على وجه، و إلّا فتمام الحج</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بمقتضى بعض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بطواف النساء، الذي هو آخر المحللات، و قد أشرنا إلى ذلك فيما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أي حال فمقتضى محللية طواف النساء بعد الحلق و الطواف للزيارة عن كل شي‌ء وقوع هذه المناسك حال إحلاله، بلا محللية مثل هذه، على فرض دخولها في الحج لشي‌ء، فضلا عن خروجها عنه و من توابعه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في بعض النصوص من كون رمي الجمار محللا للنساء، محمول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بقرينة النصوص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الاستحباب، أو كراهة النساء قبلها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استحب له العود إلى مكة لطواف الوداع بلا اشكال فتوى و نصا مستفيضا، ففي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فودع البيت و طف أسبوعا </w:t>
      </w:r>
      <w:r>
        <w:rPr>
          <w:rFonts w:eastAsia="Amiri" w:cs="Amiri" w:ascii="Amiri" w:hAnsi="Amiri"/>
          <w:color w:val="111111"/>
          <w:sz w:val="28"/>
          <w:szCs w:val="28"/>
          <w:rtl w:val="true"/>
          <w:lang w:bidi="ar-SA"/>
        </w:rPr>
        <w:t xml:space="preserve">..» </w:t>
      </w:r>
      <w:r>
        <w:rPr>
          <w:rStyle w:val="FootnoteAnchor"/>
          <w:rtl w:val="true"/>
        </w:rPr>
        <w:footnoteReference w:id="866"/>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يستحب أيضا دخول الكعبة، ففي صحيحة ابن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العبد الصالح دخل الكعبة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Style w:val="FootnoteAnchor"/>
          <w:rtl w:val="true"/>
        </w:rPr>
        <w:footnoteReference w:id="8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الدخول فيها دخول في رحمة اللّٰه</w:t>
      </w:r>
      <w:r>
        <w:rPr>
          <w:rFonts w:eastAsia="Amiri" w:cs="Amiri" w:ascii="Amiri" w:hAnsi="Amiri"/>
          <w:color w:val="111111"/>
          <w:sz w:val="28"/>
          <w:szCs w:val="28"/>
          <w:rtl w:val="true"/>
          <w:lang w:bidi="ar-SA"/>
        </w:rPr>
        <w:t xml:space="preserve">» </w:t>
      </w:r>
      <w:r>
        <w:rPr>
          <w:rStyle w:val="FootnoteAnchor"/>
          <w:rtl w:val="true"/>
        </w:rPr>
        <w:footnoteReference w:id="8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يدخل فيه و اللّٰه راض عنه</w:t>
      </w:r>
      <w:r>
        <w:rPr>
          <w:rFonts w:eastAsia="Amiri" w:cs="Amiri" w:ascii="Amiri" w:hAnsi="Amiri"/>
          <w:color w:val="111111"/>
          <w:sz w:val="28"/>
          <w:szCs w:val="28"/>
          <w:rtl w:val="true"/>
          <w:lang w:bidi="ar-SA"/>
        </w:rPr>
        <w:t xml:space="preserve">» </w:t>
      </w:r>
      <w:r>
        <w:rPr>
          <w:rStyle w:val="FootnoteAnchor"/>
          <w:rtl w:val="true"/>
        </w:rPr>
        <w:footnoteReference w:id="869"/>
      </w:r>
      <w:r>
        <w:rPr>
          <w:rFonts w:ascii="Amiri" w:hAnsi="Amiri" w:eastAsia="Amiri" w:cs="Amiri"/>
          <w:color w:val="111111"/>
          <w:sz w:val="28"/>
          <w:sz w:val="28"/>
          <w:szCs w:val="28"/>
          <w:rtl w:val="true"/>
          <w:lang w:bidi="ar-SA"/>
        </w:rPr>
        <w:t>، إلى غير ذلك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خصوصا للصرورة، و في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السؤال عن دخول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الصرورة فيدخله، و أما من حج فلا</w:t>
      </w:r>
      <w:r>
        <w:rPr>
          <w:rFonts w:eastAsia="Amiri" w:cs="Amiri" w:ascii="Amiri" w:hAnsi="Amiri"/>
          <w:color w:val="111111"/>
          <w:sz w:val="28"/>
          <w:szCs w:val="28"/>
          <w:rtl w:val="true"/>
          <w:lang w:bidi="ar-SA"/>
        </w:rPr>
        <w:t xml:space="preserve">» </w:t>
      </w:r>
      <w:r>
        <w:rPr>
          <w:rStyle w:val="FootnoteAnchor"/>
          <w:rtl w:val="true"/>
        </w:rPr>
        <w:footnoteReference w:id="870"/>
      </w:r>
      <w:r>
        <w:rPr>
          <w:rFonts w:ascii="Amiri" w:hAnsi="Amiri" w:eastAsia="Amiri" w:cs="Amiri"/>
          <w:color w:val="111111"/>
          <w:sz w:val="28"/>
          <w:sz w:val="28"/>
          <w:szCs w:val="28"/>
          <w:rtl w:val="true"/>
          <w:lang w:bidi="ar-SA"/>
        </w:rPr>
        <w:t>، و ذيله محمول على نفي تأكد الرجحان، للإطلاقات السابقة</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يستحب الصلاة في زواياها، و بين الأسطوانتين، لنص ابن</w:t>
      </w:r>
    </w:p>
    <w:p>
      <w:pPr>
        <w:pStyle w:val="BookText"/>
        <w:rPr/>
      </w:pPr>
      <w:r>
        <w:rPr>
          <w:rFonts w:ascii="Amiri" w:hAnsi="Amiri" w:eastAsia="Amiri" w:cs="Amiri"/>
          <w:color w:val="111111"/>
          <w:sz w:val="28"/>
          <w:sz w:val="28"/>
          <w:szCs w:val="28"/>
          <w:rtl w:val="true"/>
          <w:lang w:bidi="ar-SA"/>
        </w:rPr>
        <w:t>عمار، و على الرخامة الحمراء،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فصل بين الأسطوانتين على الرخامة الحمراء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تصل في زواياه</w:t>
      </w:r>
      <w:r>
        <w:rPr>
          <w:rFonts w:eastAsia="Amiri" w:cs="Amiri" w:ascii="Amiri" w:hAnsi="Amiri"/>
          <w:color w:val="111111"/>
          <w:sz w:val="28"/>
          <w:szCs w:val="28"/>
          <w:rtl w:val="true"/>
          <w:lang w:bidi="ar-SA"/>
        </w:rPr>
        <w:t xml:space="preserve">» </w:t>
      </w:r>
      <w:r>
        <w:rPr>
          <w:rStyle w:val="FootnoteAnchor"/>
          <w:rtl w:val="true"/>
        </w:rPr>
        <w:footnoteReference w:id="8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هذا الحكم ثابت للنساء أيضا،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تغتسل النساء إذا أتين البيت؟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8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ليس فضله بمقدار الرجال، لما في بعض النصوص من وضعه عنهن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يستحب أيضا دخول مسجد الحصبة و الصلاة فيه و الاستلقاء على قفاه، و في رواية ابن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نفرت و انتهيت إلى الحصبة فشئت أن تنزل قليلا، فإنّ أبا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أبي ينزلها ثم يرتحل فيدخل مكة من غير أن ينام فيها</w:t>
      </w:r>
      <w:r>
        <w:rPr>
          <w:rFonts w:eastAsia="Amiri" w:cs="Amiri" w:ascii="Amiri" w:hAnsi="Amiri"/>
          <w:color w:val="111111"/>
          <w:sz w:val="28"/>
          <w:szCs w:val="28"/>
          <w:rtl w:val="true"/>
          <w:lang w:bidi="ar-SA"/>
        </w:rPr>
        <w:t xml:space="preserve">» </w:t>
      </w:r>
      <w:r>
        <w:rPr>
          <w:rStyle w:val="FootnoteAnchor"/>
          <w:rtl w:val="true"/>
        </w:rPr>
        <w:footnoteReference w:id="873"/>
      </w:r>
      <w:r>
        <w:rPr>
          <w:rFonts w:ascii="Amiri" w:hAnsi="Amiri" w:eastAsia="Amiri" w:cs="Amiri"/>
          <w:color w:val="111111"/>
          <w:sz w:val="28"/>
          <w:sz w:val="28"/>
          <w:szCs w:val="28"/>
          <w:rtl w:val="true"/>
          <w:lang w:bidi="ar-SA"/>
        </w:rPr>
        <w:t xml:space="preserve">و نظيره نص ابن مريم </w:t>
      </w:r>
      <w:r>
        <w:rPr>
          <w:rStyle w:val="FootnoteAnchor"/>
          <w:rtl w:val="true"/>
        </w:rPr>
        <w:footnoteReference w:id="8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ليس فيها ذكر الصلاة و لا الاستلقاء، نعم في الفقه الرضوي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الاستلقاء </w:t>
      </w:r>
      <w:r>
        <w:rPr>
          <w:rStyle w:val="FootnoteAnchor"/>
          <w:rtl w:val="true"/>
        </w:rPr>
        <w:footnoteReference w:id="875"/>
      </w:r>
      <w:r>
        <w:rPr>
          <w:rFonts w:ascii="Amiri" w:hAnsi="Amiri" w:eastAsia="Amiri" w:cs="Amiri"/>
          <w:color w:val="111111"/>
          <w:sz w:val="28"/>
          <w:sz w:val="28"/>
          <w:szCs w:val="28"/>
          <w:rtl w:val="true"/>
          <w:lang w:bidi="ar-SA"/>
        </w:rPr>
        <w:t>، و في 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أنّ النبي صلّى فيه </w:t>
      </w:r>
      <w:r>
        <w:rPr>
          <w:rStyle w:val="FootnoteAnchor"/>
          <w:rtl w:val="true"/>
        </w:rPr>
        <w:footnoteReference w:id="8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الأمر فيه سهل، مع الإتيان بهما رجاء خصوصا الصلاة فيها التي هو نحو احترام له بمناط تشريعها عند الدخول في كل مسجد احتراما له</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كذلك بمسجد الخيف الواقع في منى، و في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أن يصلّي فيه </w:t>
      </w:r>
      <w:r>
        <w:rPr>
          <w:rStyle w:val="FootnoteAnchor"/>
          <w:rtl w:val="true"/>
        </w:rPr>
        <w:footnoteReference w:id="877"/>
      </w:r>
      <w:r>
        <w:rPr>
          <w:rFonts w:ascii="Amiri" w:hAnsi="Amiri" w:eastAsia="Amiri" w:cs="Amiri"/>
          <w:color w:val="111111"/>
          <w:sz w:val="28"/>
          <w:sz w:val="28"/>
          <w:szCs w:val="28"/>
          <w:rtl w:val="true"/>
          <w:lang w:bidi="ar-SA"/>
        </w:rPr>
        <w:t>، و في النص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الصلاة ست ركعات</w:t>
      </w:r>
      <w:r>
        <w:rPr>
          <w:rFonts w:eastAsia="Amiri" w:cs="Amiri" w:ascii="Amiri" w:hAnsi="Amiri"/>
          <w:color w:val="111111"/>
          <w:sz w:val="28"/>
          <w:szCs w:val="28"/>
          <w:rtl w:val="true"/>
          <w:lang w:bidi="ar-SA"/>
        </w:rPr>
        <w:t xml:space="preserve">» </w:t>
      </w:r>
      <w:r>
        <w:rPr>
          <w:rStyle w:val="FootnoteAnchor"/>
          <w:rtl w:val="true"/>
        </w:rPr>
        <w:footnoteReference w:id="878"/>
      </w:r>
      <w:r>
        <w:rPr>
          <w:rFonts w:ascii="Amiri" w:hAnsi="Amiri" w:eastAsia="Amiri" w:cs="Amiri"/>
          <w:color w:val="111111"/>
          <w:sz w:val="28"/>
          <w:sz w:val="28"/>
          <w:szCs w:val="28"/>
          <w:rtl w:val="true"/>
          <w:lang w:bidi="ar-SA"/>
        </w:rPr>
        <w:t>، بلا تعرض لخصوصية</w:t>
      </w:r>
      <w:bookmarkStart w:id="378" w:name="pg19818_204140"/>
    </w:p>
    <w:p>
      <w:pPr>
        <w:pStyle w:val="BookText"/>
        <w:rPr/>
      </w:pPr>
      <w:bookmarkEnd w:id="378"/>
      <w:r>
        <w:rPr>
          <w:rFonts w:ascii="Amiri" w:hAnsi="Amiri" w:eastAsia="Amiri" w:cs="Amiri"/>
          <w:color w:val="111111"/>
          <w:sz w:val="28"/>
          <w:sz w:val="28"/>
          <w:szCs w:val="28"/>
          <w:rtl w:val="true"/>
          <w:lang w:bidi="ar-SA"/>
        </w:rPr>
        <w:t>الاستلقاء، و لا بأس بالإتيان به رجاء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يخرج من المسجد من باب الحناطين، للتأسي بأبي جعفر عليه السلام </w:t>
      </w:r>
      <w:r>
        <w:rPr>
          <w:rStyle w:val="FootnoteAnchor"/>
          <w:rtl w:val="true"/>
        </w:rPr>
        <w:footnoteReference w:id="8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يسجد عند باب المسجد، و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خروجه من المسجد، كما في صحيحتي معاوية و إبراهيم بن أبي محمود </w:t>
      </w:r>
      <w:r>
        <w:rPr>
          <w:rStyle w:val="FootnoteAnchor"/>
          <w:rtl w:val="true"/>
        </w:rPr>
        <w:footnoteReference w:id="880"/>
      </w:r>
      <w:r>
        <w:rPr>
          <w:rFonts w:ascii="Amiri" w:hAnsi="Amiri" w:eastAsia="Amiri" w:cs="Amiri"/>
          <w:color w:val="111111"/>
          <w:sz w:val="28"/>
          <w:sz w:val="28"/>
          <w:szCs w:val="28"/>
          <w:rtl w:val="true"/>
          <w:lang w:bidi="ar-SA"/>
        </w:rPr>
        <w:t>، و ذلك كاف لإثبات رجحانه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يشتري بدرهم تمرا و يتصدق به و ينصرف، لما في صحيح ابن عمار </w:t>
      </w:r>
      <w:r>
        <w:rPr>
          <w:rStyle w:val="FootnoteAnchor"/>
          <w:rtl w:val="true"/>
        </w:rPr>
        <w:footnoteReference w:id="881"/>
      </w:r>
      <w:r>
        <w:rPr>
          <w:rFonts w:ascii="Amiri" w:hAnsi="Amiri" w:eastAsia="Amiri" w:cs="Amiri"/>
          <w:color w:val="111111"/>
          <w:sz w:val="28"/>
          <w:sz w:val="28"/>
          <w:szCs w:val="28"/>
          <w:rtl w:val="true"/>
          <w:lang w:bidi="ar-SA"/>
        </w:rPr>
        <w:t>، و في بعض النصوص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فتكون كفارة لما لعله دخل في حجه</w:t>
      </w:r>
      <w:r>
        <w:rPr>
          <w:rFonts w:eastAsia="Amiri" w:cs="Amiri" w:ascii="Amiri" w:hAnsi="Amiri"/>
          <w:color w:val="111111"/>
          <w:sz w:val="28"/>
          <w:szCs w:val="28"/>
          <w:rtl w:val="true"/>
          <w:lang w:bidi="ar-SA"/>
        </w:rPr>
        <w:t xml:space="preserve">» </w:t>
      </w:r>
      <w:r>
        <w:rPr>
          <w:rStyle w:val="FootnoteAnchor"/>
          <w:rtl w:val="true"/>
        </w:rPr>
        <w:footnoteReference w:id="8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قبضة قبضة في تصدقه</w:t>
      </w:r>
      <w:r>
        <w:rPr>
          <w:rFonts w:eastAsia="Amiri" w:cs="Amiri" w:ascii="Amiri" w:hAnsi="Amiri"/>
          <w:color w:val="111111"/>
          <w:sz w:val="28"/>
          <w:szCs w:val="28"/>
          <w:rtl w:val="true"/>
          <w:lang w:bidi="ar-SA"/>
        </w:rPr>
        <w:t xml:space="preserve">» </w:t>
      </w:r>
      <w:r>
        <w:rPr>
          <w:rStyle w:val="FootnoteAnchor"/>
          <w:rtl w:val="true"/>
        </w:rPr>
        <w:footnoteReference w:id="88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79" w:name="__RefHeading___Toc3320960_2314609296"/>
      <w:bookmarkStart w:id="380" w:name="_Toc138"/>
      <w:bookmarkEnd w:id="379"/>
      <w:r>
        <w:rPr>
          <w:rtl w:val="true"/>
        </w:rPr>
        <w:t>و يكره أن يجاور بمكة</w:t>
      </w:r>
      <w:bookmarkEnd w:id="380"/>
    </w:p>
    <w:p>
      <w:pPr>
        <w:pStyle w:val="BookText"/>
        <w:rPr/>
      </w:pPr>
      <w:r>
        <w:rPr>
          <w:rFonts w:ascii="Amiri" w:hAnsi="Amiri" w:eastAsia="Amiri" w:cs="Amiri"/>
          <w:color w:val="111111"/>
          <w:sz w:val="28"/>
          <w:sz w:val="28"/>
          <w:szCs w:val="28"/>
          <w:rtl w:val="true"/>
          <w:lang w:bidi="ar-SA"/>
        </w:rPr>
        <w:t>، و في النص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ينبغي للرجل أن يقيم بمكة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يصنع؟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يتحول عنها</w:t>
      </w:r>
      <w:r>
        <w:rPr>
          <w:rFonts w:eastAsia="Amiri" w:cs="Amiri" w:ascii="Amiri" w:hAnsi="Amiri"/>
          <w:color w:val="111111"/>
          <w:sz w:val="28"/>
          <w:szCs w:val="28"/>
          <w:rtl w:val="true"/>
          <w:lang w:bidi="ar-SA"/>
        </w:rPr>
        <w:t xml:space="preserve">» </w:t>
      </w:r>
      <w:r>
        <w:rPr>
          <w:rStyle w:val="FootnoteAnchor"/>
          <w:rtl w:val="true"/>
        </w:rPr>
        <w:footnoteReference w:id="8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بعض النصوص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المقام بمكة يقسي القلوب</w:t>
      </w:r>
      <w:r>
        <w:rPr>
          <w:rFonts w:eastAsia="Amiri" w:cs="Amiri" w:ascii="Amiri" w:hAnsi="Amiri"/>
          <w:color w:val="111111"/>
          <w:sz w:val="28"/>
          <w:szCs w:val="28"/>
          <w:rtl w:val="true"/>
          <w:lang w:bidi="ar-SA"/>
        </w:rPr>
        <w:t xml:space="preserve">» </w:t>
      </w:r>
      <w:r>
        <w:rPr>
          <w:rStyle w:val="FootnoteAnchor"/>
          <w:rtl w:val="true"/>
        </w:rPr>
        <w:footnoteReference w:id="8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التعليل بأنّ رسول اللّٰه صلّى اللّٰه عليه و آله خرج منها </w:t>
      </w:r>
      <w:r>
        <w:rPr>
          <w:rStyle w:val="FootnoteAnchor"/>
          <w:rtl w:val="true"/>
        </w:rPr>
        <w:footnoteReference w:id="886"/>
      </w: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قبالها جملة من النصوص الأخرى، المشتملة بعضها على أنّ المقام بمكة</w:t>
      </w:r>
      <w:bookmarkStart w:id="381" w:name="pg19818_204141"/>
    </w:p>
    <w:p>
      <w:pPr>
        <w:pStyle w:val="BookText"/>
        <w:rPr/>
      </w:pPr>
      <w:bookmarkEnd w:id="381"/>
      <w:r>
        <w:rPr>
          <w:rFonts w:ascii="IRNazanin" w:hAnsi="IRNazanin" w:eastAsia="IRNazanin"/>
          <w:color w:val="111111"/>
          <w:sz w:val="28"/>
          <w:sz w:val="28"/>
          <w:szCs w:val="28"/>
          <w:rtl w:val="true"/>
          <w:lang w:bidi="fa-IR"/>
        </w:rPr>
        <w:t xml:space="preserve">أفضل من الخروج </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قراءة القرآن فيها كذا و الصلاة فيها كذا</w:t>
      </w:r>
      <w:r>
        <w:rPr>
          <w:rFonts w:eastAsia="Amiri" w:cs="Amiri" w:ascii="Amiri" w:hAnsi="Amiri"/>
          <w:color w:val="111111"/>
          <w:sz w:val="28"/>
          <w:szCs w:val="28"/>
          <w:rtl w:val="true"/>
          <w:lang w:bidi="ar-SA"/>
        </w:rPr>
        <w:t xml:space="preserve">» </w:t>
      </w:r>
      <w:r>
        <w:rPr>
          <w:rStyle w:val="FootnoteAnchor"/>
          <w:rtl w:val="true"/>
        </w:rPr>
        <w:footnoteReference w:id="8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يمكن الجمع بينهما بأنّ نفس المجاورة و المقام بنفسه مكروه، لكن مقدمة لهذه الأعمال مستحب و أفضل، و لا ينافي ذلك خروج رسول اللّٰه صلّى اللّٰه عليه و آله، لاحتمال شغل أهم في خارجها</w:t>
      </w:r>
      <w:r>
        <w:rPr>
          <w:rFonts w:eastAsia="Amiri" w:cs="Amiri" w:ascii="Amiri" w:hAnsi="Amiri"/>
          <w:color w:val="111111"/>
          <w:sz w:val="28"/>
          <w:szCs w:val="28"/>
          <w:rtl w:val="true"/>
          <w:lang w:bidi="ar-SA"/>
        </w:rPr>
        <w:t>.</w:t>
      </w:r>
    </w:p>
    <w:p>
      <w:pPr>
        <w:pStyle w:val="Heading5"/>
        <w:numPr>
          <w:ilvl w:val="4"/>
          <w:numId w:val="1"/>
        </w:numPr>
        <w:rPr/>
      </w:pPr>
      <w:bookmarkStart w:id="382" w:name="__RefHeading___Toc3320962_2314609296"/>
      <w:bookmarkStart w:id="383" w:name="_Toc139"/>
      <w:bookmarkEnd w:id="382"/>
      <w:r>
        <w:rPr>
          <w:rtl w:val="true"/>
        </w:rPr>
        <w:t>و تستحب المجاورة بالمدينة</w:t>
      </w:r>
      <w:bookmarkEnd w:id="383"/>
    </w:p>
    <w:p>
      <w:pPr>
        <w:pStyle w:val="BookText"/>
        <w:rPr/>
      </w:pPr>
      <w:r>
        <w:rPr>
          <w:rFonts w:ascii="Amiri" w:hAnsi="Amiri" w:eastAsia="Amiri" w:cs="Amiri"/>
          <w:color w:val="111111"/>
          <w:sz w:val="28"/>
          <w:sz w:val="28"/>
          <w:szCs w:val="28"/>
          <w:rtl w:val="true"/>
          <w:lang w:bidi="ar-SA"/>
        </w:rPr>
        <w:t xml:space="preserve">، بل حكي عن الدروس الإجماع عليه </w:t>
      </w:r>
      <w:r>
        <w:rPr>
          <w:rStyle w:val="FootnoteAnchor"/>
          <w:rtl w:val="true"/>
        </w:rPr>
        <w:footnoteReference w:id="889"/>
      </w:r>
      <w:r>
        <w:rPr>
          <w:rFonts w:ascii="Amiri" w:hAnsi="Amiri" w:eastAsia="Amiri" w:cs="Amiri"/>
          <w:color w:val="111111"/>
          <w:sz w:val="28"/>
          <w:sz w:val="28"/>
          <w:szCs w:val="28"/>
          <w:rtl w:val="true"/>
          <w:lang w:bidi="ar-SA"/>
        </w:rPr>
        <w:t>، و في النص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المدينة خير لهم لو كانوا يعلمون</w:t>
      </w:r>
      <w:r>
        <w:rPr>
          <w:rFonts w:eastAsia="Amiri" w:cs="Amiri" w:ascii="Amiri" w:hAnsi="Amiri"/>
          <w:color w:val="111111"/>
          <w:sz w:val="28"/>
          <w:szCs w:val="28"/>
          <w:rtl w:val="true"/>
          <w:lang w:bidi="ar-SA"/>
        </w:rPr>
        <w:t xml:space="preserve">» </w:t>
      </w:r>
      <w:r>
        <w:rPr>
          <w:rStyle w:val="FootnoteAnchor"/>
          <w:rtl w:val="true"/>
        </w:rPr>
        <w:footnoteReference w:id="8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يصبر على لأواء المدينة و شدتها أحد من أمتي إلّا كنت له شفيعا يوم القيامة أو شهيدا</w:t>
      </w:r>
      <w:r>
        <w:rPr>
          <w:rFonts w:eastAsia="Amiri" w:cs="Amiri" w:ascii="Amiri" w:hAnsi="Amiri"/>
          <w:color w:val="111111"/>
          <w:sz w:val="28"/>
          <w:szCs w:val="28"/>
          <w:rtl w:val="true"/>
          <w:lang w:bidi="ar-SA"/>
        </w:rPr>
        <w:t xml:space="preserve">» </w:t>
      </w:r>
      <w:r>
        <w:rPr>
          <w:rStyle w:val="FootnoteAnchor"/>
          <w:rtl w:val="true"/>
        </w:rPr>
        <w:footnoteReference w:id="8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الحائض تودّع من باب المسجد من خارجه، لما في النص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أرادت الحائض أن تودّع البيت فلتقف على أدنى باب من أبواب المسجد فلتودع</w:t>
      </w:r>
      <w:r>
        <w:rPr>
          <w:rFonts w:eastAsia="Amiri" w:cs="Amiri" w:ascii="Amiri" w:hAnsi="Amiri"/>
          <w:color w:val="111111"/>
          <w:sz w:val="28"/>
          <w:szCs w:val="28"/>
          <w:rtl w:val="true"/>
          <w:lang w:bidi="ar-SA"/>
        </w:rPr>
        <w:t xml:space="preserve">» </w:t>
      </w:r>
      <w:r>
        <w:rPr>
          <w:rStyle w:val="FootnoteAnchor"/>
          <w:rtl w:val="true"/>
        </w:rPr>
        <w:footnoteReference w:id="892"/>
      </w:r>
      <w:r>
        <w:rPr>
          <w:rFonts w:ascii="Amiri" w:hAnsi="Amiri" w:eastAsia="Amiri" w:cs="Amiri"/>
          <w:color w:val="111111"/>
          <w:sz w:val="28"/>
          <w:sz w:val="28"/>
          <w:szCs w:val="28"/>
          <w:rtl w:val="true"/>
          <w:lang w:bidi="ar-SA"/>
        </w:rPr>
        <w:t>، و لأنّ ذلك هو الميسور منها، فلا يسقط بالمعسور</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يستحب أن يأتي الحاج المدينة لزيارة النبي صلّى اللّٰه عليه و آله استحبابا مؤّكدا، و زيارة فاطمة عليها السلام من الروضة، و زيارة</w:t>
      </w:r>
    </w:p>
    <w:p>
      <w:pPr>
        <w:pStyle w:val="BookText"/>
        <w:rPr/>
      </w:pPr>
      <w:r>
        <w:rPr>
          <w:rFonts w:ascii="Amiri" w:hAnsi="Amiri" w:eastAsia="Amiri" w:cs="Amiri"/>
          <w:color w:val="111111"/>
          <w:sz w:val="28"/>
          <w:sz w:val="28"/>
          <w:szCs w:val="28"/>
          <w:rtl w:val="true"/>
          <w:lang w:bidi="ar-SA"/>
        </w:rPr>
        <w:t>الأئمة عليهم السلام بالبقيع، و زيارة الشهداء خصوصا قبر حمزة بأحد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النص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زارني بعد موتي كمن هاجر إليّ في حياتي</w:t>
      </w:r>
      <w:r>
        <w:rPr>
          <w:rFonts w:eastAsia="Amiri" w:cs="Amiri" w:ascii="Amiri" w:hAnsi="Amiri"/>
          <w:color w:val="111111"/>
          <w:sz w:val="28"/>
          <w:szCs w:val="28"/>
          <w:rtl w:val="true"/>
          <w:lang w:bidi="ar-SA"/>
        </w:rPr>
        <w:t xml:space="preserve">» </w:t>
      </w:r>
      <w:r>
        <w:rPr>
          <w:rStyle w:val="FootnoteAnchor"/>
          <w:rtl w:val="true"/>
        </w:rPr>
        <w:footnoteReference w:id="8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بعض النصوص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تركه جفاء</w:t>
      </w:r>
      <w:r>
        <w:rPr>
          <w:rFonts w:eastAsia="Amiri" w:cs="Amiri" w:ascii="Amiri" w:hAnsi="Amiri"/>
          <w:color w:val="111111"/>
          <w:sz w:val="28"/>
          <w:szCs w:val="28"/>
          <w:rtl w:val="true"/>
          <w:lang w:bidi="ar-SA"/>
        </w:rPr>
        <w:t xml:space="preserve">» </w:t>
      </w:r>
      <w:r>
        <w:rPr>
          <w:rStyle w:val="FootnoteAnchor"/>
          <w:rtl w:val="true"/>
        </w:rPr>
        <w:footnoteReference w:id="894"/>
      </w:r>
      <w:r>
        <w:rPr>
          <w:rFonts w:ascii="Amiri" w:hAnsi="Amiri" w:eastAsia="Amiri" w:cs="Amiri"/>
          <w:color w:val="111111"/>
          <w:sz w:val="28"/>
          <w:sz w:val="28"/>
          <w:szCs w:val="28"/>
          <w:rtl w:val="true"/>
          <w:lang w:bidi="ar-SA"/>
        </w:rPr>
        <w:t>، إلى غير ذلك من النصوص البالغة حد التواتر معنويا أو إجماليا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ورد في زيارة فاطمة عليها السلام بعد إثبات وجوب الجنة بالسلام عليها و على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في حياتك و حياته؟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و بعد موتنا</w:t>
      </w:r>
      <w:r>
        <w:rPr>
          <w:rFonts w:eastAsia="Amiri" w:cs="Amiri" w:ascii="Amiri" w:hAnsi="Amiri"/>
          <w:color w:val="111111"/>
          <w:sz w:val="28"/>
          <w:szCs w:val="28"/>
          <w:rtl w:val="true"/>
          <w:lang w:bidi="ar-SA"/>
        </w:rPr>
        <w:t xml:space="preserve">» </w:t>
      </w:r>
      <w:r>
        <w:rPr>
          <w:rStyle w:val="FootnoteAnchor"/>
          <w:rtl w:val="true"/>
        </w:rPr>
        <w:footnoteReference w:id="895"/>
      </w:r>
      <w:r>
        <w:rPr>
          <w:rFonts w:ascii="Amiri" w:hAnsi="Amiri" w:eastAsia="Amiri" w:cs="Amiri"/>
          <w:color w:val="111111"/>
          <w:sz w:val="28"/>
          <w:sz w:val="28"/>
          <w:szCs w:val="28"/>
          <w:rtl w:val="true"/>
          <w:lang w:bidi="ar-SA"/>
        </w:rPr>
        <w:t>، بل هو من ضروريات المذهب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لأئمة البقيع،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لمن زار واحدا منكم؟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كمن زار رسول اللّٰه 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8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نص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تمام الوفاء بالعهد زيارة قبورهم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ذيله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 شفعاء لهم</w:t>
      </w:r>
      <w:r>
        <w:rPr>
          <w:rFonts w:eastAsia="Amiri" w:cs="Amiri" w:ascii="Amiri" w:hAnsi="Amiri"/>
          <w:color w:val="111111"/>
          <w:sz w:val="28"/>
          <w:szCs w:val="28"/>
          <w:rtl w:val="true"/>
          <w:lang w:bidi="ar-SA"/>
        </w:rPr>
        <w:t xml:space="preserve">» </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مضافا إلى النصوص الخاصة الواردة في زيارة الامام المجتبى عليه السلام، و علي ابن الحسين، و محمد بن علي، و جعفر بن محمد، و هم أئمة البقيع، فراجع الجواهر </w:t>
      </w:r>
      <w:r>
        <w:rPr>
          <w:rStyle w:val="FootnoteAnchor"/>
          <w:rtl w:val="true"/>
        </w:rPr>
        <w:footnoteReference w:id="898"/>
      </w: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يستحب الاعتكاف ثلاثة أيام بها، أي بالمدينة في مسجدها و إن كان مسافرا، و فضل الاعتكاف فيه غنى عن البيان، خصوصا مع قيام النصوص على فضيلة الصوم ثلاثة أيام بالمدينة، فيتأكد رجحانه إذا صامها في الاعتكاف بها</w:t>
      </w:r>
      <w:r>
        <w:rPr>
          <w:rFonts w:eastAsia="Amiri" w:cs="Amiri" w:ascii="Amiri" w:hAnsi="Amiri"/>
          <w:color w:val="111111"/>
          <w:sz w:val="28"/>
          <w:szCs w:val="28"/>
          <w:rtl w:val="true"/>
          <w:lang w:bidi="ar-SA"/>
        </w:rPr>
        <w:t>.</w:t>
      </w:r>
      <w:bookmarkStart w:id="384" w:name="pg19818_204143"/>
    </w:p>
    <w:p>
      <w:pPr>
        <w:pStyle w:val="Heading3"/>
        <w:numPr>
          <w:ilvl w:val="2"/>
          <w:numId w:val="1"/>
        </w:numPr>
        <w:rPr/>
      </w:pPr>
      <w:bookmarkStart w:id="385" w:name="__RefHeading___Toc3320964_2314609296"/>
      <w:bookmarkStart w:id="386" w:name="_Toc140"/>
      <w:bookmarkEnd w:id="384"/>
      <w:bookmarkEnd w:id="385"/>
      <w:r>
        <w:rPr>
          <w:rtl w:val="true"/>
        </w:rPr>
        <w:t>الباب التاسع في العمرة</w:t>
      </w:r>
      <w:bookmarkEnd w:id="386"/>
    </w:p>
    <w:p>
      <w:pPr>
        <w:pStyle w:val="Heading4"/>
        <w:numPr>
          <w:ilvl w:val="3"/>
          <w:numId w:val="1"/>
        </w:numPr>
        <w:rPr/>
      </w:pPr>
      <w:bookmarkStart w:id="387" w:name="__RefHeading___Toc3320966_2314609296"/>
      <w:bookmarkStart w:id="388" w:name="_Toc141"/>
      <w:bookmarkEnd w:id="387"/>
      <w:r>
        <w:rPr>
          <w:rtl w:val="true"/>
        </w:rPr>
        <w:t>اشارة</w:t>
      </w:r>
      <w:bookmarkEnd w:id="388"/>
    </w:p>
    <w:p>
      <w:pPr>
        <w:pStyle w:val="BookText"/>
        <w:rPr/>
      </w:pPr>
      <w:r>
        <w:rPr>
          <w:rFonts w:ascii="Amiri" w:hAnsi="Amiri" w:eastAsia="Amiri" w:cs="Amiri"/>
          <w:color w:val="111111"/>
          <w:sz w:val="28"/>
          <w:sz w:val="28"/>
          <w:szCs w:val="28"/>
          <w:rtl w:val="true"/>
          <w:lang w:bidi="ar-SA"/>
        </w:rPr>
        <w:t>و هي فريضة مثل الحج بشرائطه و أسبابه، بلا اشكال فيه في الجملة فتوى و نصا، و في النص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العمرة واجبة على الخلق بمنزلة الحج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مستدلا بقول اللّٰه عز و جل وَ أَتِمُّوا الْحَجَّ وَ الْعُمْرَةَ </w:t>
      </w:r>
      <w:r>
        <w:rPr>
          <w:rStyle w:val="FootnoteAnchor"/>
          <w:rtl w:val="true"/>
        </w:rPr>
        <w:footnoteReference w:id="8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العمرة واجبة على الخلق بمنزلة الحج على من استطاع</w:t>
      </w:r>
      <w:r>
        <w:rPr>
          <w:rFonts w:eastAsia="Amiri" w:cs="Amiri" w:ascii="Amiri" w:hAnsi="Amiri"/>
          <w:color w:val="111111"/>
          <w:sz w:val="28"/>
          <w:szCs w:val="28"/>
          <w:rtl w:val="true"/>
          <w:lang w:bidi="ar-SA"/>
        </w:rPr>
        <w:t xml:space="preserve">» </w:t>
      </w:r>
      <w:r>
        <w:rPr>
          <w:rStyle w:val="FootnoteAnchor"/>
          <w:rtl w:val="true"/>
        </w:rPr>
        <w:footnoteReference w:id="9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انكم أمرتم بالحج و العمرة فلا تبالوا بأيهما بدأتم</w:t>
      </w:r>
      <w:r>
        <w:rPr>
          <w:rFonts w:eastAsia="Amiri" w:cs="Amiri" w:ascii="Amiri" w:hAnsi="Amiri"/>
          <w:color w:val="111111"/>
          <w:sz w:val="28"/>
          <w:szCs w:val="28"/>
          <w:rtl w:val="true"/>
          <w:lang w:bidi="ar-SA"/>
        </w:rPr>
        <w:t xml:space="preserve">» </w:t>
      </w:r>
      <w:r>
        <w:rPr>
          <w:rStyle w:val="FootnoteAnchor"/>
          <w:rtl w:val="true"/>
        </w:rPr>
        <w:footnoteReference w:id="9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ظاهرها خصوصا الأخير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العمرة مثل الحج واجبا مستقلا على المستطيع و إن لم يستطع على الحج، كما أنّ في طرف الحج أيضا كذلك، و انّ وجوبهما ثابت على من استطاع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انّ إطلاقها أيضا لا يفرق بين النائي و غيره، و مجرد اختلاف فرضهما في حج التمتع و الافراد، لا ينافي اشتراكهما في وجوب العمرة</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حينئذ فربما يلزم من ذلك وجوب المبادرة من المستطيع النائي قبل أشهر الحج للعمرة، بناء على المشهور القائلين بالفورية، بل لو مات قبل مجي‌ء أشهر</w:t>
      </w:r>
    </w:p>
    <w:p>
      <w:pPr>
        <w:pStyle w:val="BookText"/>
        <w:rPr/>
      </w:pPr>
      <w:r>
        <w:rPr>
          <w:rFonts w:ascii="Amiri" w:hAnsi="Amiri" w:eastAsia="Amiri" w:cs="Amiri"/>
          <w:color w:val="111111"/>
          <w:sz w:val="28"/>
          <w:sz w:val="28"/>
          <w:szCs w:val="28"/>
          <w:rtl w:val="true"/>
          <w:lang w:bidi="ar-SA"/>
        </w:rPr>
        <w:t>الحج وجب استئجار نائب عنه في العمرة، بل ربما تجب على النائب في الحج النائي تعجيل السفر لتحصيل العمرة لنفسه قبل الحج للمنوب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الالتزام بمثل هذه الأمور مشكل جدا، و لذا التجأ في الجواهر إلى دعوى السيرة على عدم وجوب العمرة المفردة، على النائي </w:t>
      </w:r>
      <w:r>
        <w:rPr>
          <w:rStyle w:val="FootnoteAnchor"/>
          <w:rtl w:val="true"/>
        </w:rPr>
        <w:footnoteReference w:id="902"/>
      </w:r>
      <w:r>
        <w:rPr>
          <w:rFonts w:ascii="IRNazanin" w:hAnsi="IRNazanin" w:eastAsia="IRNazanin"/>
          <w:color w:val="111111"/>
          <w:sz w:val="28"/>
          <w:sz w:val="28"/>
          <w:szCs w:val="28"/>
          <w:rtl w:val="true"/>
          <w:lang w:bidi="fa-IR"/>
        </w:rPr>
        <w:t>، و إنما تجب خصوص المتمتع بها، على خلاف مقتضى الإطلاقات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في كل مورد وجبت العمرة المفردة لا إشكال في سقوطها بالمتمتع بها، لصحيح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يخفى انّ لسانه لا يقتضي إلّا كون المتمتع بها بعد وجودها مسقطة، و أما اقتضاؤه جواز تركها في وقتها و انتظار زمان المتمتع من أشهر الحج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فلو بنينا على عدم فورية العمرة مثل الحج، فلا شبهة في جواز التأخير إلى أن يأتي بالمسقط، و أما لو بنينا على ملازمة وجوبها للفورية، فمن الأدلة المزبورة لا يستفاد جواز التأخير، بل غاية ما ثبت انه لو أثم و أخّر إلى أن أتى بالعمرة المتمتع بها، يسقط وجوب المفردة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فلا معنى لما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 من مجموع النصوص يستفاد انّ الفريضة المجعولة بالأصالة في حق كل أحد هي العمرة المفردة، غاية الأمر مستقر هذا الوجوب في حق حاضري مسجد الحرام دون غيرهم، بل رخّص في حقهم تبديلها إلى العمرة المتمتع بها و إسقاطها بها</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ذلك لأنّ ما أفيد إنما يتم على فرض الالتزام بعدم فورية العمرة على فرض وجوبها، و إلّا فلا معنى لهذا الترخيص لو وجبت قبل أشهر الحج، لأنّ لازم الفورية لزوم الاقدام، مع انّ ذلك المقدار أيضا لا يقتضي سقوط العمرة من النائب باستطاعته في سنة نيابته قبل أشهر الحج، مع انه أيضا من الأمور</w:t>
      </w:r>
      <w:bookmarkStart w:id="389" w:name="pg19818_204145"/>
    </w:p>
    <w:p>
      <w:pPr>
        <w:pStyle w:val="BookText"/>
        <w:rPr/>
      </w:pPr>
      <w:bookmarkEnd w:id="389"/>
      <w:r>
        <w:rPr>
          <w:rFonts w:ascii="Amiri" w:hAnsi="Amiri" w:eastAsia="Amiri" w:cs="Amiri"/>
          <w:color w:val="111111"/>
          <w:sz w:val="28"/>
          <w:sz w:val="28"/>
          <w:szCs w:val="28"/>
          <w:rtl w:val="true"/>
          <w:lang w:bidi="ar-SA"/>
        </w:rPr>
        <w:t>التي لا يمكن الالتزام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فلا يتم مثل هذه الجهات إلّا بدعوى السيرة على عدم الوجوب، بمعنى عدم وجدان غير المتمتع بها للمصلحة الملزمة في حق النائي، لا بمعنى عدم استقرار وجوبها، مع قيام الرخصة على بدلها من المتمتع بها في حقه، غير المنافي لكونها واجدة للمصلحة الملزمة الموجبة لها تعيينا مع عدم التمكن من البدل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يترتب على ما ذكرنا عدم وجوب قبول النائي بذل العمرة فقط، على وجه لا يسقط عن الحج، بخلافه على مسلك الجواهر، حيث يلوح من كلامه قيام السيرة على عدم استقرار وجوبها، بل و نسب ذلك إلى كلمات الأصحاب، و الحال انه لا أظن التزامهم بفرع النائب و البذل الذي أشرنا إليه، فتدبّر</w:t>
      </w:r>
      <w:r>
        <w:rPr>
          <w:rFonts w:eastAsia="Amiri" w:cs="Amiri" w:ascii="Amiri" w:hAnsi="Amiri"/>
          <w:color w:val="111111"/>
          <w:sz w:val="28"/>
          <w:szCs w:val="28"/>
          <w:rtl w:val="true"/>
          <w:lang w:bidi="ar-SA"/>
        </w:rPr>
        <w:t>.</w:t>
      </w:r>
    </w:p>
    <w:p>
      <w:pPr>
        <w:pStyle w:val="Heading4"/>
        <w:numPr>
          <w:ilvl w:val="3"/>
          <w:numId w:val="1"/>
        </w:numPr>
        <w:rPr/>
      </w:pPr>
      <w:bookmarkStart w:id="390" w:name="__RefHeading___Toc3320968_2314609296"/>
      <w:bookmarkStart w:id="391" w:name="_Toc142"/>
      <w:bookmarkEnd w:id="390"/>
      <w:r>
        <w:rPr>
          <w:rtl w:val="true"/>
        </w:rPr>
        <w:t>و أفعالها</w:t>
      </w:r>
      <w:r>
        <w:rPr>
          <w:rtl w:val="true"/>
        </w:rPr>
        <w:t xml:space="preserve">: </w:t>
      </w:r>
      <w:r>
        <w:rPr>
          <w:rtl w:val="true"/>
        </w:rPr>
        <w:t>النية</w:t>
      </w:r>
      <w:bookmarkEnd w:id="391"/>
    </w:p>
    <w:p>
      <w:pPr>
        <w:pStyle w:val="BookText"/>
        <w:rPr/>
      </w:pPr>
      <w:r>
        <w:rPr>
          <w:rFonts w:ascii="Amiri" w:hAnsi="Amiri" w:eastAsia="Amiri" w:cs="Amiri"/>
          <w:color w:val="111111"/>
          <w:sz w:val="28"/>
          <w:sz w:val="28"/>
          <w:szCs w:val="28"/>
          <w:rtl w:val="true"/>
          <w:lang w:bidi="ar-SA"/>
        </w:rPr>
        <w:t>حسب ما تقدّم في نية الحج، بجميع خصوصياتها، الجارية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الأفعال الإحرام بجميع الخصوصيات السابقة، و كذلك تقدّم شرح الطواف الذي هو أيضا من أفعالها و ركعتاه، و هكذا السعي المعتبر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انه تقدّم أيضا انه يعتبر في الحج و العمرة المفردة طواف النساء و ركعتاه، و التقصير أو الحلق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في العمرة المتمتع بها طواف النساء و لا الحلق</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تجوز العمرة المفردة في جميع أيام السنة، و أفضلها رجب، لما في صحيح ابن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المعتبر يعتمر في أي شهور السنة شاء، و أفضل العمرة رجب</w:t>
      </w:r>
      <w:r>
        <w:rPr>
          <w:rFonts w:eastAsia="Amiri" w:cs="Amiri" w:ascii="Amiri" w:hAnsi="Amiri"/>
          <w:color w:val="111111"/>
          <w:sz w:val="28"/>
          <w:szCs w:val="28"/>
          <w:rtl w:val="true"/>
          <w:lang w:bidi="ar-SA"/>
        </w:rPr>
        <w:t xml:space="preserve">» </w:t>
      </w:r>
      <w:r>
        <w:rPr>
          <w:rStyle w:val="FootnoteAnchor"/>
          <w:rtl w:val="true"/>
        </w:rPr>
        <w:footnoteReference w:id="9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بعض النصوص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أفضلها عمرة رمضان</w:t>
      </w:r>
      <w:r>
        <w:rPr>
          <w:rFonts w:eastAsia="Amiri" w:cs="Amiri" w:ascii="Amiri" w:hAnsi="Amiri"/>
          <w:color w:val="111111"/>
          <w:sz w:val="28"/>
          <w:szCs w:val="28"/>
          <w:rtl w:val="true"/>
          <w:lang w:bidi="ar-SA"/>
        </w:rPr>
        <w:t xml:space="preserve">» </w:t>
      </w:r>
      <w:r>
        <w:rPr>
          <w:rStyle w:val="FootnoteAnchor"/>
          <w:rtl w:val="true"/>
        </w:rPr>
        <w:footnoteReference w:id="9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احتمال دخل خصوصية لذلك مشترك في المقامين، كما انّ احتمال أفضليتها عن الصوم مناف للسؤال عن أفضل الأفراد من بين العمرات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محيص عن الجمع بينهما برفع اليد عن إطلاق كل بالنسبة إلى طرفه، فيستفاد التخيير بينهما، و كونهما أفضل من العمرة في سائر الشهور، و لكن ذلك لو لا طرح الأخير بمخالفة المشهور، الموهن له في المستحبات جزما،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القارن و المفرد في الحج، يأتي بها بعد الحج و لكن قد عرفت في الرواية السابقة التصريح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تبالوا بأيهما بدأتم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لقد تقدّم سابقا أيضا الإشكال في لزوم التأخير،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تقدّم أيضا انّ العمرة المتمتع بها تجزئ عنها، بل عرفت عدم وجوب العمرة المفردة على النائي، و بذلك دفعنا شبهة الوجوب على النائب المستطيع منها في غير أشهر الحج، أو فيها بما لا يزاحم عمله النيابي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اعتمر في أشهر الحج جاز أن ينقلها إلى التمتع في فرض مشروعيته له بلا اشكال،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ما يقتضي خلافه بعد فرض عدم اختلاف في حقيقة العمرتين قصديا و لا قصور في التقرب بشخص أمره المتوجه إليه، غاية الأمر كان ذلك من باب قصد الامتثال بفعل ثم بدا له ضم فعل آخر اليه</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قلنا بدخول العمرة المتمتع بها في حقيقة الحج على وجه، بحيث لا بد أن يقصد فيها امتثال أمر حجه، كان العدول المزبور على خلاف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أنى لهم بإثباته، بل دخول العمرة في الحج بمعنى ارتباط عمل</w:t>
      </w:r>
    </w:p>
    <w:p>
      <w:pPr>
        <w:pStyle w:val="BookText"/>
        <w:rPr/>
      </w:pPr>
      <w:r>
        <w:rPr>
          <w:rFonts w:ascii="Amiri" w:hAnsi="Amiri" w:eastAsia="Amiri" w:cs="Amiri"/>
          <w:color w:val="111111"/>
          <w:sz w:val="28"/>
          <w:sz w:val="28"/>
          <w:szCs w:val="28"/>
          <w:rtl w:val="true"/>
          <w:lang w:bidi="ar-SA"/>
        </w:rPr>
        <w:t>مستقل في وجوده بعمل آخر، كارتباط الأصابع بالتشبيك على ما مثّله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غير معنى دخول الركعات في الصلاة، بحيث لا يجدي فيها غير قصد الأمر بالكل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انّ اشتمال المفردة على طواف النساء غير مضر في صيرورتها عمرة تمتع، لو كان عدوله إليها قبله، فإنه حينئذ يقتصر بالتقصير بلا طواف النساء، بل لو بدا له بعده أيضا كشف ذلك عن لغويته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تحلّل بالحلق لا بد من حين عدوله أن يقصّر، لكشف قصده عن كون إحرامه إحرام العمرة المتمتع بها، الذي لا يتحلل منه إلّا بالتقصير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كذلك لو لا كونه خلاف مقتضى إطلاقاتهم في العدول عما أتى به إلى التمتع، بلا احتياج إلى شي‌ء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فمثل هذا المعنى حينئذ يحتاج الى دليل خاص على خلاف القاعدة، بل لو قلنا باختلاف مراتب الإحرام، حيث اختلاف محللاته الناشئة عن قصد كون إحرامه للمتمتع بها أو للعمرة المفردة، فلا شبهة في أنّ العدول المزبور موجب لقلب ما وقع من الإحرام عن القصد المخصوص، من مرتبة إلى مرتبة اخرى، و هو خلاف قاعدة أخرى، فلا محيص لإثبات المشروعية للعدول المزبور من نص مخصوص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تكفي النصوص المستفيضة المشتملة بعضها على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إتيان عمرته مفردة بتمامها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أقام إلى الحج كانت عمرته متعة و ليس له متعة إلّا في أشهر الحج</w:t>
      </w:r>
      <w:r>
        <w:rPr>
          <w:rFonts w:eastAsia="Amiri" w:cs="Amiri" w:ascii="Amiri" w:hAnsi="Amiri"/>
          <w:color w:val="111111"/>
          <w:sz w:val="28"/>
          <w:szCs w:val="28"/>
          <w:rtl w:val="true"/>
          <w:lang w:bidi="ar-SA"/>
        </w:rPr>
        <w:t xml:space="preserve">» </w:t>
      </w:r>
      <w:r>
        <w:rPr>
          <w:rStyle w:val="FootnoteAnchor"/>
          <w:rtl w:val="true"/>
        </w:rPr>
        <w:footnoteReference w:id="905"/>
      </w: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اعتمر عمرة مفردة فله أن يخرج إلى أهله متى شاء، إلّا أن يدركه خروج الناس يوم التروية</w:t>
      </w:r>
      <w:r>
        <w:rPr>
          <w:rFonts w:eastAsia="Amiri" w:cs="Amiri" w:ascii="Amiri" w:hAnsi="Amiri"/>
          <w:color w:val="111111"/>
          <w:sz w:val="28"/>
          <w:szCs w:val="28"/>
          <w:rtl w:val="true"/>
          <w:lang w:bidi="ar-SA"/>
        </w:rPr>
        <w:t xml:space="preserve">» </w:t>
      </w:r>
      <w:r>
        <w:rPr>
          <w:rStyle w:val="FootnoteAnchor"/>
          <w:rtl w:val="true"/>
        </w:rPr>
        <w:footnoteReference w:id="9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ظاهره و إن كان إيجاب خروجه</w:t>
      </w:r>
    </w:p>
    <w:p>
      <w:pPr>
        <w:pStyle w:val="BookText"/>
        <w:rPr/>
      </w:pPr>
      <w:r>
        <w:rPr>
          <w:rFonts w:ascii="Amiri" w:hAnsi="Amiri" w:eastAsia="Amiri" w:cs="Amiri"/>
          <w:color w:val="111111"/>
          <w:sz w:val="28"/>
          <w:sz w:val="28"/>
          <w:szCs w:val="28"/>
          <w:rtl w:val="true"/>
          <w:lang w:bidi="ar-SA"/>
        </w:rPr>
        <w:t>معهم، إلّا انه من باب دفع توهم الحظر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في نص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إطلاق نفي البأس عن الخروج إلى أهله حتى يدرك خروج الناس بمنى </w:t>
      </w:r>
      <w:r>
        <w:rPr>
          <w:rStyle w:val="FootnoteAnchor"/>
          <w:rtl w:val="true"/>
        </w:rPr>
        <w:footnoteReference w:id="9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فما عن القاضي من مصيره إلى وجوب التمتع إلى الحج </w:t>
      </w:r>
      <w:r>
        <w:rPr>
          <w:rStyle w:val="FootnoteAnchor"/>
          <w:rtl w:val="true"/>
        </w:rPr>
        <w:footnoteReference w:id="908"/>
      </w:r>
      <w:r>
        <w:rPr>
          <w:rFonts w:ascii="Amiri" w:hAnsi="Amiri" w:eastAsia="Amiri" w:cs="Amiri"/>
          <w:color w:val="111111"/>
          <w:sz w:val="28"/>
          <w:sz w:val="28"/>
          <w:szCs w:val="28"/>
          <w:rtl w:val="true"/>
          <w:lang w:bidi="ar-SA"/>
        </w:rPr>
        <w:t>، منظور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 إطلاق هذه النصوص يشمل صورة إحلاله من عمرته أيضا بصرف الحلق بلا اعادة تقصير عليه، و هو خلاف إطلاق ما دل على تعيين التقصير في المتمتع بها، بل و لو احتاج في جعلها متعة إلى التقصير يلزم قلب إحرامه إلى غير ما قصد به أولا، بل و هو خلاف إطلاق ما دل على عدم احتياج إحرام العمرة المفردة إلى قصد التقصير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أي حال فالعمل بهذه النصوص يلزم خلاف قاعدة، و بعد ذلك لا وجه لرفع اليد عن إطلاقها الظاهر في التخيير، في صرف جعل ما بيده متعة بلا زيادة شي‌ء و لا تغييره عما وقع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في الاحتياج إلى قصده بما فعل كونه عمرة تمتع أيضا محل نظر، إذ غاية ما يستفاد من الأمر بالتمتع قصده في تتميم عمله في حجه المتمتع به، كيف و في النص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حج معتمرا في شوال و من نيته أن يعتمر و يرجع إلى بلاده، فلا بأس بذلك، و إن هو أقام إلى الحج فهو متمتع</w:t>
      </w:r>
      <w:r>
        <w:rPr>
          <w:rFonts w:eastAsia="Amiri" w:cs="Amiri" w:ascii="Amiri" w:hAnsi="Amiri"/>
          <w:color w:val="111111"/>
          <w:sz w:val="28"/>
          <w:szCs w:val="28"/>
          <w:rtl w:val="true"/>
          <w:lang w:bidi="ar-SA"/>
        </w:rPr>
        <w:t xml:space="preserve">» </w:t>
      </w:r>
      <w:r>
        <w:rPr>
          <w:rStyle w:val="FootnoteAnchor"/>
          <w:rtl w:val="true"/>
        </w:rPr>
        <w:footnoteReference w:id="9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بذلك ترفع اليد عما يتوهم خلافه من قوله في نص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أنزلت العمرة المفردة و المتعة، لأنّ المتعة دخلت في الحج و لم تدخل العمرة المفردة</w:t>
      </w:r>
      <w:r>
        <w:rPr>
          <w:rFonts w:eastAsia="Amiri" w:cs="Amiri" w:ascii="Amiri" w:hAnsi="Amiri"/>
          <w:color w:val="111111"/>
          <w:sz w:val="28"/>
          <w:szCs w:val="28"/>
          <w:rtl w:val="true"/>
          <w:lang w:bidi="ar-SA"/>
        </w:rPr>
        <w:t xml:space="preserve">» </w:t>
      </w:r>
      <w:r>
        <w:rPr>
          <w:rStyle w:val="FootnoteAnchor"/>
          <w:rtl w:val="true"/>
        </w:rPr>
        <w:footnoteReference w:id="9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بحمله على أنّ له الإدخال بقصد التتميم بعنوان المتعة، و له عدمه بعدم قصده كذلك</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أي حال تطبيق هذه النصوص على القواعد لا يكاد يتم إلّا بجعل</w:t>
      </w:r>
    </w:p>
    <w:p>
      <w:pPr>
        <w:pStyle w:val="BookText"/>
        <w:rPr/>
      </w:pPr>
      <w:r>
        <w:rPr>
          <w:rFonts w:ascii="Amiri" w:hAnsi="Amiri" w:eastAsia="Amiri" w:cs="Amiri"/>
          <w:color w:val="111111"/>
          <w:sz w:val="28"/>
          <w:sz w:val="28"/>
          <w:szCs w:val="28"/>
          <w:rtl w:val="true"/>
          <w:lang w:bidi="ar-SA"/>
        </w:rPr>
        <w:t>امتياز عمرة التمتع عن غيرها بصرف قصد التتميم بإتيان الحج و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مثل هذا القصد موجب لقلب العمرة من الأول متعة، المستلزم لعدم الاكتفاء بحلقه السابق أيضا في إحلاله، من دون اختلاف في حقيقة إحرامه، و إنما الاختلاف في المحلل جاء من قبل قصد التتميم و عدمه، فتكون هذه النصوص على طبق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و لازمة تقييد إطلاقها في الأمر بإيجاد التمتع بإعادة تقصير في الإحلال عن العمرة، لكن لازم ذلك ربما ينتهي إلى كون إحرام الإنسان و عدمه مانعا عن قصد إتمام العمل تمتعا أم لا، كما في صورة بنائه من الأول على الإحلال بالحلق، فإنه على تقدير قصده الإتمام متعة لا يكون محللا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تقدير عدمه كان محللا، و لا أظن الالتزام به من أحد، فلا محيص عن الالتزام بحصول الإحلال بما 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الأمر هو مخيّر بين إبقائه على أفراده فيذهب إلى منزله، و بين إرادة إتمامها تمتعا، فيهل بالحج جديدا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أنه في هذه الصورة محرم محتاج إلى التقصير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لازمة حينئذ كون مقتضى النصوص عدم الاحتياج إلى التقصير في المتمتع بها، و لا ضير في ارتكاب هذا المقدار من خلاف القاعدة بالنص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أولى من الالتزام بكونه في إحرامه و عدمه فعلا تابعا لكيفية قصده فيما بعد، و اللّٰه العالم</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لا إشكال في عدم صلاحية العدول في العمرة إلى التمتع إلّا في ما وقع في أشهر الحج، و إلّا فالواقع في غيرها لا يصلح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بعض النصوص التصريح بذلك،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اعتمر في رمضان أو قبله فأقام إلى الحج فليس بمتمتع</w:t>
      </w:r>
      <w:r>
        <w:rPr>
          <w:rFonts w:eastAsia="Amiri" w:cs="Amiri" w:ascii="Amiri" w:hAnsi="Amiri"/>
          <w:color w:val="111111"/>
          <w:sz w:val="28"/>
          <w:szCs w:val="28"/>
          <w:rtl w:val="true"/>
          <w:lang w:bidi="ar-SA"/>
        </w:rPr>
        <w:t xml:space="preserve">» </w:t>
      </w:r>
      <w:r>
        <w:rPr>
          <w:rStyle w:val="FootnoteAnchor"/>
          <w:rtl w:val="true"/>
        </w:rPr>
        <w:footnoteReference w:id="9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النص السابق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ليس له متعة إلّا في أشهر الحج</w:t>
      </w:r>
      <w:r>
        <w:rPr>
          <w:rFonts w:eastAsia="Amiri" w:cs="Amiri" w:ascii="Amiri" w:hAnsi="Amiri"/>
          <w:color w:val="111111"/>
          <w:sz w:val="28"/>
          <w:szCs w:val="28"/>
          <w:rtl w:val="true"/>
          <w:lang w:bidi="ar-SA"/>
        </w:rPr>
        <w:t xml:space="preserve">» </w:t>
      </w:r>
      <w:r>
        <w:rPr>
          <w:rStyle w:val="FootnoteAnchor"/>
          <w:rtl w:val="true"/>
        </w:rPr>
        <w:footnoteReference w:id="912"/>
      </w:r>
      <w:r>
        <w:rPr>
          <w:rFonts w:ascii="Amiri" w:hAnsi="Amiri" w:eastAsia="Amiri" w:cs="Amiri"/>
          <w:color w:val="111111"/>
          <w:sz w:val="28"/>
          <w:sz w:val="28"/>
          <w:szCs w:val="28"/>
          <w:rtl w:val="true"/>
          <w:lang w:bidi="ar-SA"/>
        </w:rPr>
        <w:t>، و عليه أيضا بناء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تجوز في كل شهر، و أقله في كل عشرة، لخبر علي بن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يدخل مكة في السنة المرة و المرتين و الأربعة، كيف يصنع؟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دخل فليدخل ملبيا، و إذا خرج فليخرج محلا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لكل شهر عمرة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أقل؟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لكل عشرة أيام</w:t>
      </w:r>
      <w:r>
        <w:rPr>
          <w:rFonts w:eastAsia="Amiri" w:cs="Amiri" w:ascii="Amiri" w:hAnsi="Amiri"/>
          <w:color w:val="111111"/>
          <w:sz w:val="28"/>
          <w:szCs w:val="28"/>
          <w:rtl w:val="true"/>
          <w:lang w:bidi="ar-SA"/>
        </w:rPr>
        <w:t xml:space="preserve">» </w:t>
      </w:r>
      <w:r>
        <w:rPr>
          <w:rStyle w:val="FootnoteAnchor"/>
          <w:rtl w:val="true"/>
        </w:rPr>
        <w:footnoteReference w:id="9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ما في بعض النصوص من التحديد بالسنة </w:t>
      </w:r>
      <w:r>
        <w:rPr>
          <w:rStyle w:val="FootnoteAnchor"/>
          <w:rtl w:val="true"/>
        </w:rPr>
        <w:footnoteReference w:id="914"/>
      </w:r>
      <w:r>
        <w:rPr>
          <w:rFonts w:ascii="IRNazanin" w:hAnsi="IRNazanin" w:eastAsia="IRNazanin"/>
          <w:color w:val="111111"/>
          <w:sz w:val="28"/>
          <w:sz w:val="28"/>
          <w:szCs w:val="28"/>
          <w:rtl w:val="true"/>
          <w:lang w:bidi="fa-IR"/>
        </w:rPr>
        <w:t>، محمول على المتمتع بها، و إلّا فهو مطروح بإعراض الأصحاب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حد لها عند السيد المرتضى رحمه اللّٰه </w:t>
      </w:r>
      <w:r>
        <w:rPr>
          <w:rStyle w:val="FootnoteAnchor"/>
          <w:rtl w:val="true"/>
        </w:rPr>
        <w:footnoteReference w:id="915"/>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للإطلاقات، مثل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العمرة الحج الأصغر</w:t>
      </w:r>
      <w:r>
        <w:rPr>
          <w:rFonts w:eastAsia="Amiri" w:cs="Amiri" w:ascii="Amiri" w:hAnsi="Amiri"/>
          <w:color w:val="111111"/>
          <w:sz w:val="28"/>
          <w:szCs w:val="28"/>
          <w:rtl w:val="true"/>
          <w:lang w:bidi="ar-SA"/>
        </w:rPr>
        <w:t xml:space="preserve">» </w:t>
      </w:r>
      <w:r>
        <w:rPr>
          <w:rStyle w:val="FootnoteAnchor"/>
          <w:rtl w:val="true"/>
        </w:rPr>
        <w:footnoteReference w:id="9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النبوي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العمرة إلى العمرة كفارة الذنوب</w:t>
      </w:r>
      <w:r>
        <w:rPr>
          <w:rFonts w:eastAsia="Amiri" w:cs="Amiri" w:ascii="Amiri" w:hAnsi="Amiri"/>
          <w:color w:val="111111"/>
          <w:sz w:val="28"/>
          <w:szCs w:val="28"/>
          <w:rtl w:val="true"/>
          <w:lang w:bidi="ar-SA"/>
        </w:rPr>
        <w:t xml:space="preserve">» </w:t>
      </w:r>
      <w:r>
        <w:rPr>
          <w:rStyle w:val="FootnoteAnchor"/>
          <w:rtl w:val="true"/>
        </w:rPr>
        <w:footnoteReference w:id="9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انّ إطلاقاتها لما لم تكن مسوقة لبيان تلك الجهة، فأصالة عدم المشروعية مع الفصل بأقل من الشهر محكم، لو لم نقل بأنّ المقام من باب الشك في شرطية الفصل المزبور في صحة العمل، بعد إطلاق مشروعية</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مثله يكفي لرفع الشرطية مثل حديث الرفع، و لكن ذلك فرع إطلاق في الهيئة الدالة على إطلاق المشروعية، و بعد فرض التشكيك في إطلاقها لا يبقى مجال للأصل المزبور، بل أصالة عدم المشروعية محكمة، كما لا يخفى</w:t>
      </w:r>
      <w:r>
        <w:rPr>
          <w:rFonts w:eastAsia="Amiri" w:cs="Amiri" w:ascii="Amiri" w:hAnsi="Amiri"/>
          <w:color w:val="111111"/>
          <w:sz w:val="28"/>
          <w:szCs w:val="28"/>
          <w:rtl w:val="true"/>
          <w:lang w:bidi="ar-SA"/>
        </w:rPr>
        <w:t>.</w:t>
      </w:r>
      <w:bookmarkStart w:id="392" w:name="pg19818_204151"/>
    </w:p>
    <w:p>
      <w:pPr>
        <w:pStyle w:val="Heading3"/>
        <w:numPr>
          <w:ilvl w:val="2"/>
          <w:numId w:val="1"/>
        </w:numPr>
        <w:rPr/>
      </w:pPr>
      <w:bookmarkStart w:id="393" w:name="__RefHeading___Toc3320970_2314609296"/>
      <w:bookmarkStart w:id="394" w:name="_Toc143"/>
      <w:bookmarkEnd w:id="392"/>
      <w:bookmarkEnd w:id="393"/>
      <w:r>
        <w:rPr>
          <w:rtl w:val="true"/>
        </w:rPr>
        <w:t>الباب العاشر في المحصور و المصدود</w:t>
      </w:r>
      <w:bookmarkEnd w:id="394"/>
    </w:p>
    <w:p>
      <w:pPr>
        <w:pStyle w:val="Heading4"/>
        <w:numPr>
          <w:ilvl w:val="3"/>
          <w:numId w:val="1"/>
        </w:numPr>
        <w:rPr/>
      </w:pPr>
      <w:bookmarkStart w:id="395" w:name="__RefHeading___Toc3320972_2314609296"/>
      <w:bookmarkStart w:id="396" w:name="_Toc144"/>
      <w:bookmarkEnd w:id="395"/>
      <w:r>
        <w:rPr>
          <w:rtl w:val="true"/>
        </w:rPr>
        <w:t>اشارة</w:t>
      </w:r>
      <w:bookmarkEnd w:id="396"/>
    </w:p>
    <w:p>
      <w:pPr>
        <w:pStyle w:val="BookText"/>
        <w:rPr/>
      </w:pPr>
      <w:r>
        <w:rPr>
          <w:rFonts w:ascii="Amiri" w:hAnsi="Amiri" w:eastAsia="Amiri" w:cs="Amiri"/>
          <w:color w:val="111111"/>
          <w:sz w:val="28"/>
          <w:sz w:val="28"/>
          <w:szCs w:val="28"/>
          <w:rtl w:val="true"/>
          <w:lang w:bidi="ar-SA"/>
        </w:rPr>
        <w:t>و هما لغة بمعنى واحد، و لكن في النص ورد التصريح بالفرق بينهما، ففي نص ابن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المحصور غير المصدود، فإن المحصور هو المريض، و المصدود هو الذي ردّه المشركون، كما ردوا رسول اللّٰه ليس من مرض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المصدود يحل له النساء، و المحصور لا يحل له النساء، و بينهما فرق من جهات أخرى أيضا تأتي في تضاعيف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إلى ما ذكرنا أشار المصنف بقوله</w:t>
      </w:r>
      <w:r>
        <w:rPr>
          <w:rFonts w:eastAsia="Amiri" w:cs="Amiri" w:ascii="Amiri" w:hAnsi="Amiri"/>
          <w:color w:val="111111"/>
          <w:sz w:val="28"/>
          <w:szCs w:val="28"/>
          <w:rtl w:val="true"/>
          <w:lang w:bidi="ar-SA"/>
        </w:rPr>
        <w:t>:</w:t>
      </w:r>
    </w:p>
    <w:p>
      <w:pPr>
        <w:pStyle w:val="Heading4"/>
        <w:numPr>
          <w:ilvl w:val="3"/>
          <w:numId w:val="1"/>
        </w:numPr>
        <w:rPr/>
      </w:pPr>
      <w:bookmarkStart w:id="397" w:name="__RefHeading___Toc3320974_2314609296"/>
      <w:bookmarkStart w:id="398" w:name="_Toc145"/>
      <w:bookmarkEnd w:id="397"/>
      <w:r>
        <w:rPr>
          <w:rtl w:val="true"/>
        </w:rPr>
        <w:t>المصدود</w:t>
      </w:r>
      <w:r>
        <w:rPr>
          <w:rtl w:val="true"/>
        </w:rPr>
        <w:t xml:space="preserve">: </w:t>
      </w:r>
      <w:r>
        <w:rPr>
          <w:rtl w:val="true"/>
        </w:rPr>
        <w:t>هو الممنوع بالعدو</w:t>
      </w:r>
      <w:bookmarkEnd w:id="398"/>
    </w:p>
    <w:p>
      <w:pPr>
        <w:pStyle w:val="Heading5"/>
        <w:numPr>
          <w:ilvl w:val="4"/>
          <w:numId w:val="1"/>
        </w:numPr>
        <w:rPr/>
      </w:pPr>
      <w:bookmarkStart w:id="399" w:name="__RefHeading___Toc3320976_2314609296"/>
      <w:bookmarkStart w:id="400" w:name="_Toc146"/>
      <w:bookmarkEnd w:id="399"/>
      <w:r>
        <w:rPr>
          <w:rtl w:val="true"/>
        </w:rPr>
        <w:t>اشارة</w:t>
      </w:r>
      <w:bookmarkEnd w:id="400"/>
    </w:p>
    <w:p>
      <w:pPr>
        <w:pStyle w:val="BookText"/>
        <w:rPr/>
      </w:pPr>
      <w:r>
        <w:rPr>
          <w:rFonts w:ascii="Amiri" w:hAnsi="Amiri" w:eastAsia="Amiri" w:cs="Amiri"/>
          <w:color w:val="111111"/>
          <w:sz w:val="28"/>
          <w:sz w:val="28"/>
          <w:szCs w:val="28"/>
          <w:rtl w:val="true"/>
          <w:lang w:bidi="ar-SA"/>
        </w:rPr>
        <w:t>، قبال ما سيأتي منه بأنّ المحصور هو الممنوع بالمرض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أي حال فإن تلبس المصدود بالإحرام نحر هديه و أحل من كل شي‌ء أحرم منه على المشهور، و عليه جملة من النصوص، المشتملة على فعل رسول اللّٰه صلّى اللّٰه عليه و آله حين صدّ بالحديبية من أنه صلّى اللّٰه عليه و آله نحر و أحل </w:t>
      </w:r>
      <w:r>
        <w:rPr>
          <w:rStyle w:val="FootnoteAnchor"/>
          <w:rtl w:val="true"/>
        </w:rPr>
        <w:footnoteReference w:id="918"/>
      </w: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خبر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المصدود يذبح حيث يشاء، فيرجع صاحبه و يأتي النساء</w:t>
      </w:r>
      <w:r>
        <w:rPr>
          <w:rFonts w:eastAsia="Amiri" w:cs="Amiri" w:ascii="Amiri" w:hAnsi="Amiri"/>
          <w:color w:val="111111"/>
          <w:sz w:val="28"/>
          <w:szCs w:val="28"/>
          <w:rtl w:val="true"/>
          <w:lang w:bidi="ar-SA"/>
        </w:rPr>
        <w:t xml:space="preserve">» </w:t>
      </w:r>
      <w:r>
        <w:rPr>
          <w:rStyle w:val="FootnoteAnchor"/>
          <w:rtl w:val="true"/>
        </w:rPr>
        <w:footnoteReference w:id="9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يؤيدهما المرسل المنجبر بالعمل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المحصور و المضطر يذبحان</w:t>
      </w:r>
    </w:p>
    <w:p>
      <w:pPr>
        <w:pStyle w:val="BookText"/>
        <w:rPr/>
      </w:pPr>
      <w:r>
        <w:rPr>
          <w:rFonts w:ascii="Amiri" w:hAnsi="Amiri" w:eastAsia="Amiri" w:cs="Amiri"/>
          <w:color w:val="111111"/>
          <w:sz w:val="28"/>
          <w:sz w:val="28"/>
          <w:szCs w:val="28"/>
          <w:rtl w:val="true"/>
          <w:lang w:bidi="ar-SA"/>
        </w:rPr>
        <w:t>بدنتيهما في المكان الذي يضطران فيه</w:t>
      </w:r>
      <w:r>
        <w:rPr>
          <w:rFonts w:eastAsia="Amiri" w:cs="Amiri" w:ascii="Amiri" w:hAnsi="Amiri"/>
          <w:color w:val="111111"/>
          <w:sz w:val="28"/>
          <w:szCs w:val="28"/>
          <w:rtl w:val="true"/>
          <w:lang w:bidi="ar-SA"/>
        </w:rPr>
        <w:t xml:space="preserve">» </w:t>
      </w:r>
      <w:r>
        <w:rPr>
          <w:rStyle w:val="FootnoteAnchor"/>
          <w:rtl w:val="true"/>
        </w:rPr>
        <w:footnoteReference w:id="9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ارادة المصدود من المحصور، بقرينة ما سيأتي من عدم حل المحصور إلّا ببلوغ الهدي محلّه، فليس له الذبح في مكان الاضطرار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يكفي لجواز التعجيل في الذبح المزبور ظهور فعل النبي صلّى اللّٰه عليه و آله في تعجيل النحر، فلا مجال لانتظار زمان ضيق الوقت عن الحج، كيف و ظاهر حكاية الإمام فعله كونه في مقام بيان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بمثله و لازمة استظهار كون ما فعله النبي هو تمام الموضوع للحكم، و مقتضاه الأخذ بإطلاق كلامه في نقل فعله، و انّ تمام المناط هو هذا العمل، الذي عبارة عن ذبحه حين الاضطرار و الصد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بمثل هذا البيان ترفع اليد عن احتمال دخل قيد زائد فيه، فليس المقام من باب التمسك بفعلهم كي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أفعالهم صالحة للوقوع على وجوه، فلا إطلاق فيها، بل في الحقيقة إنما يتمسك بقوله في مقام تمسكه بصرف فعله في ظرف وجود أمر 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الظاهر من كلامه هذا، كون ما حكي من العنوان المخصوص تمام الموضوع في ترتب فعله، فيستفاد منه إطلاقه في الموضوعية للحكم، فتبقى القيود المحتملة زائدة، كما لا يخفى</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مورد النصوص و إن كانت صورة الصد عن تمام الأفعال حجا أو عمرة، إلّا انه بتنقيح المناط يتعدّى إلى صورة الصد عن بعضها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ذلك فيلحظ انّ الفعل المصدود عنه إن كان مما تشرع فيه النيابة، فلا يسقط الفعل المزبور، بل يجب عليه حينئذ أن يستنيب و ينتظر إلى حصول العمل نيابة، ثم يتحلل بإحلال حجه من الحلق أو التقصير، و يأتي ببقية المناسك</w:t>
      </w:r>
    </w:p>
    <w:p>
      <w:pPr>
        <w:pStyle w:val="BookText"/>
        <w:rPr/>
      </w:pPr>
      <w:r>
        <w:rPr>
          <w:rFonts w:ascii="Amiri" w:hAnsi="Amiri" w:eastAsia="Amiri" w:cs="Amiri"/>
          <w:color w:val="111111"/>
          <w:sz w:val="28"/>
          <w:sz w:val="28"/>
          <w:szCs w:val="28"/>
          <w:rtl w:val="true"/>
          <w:lang w:bidi="ar-SA"/>
        </w:rPr>
        <w:t>بنفسه إن تمكن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إلّا فبنائبه، و ليس له حينئذ التحلل الصدّي، و ذلك لأنّ دليل النيابة في مورد إنما يشرع بسعة دائرة الموضوع، الموجب لعدم صدق ضده من العمل المزبور و لو تنزيلا، فكان لدليل النيابة حينئذ نحو حكومة على دليل الصد، بحيث يكون ناظرا إلى نفي موضوعه تنزيلا، بلحاظ نفي 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على مثل هذا الشخص إتمام حجه و لو بنائبه، ثم يتحلل بإحلال حجه من الحلق أو التقصير بلا انتهاء النوبة حينئذ إلى إحلاله الصدّي، لعدم كونه مصدودا و لو تنزيلا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لم يتمكن من الاستنابة المزبورة، أو لم يكن العمل المصدود عنه مما شرعت فيه النيابة، يصدق على مثل هذا الشخص بأنه مصدود عن بعض العمل، فيجي‌ء فيه الإحلال الصدّي بمناطه، و مع انتهاء التوبة إليه فيؤخذ بإطلاق دليل الصد و يتحلل بما اشتمل عليه دليله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الاحتياج في التحلل بالذبح أو النحر إلى نية التحلل به اشكال، و الإطلاق يدفعه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انّ مقتضى الإطلاقات السابقة عدم الاحتياج إلى التقصير، و لكن في بعض النصوص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رسول اللّٰه قصّر و نحر و أحلّ</w:t>
      </w:r>
      <w:r>
        <w:rPr>
          <w:rFonts w:eastAsia="Amiri" w:cs="Amiri" w:ascii="Amiri" w:hAnsi="Amiri"/>
          <w:color w:val="111111"/>
          <w:sz w:val="28"/>
          <w:szCs w:val="28"/>
          <w:rtl w:val="true"/>
          <w:lang w:bidi="ar-SA"/>
        </w:rPr>
        <w:t xml:space="preserve">» </w:t>
      </w:r>
      <w:r>
        <w:rPr>
          <w:rStyle w:val="FootnoteAnchor"/>
          <w:rtl w:val="true"/>
        </w:rPr>
        <w:footnoteReference w:id="9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حكى في الجواهر رواية اخرى أنّه صلّى اللّٰه عليه و آله حلق يوم الحديبية </w:t>
      </w:r>
      <w:r>
        <w:rPr>
          <w:rStyle w:val="FootnoteAnchor"/>
          <w:rtl w:val="true"/>
        </w:rPr>
        <w:footnoteReference w:id="922"/>
      </w: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فرض ثبوتهما يصلحان للتقييد، كما انه يجمع بينهما أيضا برفع اليد عن تعيين كل منهما، فيحملان على التخيير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ضعفهما مع عدم جبرهما بعمل الأصحاب يخرجهما عن صلاحيتهما لتقييد المطلقات، و لذا أطلق</w:t>
      </w:r>
    </w:p>
    <w:p>
      <w:pPr>
        <w:pStyle w:val="BookText"/>
        <w:rPr/>
      </w:pPr>
      <w:r>
        <w:rPr>
          <w:rFonts w:ascii="Amiri" w:hAnsi="Amiri" w:eastAsia="Amiri" w:cs="Amiri"/>
          <w:color w:val="111111"/>
          <w:sz w:val="28"/>
          <w:sz w:val="28"/>
          <w:szCs w:val="28"/>
          <w:rtl w:val="true"/>
          <w:lang w:bidi="ar-SA"/>
        </w:rPr>
        <w:t>المصنف أيضا في حصول التحلل بالنحر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تكملة استاذنا أيضا إمضاؤه، كما أمضاه أيضا سيد الأعلام في حاشيته على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بمثل المطلقات المزبورة أيضا ترفع اليد عن استصحاب بقاء إحرامه كما 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يتحقق الصد عن العمرة بالمنع عن مكة، أو المنع عن الموقفين في الصد عن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الصد الحاصل بالمنع عن مكة، فلا شبهة في تحقق موجب الإحلال عنه بالذبح المزبور، للإطلاقات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المعلوم انّ الصد عن مكة فرع انسداد جميع الطرق إليها أو عدم وفاء نفقته بالطريق الآخر، إما لطوله، أو لاستلزامه عوارض 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أيضا لو لا تمكنه من الاستقراض بلا حرج عليه، و إلّا فيشكل شمول الإطلاقات لمثله، فاستصحاب بقاء إحرامه، يقتضي عدم إحلاله إلّا بمحللات العمرة و لو مفردة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قرضه أو مشيه من طريق آخر حرجيا، زائدا عما يقتضيه طبع التكليف، فيسقط عنه و يكون مثل هذا الشخص بحكم مصدود الطرق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لو فرض وفاء نفقته، و لكن الطريق بعيد عليه، بنحو لا يحسبه العرف ذا طريق إليها، فهو مصدود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لو جزم بفوت الحج معه، يجب عليه أن يتحلل بمحللات العمرة، و لو في إحرام حجة، فضلا عن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الشأن في كل من أحرم متمتعا و علم في الأثناء بفوت الموقفين عليه اختياريا و اضطراريا، فإنه ينقلب حجه إلى عمرة مفردة، فيتحلل بمحللاتها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يجوز في حق هذا الشخص أيضا التحلل الصدّي، لأنّ أدلة الصد إنما تقتضي التحلل بالذبح في مورد علم أنّ فوت العمرة أو الحج مستند إلى صده، لا إلى طول الطريق</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أطبقت كلماتهم في المقام أيضا بعدم جريان أحكام الصد على مثله،</w:t>
      </w:r>
    </w:p>
    <w:p>
      <w:pPr>
        <w:pStyle w:val="BookText"/>
        <w:rPr/>
      </w:pP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الظاهر من الصد عن الشي‌ء هو المنع عن إيجاد العمل في وقته، و لازمة عدم صدق الصد الموجب للتحلل المخصوص في العمرة، إلّا مع صدق فوته في وقته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المعنى في العمرة المتمتع بها، إنما يتحقق في صورة اقتضاء صده فوت عمرته و لو بفوت أحد الوقوفين اختيارا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انه في إحرام العمرة المفردة لا يصدق الفوت إلّا بعدم تمكنه في تمام الشهر أو في العشرة الأولى، بناء على الفصل بينهما بعشرة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لو بنينا على عدم اعتبار الفصل بينهما، بل كانت العمرة متصلة، ففي صدق الفوت من قبل هذا الصد إشكال، إذ ذاك حينئذ مبني على فرض بعيد، من بقائه على الحبس طول عمره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إلّا فمع العلم بانكشاف العذر، لا يكون فوت العمرة من قبل صده، بل الطبيعة المطلوبة ممكن الوصول إليها، فالالتزام بإجراء أحكام الصد على مثله فرع الالتزام بإطلاق دليل الصد، حتى لمن علم بانكشاف عدوه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أيضا كما ترى غير ملتزم به في كلماتهم، بل هو خلاف المنساق من إطلاقات أدلة الصد</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 لكن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أفيد إنما يتم لو كان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العمرة المفردة علاوة على السراية إلى الخصوصيات من الحصص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متعلقا بنفس الجامع، إذ حينئذ لا يكاد يصدق فوت الطبيعة إلّا بفوت تمام أفرادها طول العمر، و لو فرض كون الأمر المتعلّق بالعمرة المفردة من باب الأمر بالطبيعة السارية، على وجه تكون جميع الحصص بخصوصياتها تحت الأمر، بلا تعلق أمر آخر بصرف الطبيعة، فلا شبهة حينئذ أنّ ما أحرم له من الفرد المخصوص يفوت بصدق فوت ما أمر به من عمرته، فيصدق الصد بالنسبة إليه، فيشمله حينئذ إطلاق دليله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إلى ذلك نظر في الجواهر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ظاهر النص و الفتوى تحقق الصد و إن كان يمكن فيما بعد ذلك الإتيان بالمصدود عنه، مع بقائه على إحرامه </w:t>
      </w:r>
      <w:r>
        <w:rPr>
          <w:rStyle w:val="FootnoteAnchor"/>
          <w:rtl w:val="true"/>
        </w:rPr>
        <w:footnoteReference w:id="9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إلى شمول إطلاق دليل الصد، حتى لمن كشف عنه العدو في زمان يمكنه الإتمام، كي ينافي ذلك لما اختاره في الحج، بعد الجزم بوحدة لسان الدليل في المقامين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حكي عن جامع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بقائه على إحرامه بعد التلبس ببعض اعمال العمرة </w:t>
      </w:r>
      <w:r>
        <w:rPr>
          <w:rStyle w:val="FootnoteAnchor"/>
          <w:rtl w:val="true"/>
        </w:rPr>
        <w:footnoteReference w:id="9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نظره إلى أنّ بقية الأفعال محسوبة من شخص هذه العمرة، فلا يصدق عليه الفوت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ما لو صد عن الدخول الى المسجد، فإنه يتحلل و لو علم بانكشاف الصد بعد يوم، كما هو ظاهر إطلاقه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احتساب بقية الأفعال لهذا الشخص غير مناف لصدق فوت العمرة المشروعة في هذا الزمان، فيشمله إطلاق دليل الصد، كما في الجواهر </w:t>
      </w:r>
      <w:r>
        <w:rPr>
          <w:rStyle w:val="FootnoteAnchor"/>
          <w:rtl w:val="true"/>
        </w:rPr>
        <w:footnoteReference w:id="9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لا بأس بالالتزام في المقام أيضا كما في غيره، بأنه مع وجود الطريق الأبعد المستتبع اختياره فوت فرد منها في زمانه، لا يجري فيه أحكام الصد، كما هو الشأن لو فرض مثل هذا الطريق في حجه أو عمرته، مع العلم بفوتهما بسلوكه، لما عرفت من انصراف أدلة الصد إلى صورة كون الفوت مستندا إلى انسداد الطريق بصده، لا إلى بعد الطريق مع انفتاحه</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ذلك كله في صورة إحرامه بالعمرة و صده عن دخول مكة، و أما لو</w:t>
      </w:r>
    </w:p>
    <w:p>
      <w:pPr>
        <w:pStyle w:val="BookText"/>
        <w:rPr/>
      </w:pPr>
      <w:r>
        <w:rPr>
          <w:rFonts w:ascii="Amiri" w:hAnsi="Amiri" w:eastAsia="Amiri" w:cs="Amiri"/>
          <w:color w:val="111111"/>
          <w:sz w:val="28"/>
          <w:sz w:val="28"/>
          <w:szCs w:val="28"/>
          <w:rtl w:val="true"/>
          <w:lang w:bidi="ar-SA"/>
        </w:rPr>
        <w:t>أحرم بالحج و صد عن الوقوفين، فلا إشكال إجمالا في جريان حكم الإحلال بالصد في حقه، و ليس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بمقتضى إطلاق النصوص و الكلمات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الإحلال بمحللات العمرة المفردة قبل أن يفوت حجه بصبره، مع فرض تمكنه من الوصول إلى مكة، فضلا عمن لم يتمكن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يشهد لما ذكرنا إطلاق كلماتهم في انه لو صابر المصدود إلى زمان فوت الحج لم يجز له التحلل بالهدي، بل يتحلل بعمرة مفردة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معلوم أنّ هذا الكلام في مورد يتمكن من الوصول إلى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الأمر ليس له العمرة قبل فوت الحج، و في هذا الموضوع حكم بأنه ليس عليه الصبر من الأول أيضا فيتحلل باحلاله الصدّي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مقام آخر أيضا التزموا بأنّ الصد عن الحج يتحقق بفوت الوقوفين، و كذا يتحقق بالمنع عن دخول مكة، فإنه أيضا كالصريح في عدم احتياج الإحلال بصده الموجب لفوت الموقفين إلى صده عن مكة، فمهما تحقق بصده فوت الموقفين، يصدق عليه الصد عن حجه، فيترتب عليه أحكامه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المقام كلام آخر، و هو انه بعد ما كان للحج مراتب درك الاختياريين منه، أو درك اختياري أحدهما و اضطراري الآخر، أو بلا دركه الاضطراري المزبور أيضا، أو درك الاضطراريين منه، أو درك أحدهما، على ما حكي عن أبي علي، خلافا للمشهور، فهل الصد الموجب للإحلال المعهود هو المنع عن الحج بجميع مراتبه، أو المنع عن المرتبة الكاملة؟ وجهان لا ثالث في البين بمقتضى الصناعة</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فعلى الأول فيلزمه عدم انتهاء النوبة إلى الإحلال الصدّي، إلّا في صورة العلم باقتضاء صده فوت جميع المراتب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لازمة عدم وصول النوبة إلى الإحلال الصدّي إلّا في ظرف فوت الاضطراريين منهما أيضا على مذهب</w:t>
      </w:r>
    </w:p>
    <w:p>
      <w:pPr>
        <w:pStyle w:val="BookText"/>
        <w:rPr/>
      </w:pPr>
      <w:r>
        <w:rPr>
          <w:rFonts w:ascii="Amiri" w:hAnsi="Amiri" w:eastAsia="Amiri" w:cs="Amiri"/>
          <w:color w:val="111111"/>
          <w:sz w:val="28"/>
          <w:sz w:val="28"/>
          <w:szCs w:val="28"/>
          <w:rtl w:val="true"/>
          <w:lang w:bidi="ar-SA"/>
        </w:rPr>
        <w:t>أبي علي، أو أحدهما على مذهب الجواهر، أو الاختياريين على مذهب من لم يكتف بدرك الاضطراريين في صحة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الثاني يلزم كفاية فوت أحد الاختياريين، فضلا عن كليهما، في فوت الحج المنتهي بصده عنه إلى إحلاله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الشرائع </w:t>
      </w:r>
      <w:r>
        <w:rPr>
          <w:rStyle w:val="FootnoteAnchor"/>
          <w:rtl w:val="true"/>
        </w:rPr>
        <w:footnoteReference w:id="926"/>
      </w:r>
      <w:r>
        <w:rPr>
          <w:rFonts w:ascii="Amiri" w:hAnsi="Amiri" w:eastAsia="Amiri" w:cs="Amiri"/>
          <w:color w:val="111111"/>
          <w:sz w:val="28"/>
          <w:sz w:val="28"/>
          <w:szCs w:val="28"/>
          <w:rtl w:val="true"/>
          <w:lang w:bidi="ar-SA"/>
        </w:rPr>
        <w:t xml:space="preserve">و كذا القواعد </w:t>
      </w:r>
      <w:r>
        <w:rPr>
          <w:rStyle w:val="FootnoteAnchor"/>
          <w:rtl w:val="true"/>
        </w:rPr>
        <w:footnoteReference w:id="927"/>
      </w:r>
      <w:r>
        <w:rPr>
          <w:rFonts w:ascii="Amiri" w:hAnsi="Amiri" w:eastAsia="Amiri" w:cs="Amiri"/>
          <w:color w:val="111111"/>
          <w:sz w:val="28"/>
          <w:sz w:val="28"/>
          <w:szCs w:val="28"/>
          <w:rtl w:val="true"/>
          <w:lang w:bidi="ar-SA"/>
        </w:rPr>
        <w:t>التزم بكفاية فوت الموقفين في الحكم بالإحلال بالصد عن حجه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لا يخفى 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انه إن كان المدار في الصد على فوت الحج و لو بمرتبة كماله، فلا يحتاج إلى فوتهما، بل فوت أحدهما كاف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المدار على فوت الحج بجميع مراتبه، فما أفيد إنما يصح على مذهب أبي علي، بعد إطلاق شمول الموقفين لاضطراريهما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 خلاف مختاره، بل مختاره كفاية درك اضطراريهما معا، ففوته حينئذ بفوت أحدهما، لا بفوتهما أجمع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التصريح بكفاية فوت أحدهما </w:t>
      </w:r>
      <w:r>
        <w:rPr>
          <w:rStyle w:val="FootnoteAnchor"/>
          <w:rtl w:val="true"/>
        </w:rPr>
        <w:footnoteReference w:id="928"/>
      </w:r>
      <w:r>
        <w:rPr>
          <w:rFonts w:ascii="Amiri" w:hAnsi="Amiri" w:eastAsia="Amiri" w:cs="Amiri"/>
          <w:color w:val="111111"/>
          <w:sz w:val="28"/>
          <w:sz w:val="28"/>
          <w:szCs w:val="28"/>
          <w:rtl w:val="true"/>
          <w:lang w:bidi="ar-SA"/>
        </w:rPr>
        <w:t>، و هو محمول على الاختياري جزما، لعدم التزامه بمذهب أبي علي جزما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 في تبصرته دعوى الإجماع على عدم كفاية فوت أحد الاضطراريين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لازمة جعل المدار في المقام على فوت الحج و لو بمرتبته الكاملة</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الجواهر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حكيناه عن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يتحقق أيضا بالمنع عما يفوت الحج بفواته، كما عرفت الحكم فيه في الأقسام الثمانية </w:t>
      </w:r>
      <w:r>
        <w:rPr>
          <w:rStyle w:val="FootnoteAnchor"/>
          <w:rtl w:val="true"/>
        </w:rPr>
        <w:footnoteReference w:id="9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ظاهره كون المدار على فوت الحج بجميع مراتبه، و هو بظاهره خلاف مذهب العلّامة في التذكرة </w:t>
      </w:r>
      <w:r>
        <w:rPr>
          <w:rStyle w:val="FootnoteAnchor"/>
          <w:rtl w:val="true"/>
        </w:rPr>
        <w:footnoteReference w:id="9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الذي يقتضيه التحقيق في أمثال المقام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المسألة في أمثال الباب مبتنية على الأخذ أما بإطلاق المنع عن الحج، أو بإطلاق الحج الممنوع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الأول يصدق على فوت الحج و لو بمرتبة كما له الواجب، فيجتزئ حينئذ ثبوت أحد الاختياريين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الثاني لا يصدق إلّا بانعدام الحج بجميع مراتبه، المستتبع لفوت اضطرارية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حيث اتضح ذلك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مقام الدوران إن كان إطلاق الصد محكما، و لازمة الاكتفاء بفوت أحد الاختياريين من الوقوفين، و هو مذهب العلّامة في التذكرة </w:t>
      </w:r>
      <w:r>
        <w:rPr>
          <w:rStyle w:val="FootnoteAnchor"/>
          <w:rtl w:val="true"/>
        </w:rPr>
        <w:footnoteReference w:id="9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إنه لو صد بعد الوقوفين عن الرجوع، ففي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استناب الرمي و الذبح ثم حلق و تحلل و أتم باقي الأفعال </w:t>
      </w:r>
      <w:r>
        <w:rPr>
          <w:rStyle w:val="FootnoteAnchor"/>
          <w:rtl w:val="true"/>
        </w:rPr>
        <w:footnoteReference w:id="9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كذلك لو لم يكن لخصوص منى دخل في محللية الحلق أو التقصير، و إلّا فمع فرض صده عنها و عدم تشريع نيابة فيها لا وجه للاكتفاء بالحلق في خارج منى في التحليل عن إحرام حجة، بل لا محيص عن التنزل إلى إحلاله الصدّي، بناء على مختاره في كفاية الصد عن بعض أفعال الحج في جريان أحكامه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الشأن عنده لو لم يتمكن من الاستنابة في رميه و ذبحه</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بعد ذلك لا تنتهي النوبة إلى إتمام بقية الأفعال، إذ هي مترتبة على حلقه في منى، في عدم التمكن فلا بد أن يتحلل بالهدي المحلل له عن كل</w:t>
      </w:r>
    </w:p>
    <w:p>
      <w:pPr>
        <w:pStyle w:val="BookText"/>
        <w:rPr/>
      </w:pPr>
      <w:r>
        <w:rPr>
          <w:rFonts w:ascii="Amiri" w:hAnsi="Amiri" w:eastAsia="Amiri" w:cs="Amiri"/>
          <w:color w:val="111111"/>
          <w:sz w:val="28"/>
          <w:sz w:val="28"/>
          <w:szCs w:val="28"/>
          <w:rtl w:val="true"/>
          <w:lang w:bidi="ar-SA"/>
        </w:rPr>
        <w:t>شي‌ء حتى الطيب و النساء، فلا تنتهي النوبة إلى الطوافين، كي يتم بهما حجه، بل يبقى حجه حينئذ ناقصا يأتي به في القابل لو كان واجبا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إن تم في البين إجماع على كفاية الحلق خارج منى لم يستنب لرميه أو ذبحه فهو، و إلّا فللنظر فيما أفاد في المقام مجال واسع، و لقد أشرنا سابقا بحسب الكبريات الكلية إلى تشخيص موارد الصد عن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ما أفيد إنما يتم لو كان ممنوعا عن خصوص الرمي و الذبح فيها، لا عن الحلق بمنى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إنه لو كان مصدودا بعد الإتيان بمناسك منى عن النزول إلى مكة كان له الاستنابة أيضا في طوافه و سعيه، بل و طواف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مجال حينئذ لاحلاله الصدّي، لما عرفت من تحكيم دليل النيابة على دليل الصد، للتوسعة في بدنه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لم يتمكن من الاستنابة المزبورة أيضا فينتهي الأمر إلى إحلاله الصدّي، لصدق الصد عن بعض الأفعال، المتعدّي إليه بتنقيح المناط،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حينئذ فما عن المصنف، بل و عن الشرائع، من جعل الصد عن مكة فقط، في عدل الصد عن الوقوفين </w:t>
      </w:r>
      <w:r>
        <w:rPr>
          <w:rStyle w:val="FootnoteAnchor"/>
          <w:rtl w:val="true"/>
        </w:rPr>
        <w:footnoteReference w:id="933"/>
      </w:r>
      <w:r>
        <w:rPr>
          <w:rFonts w:ascii="Amiri" w:hAnsi="Amiri" w:eastAsia="Amiri" w:cs="Amiri"/>
          <w:color w:val="111111"/>
          <w:sz w:val="28"/>
          <w:sz w:val="28"/>
          <w:szCs w:val="28"/>
          <w:rtl w:val="true"/>
          <w:lang w:bidi="ar-SA"/>
        </w:rPr>
        <w:t>، إنما يصح لو كان الغرض من الصد عن مكة في إحرام المعتمر، و إلّا فلا خصوصية له في ذلك، بل يلحق به الصد عن العود إلى منى، لإتيان مناسكها من الرمي و الذبح و الحلق، كما لا يخفى</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مقتضى كون الصد عن كل شي‌ء بفوت، الشي‌ء في موطنه، عدم شمول دليله لصورة العلم بانكشاف العدو قبل فوت العمل، بل و مع الشك</w:t>
      </w:r>
    </w:p>
    <w:p>
      <w:pPr>
        <w:pStyle w:val="BookText"/>
        <w:rPr/>
      </w:pPr>
      <w:r>
        <w:rPr>
          <w:rFonts w:ascii="Amiri" w:hAnsi="Amiri" w:eastAsia="Amiri" w:cs="Amiri"/>
          <w:color w:val="111111"/>
          <w:sz w:val="28"/>
          <w:sz w:val="28"/>
          <w:szCs w:val="28"/>
          <w:rtl w:val="true"/>
          <w:lang w:bidi="ar-SA"/>
        </w:rPr>
        <w:t>أيضا يدور صدقه مدار الواقع، فمع فرض انكشافه واقعا لا يكاد يصدق الصد في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مرتبة الظاهر يحكم ببقاء الصد إلى زمان الفوت، فلو أحل حينئذ لا يقع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للعلم به موضوعية في الحكم بعدم الإحلال، كان لاحلاله مع الشك، بل و مع الظن بانكشافه مجال، لكن أنى لنا بإثباته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انه لو كان الموضوع هو الصد عن دخول مكة أو عن الموقفين و لو في غير وقت حجه، كان لما أفيد مجال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إلى ذلك أيضا نظر في الجواهر، حيث التزم بخروج صورة العلم بكشف العدو قبل العمل بالإجماع، و إلّا فلا قصور للإطلاقات </w:t>
      </w:r>
      <w:r>
        <w:rPr>
          <w:rStyle w:val="FootnoteAnchor"/>
          <w:rtl w:val="true"/>
        </w:rPr>
        <w:footnoteReference w:id="9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يمكن دعوى الجزم على خلافه، إذ تمام النظر في إطلاقات الباب إلى صده المانع عن عمرته و حجه، لا الصد المانع فعلا عن دخول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علم انكشاف العدو وقت العمل، فخروج صورة الانكشاف عند المجمعين باعترافه ليس بمقيد خارجي، و إنما هو من جهة عدم صدق الصد عن عمله المنصرف إليه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ذلك كيف يشمل مثل هذا العنوان صورة الشك في تحقق نفسه، فلا محيص حينئذ عن كون المرجع هي الأصول العملية،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مع العلم ببقاء الصد إلى وقت العمل، لا يجب تأخير إحلاله إلى حين فوته، بل مقتضى الإطلاقات جواز إحلاله الصدّي و لو قبل مجي‌ء وقت العمل، كل ذلك بمقتضى قواعد الباب ظاهر واضح</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بعد تحقق الصد و إن كان يتحلل بما ذكر لكنه لا يسقط</w:t>
      </w:r>
    </w:p>
    <w:p>
      <w:pPr>
        <w:pStyle w:val="BookText"/>
        <w:rPr/>
      </w:pPr>
      <w:r>
        <w:rPr>
          <w:rFonts w:ascii="Amiri" w:hAnsi="Amiri" w:eastAsia="Amiri" w:cs="Amiri"/>
          <w:color w:val="111111"/>
          <w:sz w:val="28"/>
          <w:sz w:val="28"/>
          <w:szCs w:val="28"/>
          <w:rtl w:val="true"/>
          <w:lang w:bidi="ar-SA"/>
        </w:rPr>
        <w:t>عنه الواجب من حجة أو عمرة، بل لا بد أن يأتي بها من قابل، أو في شهر آخر لو كانت عمرة مفردة، أو في عشرة أخرى، أو يأتي بفرد آخر منها بإحرام 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يجب عليه التحلل بمجرد عروض الصد، خصوصا في العمرة، كيف و الأمر لمحض دفع توهم الحظر، و له البقاء على إحرامه إلى أن يفوت وقت عمرته المتمتع بها أو حجه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ذلك لا محيص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التمكن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إتمام عمرته مفردة، و لو بانكشاف إمكان التحلل بعمرته، و ليس له بعد ذلك التحلل الصدّي، لأنّ إحرامه الموجود فعلا مما يمكن أن يترتب عليه عمله من العمرة المفردة، و هذا غير الفرع السابق، الصادق عليه صد المحرم من عمرته كما 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إحرامه عن حج مندوب أو عمرة مندوبة، فبعد إحلاله بالصد يسقط المندوب، بمعنى عدم وجوب إعادته بعد الإحلال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لو لم يحل إلى أن فات وقته و تمكن من إتمامه عمرة مفردة، وجب عليه الإحلال بعمرته، و ليس له حينئذ أيضا الإحلال الصدّي كما أشرنا إلى وجهه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يصح التحلل إلّا بالهدي، و قد عرفت منا عدم الاحتياج إلى نية التحلل، خلافا للمصنف في كتابه هذا و غيره من سائر كتبه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يجزئ هدي السياق عنه على ما نسب إلى المشهور، لخبر رفاعة قال</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ساق الهدي ثم أحصر،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يبعث بهديه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يستمتع من قابل؟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لكن يدخل في مثل ما خرج</w:t>
      </w:r>
      <w:r>
        <w:rPr>
          <w:rFonts w:eastAsia="Amiri" w:cs="Amiri" w:ascii="Amiri" w:hAnsi="Amiri"/>
          <w:color w:val="111111"/>
          <w:sz w:val="28"/>
          <w:szCs w:val="28"/>
          <w:rtl w:val="true"/>
          <w:lang w:bidi="ar-SA"/>
        </w:rPr>
        <w:t xml:space="preserve">» </w:t>
      </w:r>
      <w:r>
        <w:rPr>
          <w:rStyle w:val="FootnoteAnchor"/>
          <w:rtl w:val="true"/>
        </w:rPr>
        <w:footnoteReference w:id="935"/>
      </w:r>
      <w:r>
        <w:rPr>
          <w:rFonts w:ascii="Amiri" w:hAnsi="Amiri" w:eastAsia="Amiri" w:cs="Amiri"/>
          <w:color w:val="111111"/>
          <w:sz w:val="28"/>
          <w:sz w:val="28"/>
          <w:szCs w:val="28"/>
          <w:rtl w:val="true"/>
          <w:lang w:bidi="ar-SA"/>
        </w:rPr>
        <w:t>، هذا بضميمة عدم القول بالفصل في ذلك بين المصدود و المحصور</w:t>
      </w:r>
      <w:r>
        <w:rPr>
          <w:rFonts w:eastAsia="Amiri" w:cs="Amiri" w:ascii="Amiri" w:hAnsi="Amiri"/>
          <w:color w:val="111111"/>
          <w:sz w:val="28"/>
          <w:szCs w:val="28"/>
          <w:rtl w:val="true"/>
          <w:lang w:bidi="ar-SA"/>
        </w:rPr>
        <w:t>.</w:t>
      </w:r>
      <w:bookmarkStart w:id="401" w:name="pg19818_204163"/>
    </w:p>
    <w:p>
      <w:pPr>
        <w:pStyle w:val="BookText"/>
        <w:rPr/>
      </w:pPr>
      <w:bookmarkEnd w:id="401"/>
      <w:r>
        <w:rPr>
          <w:rFonts w:ascii="Amiri" w:hAnsi="Amiri" w:eastAsia="Amiri" w:cs="Amiri"/>
          <w:color w:val="111111"/>
          <w:sz w:val="28"/>
          <w:sz w:val="28"/>
          <w:szCs w:val="28"/>
          <w:rtl w:val="true"/>
          <w:lang w:bidi="ar-SA"/>
        </w:rPr>
        <w:t xml:space="preserve">و في قباله قاعدة عدم تداخل الأسباب، و الفقه الرضوي </w:t>
      </w:r>
      <w:r>
        <w:rPr>
          <w:rStyle w:val="FootnoteAnchor"/>
          <w:rtl w:val="true"/>
        </w:rPr>
        <w:footnoteReference w:id="936"/>
      </w:r>
      <w:r>
        <w:rPr>
          <w:rFonts w:ascii="Amiri" w:hAnsi="Amiri" w:eastAsia="Amiri" w:cs="Amiri"/>
          <w:color w:val="111111"/>
          <w:sz w:val="28"/>
          <w:sz w:val="28"/>
          <w:szCs w:val="28"/>
          <w:rtl w:val="true"/>
          <w:lang w:bidi="ar-SA"/>
        </w:rPr>
        <w:t>، و في الثاني ما ترى، و الأول قابل للتخصيص بالنص المزبور المعمول به لدى المشهور</w:t>
      </w:r>
      <w:r>
        <w:rPr>
          <w:rFonts w:eastAsia="Amiri" w:cs="Amiri" w:ascii="Amiri" w:hAnsi="Amiri"/>
          <w:color w:val="111111"/>
          <w:sz w:val="28"/>
          <w:szCs w:val="28"/>
          <w:rtl w:val="true"/>
          <w:lang w:bidi="ar-SA"/>
        </w:rPr>
        <w:t>.</w:t>
      </w:r>
    </w:p>
    <w:p>
      <w:pPr>
        <w:pStyle w:val="Heading5"/>
        <w:numPr>
          <w:ilvl w:val="4"/>
          <w:numId w:val="1"/>
        </w:numPr>
        <w:rPr/>
      </w:pPr>
      <w:bookmarkStart w:id="402" w:name="__RefHeading___Toc3320978_2314609296"/>
      <w:bookmarkStart w:id="403" w:name="_Toc147"/>
      <w:bookmarkEnd w:id="402"/>
      <w:r>
        <w:rPr>
          <w:rtl w:val="true"/>
        </w:rPr>
        <w:t>و المعتمر المصدود كالحاج المصدود</w:t>
      </w:r>
      <w:bookmarkEnd w:id="403"/>
    </w:p>
    <w:p>
      <w:pPr>
        <w:pStyle w:val="BookText"/>
        <w:rPr/>
      </w:pPr>
      <w:r>
        <w:rPr>
          <w:rFonts w:ascii="Amiri" w:hAnsi="Amiri" w:eastAsia="Amiri" w:cs="Amiri"/>
          <w:color w:val="111111"/>
          <w:sz w:val="28"/>
          <w:sz w:val="28"/>
          <w:szCs w:val="28"/>
          <w:rtl w:val="true"/>
          <w:lang w:bidi="ar-SA"/>
        </w:rPr>
        <w:t>في جميع الأحكام، غير انه لا تجدي في حقه الاستنابة في طوافه أو سعيه لو صد بعد دخول مكة أو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لا تنتهي النوبة إلى إتمام عمله و لو نيابة، فيجري في حقه الإحلال الصدّي، بخلاف باب الحج حيث ذكرنا انه لو صد عن الطواف أو السعي يبعث بنائبه و يتم العمل و لا يتحلل بالإحلال الصدّي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عمدة الفارق قابلية الطواف في الحج للاستنابة بخلاف طواف العمرة، فلو صد عنه فيها فإنه يتحلل باحلاله الصدي أيضا، كما لا يخفى على من راجع الكلمات و الكلية السابقة التي ذكرناها لبيان ميزان جريان حكم الصد و عدمه،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بقي في المقام مطلب آخر، و هو انّ في كلمات جماعة عدم وجود بدل لهدي التحلل، و ادعى عليه الإجماع في الغنية </w:t>
      </w:r>
      <w:r>
        <w:rPr>
          <w:rStyle w:val="FootnoteAnchor"/>
          <w:rtl w:val="true"/>
        </w:rPr>
        <w:footnoteReference w:id="937"/>
      </w:r>
      <w:r>
        <w:rPr>
          <w:rFonts w:ascii="Amiri" w:hAnsi="Amiri" w:eastAsia="Amiri" w:cs="Amiri"/>
          <w:color w:val="111111"/>
          <w:sz w:val="28"/>
          <w:sz w:val="28"/>
          <w:szCs w:val="28"/>
          <w:rtl w:val="true"/>
          <w:lang w:bidi="ar-SA"/>
        </w:rPr>
        <w:t>، علاوة على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بوجود البدل من الصوم، لبعض نصوص واردة في المحصور، ففي حسن عمار في المحصور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لم يجد ثمن الهدي صام</w:t>
      </w:r>
      <w:r>
        <w:rPr>
          <w:rFonts w:eastAsia="Amiri" w:cs="Amiri" w:ascii="Amiri" w:hAnsi="Amiri"/>
          <w:color w:val="111111"/>
          <w:sz w:val="28"/>
          <w:szCs w:val="28"/>
          <w:rtl w:val="true"/>
          <w:lang w:bidi="ar-SA"/>
        </w:rPr>
        <w:t xml:space="preserve">» </w:t>
      </w:r>
      <w:r>
        <w:rPr>
          <w:rStyle w:val="FootnoteAnchor"/>
          <w:rtl w:val="true"/>
        </w:rPr>
        <w:footnoteReference w:id="938"/>
      </w:r>
      <w:r>
        <w:rPr>
          <w:rFonts w:ascii="Amiri" w:hAnsi="Amiri" w:eastAsia="Amiri" w:cs="Amiri"/>
          <w:color w:val="111111"/>
          <w:sz w:val="28"/>
          <w:sz w:val="28"/>
          <w:szCs w:val="28"/>
          <w:rtl w:val="true"/>
          <w:lang w:bidi="ar-SA"/>
        </w:rPr>
        <w:t xml:space="preserve">، و نظيره غيره </w:t>
      </w:r>
      <w:r>
        <w:rPr>
          <w:rStyle w:val="FootnoteAnchor"/>
          <w:rtl w:val="true"/>
        </w:rPr>
        <w:footnoteReference w:id="939"/>
      </w: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منع صاحب الجواهر تسرية الحكم من المحصور إلى المصدود أولا، و اعراض الأصحاب عنها حتى في المحصور، فضلا عن التعدّي منها الى</w:t>
      </w:r>
    </w:p>
    <w:p>
      <w:pPr>
        <w:pStyle w:val="BookText"/>
        <w:rPr/>
      </w:pPr>
      <w:r>
        <w:rPr>
          <w:rFonts w:ascii="Amiri" w:hAnsi="Amiri" w:eastAsia="Amiri" w:cs="Amiri"/>
          <w:color w:val="111111"/>
          <w:sz w:val="28"/>
          <w:sz w:val="28"/>
          <w:szCs w:val="28"/>
          <w:rtl w:val="true"/>
          <w:lang w:bidi="ar-SA"/>
        </w:rPr>
        <w:t>المصدود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في ذيل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مع ذلك كله لا ينبغي ترك الاحتياط، خصوصا في المحصور </w:t>
      </w:r>
      <w:r>
        <w:rPr>
          <w:rStyle w:val="FootnoteAnchor"/>
          <w:rtl w:val="true"/>
        </w:rPr>
        <w:footnoteReference w:id="9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الغرض من الاحتياط إيجاد البدل باحتمال وجوبه في صرف ارتكابه للمحرمات، ففيه انه مع احتمال عدم كونه محللا، كيف يكتفي باحتمال محلليته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الغرض احتمال إيجابه حتى مع بقائه على الاجتناب إلى زمان اليقين بوجود المحلل،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فرض البناء المزبور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مجال لاحتمال وجوب البدل، إذ على فرض بدليته واقعا لا يجب عليه الإحلال، بل الأمر باحلاله حينئذ من باب دفع توهم الحظر، فما وجه احتياطه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مقتضى الإطلاقات كون الحكم المزبور دائرا مدار عنوان الصد بالعدو، فمهما تحقق ذلك يترتب عليه الحكم بجواز الإحلال، سواء تمكن من رفعه بقتال مع ظن السلامة، أو بإعطاء مال، أو لم يتمكن 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بذل المال إن لم يكن مجحفا </w:t>
      </w:r>
      <w:r>
        <w:rPr>
          <w:rStyle w:val="FootnoteAnchor"/>
          <w:rtl w:val="true"/>
        </w:rPr>
        <w:footnoteReference w:id="9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انّ دفع المال بعد ما كان مقدمة لرفع الصد، لا يجب من حيث البقاء على إحرامه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استقر عليه وجوب الحج، مع الالتزام بفوريته، لا يبعد الوجوب، ما لم ينته إلى الحرج، لأنّ الضرر المالي غير صالح لرفع التكليف، لعدم جبره بعملهم، كما انه لو أمكن دفعهم بقتال بلا حرج، لا يبعد الالتزام بوجوبه مقدمة لواجبه الفوري</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فورية الوجوب في غاية الإشكال، فلا يبقى في البين إلّا لزوم دفعه</w:t>
      </w:r>
      <w:bookmarkStart w:id="404" w:name="pg19818_204165"/>
    </w:p>
    <w:p>
      <w:pPr>
        <w:pStyle w:val="BookText"/>
        <w:rPr/>
      </w:pPr>
      <w:bookmarkEnd w:id="404"/>
      <w:r>
        <w:rPr>
          <w:rFonts w:ascii="Amiri" w:hAnsi="Amiri" w:eastAsia="Amiri" w:cs="Amiri"/>
          <w:color w:val="111111"/>
          <w:sz w:val="28"/>
          <w:sz w:val="28"/>
          <w:szCs w:val="28"/>
          <w:rtl w:val="true"/>
          <w:lang w:bidi="ar-SA"/>
        </w:rPr>
        <w:t>من قبل إحرامه، و لقد عرفت انه ينوط بصدق الصد، و بعده يجوز إحلاله الصدّي بلا احتياج إلى رفعه بمقدمة من المقدمات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حكم المصدود، و أما</w:t>
      </w:r>
    </w:p>
    <w:p>
      <w:pPr>
        <w:pStyle w:val="Heading4"/>
        <w:numPr>
          <w:ilvl w:val="3"/>
          <w:numId w:val="1"/>
        </w:numPr>
        <w:rPr/>
      </w:pPr>
      <w:bookmarkStart w:id="405" w:name="__RefHeading___Toc3320980_2314609296"/>
      <w:bookmarkStart w:id="406" w:name="_Toc148"/>
      <w:bookmarkEnd w:id="405"/>
      <w:r>
        <w:rPr>
          <w:rtl w:val="true"/>
        </w:rPr>
        <w:t>المحصور</w:t>
      </w:r>
      <w:bookmarkEnd w:id="406"/>
    </w:p>
    <w:p>
      <w:pPr>
        <w:pStyle w:val="BookText"/>
        <w:rPr/>
      </w:pPr>
      <w:r>
        <w:rPr>
          <w:rFonts w:ascii="Amiri" w:hAnsi="Amiri" w:eastAsia="Amiri" w:cs="Amiri"/>
          <w:color w:val="111111"/>
          <w:sz w:val="28"/>
          <w:sz w:val="28"/>
          <w:szCs w:val="28"/>
          <w:rtl w:val="true"/>
          <w:lang w:bidi="ar-SA"/>
        </w:rPr>
        <w:t>و هو الممنوع بالمرض كما عرفت فيبعث هديه إن لم يكن قد ساق، كما هو المشهور، خلافا للإسكافي، فخيّر بين الذبح في مكانه و بين الإرسال إلى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لسلار حيث فصلّ بين حجة التطوع و حجة الإسلام، من الذبح في مكانه في الأول دون الثاني </w:t>
      </w:r>
      <w:r>
        <w:rPr>
          <w:rStyle w:val="FootnoteAnchor"/>
          <w:rtl w:val="true"/>
        </w:rPr>
        <w:footnoteReference w:id="9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عمدة نظر المشهور إلى جملة من النصوص المشتملة على إرسال الهدي، خصوصا ما في صحيح ابن عمار المشتمل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يواعد أصحابه ميعادا، فإن كان في حج فمحل الهدي يوم النحر، و إذا كان يوم النحر فليقصر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في عمرة فلينتظر مقدار دخول أصحابه مكة</w:t>
      </w:r>
      <w:r>
        <w:rPr>
          <w:rFonts w:eastAsia="Amiri" w:cs="Amiri" w:ascii="Amiri" w:hAnsi="Amiri"/>
          <w:color w:val="111111"/>
          <w:sz w:val="28"/>
          <w:szCs w:val="28"/>
          <w:rtl w:val="true"/>
          <w:lang w:bidi="ar-SA"/>
        </w:rPr>
        <w:t xml:space="preserve">» </w:t>
      </w:r>
      <w:r>
        <w:rPr>
          <w:rStyle w:val="FootnoteAnchor"/>
          <w:rtl w:val="true"/>
        </w:rPr>
        <w:footnoteReference w:id="9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جملة من نصوص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حصر بعث بهدية</w:t>
      </w:r>
      <w:r>
        <w:rPr>
          <w:rFonts w:eastAsia="Amiri" w:cs="Amiri" w:ascii="Amiri" w:hAnsi="Amiri"/>
          <w:color w:val="111111"/>
          <w:sz w:val="28"/>
          <w:szCs w:val="28"/>
          <w:rtl w:val="true"/>
          <w:lang w:bidi="ar-SA"/>
        </w:rPr>
        <w:t xml:space="preserve">» </w:t>
      </w:r>
      <w:r>
        <w:rPr>
          <w:rStyle w:val="FootnoteAnchor"/>
          <w:rtl w:val="true"/>
        </w:rPr>
        <w:footnoteReference w:id="9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قبال هذه النصوص قضية حصر الحسين عليه السلام حيث دعا علي عليه السلام ببدنة فنحرها و حلق رأسه و أرجعه إلى المدينة </w:t>
      </w:r>
      <w:r>
        <w:rPr>
          <w:rStyle w:val="FootnoteAnchor"/>
          <w:rtl w:val="true"/>
        </w:rPr>
        <w:footnoteReference w:id="9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نص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محصور لم يسق الهدي،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ينسك و يرجع</w:t>
      </w:r>
      <w:r>
        <w:rPr>
          <w:rFonts w:eastAsia="Amiri" w:cs="Amiri" w:ascii="Amiri" w:hAnsi="Amiri"/>
          <w:color w:val="111111"/>
          <w:sz w:val="28"/>
          <w:szCs w:val="28"/>
          <w:rtl w:val="true"/>
          <w:lang w:bidi="ar-SA"/>
        </w:rPr>
        <w:t xml:space="preserve">» </w:t>
      </w:r>
      <w:r>
        <w:rPr>
          <w:rStyle w:val="FootnoteAnchor"/>
          <w:rtl w:val="true"/>
        </w:rPr>
        <w:footnoteReference w:id="946"/>
      </w:r>
      <w:r>
        <w:rPr>
          <w:rFonts w:eastAsia="Times New Roman" w:cs="Times New Roman" w:ascii="Times New Roman" w:hAnsi="Times New Roman"/>
          <w:color w:val="111111"/>
          <w:sz w:val="28"/>
          <w:szCs w:val="28"/>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حكاية إحلال الحسين في السقيا مع كونه سائقا </w:t>
      </w:r>
      <w:r>
        <w:rPr>
          <w:rStyle w:val="FootnoteAnchor"/>
          <w:rtl w:val="true"/>
        </w:rPr>
        <w:footnoteReference w:id="947"/>
      </w:r>
      <w:r>
        <w:rPr>
          <w:rFonts w:eastAsia="Times New Roman" w:cs="Times New Roman" w:ascii="Times New Roman" w:hAnsi="Times New Roman"/>
          <w:color w:val="111111"/>
          <w:sz w:val="28"/>
          <w:szCs w:val="28"/>
          <w:rtl w:val="true"/>
          <w:lang w:val="en-US" w:bidi="en-US"/>
        </w:rPr>
        <w:t>.</w:t>
      </w:r>
      <w:bookmarkStart w:id="407" w:name="pg19818_204166"/>
    </w:p>
    <w:p>
      <w:pPr>
        <w:pStyle w:val="BookText"/>
        <w:rPr/>
      </w:pPr>
      <w:bookmarkEnd w:id="407"/>
      <w:r>
        <w:rPr>
          <w:rFonts w:ascii="Amiri" w:hAnsi="Amiri" w:eastAsia="Amiri" w:cs="Amiri"/>
          <w:color w:val="111111"/>
          <w:sz w:val="28"/>
          <w:sz w:val="28"/>
          <w:szCs w:val="28"/>
          <w:rtl w:val="true"/>
          <w:lang w:bidi="ar-SA"/>
        </w:rPr>
        <w:t xml:space="preserve">و المشهور طرحوا الطائفة الأخيرة و أخذوا بالطائفة الاولى، و لعل الإسكافي جمع بينهما بالحمل على التخيير، كما انّ سلارا يمكن مصيره إلى الجمع بين الطائفتين، بشهادة المرسلة المحكية، عن المفيد، المشتملة على التفصيل بين حجة الإسلام و التطوع </w:t>
      </w:r>
      <w:r>
        <w:rPr>
          <w:rStyle w:val="FootnoteAnchor"/>
          <w:rtl w:val="true"/>
        </w:rPr>
        <w:footnoteReference w:id="948"/>
      </w:r>
      <w:r>
        <w:rPr>
          <w:rFonts w:ascii="Amiri" w:hAnsi="Amiri" w:eastAsia="Amiri" w:cs="Amiri"/>
          <w:color w:val="111111"/>
          <w:sz w:val="28"/>
          <w:sz w:val="28"/>
          <w:szCs w:val="28"/>
          <w:rtl w:val="true"/>
          <w:lang w:bidi="ar-SA"/>
        </w:rPr>
        <w:t>، و انّ إحلال الحسين عليه السلام محمول على تطوعه في الحج، بقرينة المرسلة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فتبقى بقية المطلقات على حجيتها في وجوب البعث في حجة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الجمع أقوى الجموع لو تم سند المرسلة، و إلّا فمقتضى الجمع بين الطائفتين في نفسهما هو التخيير، لو تم سند الأخيرة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مع وهنها بمخالفة المشهور يتعين الأخذ بالأولى،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مقتضى الإطلاق في المقام كباب الصد، عدم احتياج الإحلال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بلوغ الهدي و ذبحه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أيضا إذا لم يكن سائقا، و إلّا اقتصر على هدي السياق، لما في صريح النص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القارن يحصر و قد قال و اشترط</w:t>
      </w:r>
      <w:r>
        <w:rPr>
          <w:rFonts w:eastAsia="Amiri" w:cs="Amiri" w:ascii="Amiri" w:hAnsi="Amiri"/>
          <w:color w:val="111111"/>
          <w:sz w:val="28"/>
          <w:szCs w:val="28"/>
          <w:rtl w:val="true"/>
          <w:lang w:bidi="ar-SA"/>
        </w:rPr>
        <w:t xml:space="preserve">» </w:t>
      </w:r>
      <w:r>
        <w:rPr>
          <w:rStyle w:val="FootnoteAnchor"/>
          <w:rtl w:val="true"/>
        </w:rPr>
        <w:footnoteReference w:id="949"/>
      </w:r>
      <w:r>
        <w:rPr>
          <w:rFonts w:ascii="Amiri" w:hAnsi="Amiri" w:eastAsia="Amiri" w:cs="Amiri"/>
          <w:color w:val="111111"/>
          <w:sz w:val="28"/>
          <w:sz w:val="28"/>
          <w:szCs w:val="28"/>
          <w:rtl w:val="true"/>
          <w:lang w:bidi="ar-SA"/>
        </w:rPr>
        <w:t>الى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اشتماله على شرط الإحلال غير ضائر، بعد الجزم بعدم الفصل بينهما من تلك الجهة، مضافا إلى الإطلاقات السابقة، كما لا يخفى على من لاحظ إطلاق كلمات الأصحاب أيضا</w:t>
      </w:r>
      <w:r>
        <w:rPr>
          <w:rFonts w:eastAsia="Amiri" w:cs="Amiri" w:ascii="Amiri" w:hAnsi="Amiri"/>
          <w:color w:val="111111"/>
          <w:sz w:val="28"/>
          <w:szCs w:val="28"/>
          <w:rtl w:val="true"/>
          <w:lang w:bidi="ar-SA"/>
        </w:rPr>
        <w:t>.</w:t>
      </w:r>
    </w:p>
    <w:p>
      <w:pPr>
        <w:pStyle w:val="Heading4"/>
        <w:numPr>
          <w:ilvl w:val="3"/>
          <w:numId w:val="1"/>
        </w:numPr>
        <w:rPr/>
      </w:pPr>
      <w:bookmarkStart w:id="408" w:name="__RefHeading___Toc3320982_2314609296"/>
      <w:bookmarkStart w:id="409" w:name="_Toc149"/>
      <w:bookmarkEnd w:id="408"/>
      <w:r>
        <w:rPr>
          <w:rtl w:val="true"/>
        </w:rPr>
        <w:t>فإذا بلغ الهدي محله و هو منى إن كان حاجا، و مكة إن كان معتمرا، قصّر و أحل</w:t>
      </w:r>
      <w:bookmarkEnd w:id="409"/>
    </w:p>
    <w:p>
      <w:pPr>
        <w:pStyle w:val="Heading5"/>
        <w:numPr>
          <w:ilvl w:val="4"/>
          <w:numId w:val="1"/>
        </w:numPr>
        <w:rPr/>
      </w:pPr>
      <w:bookmarkStart w:id="410" w:name="__RefHeading___Toc3320984_2314609296"/>
      <w:bookmarkStart w:id="411" w:name="_Toc150"/>
      <w:bookmarkEnd w:id="410"/>
      <w:r>
        <w:rPr>
          <w:rtl w:val="true"/>
        </w:rPr>
        <w:t>اشارة</w:t>
      </w:r>
      <w:bookmarkEnd w:id="411"/>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لقد صرّح بالمحل المزبور في موثق زرعة </w:t>
      </w:r>
      <w:r>
        <w:rPr>
          <w:rStyle w:val="FootnoteAnchor"/>
          <w:rtl w:val="true"/>
        </w:rPr>
        <w:footnoteReference w:id="9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أيضا تحمل بقية المطلقات، لمعهوديته عند سياق الهدي، كما هو الشأن للقارن</w:t>
      </w:r>
    </w:p>
    <w:p>
      <w:pPr>
        <w:pStyle w:val="BookText"/>
        <w:rPr/>
      </w:pPr>
      <w:r>
        <w:rPr>
          <w:rFonts w:ascii="Amiri" w:hAnsi="Amiri" w:eastAsia="Amiri" w:cs="Amiri"/>
          <w:color w:val="111111"/>
          <w:sz w:val="28"/>
          <w:sz w:val="28"/>
          <w:szCs w:val="28"/>
          <w:rtl w:val="true"/>
          <w:lang w:bidi="ar-SA"/>
        </w:rPr>
        <w:t>أيضا، كما انّ زمانه في الحج يوم النحر كما تقدّم في نص ابن عمار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وقت له في العمرة، للإطلاقات، خصوصا مع عدم تعرض نص ابن عمار له في قبال الحج، المعيّن نحره في يوم العيد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الالتزام بجواز التأخير إلى آخر أيام التشريق، بناء على ما عرفت من جواز التأخير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ارادة ذلك من يوم النحر </w:t>
      </w:r>
      <w:r>
        <w:rPr>
          <w:rStyle w:val="FootnoteAnchor"/>
          <w:rtl w:val="true"/>
        </w:rPr>
        <w:footnoteReference w:id="951"/>
      </w:r>
      <w:r>
        <w:rPr>
          <w:rFonts w:ascii="Amiri" w:hAnsi="Amiri" w:eastAsia="Amiri" w:cs="Amiri"/>
          <w:color w:val="111111"/>
          <w:sz w:val="28"/>
          <w:sz w:val="28"/>
          <w:szCs w:val="28"/>
          <w:rtl w:val="true"/>
          <w:lang w:bidi="ar-SA"/>
        </w:rPr>
        <w:t>، و هو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فيحتاج اجراء حكم الهدي في كلية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مناط يجري في سياقه للإحلال، فإن تم إجماع على وحدة الزمانين فهو، و إلّا فللنظر فيه مجال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لا دعوى انصراف بلوغ الهدي محله في الآية و الكلمات، و معهودية زمان الذبح، الذي يكون في بعث الهدي اشارة إليه، إلى زمان كان متعارفا في الاجتزاء بذبح هديه، و هو ليس أيام التشريق،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في حكم إرسال الهدي بنفسه، إرسال قيمته عند عدمه، ليشتري بها الهدي فيذبح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يدل عليه ما في ذيل نص زرارة الآتية من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رأيت إن ردوا عليه دراهمه و لم يذبحوا عنه</w:t>
      </w:r>
      <w:r>
        <w:rPr>
          <w:rFonts w:eastAsia="Amiri" w:cs="Amiri" w:ascii="Amiri" w:hAnsi="Amiri"/>
          <w:color w:val="111111"/>
          <w:sz w:val="28"/>
          <w:szCs w:val="28"/>
          <w:rtl w:val="true"/>
          <w:lang w:bidi="ar-SA"/>
        </w:rPr>
        <w:t xml:space="preserve">» </w:t>
      </w:r>
      <w:r>
        <w:rPr>
          <w:rStyle w:val="FootnoteAnchor"/>
          <w:rtl w:val="true"/>
        </w:rPr>
        <w:footnoteReference w:id="9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حيث انه لا إطلاق فيه على وجه يزاحم إطلاق إرسال نفس الهدي، فالمتيقن منه صورة عدم تمكنه من نفسه، كما لا يخفى</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أيضا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إشكال في احتياج الإحلال في المقام، علاوة على الإرسال المزبور، الى التقصير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جملة من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التصريح به، و في الكلمات أيضا ظهور إطباقهم فيه، و به يمتاز المحصور عن المصدود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بعد العلم ببلوغ الهدي محله و ذبحه أحل من كل شي‌ء إلّا من النساء، و ذلك أيضا من أحد المميزات بين المصدود و المحصور، حيث إنّ في المصدود بمجرد الذبح في مكانه يحل عن كل شي‌ء حتى النساء دون المحصور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بعض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نص ابن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التصريح به في مقام بيان الفارق بين المصدود و المحصور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قضية الحسين عليه السالم أيضا التصريح بأنّ الحسين عليه السلام لما كان محصورا لم تحل له النساء، بخلاف النبي صلّى اللّٰه عليه و آله يوم الحديبية، فإنه كان مصدودا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عدم العمل ببعض فقرأته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أشرنا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ضائر بهذه الفقرة المعمول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يحج في القابل إن كان واجبا، أو يطاف طواف النساء عنه إن كان ندبا على المشهور بين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اقتضاء الإطلاقات الاحتياج في إحلال النساء له إلى طواف نفسه، إن تم قابلية المحل للاستنابة، إما مطلقا أو في زمان عجزه، فليكن الحكم في المقامين كذلك، لحكومة دليل الاستنابة على الإطلاقات، و إلّا فلا يثمر دليل الاستنابة في التحكيم، لعدم كونها مشرعة، فلا محيص عن طواف نفسه في المقامين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فالتفصيل المزبور فرع دعوى القابلية في الحج الندبي، و لو مع التمكن، دون الوجوبي و لو مع عجزه عنه 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إتمام ذلك فرع قيام إجماع في البين، فان تم فهو، و إلّا فمقتضى الأصل عدم مشروعية النيابة عند التمكن في هذه السنة، و مشروعيتها مع عدمه كذلك لمعهوديته في غير باب المحصور جزما، الجاري في المقام، بارتكاز أذهان المتشرعة، المحتاج في نفي ذلك في مقام الى الردع عنه بدليل متيقن</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حيث لم يكن في البين رادع، فبحكم الارتكاز يجري التفصيل المزبور في</w:t>
      </w:r>
      <w:bookmarkStart w:id="412" w:name="pg19818_204169"/>
    </w:p>
    <w:p>
      <w:pPr>
        <w:pStyle w:val="BookText"/>
        <w:rPr/>
      </w:pPr>
      <w:bookmarkEnd w:id="412"/>
      <w:r>
        <w:rPr>
          <w:rFonts w:ascii="Amiri" w:hAnsi="Amiri" w:eastAsia="Amiri" w:cs="Amiri"/>
          <w:color w:val="111111"/>
          <w:sz w:val="28"/>
          <w:sz w:val="28"/>
          <w:szCs w:val="28"/>
          <w:rtl w:val="true"/>
          <w:lang w:bidi="ar-SA"/>
        </w:rPr>
        <w:t>المقام أيضا، كما لا يخفى</w:t>
      </w:r>
      <w:r>
        <w:rPr>
          <w:rFonts w:eastAsia="Amiri" w:cs="Amiri" w:ascii="Amiri" w:hAnsi="Amiri"/>
          <w:color w:val="111111"/>
          <w:sz w:val="28"/>
          <w:szCs w:val="28"/>
          <w:rtl w:val="true"/>
          <w:lang w:bidi="ar-SA"/>
        </w:rPr>
        <w:t>.</w:t>
      </w:r>
    </w:p>
    <w:p>
      <w:pPr>
        <w:pStyle w:val="Heading5"/>
        <w:numPr>
          <w:ilvl w:val="4"/>
          <w:numId w:val="1"/>
        </w:numPr>
        <w:rPr/>
      </w:pPr>
      <w:bookmarkStart w:id="413" w:name="__RefHeading___Toc3320986_2314609296"/>
      <w:bookmarkStart w:id="414" w:name="_Toc151"/>
      <w:bookmarkEnd w:id="413"/>
      <w:r>
        <w:rPr>
          <w:rtl w:val="true"/>
        </w:rPr>
        <w:t>فرع</w:t>
      </w:r>
      <w:bookmarkEnd w:id="41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بان أنّ هديه لم يذبح بعد تحلله بخيال ذبحه، ففي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يبطل تحلله </w:t>
      </w:r>
      <w:r>
        <w:rPr>
          <w:rStyle w:val="FootnoteAnchor"/>
          <w:rtl w:val="true"/>
        </w:rPr>
        <w:footnoteReference w:id="9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الأصل فيه ما في صحيح ابن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ردوا الدراهم عليه و لم يجدوا هديا ينحرونه و قد أحل، لم يكن عليه شي‌ء</w:t>
      </w:r>
      <w:r>
        <w:rPr>
          <w:rFonts w:eastAsia="Amiri" w:cs="Amiri" w:ascii="Amiri" w:hAnsi="Amiri"/>
          <w:color w:val="111111"/>
          <w:sz w:val="28"/>
          <w:szCs w:val="28"/>
          <w:rtl w:val="true"/>
          <w:lang w:bidi="ar-SA"/>
        </w:rPr>
        <w:t xml:space="preserve">» </w:t>
      </w:r>
      <w:r>
        <w:rPr>
          <w:rStyle w:val="FootnoteAnchor"/>
          <w:rtl w:val="true"/>
        </w:rPr>
        <w:footnoteReference w:id="9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نصّ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المحصور يبعث بهديه فيعدهم يوما، فإذا بلغ الهدي أحل هذا في مكانه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 إن ردوا عليه دراهمه و لم يذبحوا عنه و قد أحل فأتى النساء؟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فليعد و ليس عليه شي‌ء، و ليمسك الآن عن النساء إذا بعث</w:t>
      </w:r>
      <w:r>
        <w:rPr>
          <w:rFonts w:eastAsia="Amiri" w:cs="Amiri" w:ascii="Amiri" w:hAnsi="Amiri"/>
          <w:color w:val="111111"/>
          <w:sz w:val="28"/>
          <w:szCs w:val="28"/>
          <w:rtl w:val="true"/>
          <w:lang w:bidi="ar-SA"/>
        </w:rPr>
        <w:t xml:space="preserve">» </w:t>
      </w:r>
      <w:r>
        <w:rPr>
          <w:rStyle w:val="FootnoteAnchor"/>
          <w:rtl w:val="true"/>
        </w:rPr>
        <w:footnoteReference w:id="955"/>
      </w:r>
      <w:r>
        <w:rPr>
          <w:rFonts w:ascii="Amiri" w:hAnsi="Amiri" w:eastAsia="Amiri" w:cs="Amiri"/>
          <w:color w:val="111111"/>
          <w:sz w:val="28"/>
          <w:sz w:val="28"/>
          <w:szCs w:val="28"/>
          <w:rtl w:val="true"/>
          <w:lang w:bidi="ar-SA"/>
        </w:rPr>
        <w:t>إذ الظاهر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أحل فأتى النساء،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عليه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الإحلال الحقيقي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 هذا النص كاف لإثبات الاجتزاء بمقتضى اعتقاده البلوغ لا باقتضاء الأمر الظاهري للإجزاء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المقام من صغريات الإحلال باعتقاده و لا يقول أحد في مثله بالاجزاء بمقتضى القاعدة، فالاجزاء بمثل هذا الإحلال الاعتقادي لا بد أن يكون بنص مخصوص، و استفادته من النص السابق، فرع حمل الإحلال في كلام السائل أو الامام على الإحلال الحقيقي، لا على الاعتقادي، بتقصيره بخيال بلوغ الهدي، الذي هو المدار أيضا في إحلاله واقعا</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يؤيد ذلك أمره بالإمساك عن النساء حتى يبعث هديا آخر، و ربما يتأخر عن زمان انكشاف الواقع بكثير، فلو لا ثبوت الإحلال الحقيقي، لما كان معنى لتأخير الإمساك عن زمان انكشافه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انّ تخصيص الأمر بالإمساك عن النساء، من باب كونه غالبا محل ابتلائه فعلا من المحرمات، و إلّا فالظاهر عدم خصوصية فيه، كما يشهد به إطلاق الإمساك في نص ابن عمار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لكن يبعث من قابل و يمسك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الظاهر منه رجوعه إلى إمساكه السابق قبل إحلاله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الإمساك المأمور به ليس من الأحكام التعبدية الثابتة على المحل، لبعد انصراف الذهن منه إليه، بل المغروس في الأذهان كون ذلك بمناط عود إحرامه، الموضوع لهذه المحرمات، و هذا الإحرام إن كان إحراما جديدا فيحتاج إلى نية جديدة، و النص آب عن إثبات هذه الجهة، بل الظاهر منه ترتب الإحرام على نفس البعث، فلا يناسب ذلك إلّا كونه باقتضاء إحرامه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فلا محيص عن التصرف، في ظهور النص، في كون وقت إحرامه وقت بعثه، بحمله على عزمه على بعثه، لا بعثه خارجا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يؤيده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فليمسك الآن عن النساء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الظاهر منه آن عزمه على الإعادة، و هو آن انكشاف الواقع لديه، و به يشرح ما في قوله في الرواية الأخرى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لكن يبعث في القابل و يمسك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بالحمل على تعلق الأمر بالإمساك من حين الرد للثمن، لا حين البعث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لازمة حمل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إحلاله باعتقاده، لا إحلاله واقعا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نفي الشي‌ء عنه أيضا محمول على نفي الإثم، بارتكابه المحرم من الإثم و الكفارة، لا نفي الشي‌ء في إحلاله حقيقة</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لعمري انّ هذا التوجيه في الرواية أولى من الالتزام بالإمساك تعبدا، للحمل حقيقة، أو جعل الأمر بإمساكه كناية عن الأمر بإحرامه جديدا بنية جديدة، من غير ميقاته و في منزله، إذ كل واحد منهما من البعد بمكان لا يصلح الالتزام به من أحد، بل هو خلاف المغروس في نوع الأذهان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لئن أبيت عما ذكرنا من الاستظهار، و لا أقل من تصادم الاحتمالات في النص، فيترتب عليه حكم الإجمال من تلك الجهة في النص، فيرجع الى استصحاب بقاء إحرامه واقعا، إلى أن يبلغ الهدي محله، و عدم وجود ما يصلح لاقتضاء مثل هذا الأمر الاعتقادي للأجزاء،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ظاهر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أحل في الميعاد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الإحلال بأسبابه، زائدا عن بلوغ الهدي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لا يقتضي ذلك عدم الاحتياج إلى التقصير أو الحلق، فلا يقتضي أيضا عدم الاحتياج إلى طواف النساء و لو بنائبه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فلا مجال لاستفادة الإحلال من النساء بمجرد بلوغ الهدي، كيف و لازمة كفاية البلوغ أيضا من الإحلال عن سائر الأمور أيضا بلا حلق أو تقصير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عليه فلا يصلح 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الرواية من هذه الجهة لحمله على إحرام العمرة المتمتع بها غير المحتاجة إلى طواف النساء، كيف و هو محتاج إلى التقصير قطعا، فكما انه يستفاد احتياج لزوم تقصيره من فرض إحلاله بسببه، كذلك يستفاد من أمر إحلاله في حجه أيضا بسببه الذي منه طواف النساء، فما في الجواهر من الاشكال و التوجيه </w:t>
      </w:r>
      <w:r>
        <w:rPr>
          <w:rStyle w:val="FootnoteAnchor"/>
          <w:rtl w:val="true"/>
        </w:rPr>
        <w:footnoteReference w:id="956"/>
      </w:r>
      <w:r>
        <w:rPr>
          <w:rFonts w:ascii="Amiri" w:hAnsi="Amiri" w:eastAsia="Amiri" w:cs="Amiri"/>
          <w:color w:val="111111"/>
          <w:sz w:val="28"/>
          <w:sz w:val="28"/>
          <w:szCs w:val="28"/>
          <w:rtl w:val="true"/>
          <w:lang w:bidi="ar-SA"/>
        </w:rPr>
        <w:t>في غير محله، فراجع و تأمل</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 الظاهر من نصوص شرطية بلوغ الهدي محله في المحصور، كون وقت إحلاله وقت ميعاد بلوغ هديه، لا وقت إرساله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إشكال في هذا المقدار بمقتضى النصوص، و إنما الإشكال في انّ البلوغ الواقعي في وقت الميعاد دخيل</w:t>
      </w:r>
    </w:p>
    <w:p>
      <w:pPr>
        <w:pStyle w:val="BookText"/>
        <w:rPr/>
      </w:pPr>
      <w:r>
        <w:rPr>
          <w:rFonts w:ascii="Amiri" w:hAnsi="Amiri" w:eastAsia="Amiri" w:cs="Amiri"/>
          <w:color w:val="111111"/>
          <w:sz w:val="28"/>
          <w:sz w:val="28"/>
          <w:szCs w:val="28"/>
          <w:rtl w:val="true"/>
          <w:lang w:bidi="ar-SA"/>
        </w:rPr>
        <w:t>في التحلل واقعا، أم تمام المدخلية هو مضي وقت الميعاد باعتقاده، و قد كان ذلك في المسألة السابقة محل إشكال، في استفادته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الجواهر جعل عنوان الكلام و البحث الجهة الاولى، ثم تممها بما يناسب الجهة الثانية </w:t>
      </w:r>
      <w:r>
        <w:rPr>
          <w:rStyle w:val="FootnoteAnchor"/>
          <w:rtl w:val="true"/>
        </w:rPr>
        <w:footnoteReference w:id="957"/>
      </w:r>
      <w:r>
        <w:rPr>
          <w:rFonts w:ascii="Amiri" w:hAnsi="Amiri" w:eastAsia="Amiri" w:cs="Amiri"/>
          <w:color w:val="111111"/>
          <w:sz w:val="28"/>
          <w:sz w:val="28"/>
          <w:szCs w:val="28"/>
          <w:rtl w:val="true"/>
          <w:lang w:bidi="ar-SA"/>
        </w:rPr>
        <w:t>، فراجع كلماته لعلك ترى عدم خلوه عن الخلط بين الجهتين،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بعث هديه و زال الحصر قبل التحلل التحق بأصحابه، فإن أدرك أحد الموقفين صح حجه، و إلّا فلا، بل يتحلل بعمرة مفردة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إشكال في الصورة الأولى، للأمر بإتمام حجه مع التمكن المفروض حصوله، و عدم شمول دليل الإحلال و الصبر الى القابل لمثل هذه الصورة جزما، علاوة على النص الوارد بالمضي في حجه إن وجد في نفسه خفة بعد بعث هديه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ذيله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قدم مكة و قد نحر هديه فإن عليه الحج</w:t>
      </w:r>
      <w:r>
        <w:rPr>
          <w:rFonts w:eastAsia="Amiri" w:cs="Amiri" w:ascii="Amiri" w:hAnsi="Amiri"/>
          <w:color w:val="111111"/>
          <w:sz w:val="28"/>
          <w:szCs w:val="28"/>
          <w:rtl w:val="true"/>
          <w:lang w:bidi="ar-SA"/>
        </w:rPr>
        <w:t xml:space="preserve">» </w:t>
      </w:r>
      <w:r>
        <w:rPr>
          <w:rStyle w:val="FootnoteAnchor"/>
          <w:rtl w:val="true"/>
        </w:rPr>
        <w:footnoteReference w:id="9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قد يستشكل في الفرض الثاني في صورة عدم زوال حصره إلى أن يفوت وقت الحج بفوت موقفيه و لو اضطرارا، على المختار من كفاية إحلاله الحصري، المتقوم ببلوغ الهدي محله، بضم تقصيره أو غيره، أو يحتاج إلى الإحلال بعمرة جديدة مفردة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مبنى المسألة هو إطلاق دليل الإحلال الحصري لمثل المورد و عدمه، فعلى الأول فلا يحتاج إلى العمرة الجديدة، بل يتحلل في ميعاد بلوغ الهدي بضمائمه</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الثاني يحتاج إلى عمرة جديدة، كما هو الشأن في كل من فاته الحج، حيث يتحلل بعمرة مفردة إجماعا و نصا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الجواهر دعوى عدم إطلاق في نصوص الباب، على وجه يشمل المقام </w:t>
      </w:r>
      <w:r>
        <w:rPr>
          <w:rStyle w:val="FootnoteAnchor"/>
          <w:rtl w:val="true"/>
        </w:rPr>
        <w:footnoteReference w:id="9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غرضه من انصراف إطلاق الباب إن كان انصرافه إلى كون بلوغ الهدي حين حصره، و هنا بعده، ففيه انّ طول مدة الميعاد ربما يبعد مثل هذا الانصراف، إذ في غالب الأمراض تحصل الإفاقة قبل الميعاد، فلا وجه لصرف الإطلاقات إلى الموارد النادرة، أو صرفها عن الموارد الكثيرة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تمامية الإطلاق من تلك الجهة لا يبقى في البين، إلّا دعوى صرفها إلى صورة الشك في الفوت حين الميعاد، و من المعلوم أنّ ذلك يوجب خروج العلم بالدرك عن تحت الإطلاقات، لا خروج صورة العلم بالفوت، بل مثل هذه الصورة حينئذ داخلة في الإطلاقات بالفحوى، فلا وجه حينئذ لدعوى صرفها عن مثل المقام،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فلا قصور في شمول إطلاق إحلاله الحصري لمثل المقام، بلا احتياج إلى الإحلال بعمرة جديدة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علم بعد فوت الحج حين الميعاد، يشكل إحلاله، لما عرفت من إمكان دعوى انصراف الإطلاقات عن مثل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يستشكل في بعض مراتب الفوت في انصراف الإطلاق عنه، مثل فوت اختياري الوقوفين، فضلا عن فوت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لا شمول إطلاق الأمر بالمضي في النص بمحض الإفاقة لصورة التمكن من إتيان الحج صحيحا، و لو بتحصيل اضطراريهما أو أحدهما، على مذهب أبي علي، كان لإطلاق دليل الحصر مجال</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يمكن التشكيك فيه أيضا، لأنّ إجمال مراتب الانصراف، حيث كان من قبيل القرائن الحافة، كانت موجبة لإجماله الموجب للرجوع الى استصحاب</w:t>
      </w:r>
      <w:bookmarkStart w:id="415" w:name="pg19818_204174"/>
    </w:p>
    <w:p>
      <w:pPr>
        <w:pStyle w:val="BookText"/>
        <w:rPr/>
      </w:pPr>
      <w:bookmarkEnd w:id="415"/>
      <w:r>
        <w:rPr>
          <w:rFonts w:ascii="Amiri" w:hAnsi="Amiri" w:eastAsia="Amiri" w:cs="Amiri"/>
          <w:color w:val="111111"/>
          <w:sz w:val="28"/>
          <w:sz w:val="28"/>
          <w:szCs w:val="28"/>
          <w:rtl w:val="true"/>
          <w:lang w:bidi="ar-SA"/>
        </w:rPr>
        <w:t>عدم إحلاله إلّا بعمرة مفردة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أيضا بعد دعوى أنّ الأمر بالإحلال الحصري كالصّدي لمحض الرخصة، لدفع توهم الحظر لا العزيمة، كي يوجب التشكيك حينئذ في محللية العمرة أيضا،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من التأمل فيما ذكرنا ظهر الإشكال في إطلاق كلام المصنف أيضا في طرفي عقدي المسألة، و اللّٰه العالم</w:t>
      </w:r>
      <w:r>
        <w:rPr>
          <w:rFonts w:eastAsia="Amiri" w:cs="Amiri" w:ascii="Amiri" w:hAnsi="Amiri"/>
          <w:color w:val="111111"/>
          <w:sz w:val="28"/>
          <w:szCs w:val="28"/>
          <w:rtl w:val="true"/>
          <w:lang w:bidi="ar-SA"/>
        </w:rPr>
        <w:t>.</w:t>
      </w:r>
    </w:p>
    <w:p>
      <w:pPr>
        <w:pStyle w:val="Heading5"/>
        <w:numPr>
          <w:ilvl w:val="4"/>
          <w:numId w:val="1"/>
        </w:numPr>
        <w:rPr/>
      </w:pPr>
      <w:bookmarkStart w:id="416" w:name="__RefHeading___Toc3320988_2314609296"/>
      <w:bookmarkStart w:id="417" w:name="_Toc152"/>
      <w:bookmarkEnd w:id="416"/>
      <w:r>
        <w:rPr>
          <w:rtl w:val="true"/>
        </w:rPr>
        <w:t>بقي في المقام فرع هو خاتمة كتاب الحج، و هو أنّ مقتضى جملة من النصوص وجوب إتيان القارن المحل بالاحصار بمثل ما أحل منه</w:t>
      </w:r>
      <w:bookmarkEnd w:id="417"/>
    </w:p>
    <w:p>
      <w:pPr>
        <w:pStyle w:val="BookText"/>
        <w:rPr/>
      </w:pPr>
      <w:r>
        <w:rPr>
          <w:rFonts w:ascii="Amiri" w:hAnsi="Amiri" w:eastAsia="Amiri" w:cs="Amiri"/>
          <w:color w:val="111111"/>
          <w:sz w:val="28"/>
          <w:sz w:val="28"/>
          <w:szCs w:val="28"/>
          <w:rtl w:val="true"/>
          <w:lang w:bidi="ar-SA"/>
        </w:rPr>
        <w:t>من أنحاء حجة، بل في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يتمتع في قابل؟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 لكن يدخل في مثل ما خرج منه</w:t>
      </w:r>
      <w:r>
        <w:rPr>
          <w:rFonts w:eastAsia="Amiri" w:cs="Amiri" w:ascii="Amiri" w:hAnsi="Amiri"/>
          <w:color w:val="111111"/>
          <w:sz w:val="28"/>
          <w:szCs w:val="28"/>
          <w:rtl w:val="true"/>
          <w:lang w:bidi="ar-SA"/>
        </w:rPr>
        <w:t xml:space="preserve">» </w:t>
      </w:r>
      <w:r>
        <w:rPr>
          <w:rStyle w:val="FootnoteAnchor"/>
          <w:rtl w:val="true"/>
        </w:rPr>
        <w:footnoteReference w:id="960"/>
      </w:r>
      <w:r>
        <w:rPr>
          <w:rFonts w:ascii="Amiri" w:hAnsi="Amiri" w:eastAsia="Amiri" w:cs="Amiri"/>
          <w:color w:val="111111"/>
          <w:sz w:val="28"/>
          <w:sz w:val="28"/>
          <w:szCs w:val="28"/>
          <w:rtl w:val="true"/>
          <w:lang w:bidi="ar-SA"/>
        </w:rPr>
        <w:t>، و ظاهر الأمر كونه بنحو العزيمة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توهم طرح النصوص و التمسك بأصالة التخيير الثابت من الأول، منظور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شمول الإطلاق لصورة تعيين غيره، الذي عدل إلى القران للضرورة إشكال، للشك في اندراج مثل هذه الصورة تحت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لكن يدخل في مثل ما خرج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اللازم حفظ المماثلة بين الخارج و الداخل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لا يضره اختصاص مورده بالقارن، فيتعدّى إلى غيره أيضا، كما لا يخفى</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مقتضى إطلاق النصوص عدم الفرق بين كون الداخل فيه أولا واجبا أم ندبا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توهم سوقها في مورد لا بد من إعادته، فيختص بالواجب، منظور فيه، بل غاية ما فيها هو السؤال عن إعادتها تمتعا، لا عن إعادتها الواجبة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فلا وجه لتخصيص النصوص بالحج الواجب، كما يظهر من الشرائع،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ندبا حج بما شاء من أنواعه </w:t>
      </w:r>
      <w:r>
        <w:rPr>
          <w:rStyle w:val="FootnoteAnchor"/>
          <w:rtl w:val="true"/>
        </w:rPr>
        <w:footnoteReference w:id="9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الجواهر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مجرد الندبية لا يقتضي نفي وجوب المماثلة، على فرض ارادة القضاء </w:t>
      </w:r>
      <w:r>
        <w:rPr>
          <w:rStyle w:val="FootnoteAnchor"/>
          <w:rtl w:val="true"/>
        </w:rPr>
        <w:footnoteReference w:id="9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حينئذ فما أفيد في الشرائع لا يخلو عن اشكال، كما لا يخفى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الحمد للّٰه أولا و آخرا، و ظاهرا و باطنا</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تم كتاب الحج في السابع من ربيع المولود سنة ألف و ثلاثمائة و واحدة و أربعين سنة </w:t>
      </w:r>
      <w:r>
        <w:rPr>
          <w:rFonts w:eastAsia="Amiri" w:cs="Amiri" w:ascii="Amiri" w:hAnsi="Amiri"/>
          <w:color w:val="111111"/>
          <w:sz w:val="28"/>
          <w:szCs w:val="28"/>
          <w:lang w:bidi="ar-SA"/>
        </w:rPr>
        <w:t>1341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الهجرة، على يد الأقل ضياء الدين بن محمد العراقي عفي عنهما، و أسأل اللّٰه التوفيق لإتمام بقية الكتب، حامدا راجيا و مصليا</w:t>
      </w:r>
      <w:r>
        <w:rPr>
          <w:rFonts w:eastAsia="Amiri" w:cs="Amiri" w:ascii="Amiri" w:hAnsi="Amiri"/>
          <w:color w:val="111111"/>
          <w:sz w:val="28"/>
          <w:szCs w:val="28"/>
          <w:rtl w:val="true"/>
          <w:lang w:bidi="ar-SA"/>
        </w:rPr>
        <w:t>.</w:t>
      </w:r>
      <w:bookmarkStart w:id="418" w:name="pg19818_204177"/>
    </w:p>
    <w:p>
      <w:pPr>
        <w:pStyle w:val="Heading2"/>
        <w:numPr>
          <w:ilvl w:val="1"/>
          <w:numId w:val="1"/>
        </w:numPr>
        <w:rPr/>
      </w:pPr>
      <w:bookmarkStart w:id="419" w:name="__RefHeading___Toc3320990_2314609296"/>
      <w:bookmarkStart w:id="420" w:name="_Toc153"/>
      <w:bookmarkEnd w:id="418"/>
      <w:bookmarkEnd w:id="419"/>
      <w:r>
        <w:rPr>
          <w:rtl w:val="true"/>
        </w:rPr>
        <w:t>كتاب الجهاد</w:t>
      </w:r>
      <w:bookmarkEnd w:id="420"/>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21" w:name="__RefHeading___Toc3320992_2314609296"/>
      <w:bookmarkStart w:id="422" w:name="_Toc154"/>
      <w:bookmarkEnd w:id="421"/>
      <w:r>
        <w:rPr>
          <w:rtl w:val="true"/>
        </w:rPr>
        <w:t>اشارة</w:t>
      </w:r>
      <w:bookmarkEnd w:id="422"/>
    </w:p>
    <w:p>
      <w:pPr>
        <w:pStyle w:val="BookText"/>
        <w:rPr/>
      </w:pPr>
      <w:r>
        <w:rPr>
          <w:rFonts w:ascii="Amiri" w:hAnsi="Amiri" w:eastAsia="Amiri" w:cs="Amiri"/>
          <w:color w:val="111111"/>
          <w:sz w:val="28"/>
          <w:sz w:val="28"/>
          <w:szCs w:val="28"/>
          <w:rtl w:val="true"/>
          <w:lang w:bidi="ar-SA"/>
        </w:rPr>
        <w:t>كتاب الجهاد و هو من الجهد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المشقة، و بالضم بمعنى الوسع و الطاقة، و أطلق بالعناية على بذل النفس و المال و تهيئة سائر المقدمات لإعلاء كلمة الحق و الإسلام، و اقامة شعائر الدين و الايمان، و هو باب من أبواب الجنة، و أفضل الأشياء بعد الفرائض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عقد في الوسائل بابا لوجوب الجهاد على الكفاية، و فيه قول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الخير كله في السيف، و تحت ظل السيف، و لا يقيم الناس إلّا السيف</w:t>
      </w:r>
      <w:r>
        <w:rPr>
          <w:rFonts w:eastAsia="Amiri" w:cs="Amiri" w:ascii="Amiri" w:hAnsi="Amiri"/>
          <w:color w:val="111111"/>
          <w:sz w:val="28"/>
          <w:szCs w:val="28"/>
          <w:rtl w:val="true"/>
          <w:lang w:bidi="ar-SA"/>
        </w:rPr>
        <w:t xml:space="preserve">» </w:t>
      </w:r>
      <w:r>
        <w:rPr>
          <w:rStyle w:val="FootnoteAnchor"/>
          <w:rtl w:val="true"/>
        </w:rPr>
        <w:footnoteReference w:id="9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عقد أيضا بابا لوجوب الجهاد على الرجل دون المرأة، و فيه قول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 اللّٰه الجهاد على الرجال و النساء، فجهاد الرجل بذل ماله و نفسه حتى يقتل في سبيل اللّٰه، و جهاد المرأة أن تصبر على ما ترى من أذى زوجها و غيرته</w:t>
      </w:r>
      <w:r>
        <w:rPr>
          <w:rFonts w:eastAsia="Amiri" w:cs="Amiri" w:ascii="Amiri" w:hAnsi="Amiri"/>
          <w:color w:val="111111"/>
          <w:sz w:val="28"/>
          <w:szCs w:val="28"/>
          <w:rtl w:val="true"/>
          <w:lang w:bidi="ar-SA"/>
        </w:rPr>
        <w:t xml:space="preserve">» </w:t>
      </w:r>
      <w:r>
        <w:rPr>
          <w:rStyle w:val="FootnoteAnchor"/>
          <w:rtl w:val="true"/>
        </w:rPr>
        <w:footnoteReference w:id="964"/>
      </w:r>
      <w:r>
        <w:rPr>
          <w:rFonts w:eastAsia="Times New Roman" w:cs="Times New Roman" w:ascii="Times New Roman" w:hAnsi="Times New Roman"/>
          <w:color w:val="111111"/>
          <w:sz w:val="28"/>
          <w:szCs w:val="28"/>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بابا لكفر منكريه و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جحدها، أو جحد واحدا منها، أو شيئا من سيرها، أو أحكامها فقد كفر بما أنزل اللّٰه على محمد 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965"/>
      </w:r>
      <w:r>
        <w:rPr>
          <w:rFonts w:eastAsia="Times New Roman" w:cs="Times New Roman" w:ascii="Times New Roman" w:hAnsi="Times New Roman"/>
          <w:color w:val="111111"/>
          <w:sz w:val="28"/>
          <w:szCs w:val="28"/>
          <w:rtl w:val="true"/>
          <w:lang w:val="en-US" w:bidi="en-US"/>
        </w:rPr>
        <w:t>.</w:t>
      </w:r>
      <w:bookmarkStart w:id="423" w:name="pg19818_204179"/>
    </w:p>
    <w:p>
      <w:pPr>
        <w:pStyle w:val="BookText"/>
        <w:rPr/>
      </w:pPr>
      <w:bookmarkEnd w:id="423"/>
      <w:r>
        <w:rPr>
          <w:rFonts w:ascii="Amiri" w:hAnsi="Amiri" w:eastAsia="Amiri" w:cs="Amiri"/>
          <w:color w:val="111111"/>
          <w:sz w:val="28"/>
          <w:sz w:val="28"/>
          <w:szCs w:val="28"/>
          <w:rtl w:val="true"/>
          <w:lang w:bidi="ar-SA"/>
        </w:rPr>
        <w:t>ثم إنّ الجهاد تارة بالهجوم على العدو ابتداء لإعلاء كلمة الإسلام، و اخرى بالدفاع عن حوزة المسلمين في الجهة المذكورة، و من ثم سمّي الثاني دفاعا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دفع من يريد قتل نفس محترمة، أو أخذ مال محترم، أو سبي حريم فهو دفاع، لكن لا يسمّى جهادا اصطلاحا، و سيأتي حكمه إن شاء اللّٰه في كتاب الحدود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فموضوع البحث في المقام هو الجهاد بالمعنى السابق، و قد عرفت أنه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عبارة عن مقاتلة العدو ابتداء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المقصود من قوله تعالى كُتِبَ عَلَيْكُمُ الْقِتٰالُ </w:t>
      </w:r>
      <w:r>
        <w:rPr>
          <w:rStyle w:val="FootnoteAnchor"/>
          <w:rtl w:val="true"/>
        </w:rPr>
        <w:footnoteReference w:id="966"/>
      </w:r>
      <w:r>
        <w:rPr>
          <w:rFonts w:ascii="Amiri" w:hAnsi="Amiri" w:eastAsia="Amiri" w:cs="Amiri"/>
          <w:color w:val="111111"/>
          <w:sz w:val="28"/>
          <w:sz w:val="28"/>
          <w:szCs w:val="28"/>
          <w:rtl w:val="true"/>
          <w:lang w:bidi="ar-SA"/>
        </w:rPr>
        <w:t>الظاهر من إطلاقه، المستلزم لوجوب الهجوم عليهم بدوا</w:t>
      </w:r>
      <w:r>
        <w:rPr>
          <w:rFonts w:eastAsia="Amiri" w:cs="Amiri" w:ascii="Amiri" w:hAnsi="Amiri"/>
          <w:color w:val="111111"/>
          <w:sz w:val="28"/>
          <w:szCs w:val="28"/>
          <w:rtl w:val="true"/>
          <w:lang w:bidi="ar-SA"/>
        </w:rPr>
        <w:t>.</w:t>
      </w:r>
    </w:p>
    <w:p>
      <w:pPr>
        <w:pStyle w:val="Heading3"/>
        <w:numPr>
          <w:ilvl w:val="2"/>
          <w:numId w:val="1"/>
        </w:numPr>
        <w:rPr/>
      </w:pPr>
      <w:bookmarkStart w:id="424" w:name="__RefHeading___Toc3320994_2314609296"/>
      <w:bookmarkStart w:id="425" w:name="_Toc155"/>
      <w:bookmarkEnd w:id="424"/>
      <w:r>
        <w:rPr>
          <w:rtl w:val="true"/>
        </w:rPr>
        <w:t>و فيه فصول</w:t>
      </w:r>
      <w:bookmarkEnd w:id="425"/>
    </w:p>
    <w:p>
      <w:pPr>
        <w:pStyle w:val="Heading4"/>
        <w:numPr>
          <w:ilvl w:val="3"/>
          <w:numId w:val="1"/>
        </w:numPr>
        <w:rPr/>
      </w:pPr>
      <w:bookmarkStart w:id="426" w:name="__RefHeading___Toc3320996_2314609296"/>
      <w:bookmarkStart w:id="427" w:name="_Toc156"/>
      <w:bookmarkEnd w:id="426"/>
      <w:r>
        <w:rPr>
          <w:rtl w:val="true"/>
        </w:rPr>
        <w:t>الفصل الأول</w:t>
      </w:r>
      <w:r>
        <w:rPr>
          <w:rtl w:val="true"/>
        </w:rPr>
        <w:t xml:space="preserve">: </w:t>
      </w:r>
      <w:r>
        <w:rPr>
          <w:rtl w:val="true"/>
        </w:rPr>
        <w:t>في من يجب عليه،</w:t>
      </w:r>
      <w:bookmarkEnd w:id="427"/>
    </w:p>
    <w:p>
      <w:pPr>
        <w:pStyle w:val="Heading5"/>
        <w:numPr>
          <w:ilvl w:val="4"/>
          <w:numId w:val="1"/>
        </w:numPr>
        <w:rPr/>
      </w:pPr>
      <w:bookmarkStart w:id="428" w:name="__RefHeading___Toc3320998_2314609296"/>
      <w:bookmarkStart w:id="429" w:name="_Toc157"/>
      <w:bookmarkEnd w:id="428"/>
      <w:r>
        <w:rPr>
          <w:rtl w:val="true"/>
        </w:rPr>
        <w:t>اشارة</w:t>
      </w:r>
      <w:bookmarkEnd w:id="429"/>
    </w:p>
    <w:p>
      <w:pPr>
        <w:pStyle w:val="BookText"/>
        <w:rPr/>
      </w:pPr>
      <w:r>
        <w:rPr>
          <w:rFonts w:ascii="Amiri" w:hAnsi="Amiri" w:eastAsia="Amiri" w:cs="Amiri"/>
          <w:color w:val="111111"/>
          <w:sz w:val="28"/>
          <w:sz w:val="28"/>
          <w:szCs w:val="28"/>
          <w:rtl w:val="true"/>
          <w:lang w:bidi="ar-SA"/>
        </w:rPr>
        <w:t>و هو بلا اشكال فرض على الكفاية مع عدم الاحتياج إلى أزيد من جهاد طائفة منهم غير المنافي لوجوبه على الجميع، في مقام احتياجهم إلى الاستمداد منهم، و لا لوجوبه على شخص خاص إذا أمره الوالي و لو لمصلحة الوقت</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يدل عليه قول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الجهاد فرض على جميع المسلمين، لقول اللّٰه عز و جل كُتِبَ عَلَيْكُمُ الْقِتٰالُ، فإن قامت بالجهاد طائفة من المسلمين وسع سائرهم التخلف عنه ما لم يحتج الذين يلون الجهاد إلى المدد، فإن احتاجوا لزم الجميع أن يمدوا حتى يكتفوا، قال اللّٰه عزّ و جل وَ مٰا كٰانَ الْمُؤْمِنُونَ لِيَنْفِرُوا كَافَّةً </w:t>
      </w:r>
      <w:r>
        <w:rPr>
          <w:rStyle w:val="FootnoteAnchor"/>
          <w:rtl w:val="true"/>
        </w:rPr>
        <w:footnoteReference w:id="967"/>
      </w:r>
      <w:r>
        <w:rPr>
          <w:rFonts w:ascii="Amiri" w:hAnsi="Amiri" w:eastAsia="Amiri" w:cs="Amiri"/>
          <w:color w:val="111111"/>
          <w:sz w:val="28"/>
          <w:sz w:val="28"/>
          <w:szCs w:val="28"/>
          <w:rtl w:val="true"/>
          <w:lang w:bidi="ar-SA"/>
        </w:rPr>
        <w:t>، و إن دهم أمر يحتاج فيه إلى جماعتهم</w:t>
      </w:r>
    </w:p>
    <w:p>
      <w:pPr>
        <w:pStyle w:val="BookText"/>
        <w:rPr/>
      </w:pPr>
      <w:r>
        <w:rPr>
          <w:rFonts w:ascii="Amiri" w:hAnsi="Amiri" w:eastAsia="Amiri" w:cs="Amiri"/>
          <w:color w:val="111111"/>
          <w:sz w:val="28"/>
          <w:sz w:val="28"/>
          <w:szCs w:val="28"/>
          <w:rtl w:val="true"/>
          <w:lang w:bidi="ar-SA"/>
        </w:rPr>
        <w:t xml:space="preserve">نفروا كلهم، قال اللّٰه تعالى انْفِرُوا خِفٰافاً وَ ثِقٰالًا وَ جٰاهِدُوا بِأَمْوٰالِكُمْ وَ أَنْفُسِكُمْ فِي سَبِيلِ اللّٰهِ </w:t>
      </w:r>
      <w:r>
        <w:rPr>
          <w:rStyle w:val="FootnoteAnchor"/>
          <w:rtl w:val="true"/>
        </w:rPr>
        <w:footnoteReference w:id="96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يدل على الكفاية أيضا ما ورد بتفضيل المجاهدين على القاعدين درجة </w:t>
      </w:r>
      <w:r>
        <w:rPr>
          <w:rStyle w:val="FootnoteAnchor"/>
          <w:rtl w:val="true"/>
        </w:rPr>
        <w:footnoteReference w:id="970"/>
      </w:r>
      <w:r>
        <w:rPr>
          <w:rFonts w:ascii="Amiri" w:hAnsi="Amiri" w:eastAsia="Amiri" w:cs="Amiri"/>
          <w:color w:val="111111"/>
          <w:sz w:val="28"/>
          <w:sz w:val="28"/>
          <w:szCs w:val="28"/>
          <w:rtl w:val="true"/>
          <w:lang w:bidi="ar-SA"/>
        </w:rPr>
        <w:t>، و مثل هذه النصوص تشرح ما يوهم وجوبه على الأعيان، بحمله على اقتضاء الوجوب المنافي لعدمه فعلا على البقية، عند قيام من به الكفاية، حسب مراتب قوة المشركين و ضعفهم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ربما يستفاد من مثل هذا البيان أصل مشروعيته لكل أحد، حتى مع وجود من به الكفاية و قيامهم به، كما هو ظاهر السعة في التخلف عما أمروا، إذ غايته الاقتضاء مع بقاء العموم في صدره على لزومه، فيبقى ظهوره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مع ملاحظة بقية العمومات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عموم المشروعية بحالها،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بعض الأعاظم دعوى الإجماع على وجوبه في كل سنة مرة، و قد يستدل له بعموم تعليق الوجوب على انسلاخ أشهر الحرم، بتقريب انّ عموم التعليق يقتضي تجدد الوجوب بتجدد الانسلاخ، كما أنّ طبيعة المعلق تقتضي الإجزاء بصرف وجوده المنطبق على وجود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الأمر بالقتال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منوطا بالانسلاخ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لدفع توهم الحظر، لا للإيجاب كي يستفاد منه تكرر الوجوب بالانسلاخ، و العمدة فيه الإجماع المزبور</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لا إشكال في حرمة الجهاد بهذا المعنى في الأشهر الحرم،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رجب</w:t>
      </w:r>
    </w:p>
    <w:p>
      <w:pPr>
        <w:pStyle w:val="BookText"/>
        <w:rPr/>
      </w:pPr>
      <w:r>
        <w:rPr>
          <w:rFonts w:ascii="Amiri" w:hAnsi="Amiri" w:eastAsia="Amiri" w:cs="Amiri"/>
          <w:color w:val="111111"/>
          <w:sz w:val="28"/>
          <w:sz w:val="28"/>
          <w:szCs w:val="28"/>
          <w:rtl w:val="true"/>
          <w:lang w:bidi="ar-SA"/>
        </w:rPr>
        <w:t xml:space="preserve">و ذو القعدة، و ذو الحجة، و محرم، للآية الشريفة </w:t>
      </w:r>
      <w:r>
        <w:rPr>
          <w:rStyle w:val="FootnoteAnchor"/>
          <w:rtl w:val="true"/>
        </w:rPr>
        <w:footnoteReference w:id="9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إنه يحرم في الحرم أيضا، لأنّ من دخله كان آمنا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لقوله تعالى وَ لٰا تُقٰاتِلُوهُمْ عِنْدَ الْمَسْجِدِ الْحَرٰامِ حَتّٰى يُقٰاتِلُوكُمْ فِيهِ، فَإِنْ قٰاتَلُوكُمْ فَاقْتُلُوهُمْ </w:t>
      </w:r>
      <w:r>
        <w:rPr>
          <w:rStyle w:val="FootnoteAnchor"/>
          <w:rtl w:val="true"/>
        </w:rPr>
        <w:footnoteReference w:id="972"/>
      </w:r>
      <w:r>
        <w:rPr>
          <w:rFonts w:ascii="Amiri" w:hAnsi="Amiri" w:eastAsia="Amiri" w:cs="Amiri"/>
          <w:color w:val="111111"/>
          <w:sz w:val="28"/>
          <w:sz w:val="28"/>
          <w:szCs w:val="28"/>
          <w:rtl w:val="true"/>
          <w:lang w:bidi="ar-SA"/>
        </w:rPr>
        <w:t xml:space="preserve">و زعم بعض العامة نسخ الآيتين بعموم فَاقْتُلُوا الْمُشْرِكِينَ حَيْثُ وَجَدْتُمُوهُمْ </w:t>
      </w:r>
      <w:r>
        <w:rPr>
          <w:rStyle w:val="FootnoteAnchor"/>
          <w:rtl w:val="true"/>
        </w:rPr>
        <w:footnoteReference w:id="9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الشرائع أيضا الاعتراف به في المكان </w:t>
      </w:r>
      <w:r>
        <w:rPr>
          <w:rStyle w:val="FootnoteAnchor"/>
          <w:rtl w:val="true"/>
        </w:rPr>
        <w:footnoteReference w:id="974"/>
      </w:r>
      <w:r>
        <w:rPr>
          <w:rFonts w:ascii="Amiri" w:hAnsi="Amiri" w:eastAsia="Amiri" w:cs="Amiri"/>
          <w:color w:val="111111"/>
          <w:sz w:val="28"/>
          <w:sz w:val="28"/>
          <w:szCs w:val="28"/>
          <w:rtl w:val="true"/>
          <w:lang w:bidi="ar-SA"/>
        </w:rPr>
        <w:t xml:space="preserve">، خلافا للعلّامة في التذكرة </w:t>
      </w:r>
      <w:r>
        <w:rPr>
          <w:rStyle w:val="FootnoteAnchor"/>
          <w:rtl w:val="true"/>
        </w:rPr>
        <w:footnoteReference w:id="975"/>
      </w:r>
      <w:r>
        <w:rPr>
          <w:rFonts w:ascii="IRNazanin" w:hAnsi="IRNazanin" w:eastAsia="IRNazanin"/>
          <w:color w:val="111111"/>
          <w:sz w:val="28"/>
          <w:sz w:val="28"/>
          <w:szCs w:val="28"/>
          <w:rtl w:val="true"/>
          <w:lang w:bidi="fa-IR"/>
        </w:rPr>
        <w:t xml:space="preserve">و المنتهى </w:t>
      </w:r>
      <w:r>
        <w:rPr>
          <w:rStyle w:val="FootnoteAnchor"/>
          <w:rtl w:val="true"/>
        </w:rPr>
        <w:footnoteReference w:id="9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الأقوى ما عن العلّامة، لأنّ المقام من باب دوران الأمر بين النسخ و التخصيص، و التخصيص أولى من النسخ، لأنّ النسخ نحو تصرّف في الجهة، و التخصيص نحو تصرّف في الدلالة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بناء الأصحاب تبعا للعرف على تقديم التصرف الدلالي على الجهة، و لذا يقدّم عندهم الجمع العرفي على الحمل على التقية</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لعل عمدة النكتة في ذلك هو أنّ في الحمل على التقية طرح للسند تماما، بخلاف التخصيص، لأنه يبقى السند في الدلالة على العموم بحاله بالنسبة إلى ما بقي تحته، فعموم التعذر بالعمل بالسند فيهما يقتضي الأخذ بهما في الزائد عن مقدار المعارضة، كما لا يخفى</w:t>
      </w:r>
      <w:r>
        <w:rPr>
          <w:rFonts w:eastAsia="Amiri" w:cs="Amiri" w:ascii="Amiri" w:hAnsi="Amiri"/>
          <w:color w:val="111111"/>
          <w:sz w:val="28"/>
          <w:szCs w:val="28"/>
          <w:rtl w:val="true"/>
          <w:lang w:bidi="ar-SA"/>
        </w:rPr>
        <w:t>.</w:t>
      </w:r>
      <w:bookmarkStart w:id="430" w:name="pg19818_204182"/>
    </w:p>
    <w:p>
      <w:pPr>
        <w:pStyle w:val="BookText"/>
        <w:rPr/>
      </w:pPr>
      <w:bookmarkEnd w:id="430"/>
      <w:r>
        <w:rPr>
          <w:rFonts w:ascii="Amiri" w:hAnsi="Amiri" w:eastAsia="Amiri" w:cs="Amiri"/>
          <w:color w:val="111111"/>
          <w:sz w:val="28"/>
          <w:sz w:val="28"/>
          <w:szCs w:val="28"/>
          <w:rtl w:val="true"/>
          <w:lang w:bidi="ar-SA"/>
        </w:rPr>
        <w:t>ثم إنّ حرمة القتال في الأشهر الحرم أو في الحرم، إنما هو في من يرى لأشهر الحرم و الحرم حرمة، و إلّا فصريح العلّامة جواز قتالهم، لقوله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الْحُرُمٰاتُ قِصٰاصٌ، فَمَنِ اعْتَدىٰ عَلَيْكُمْ فَاعْتَدُوا عَلَيْهِ </w:t>
      </w:r>
      <w:r>
        <w:rPr>
          <w:rStyle w:val="FootnoteAnchor"/>
          <w:rtl w:val="true"/>
        </w:rPr>
        <w:footnoteReference w:id="977"/>
      </w:r>
      <w:r>
        <w:rPr>
          <w:rFonts w:ascii="Amiri" w:hAnsi="Amiri" w:eastAsia="Amiri" w:cs="Amiri"/>
          <w:color w:val="111111"/>
          <w:sz w:val="28"/>
          <w:sz w:val="28"/>
          <w:szCs w:val="28"/>
          <w:rtl w:val="true"/>
          <w:lang w:bidi="ar-SA"/>
        </w:rPr>
        <w:t xml:space="preserve">و لخبر العلاء بن الفضيل </w:t>
      </w:r>
      <w:r>
        <w:rPr>
          <w:rStyle w:val="FootnoteAnchor"/>
          <w:rtl w:val="true"/>
        </w:rPr>
        <w:footnoteReference w:id="978"/>
      </w:r>
      <w:r>
        <w:rPr>
          <w:rFonts w:ascii="Amiri" w:hAnsi="Amiri" w:eastAsia="Amiri" w:cs="Amiri"/>
          <w:color w:val="111111"/>
          <w:sz w:val="28"/>
          <w:sz w:val="28"/>
          <w:szCs w:val="28"/>
          <w:rtl w:val="true"/>
          <w:lang w:bidi="ar-SA"/>
        </w:rPr>
        <w:t xml:space="preserve">، مؤيدا بما ورد في سبب نزول الآية الشريفة، بعد عدم الفصل بين الأشهر الحرم و الحرم في ذلك </w:t>
      </w:r>
      <w:r>
        <w:rPr>
          <w:rStyle w:val="FootnoteAnchor"/>
          <w:rtl w:val="true"/>
        </w:rPr>
        <w:footnoteReference w:id="979"/>
      </w:r>
      <w:r>
        <w:rPr>
          <w:rFonts w:ascii="Amiri" w:hAnsi="Amiri" w:eastAsia="Amiri" w:cs="Amiri"/>
          <w:color w:val="111111"/>
          <w:sz w:val="28"/>
          <w:sz w:val="28"/>
          <w:szCs w:val="28"/>
          <w:rtl w:val="true"/>
          <w:lang w:bidi="ar-SA"/>
        </w:rPr>
        <w:t>، كما لا يخفى على من لاحظ الكلمات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الجهاد بالمعنى الأخص، لانصراف الدليل إليه، و إلّا ففي الدفاع مهما هجموا يجب دفعهم، لإطلاق دليله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علاوة على أهمية حفظ بيضة الإسلام و المسلمين عن احترام أمثال هذه الأزمنة و الأمكنة،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كيف كان فيجب الجهاد كفاية</w:t>
      </w:r>
    </w:p>
    <w:p>
      <w:pPr>
        <w:pStyle w:val="Heading5"/>
        <w:numPr>
          <w:ilvl w:val="4"/>
          <w:numId w:val="1"/>
        </w:numPr>
        <w:rPr/>
      </w:pPr>
      <w:bookmarkStart w:id="431" w:name="__RefHeading___Toc3321000_2314609296"/>
      <w:bookmarkStart w:id="432" w:name="_Toc158"/>
      <w:bookmarkEnd w:id="431"/>
      <w:r>
        <w:rPr>
          <w:rtl w:val="true"/>
        </w:rPr>
        <w:t>بشروط تسعة</w:t>
      </w:r>
      <w:r>
        <w:rPr>
          <w:rtl w:val="true"/>
        </w:rPr>
        <w:t>:</w:t>
      </w:r>
      <w:bookmarkEnd w:id="432"/>
    </w:p>
    <w:p>
      <w:pPr>
        <w:pStyle w:val="Heading6"/>
        <w:numPr>
          <w:ilvl w:val="5"/>
          <w:numId w:val="1"/>
        </w:numPr>
        <w:rPr/>
      </w:pPr>
      <w:bookmarkStart w:id="433" w:name="__RefHeading___Toc3321002_2314609296"/>
      <w:bookmarkStart w:id="434" w:name="_Toc159"/>
      <w:bookmarkEnd w:id="433"/>
      <w:r>
        <w:rPr>
          <w:rtl w:val="true"/>
        </w:rPr>
        <w:t>اشارة</w:t>
      </w:r>
      <w:bookmarkEnd w:id="434"/>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p>
    <w:p>
      <w:pPr>
        <w:pStyle w:val="Heading6"/>
        <w:numPr>
          <w:ilvl w:val="5"/>
          <w:numId w:val="1"/>
        </w:numPr>
        <w:rPr/>
      </w:pPr>
      <w:bookmarkStart w:id="435" w:name="__RefHeading___Toc3321004_2314609296"/>
      <w:bookmarkStart w:id="436" w:name="_Toc160"/>
      <w:bookmarkEnd w:id="435"/>
      <w:r>
        <w:rPr>
          <w:rtl w:val="true"/>
        </w:rPr>
        <w:t>البلوغ،</w:t>
      </w:r>
      <w:bookmarkEnd w:id="436"/>
    </w:p>
    <w:p>
      <w:pPr>
        <w:pStyle w:val="Heading6"/>
        <w:numPr>
          <w:ilvl w:val="5"/>
          <w:numId w:val="1"/>
        </w:numPr>
        <w:rPr/>
      </w:pPr>
      <w:bookmarkStart w:id="437" w:name="__RefHeading___Toc3321006_2314609296"/>
      <w:bookmarkStart w:id="438" w:name="_Toc161"/>
      <w:bookmarkEnd w:id="437"/>
      <w:r>
        <w:rPr>
          <w:rtl w:val="true"/>
        </w:rPr>
        <w:t>اشارة</w:t>
      </w:r>
      <w:bookmarkEnd w:id="438"/>
    </w:p>
    <w:p>
      <w:pPr>
        <w:pStyle w:val="BookText"/>
        <w:rPr/>
      </w:pPr>
      <w:r>
        <w:rPr>
          <w:rFonts w:ascii="Amiri" w:hAnsi="Amiri" w:eastAsia="Amiri" w:cs="Amiri"/>
          <w:color w:val="111111"/>
          <w:sz w:val="28"/>
          <w:sz w:val="28"/>
          <w:szCs w:val="28"/>
          <w:rtl w:val="true"/>
          <w:lang w:bidi="ar-SA"/>
        </w:rPr>
        <w:t>و ثانيها</w:t>
      </w:r>
      <w:r>
        <w:rPr>
          <w:rFonts w:eastAsia="Amiri" w:cs="Amiri" w:ascii="Amiri" w:hAnsi="Amiri"/>
          <w:color w:val="111111"/>
          <w:sz w:val="28"/>
          <w:szCs w:val="28"/>
          <w:rtl w:val="true"/>
          <w:lang w:bidi="ar-SA"/>
        </w:rPr>
        <w:t>:</w:t>
      </w:r>
    </w:p>
    <w:p>
      <w:pPr>
        <w:pStyle w:val="Heading6"/>
        <w:numPr>
          <w:ilvl w:val="5"/>
          <w:numId w:val="1"/>
        </w:numPr>
        <w:rPr/>
      </w:pPr>
      <w:bookmarkStart w:id="439" w:name="__RefHeading___Toc3321008_2314609296"/>
      <w:bookmarkStart w:id="440" w:name="_Toc162"/>
      <w:bookmarkEnd w:id="439"/>
      <w:r>
        <w:rPr>
          <w:rtl w:val="true"/>
        </w:rPr>
        <w:t>العقل</w:t>
      </w:r>
      <w:bookmarkEnd w:id="440"/>
    </w:p>
    <w:p>
      <w:pPr>
        <w:pStyle w:val="BookText"/>
        <w:rPr/>
      </w:pPr>
      <w:r>
        <w:rPr>
          <w:rFonts w:ascii="Amiri" w:hAnsi="Amiri" w:eastAsia="Amiri" w:cs="Amiri"/>
          <w:color w:val="111111"/>
          <w:sz w:val="28"/>
          <w:sz w:val="28"/>
          <w:szCs w:val="28"/>
          <w:rtl w:val="true"/>
          <w:lang w:bidi="ar-SA"/>
        </w:rPr>
        <w:t>، لعموم رفع القلم عنهما، علاوة على دعوى الإجماع عليه و جعله في سلك المسلمات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ثالثها</w:t>
      </w:r>
      <w:r>
        <w:rPr>
          <w:rFonts w:eastAsia="IRNazanin" w:cs="IRNazanin"/>
          <w:color w:val="111111"/>
          <w:sz w:val="28"/>
          <w:szCs w:val="28"/>
          <w:rtl w:val="true"/>
          <w:lang w:bidi="fa-IR"/>
        </w:rPr>
        <w:t>:</w:t>
      </w:r>
    </w:p>
    <w:p>
      <w:pPr>
        <w:pStyle w:val="Heading6"/>
        <w:numPr>
          <w:ilvl w:val="5"/>
          <w:numId w:val="1"/>
        </w:numPr>
        <w:rPr/>
      </w:pPr>
      <w:bookmarkStart w:id="441" w:name="__RefHeading___Toc3321010_2314609296"/>
      <w:bookmarkStart w:id="442" w:name="_Toc163"/>
      <w:bookmarkEnd w:id="441"/>
      <w:r>
        <w:rPr>
          <w:rtl w:val="true"/>
        </w:rPr>
        <w:t>الحرية</w:t>
      </w:r>
      <w:bookmarkEnd w:id="442"/>
    </w:p>
    <w:p>
      <w:pPr>
        <w:pStyle w:val="BookText"/>
        <w:rPr/>
      </w:pPr>
      <w:r>
        <w:rPr>
          <w:rFonts w:ascii="Amiri" w:hAnsi="Amiri" w:eastAsia="Amiri" w:cs="Amiri"/>
          <w:color w:val="111111"/>
          <w:sz w:val="28"/>
          <w:sz w:val="28"/>
          <w:szCs w:val="28"/>
          <w:rtl w:val="true"/>
          <w:lang w:bidi="ar-SA"/>
        </w:rPr>
        <w:t xml:space="preserve">، و عن المنتهى دعوى الإجماع عليه </w:t>
      </w:r>
      <w:r>
        <w:rPr>
          <w:rStyle w:val="FootnoteAnchor"/>
          <w:rtl w:val="true"/>
        </w:rPr>
        <w:footnoteReference w:id="980"/>
      </w:r>
      <w:r>
        <w:rPr>
          <w:rFonts w:ascii="Amiri" w:hAnsi="Amiri" w:eastAsia="Amiri" w:cs="Amiri"/>
          <w:color w:val="111111"/>
          <w:sz w:val="28"/>
          <w:sz w:val="28"/>
          <w:szCs w:val="28"/>
          <w:rtl w:val="true"/>
          <w:lang w:bidi="ar-SA"/>
        </w:rPr>
        <w:t>، و في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انّ النبي كان يبايع الحر على الإسلام و الجهاد، و يبايع العبد على الإسلام دون الجهاد </w:t>
      </w:r>
      <w:r>
        <w:rPr>
          <w:rStyle w:val="FootnoteAnchor"/>
          <w:rtl w:val="true"/>
        </w:rPr>
        <w:footnoteReference w:id="981"/>
      </w:r>
      <w:r>
        <w:rPr>
          <w:rFonts w:eastAsia="Times New Roman" w:cs="Times New Roman" w:ascii="Times New Roman" w:hAnsi="Times New Roman"/>
          <w:color w:val="111111"/>
          <w:sz w:val="28"/>
          <w:szCs w:val="28"/>
          <w:rtl w:val="true"/>
          <w:lang w:val="en-US" w:bidi="en-US"/>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لعله بضم الانجبار بالعمل يكفي في الحجية، و إلّا فما قيل من أنه لا يملك شيئا، فيدخل في ما لا يجدون شيئا للإنفاق أو لا يقدرون على شي‌ء، إنما يصرف الجهاد عنه في ظرف عدم اذن المالك، و عدم بذل لما ينفقه منه أو من</w:t>
      </w:r>
      <w:bookmarkStart w:id="443" w:name="pg19818_204183"/>
    </w:p>
    <w:p>
      <w:pPr>
        <w:pStyle w:val="BookText"/>
        <w:rPr/>
      </w:pPr>
      <w:bookmarkEnd w:id="443"/>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المقدار لا يقتضي اشتراط الحرية أو مانعية المملوكية،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لذلك حكي عن الإسكافي عدم الشرطية المزبورة، و عمدة سنده العمومات، علاوة على المرسلة المشتملة على بيعة علي عليه السلام مع العبد في الجهاد أيضا، و ضعفه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مخالفة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يوهنه و يخرجه عن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العمومات في غاية المتانة لو لم نقل بتخصيصها بالمرسلة السابقة المنجبرة بالإجماعات المحكية، و حينئذ لا يجب الجهاد على المملوك بجميع أقسامه عدا المبعض في نوبته عند مهاياته، للعمومات، بعد انصراف المرسلة و معاقد الإجماعات عن مثله</w:t>
      </w:r>
      <w:r>
        <w:rPr>
          <w:rFonts w:eastAsia="Amiri" w:cs="Amiri" w:ascii="Amiri" w:hAnsi="Amiri"/>
          <w:color w:val="111111"/>
          <w:sz w:val="28"/>
          <w:szCs w:val="28"/>
          <w:rtl w:val="true"/>
          <w:lang w:bidi="ar-SA"/>
        </w:rPr>
        <w:t>.</w:t>
      </w:r>
    </w:p>
    <w:p>
      <w:pPr>
        <w:pStyle w:val="Heading6"/>
        <w:numPr>
          <w:ilvl w:val="5"/>
          <w:numId w:val="1"/>
        </w:numPr>
        <w:rPr/>
      </w:pPr>
      <w:bookmarkStart w:id="444" w:name="__RefHeading___Toc3321012_2314609296"/>
      <w:bookmarkStart w:id="445" w:name="_Toc164"/>
      <w:bookmarkEnd w:id="444"/>
      <w:r>
        <w:rPr>
          <w:rtl w:val="true"/>
        </w:rPr>
        <w:t>و رابعها</w:t>
      </w:r>
      <w:r>
        <w:rPr>
          <w:rtl w:val="true"/>
        </w:rPr>
        <w:t xml:space="preserve">: </w:t>
      </w:r>
      <w:r>
        <w:rPr>
          <w:rtl w:val="true"/>
        </w:rPr>
        <w:t>الذكورة</w:t>
      </w:r>
      <w:bookmarkEnd w:id="445"/>
    </w:p>
    <w:p>
      <w:pPr>
        <w:pStyle w:val="BookText"/>
        <w:rPr/>
      </w:pPr>
      <w:r>
        <w:rPr>
          <w:rFonts w:ascii="Amiri" w:hAnsi="Amiri" w:eastAsia="Amiri" w:cs="Amiri"/>
          <w:color w:val="111111"/>
          <w:sz w:val="28"/>
          <w:sz w:val="28"/>
          <w:szCs w:val="28"/>
          <w:rtl w:val="true"/>
          <w:lang w:bidi="ar-SA"/>
        </w:rPr>
        <w:t>بلا إشكال أيضا نصا و فتوى، و في النص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الجهاد على الرجال و النساء</w:t>
      </w:r>
      <w:r>
        <w:rPr>
          <w:rFonts w:eastAsia="Amiri" w:cs="Amiri" w:ascii="Amiri" w:hAnsi="Amiri"/>
          <w:color w:val="111111"/>
          <w:sz w:val="28"/>
          <w:szCs w:val="28"/>
          <w:rtl w:val="true"/>
          <w:lang w:bidi="ar-SA"/>
        </w:rPr>
        <w:t xml:space="preserve">» </w:t>
      </w:r>
      <w:r>
        <w:rPr>
          <w:rStyle w:val="FootnoteAnchor"/>
          <w:rtl w:val="true"/>
        </w:rPr>
        <w:footnoteReference w:id="982"/>
      </w:r>
      <w:r>
        <w:rPr>
          <w:rFonts w:ascii="Amiri" w:hAnsi="Amiri" w:eastAsia="Amiri" w:cs="Amiri"/>
          <w:color w:val="111111"/>
          <w:sz w:val="28"/>
          <w:sz w:val="28"/>
          <w:szCs w:val="28"/>
          <w:rtl w:val="true"/>
          <w:lang w:bidi="ar-SA"/>
        </w:rPr>
        <w:t>، و فسر فيه جهاد النساء بالصبر على أذى زوجها، قبال تفسير جهاد الرجال ببذل النفس و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الخنثى المشكل فعلى الطبيعة الثالثة يكون مشمولا للعمومات، و إلّا فيكون من باب الشهبة المصداقية للعام المخصص، فلا يكون العام حجة فيه، كما حققناه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حينئذ فقد يتوهم جريان الأصل فيه النافي لوجوبه عليه، كما صرّح به في الجواهر </w:t>
      </w:r>
      <w:r>
        <w:rPr>
          <w:rStyle w:val="FootnoteAnchor"/>
          <w:rtl w:val="true"/>
        </w:rPr>
        <w:footnoteReference w:id="983"/>
      </w:r>
      <w:r>
        <w:rPr>
          <w:rFonts w:ascii="Amiri" w:hAnsi="Amiri" w:eastAsia="Amiri" w:cs="Amiri"/>
          <w:color w:val="111111"/>
          <w:sz w:val="28"/>
          <w:sz w:val="28"/>
          <w:szCs w:val="28"/>
          <w:rtl w:val="true"/>
          <w:lang w:bidi="ar-SA"/>
        </w:rPr>
        <w:t xml:space="preserve">و التذكرة </w:t>
      </w:r>
      <w:r>
        <w:rPr>
          <w:rStyle w:val="FootnoteAnchor"/>
          <w:rtl w:val="true"/>
        </w:rPr>
        <w:footnoteReference w:id="9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لكن يشكل ذلك بأنّ وجوب الجهاد عليه طرف العلم الإجمالي للتكاليف المتوجهة على النساء، فيجب الاحتياط بالجمع بين الوظيفتين</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نظير هذا الاشكال يرد على ما في النجاة، من عدم وجوب قضاء فوائت</w:t>
      </w:r>
    </w:p>
    <w:p>
      <w:pPr>
        <w:pStyle w:val="BookText"/>
        <w:rPr/>
      </w:pPr>
      <w:r>
        <w:rPr>
          <w:rFonts w:ascii="Amiri" w:hAnsi="Amiri" w:eastAsia="Amiri" w:cs="Amiri"/>
          <w:color w:val="111111"/>
          <w:sz w:val="28"/>
          <w:sz w:val="28"/>
          <w:szCs w:val="28"/>
          <w:rtl w:val="true"/>
          <w:lang w:bidi="ar-SA"/>
        </w:rPr>
        <w:t>أبيه، لعدم ذكوريته الموجبة لكونه الأولى به، و لو من حيث استحقاق حبوته، لأنّ هذا الوجوب طرف العلم بالتكاليف المتوجهة إليه لو كانت امرأة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حمل كلماتهم في هذه المقامات على صورة عدم ابتلائها بتكاليف النساء، في غاية البعد، إذ لا أقل من حرمة كشف بدنها على الرجال غير المنفك عنه غالبا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التلبس بلباسهم 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هذا الباب أيضا وجوب غسله احتياطا عند دخول ذكر في فرجه المحتمل، و أصالة عدم الجنابة غير جارية مع عليّة العلم الإجمالي، و لو لم يكن معارضا مع أصل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على اقتضاء العلم الإجمالي للموافقة القطعية، أمكن معارضته مع البراءة عن تكاليف الرجال، كما هو الشأن، في أصالة عدم الولاية له في المسألة السابقة، فيتساقطان، فيرجع إلى البراءة الشرعية عن الحكم، في مجرى الأصل الموضوعي، لانتهاء النوبة إلى الأصل المحكوم، بعد سقوط الحاكم بالمعارضة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المبنى في غاية الضعف،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قد يتوهم بناء على العليّة أيضا، بأنه مع سبق مثل هذه التكاليف المشروطة بالعلم الإجمالي بتكاليف اخرى، كان العلم الإجمالي بين التدريجيين منجزا للطرف الآخر من الأول، و بعد ذلك لا يبقى مجال لمنجزية العلم الحاصل من المشروط بعد العلم بحصول شرطه و الطرف الآخر المنجز بالعلم السابق، فيجزي في مثله حكم الانحلال، فتجري البراءة عن التكليف الجديد</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يدفع التوهم بأنّ ذلك كذلك في صورة سبق أحد العلمين على الآخر رتبة، كالعلم الحاصل، بين الملاقي و طرفه، بالنسبة إلى العلم بين ملاقيه و طرفه، و أما لو كان أحد العلمين أسبق زمانا لا يكون العلم السابق منجزا للحكم في زمان لاحقه، بل العلم في كل زمان منجز له في زمانه، فمع بقاء العلم الى</w:t>
      </w:r>
      <w:bookmarkStart w:id="446" w:name="pg19818_204185"/>
    </w:p>
    <w:p>
      <w:pPr>
        <w:pStyle w:val="BookText"/>
        <w:rPr/>
      </w:pPr>
      <w:bookmarkEnd w:id="446"/>
      <w:r>
        <w:rPr>
          <w:rFonts w:ascii="Amiri" w:hAnsi="Amiri" w:eastAsia="Amiri" w:cs="Amiri"/>
          <w:color w:val="111111"/>
          <w:sz w:val="28"/>
          <w:sz w:val="28"/>
          <w:szCs w:val="28"/>
          <w:rtl w:val="true"/>
          <w:lang w:bidi="ar-SA"/>
        </w:rPr>
        <w:t>حين حدوث العلم الجديد يحصل علم بجميع التكاليف مرة واحدة، و في مثله منجز لجميع أطرافه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توهم أنّ في التدريجين كان العلم السابق بحدوثه منجزا للاحق من التكليف، بشهادة عدم بقائه في زمانه، مدفوع بأنّ مدار بقاء التنجيز على بقاء العلم بالتكليف، من غير ناحية سقوطه بعصيانه أو اطاعته، و بهذا المعنى كان العلم الأول باقيا على 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الشاهد على ذلك انه لو لم يبق العلم المزبور بهذا المقدار، لما كان العلم السابق بحدوثه مؤثرا في تنجز المحتمل اللاحق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تم تسلّمهم في هذه المقامات، و كشف ذلك عن جعل بدل من قبل الشارع، فهو، و لا بأس بجريان البراءة حينئذ في غيره، و إلّا فللنظر فيه مجال، لمنجزية العلم الإجمالي حينئذ على أي حال، كما هو ظاهر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خامسها</w:t>
      </w:r>
      <w:r>
        <w:rPr>
          <w:rFonts w:eastAsia="IRNazanin" w:cs="IRNazanin"/>
          <w:color w:val="111111"/>
          <w:sz w:val="28"/>
          <w:szCs w:val="28"/>
          <w:rtl w:val="true"/>
          <w:lang w:bidi="fa-IR"/>
        </w:rPr>
        <w:t>:</w:t>
      </w:r>
    </w:p>
    <w:p>
      <w:pPr>
        <w:pStyle w:val="Heading6"/>
        <w:numPr>
          <w:ilvl w:val="5"/>
          <w:numId w:val="1"/>
        </w:numPr>
        <w:rPr/>
      </w:pPr>
      <w:bookmarkStart w:id="447" w:name="__RefHeading___Toc3321014_2314609296"/>
      <w:bookmarkStart w:id="448" w:name="_Toc165"/>
      <w:bookmarkEnd w:id="447"/>
      <w:r>
        <w:rPr>
          <w:rtl w:val="true"/>
        </w:rPr>
        <w:t>أن لا يكون هما</w:t>
      </w:r>
      <w:bookmarkEnd w:id="448"/>
    </w:p>
    <w:p>
      <w:pPr>
        <w:pStyle w:val="BookText"/>
        <w:rPr/>
      </w:pPr>
      <w:r>
        <w:rPr>
          <w:rFonts w:ascii="Amiri" w:hAnsi="Amiri" w:eastAsia="Amiri" w:cs="Amiri"/>
          <w:color w:val="111111"/>
          <w:sz w:val="28"/>
          <w:sz w:val="28"/>
          <w:szCs w:val="28"/>
          <w:rtl w:val="true"/>
          <w:lang w:bidi="ar-SA"/>
        </w:rPr>
        <w:t xml:space="preserve">عاجزا عن الجهاد، و في الآية الشريفة لَيْسَ عَلَى الضُّعَفٰاءِ وَ لٰا عَلَى الْمَرْضىٰ وَ لٰا عَلَى الَّذِينَ لٰا يَجِدُونَ مٰا يُنْفِقُونَ حَرَجٌ </w:t>
      </w:r>
      <w:r>
        <w:rPr>
          <w:rStyle w:val="FootnoteAnchor"/>
          <w:rtl w:val="true"/>
        </w:rPr>
        <w:footnoteReference w:id="985"/>
      </w:r>
      <w:r>
        <w:rPr>
          <w:rFonts w:ascii="Amiri" w:hAnsi="Amiri" w:eastAsia="Amiri" w:cs="Amiri"/>
          <w:color w:val="111111"/>
          <w:sz w:val="28"/>
          <w:sz w:val="28"/>
          <w:szCs w:val="28"/>
          <w:rtl w:val="true"/>
          <w:lang w:bidi="ar-SA"/>
        </w:rPr>
        <w:t>و المورد داخل في الضعفاء، مضافا إلى عموم نفي الحرج في حقه، لو لا دعوى انصراف العموم إلى الحرج الزائد عن مورد التكليف في كل موضوع، لا بلحاظ نوع المكلفين، فلو لا الآية الناصة بنفي الحرج في مورد الضعيف و المريض لما كان يجدي في نفيه عنهما عموم نفي الحرج</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لم يكن ضعيفا مع كبر سنه لم يكن قصور في شمول العمومات لمثله، كما انّ مقتضى نفي الحرج عن الضعيف أيضا نفي لزومه لا نفي أصل مشروعيته، و لا في جهاد مثل عمار و مسلم بن عوسجة الواجب على الكبار</w:t>
      </w:r>
      <w:bookmarkStart w:id="449" w:name="pg19818_204186"/>
    </w:p>
    <w:p>
      <w:pPr>
        <w:pStyle w:val="BookText"/>
        <w:rPr/>
      </w:pPr>
      <w:bookmarkEnd w:id="449"/>
      <w:r>
        <w:rPr>
          <w:rFonts w:ascii="Amiri" w:hAnsi="Amiri" w:eastAsia="Amiri" w:cs="Amiri"/>
          <w:color w:val="111111"/>
          <w:sz w:val="28"/>
          <w:sz w:val="28"/>
          <w:szCs w:val="28"/>
          <w:rtl w:val="true"/>
          <w:lang w:bidi="ar-SA"/>
        </w:rPr>
        <w:t>لو لا عمومات وجوبه لكل أحد، عدا ما استثني من الضعاف و المرضى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سادسها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w:t>
      </w:r>
    </w:p>
    <w:p>
      <w:pPr>
        <w:pStyle w:val="Heading6"/>
        <w:numPr>
          <w:ilvl w:val="5"/>
          <w:numId w:val="1"/>
        </w:numPr>
        <w:rPr/>
      </w:pPr>
      <w:bookmarkStart w:id="450" w:name="__RefHeading___Toc3321016_2314609296"/>
      <w:bookmarkStart w:id="451" w:name="_Toc166"/>
      <w:bookmarkEnd w:id="450"/>
      <w:r>
        <w:rPr>
          <w:rtl w:val="true"/>
        </w:rPr>
        <w:t>مقعدا</w:t>
      </w:r>
      <w:bookmarkEnd w:id="451"/>
    </w:p>
    <w:p>
      <w:pPr>
        <w:pStyle w:val="BookText"/>
        <w:rPr/>
      </w:pPr>
      <w:r>
        <w:rPr>
          <w:rFonts w:ascii="Amiri" w:hAnsi="Amiri" w:eastAsia="Amiri" w:cs="Amiri"/>
          <w:color w:val="111111"/>
          <w:sz w:val="28"/>
          <w:sz w:val="28"/>
          <w:szCs w:val="28"/>
          <w:rtl w:val="true"/>
          <w:lang w:bidi="ar-SA"/>
        </w:rPr>
        <w:t>، لدخوله في المريض المنصوص عليه في الآية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w:t>
      </w:r>
    </w:p>
    <w:p>
      <w:pPr>
        <w:pStyle w:val="Heading6"/>
        <w:numPr>
          <w:ilvl w:val="5"/>
          <w:numId w:val="1"/>
        </w:numPr>
        <w:rPr/>
      </w:pPr>
      <w:bookmarkStart w:id="452" w:name="__RefHeading___Toc3321018_2314609296"/>
      <w:bookmarkStart w:id="453" w:name="_Toc167"/>
      <w:bookmarkEnd w:id="452"/>
      <w:r>
        <w:rPr>
          <w:rtl w:val="true"/>
        </w:rPr>
        <w:t>أعمى</w:t>
      </w:r>
      <w:bookmarkEnd w:id="453"/>
    </w:p>
    <w:p>
      <w:pPr>
        <w:pStyle w:val="BookText"/>
        <w:rPr/>
      </w:pPr>
      <w:r>
        <w:rPr>
          <w:rFonts w:ascii="Amiri" w:hAnsi="Amiri" w:eastAsia="Amiri" w:cs="Amiri"/>
          <w:color w:val="111111"/>
          <w:sz w:val="28"/>
          <w:sz w:val="28"/>
          <w:szCs w:val="28"/>
          <w:rtl w:val="true"/>
          <w:lang w:bidi="ar-SA"/>
        </w:rPr>
        <w:t>، لعدم قدرته على الجهاد بما له من اللوازم، علاوة عن شمول فحوى الضعيف و المريض له جزما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w:t>
      </w:r>
    </w:p>
    <w:p>
      <w:pPr>
        <w:pStyle w:val="Heading6"/>
        <w:numPr>
          <w:ilvl w:val="5"/>
          <w:numId w:val="1"/>
        </w:numPr>
        <w:rPr/>
      </w:pPr>
      <w:bookmarkStart w:id="454" w:name="__RefHeading___Toc3321020_2314609296"/>
      <w:bookmarkStart w:id="455" w:name="_Toc168"/>
      <w:bookmarkEnd w:id="454"/>
      <w:r>
        <w:rPr>
          <w:rtl w:val="true"/>
        </w:rPr>
        <w:t>مريضا</w:t>
      </w:r>
      <w:bookmarkEnd w:id="455"/>
    </w:p>
    <w:p>
      <w:pPr>
        <w:pStyle w:val="BookText"/>
        <w:rPr/>
      </w:pPr>
      <w:r>
        <w:rPr>
          <w:rFonts w:ascii="Amiri" w:hAnsi="Amiri" w:eastAsia="Amiri" w:cs="Amiri"/>
          <w:color w:val="111111"/>
          <w:sz w:val="28"/>
          <w:sz w:val="28"/>
          <w:szCs w:val="28"/>
          <w:rtl w:val="true"/>
          <w:lang w:bidi="ar-SA"/>
        </w:rPr>
        <w:t>، للآية السابقة، و عموم نفي الحرج على أحد التقريبين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أشرنا في الشيخ الكبير أنّ مثل هذا الحكم مرفوع عنه و عن المريض ما دام يعجز كل واحد منهما عنه، و إلّا فلا قصور في العمومات لشمولها لهما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تاسعها</w:t>
      </w:r>
      <w:r>
        <w:rPr>
          <w:rFonts w:eastAsia="IRNazanin" w:cs="IRNazanin"/>
          <w:color w:val="111111"/>
          <w:sz w:val="28"/>
          <w:szCs w:val="28"/>
          <w:rtl w:val="true"/>
          <w:lang w:bidi="fa-IR"/>
        </w:rPr>
        <w:t>:</w:t>
      </w:r>
    </w:p>
    <w:p>
      <w:pPr>
        <w:pStyle w:val="Heading6"/>
        <w:numPr>
          <w:ilvl w:val="5"/>
          <w:numId w:val="1"/>
        </w:numPr>
        <w:rPr/>
      </w:pPr>
      <w:bookmarkStart w:id="456" w:name="__RefHeading___Toc3321022_2314609296"/>
      <w:bookmarkStart w:id="457" w:name="_Toc169"/>
      <w:bookmarkEnd w:id="456"/>
      <w:r>
        <w:rPr>
          <w:rtl w:val="true"/>
        </w:rPr>
        <w:t>دعاء الإمام أو من نصبه</w:t>
      </w:r>
      <w:bookmarkEnd w:id="457"/>
    </w:p>
    <w:p>
      <w:pPr>
        <w:pStyle w:val="BookText"/>
        <w:rPr/>
      </w:pPr>
      <w:r>
        <w:rPr>
          <w:rFonts w:ascii="Amiri" w:hAnsi="Amiri" w:eastAsia="Amiri" w:cs="Amiri"/>
          <w:color w:val="111111"/>
          <w:sz w:val="28"/>
          <w:sz w:val="28"/>
          <w:szCs w:val="28"/>
          <w:rtl w:val="true"/>
          <w:lang w:bidi="ar-SA"/>
        </w:rPr>
        <w:t xml:space="preserve">في هذه الجهة بالخصوص، أو بنحو العموم الشامل له، كما في النص من تصديق الامام تؤم بشير الدهان، حيث رأى في المنام انه بدون اذنه مثل أكل الميتة و الدم و لحم الخنزير </w:t>
      </w:r>
      <w:r>
        <w:rPr>
          <w:rStyle w:val="FootnoteAnchor"/>
          <w:rtl w:val="true"/>
        </w:rPr>
        <w:footnoteReference w:id="9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يستكشف كونه حراما ذاتيا لا تشريعيا، و لا منوطا بقصد المشروعية، لو لا دعوى انصرافه إلى الجهاد بقصد المشروعية، فإنه يقتصر في حرمة العمل بهذه الصورة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أيضا لو لا حرمة جعل النفس في معرض التهلكة بعموم الآية عند عدم المشروعية</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به يمتاز المقام عن سائر العبادات، بعد صرف النهي في الجميع إلى العمل بعنوان المشروعية، لا ذاته مطلقا، و لا بعنوان صرف التشريع غير الساري إلى العمل الخارجي، لكونه من محرمات الجنان لا الجناح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في المقام نصوصا مستفيضة، مشتركة في الدلالة على دخل الاذن في مشروعية الجهاد، و من جملتها ما دل على نفي الجهاد في زمانه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أعلم في هذا الزمان جهادا غير الحج و العمرة</w:t>
      </w:r>
      <w:r>
        <w:rPr>
          <w:rFonts w:eastAsia="Amiri" w:cs="Amiri" w:ascii="Amiri" w:hAnsi="Amiri"/>
          <w:color w:val="111111"/>
          <w:sz w:val="28"/>
          <w:szCs w:val="28"/>
          <w:rtl w:val="true"/>
          <w:lang w:bidi="ar-SA"/>
        </w:rPr>
        <w:t xml:space="preserve">» </w:t>
      </w:r>
      <w:r>
        <w:rPr>
          <w:rStyle w:val="FootnoteAnchor"/>
          <w:rtl w:val="true"/>
        </w:rPr>
        <w:footnoteReference w:id="9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نظيره ما في نص آخر عن علي بن الحسين عليه السلام حيث أجاب السائل عن وجه تركه للجهاد، مع دلالة الآية الشريفة على فضله،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تمم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السائل الْعٰابِدُونَ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الْحٰامِدُونَ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السّٰائِحُونَ </w:t>
      </w:r>
      <w:r>
        <w:rPr>
          <w:rStyle w:val="FootnoteAnchor"/>
          <w:rtl w:val="true"/>
        </w:rPr>
        <w:footnoteReference w:id="988"/>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الجهاد مع هؤلاء أفضل من الحج</w:t>
      </w:r>
      <w:r>
        <w:rPr>
          <w:rFonts w:eastAsia="IRNazanin" w:cs="IRNazanin"/>
          <w:color w:val="111111"/>
          <w:sz w:val="28"/>
          <w:szCs w:val="28"/>
          <w:rtl w:val="true"/>
          <w:lang w:bidi="fa-IR"/>
        </w:rPr>
        <w:t xml:space="preserve">» </w:t>
      </w:r>
      <w:r>
        <w:rPr>
          <w:rStyle w:val="FootnoteAnchor"/>
          <w:rtl w:val="true"/>
        </w:rPr>
        <w:footnoteReference w:id="9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الظاهر انّ غرضه انه مع وجودهم موجب لبسط يده، المنشأ لإطاعة رأيه، لا أنّ هذه الصفات معتبرة في من شرع في حقه الجهاد، كيف و إطلاق كلماتهم كالصريح في عدم اعتبار أزيد من الصفات السابقة 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المعنى أيضا يحمل قوله في الرواية السابقة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أعلم في هذا 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بملاحظة عدم بسط يدهم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أيضا من جهة دخله في إطاعة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فالشرط في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بقرينة الخبر السابق المشتمل على النوم المزبور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اذنه و رأيه المطاع، و انه لا رأي لمن لا يطاع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انّ في المقام شرطين، أحدهما عنوان بسط اليد، و الآخر اذنه بما هو مبسوط اليد، ففي الحقيقة عنوان بسط اليد دخيل في شرطية إذنه</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و لان دقق النظر يرى انّ حقيقة الاذن و الأمر إنما يصدر من الآمر، في ظرف يصلح لإحداث الداعي عن قبله، فمع عدم إطاعتهم لأمره لا معنى لصدور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مجرد دعوته لآحاد العارفين بحقه، لا يصلح أمر الجهاد المنوط بقيام جم غفير، معلوم في العادة عدم اتفاقه في زمانهم، مع كمال سلطة أهل الجور و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فشأن آحاد الشيعة في زمانهم هي التقية في ذلك، و عدم تجاهرهم في امتثال أوامر أئمتهم، و مع هذا الحال كيف يصلح صدور الاذن منهم في الجهاد و عدمه، فصح دعوى أنّ شرطية إذنهم في مشروعية الجهاد بمقتضى النص السابق، اقتضى نفي الجهاد في زمانهم الموجب لمقهوريتهم لسلاطين عصرهم، لعدم صلاحية الوقت لصيرورتهم في أمر الجهاد مصدر الأمر و الاذن نفيا و إثباتا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البيان أمكن التشكيك في كون مثل هذا الاذن دخيلا في وجوب الجهاد، و ربما يثمر ذلك عند الشك في صدوره عنهم، أو وجوب الاستئذان على المجاهدين منهم، مع الشك بأنّ لهم الأمر، أو الشك في صدور الاذن من أولى الأمر منهم، لأنه على كونه شرطا للوجوب لا يجب الاقدام على تحصيل شرط وجوبه، فلا يجب عليهم الاستئذان حتى مع العلم بصدور الاذن منهم، بخلافه لو كان شرطا للواجب، فإنه مع احتمال صدور الاذن عنهم، مع العلم بكونهم أولي الأمر أو العكس، يجب عليه الإقدام في تحصيله، لاحتمال قدرته، التي هي من الشرائط العقلية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لم يحصل الاذن خرج العمل حينئذ عن حيطة قدرته، فلا يجب عليه حينئذ تحصيله</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حيث كان الأمر كذلك أمكن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المسألة من صغريات المسائل المعروفة، من أنه لو كان لنا إطلاق في دليل مستقل، حاك عن تعلّق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 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بشي‌ء على الإطلاق، و ورد القيد في دليل آخر، فقد يشك في رجوعه إلى هيئة الدليل الآخر المقيّد بحكمه، أو إلى مادته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حققنا في ذلك المقام بأنّ المادة على أي حال لا يبقى على إطلاقها، فينتهي</w:t>
      </w:r>
    </w:p>
    <w:p>
      <w:pPr>
        <w:pStyle w:val="BookText"/>
        <w:rPr/>
      </w:pPr>
      <w:r>
        <w:rPr>
          <w:rFonts w:ascii="Amiri" w:hAnsi="Amiri" w:eastAsia="Amiri" w:cs="Amiri"/>
          <w:color w:val="111111"/>
          <w:sz w:val="28"/>
          <w:sz w:val="28"/>
          <w:szCs w:val="28"/>
          <w:rtl w:val="true"/>
          <w:lang w:bidi="ar-SA"/>
        </w:rPr>
        <w:t>الأمر حينئذ إلى الشك في تقييد الهيئة، فأصالة الإطلاق فيه بلا معارض فيحكم به، و لازمة استفادة كونه شرط الواجب لا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يؤيده بناء المجاهدين من الصدر الأول على الاستئذان من واليهم، خصوصا في أصحاب سيد الشهداء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يكون مثل هذا الديدن شاهد عدم بنائهم على خلوص أنفسهم قبل صدور الاذن من و إليهم، من باب الاتفاق على تكليف الجهاد، بحيث لا يجب عليهم الاستئذان حتى مع علمهم بأنه يأذن، بل ينتظر إلى أن يحصل منهم الأمر من باب الاتفاق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المعنى أيضا لا ينافي مع نفي الامام الجهاد في زمانه، لعدم صلاحية الزمان لكونهم أولي الأمر، و انّ إطاعة أمرهم تبعا لأوامر أهل الجور لا تصيرهم أولي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يقاس هذا الزمان بزمان الأمير، حيث أمر الحسين عليه السلام في مضيه إلى الجهاد مع جيش عمر، إذ في ذاك الزمان كان الأمير عليه السلام طرف الشورى على وجه كان رأيه مطاعا بلا تبعية رأيه لرأيهم محضا، و أين هذا الزمان مع زمان ابتلاء بقية الأئمة بالأمويين أو العباسيين، فإنهم كانوا مقهورين ظاهرا تحت سيطرتهم و سلطانهم، فلا يصدق على مثلهم أنّ لهم رأيا في قبال رأي سلاطين الجور، إذ لا رأي لمن لا يطاع، و بهذه الجهة لا جهاد في زمانهم</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بهذا البيان ظهر أيضا وجه كلام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الجهاد بالمعنى المتقدّم مع الجائر بلا اشكال فيه في الجملة فتوى و نصا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نص عبد اللّٰه بن سنان بعد السؤال عن الذين يقتلون في الثغور،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الويل لهم، يتعجلون قتلة في الدنيا و قتلة في الآخرة</w:t>
      </w:r>
      <w:r>
        <w:rPr>
          <w:rFonts w:eastAsia="Amiri" w:cs="Amiri" w:ascii="Amiri" w:hAnsi="Amiri"/>
          <w:color w:val="111111"/>
          <w:sz w:val="28"/>
          <w:szCs w:val="28"/>
          <w:rtl w:val="true"/>
          <w:lang w:bidi="ar-SA"/>
        </w:rPr>
        <w:t xml:space="preserve">» </w:t>
      </w:r>
      <w:r>
        <w:rPr>
          <w:rStyle w:val="FootnoteAnchor"/>
          <w:rtl w:val="true"/>
        </w:rPr>
        <w:footnoteReference w:id="9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ربما يظهر من بعض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قتالهم و لو دفاعا إذا كان بأمرهم، نعم لا بأس بقتالهم بقصد الدفع عن نفسه أو عن غيره من المسلمين، و في ذيله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خاف على بيضة الإسلام و المسلمين يقاتل لنفسه لا للسلطان</w:t>
      </w:r>
      <w:r>
        <w:rPr>
          <w:rFonts w:eastAsia="Amiri" w:cs="Amiri" w:ascii="Amiri" w:hAnsi="Amiri"/>
          <w:color w:val="111111"/>
          <w:sz w:val="28"/>
          <w:szCs w:val="28"/>
          <w:rtl w:val="true"/>
          <w:lang w:bidi="ar-SA"/>
        </w:rPr>
        <w:t xml:space="preserve">» </w:t>
      </w:r>
      <w:r>
        <w:rPr>
          <w:rStyle w:val="FootnoteAnchor"/>
          <w:rtl w:val="true"/>
        </w:rPr>
        <w:footnoteReference w:id="9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بمثل هذه النصوص و الفتاوى ربما يحمل دعاء السجاد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نصرة جيش المسلمين، المعلوم كونه في زمان عدم كونهم أولي الأمر، و بلا اذن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مبغوضية انكسارهم المستتبع لطروء و هو في هيمنة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 هذا المعنى غير مناف لمبغوضية أصل جهادهم، و كونه بمنزلة أكل الميتة و الدم، كما هو مضمون النص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من التأمل فيما ذكرنا ظهر وجه كلام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يدهم المسلمين عدو يخشى عليهم من حيث دينهم أو أراضيهم و أموالهم أو أنفسهم، سبيا أو قتلا أو غير ذلك، كما سيأتي وجهه، فيدفعه حينئذ و لا يقصد بقتاله و دفعه لهم معونة الجائر، و ذلك هو المراد بقوله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يقاتل لنفسه لا للسلطان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يعتبر في ذلك القسم من القتال الشروط السابقة المعتبرة في الجهاد بالمعنى الأول، من هجوم المسلمين عليهم بدوا، لإطلاق النص المزبور و ترك استفصاله عليه السلام عن وجدانه للشرائط السابقة و عدمه، مضافا إلى أنه صريح في عدم شرطية اذن الامام فيه، و انّ الظاهر كون السائل في مقام استعلام حكم الواقعة، لا في مقام الاستئذان منه في هذا الدفاع</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بعد ذلك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لازمة عدم اعتبار سائر الشروط أيضا، لعدم الفصل</w:t>
      </w:r>
    </w:p>
    <w:p>
      <w:pPr>
        <w:pStyle w:val="BookText"/>
        <w:rPr/>
      </w:pPr>
      <w:r>
        <w:rPr>
          <w:rFonts w:ascii="Amiri" w:hAnsi="Amiri" w:eastAsia="Amiri" w:cs="Amiri"/>
          <w:color w:val="111111"/>
          <w:sz w:val="28"/>
          <w:sz w:val="28"/>
          <w:szCs w:val="28"/>
          <w:rtl w:val="true"/>
          <w:lang w:bidi="ar-SA"/>
        </w:rPr>
        <w:t>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مع إمكان دعوى شمول مطلقات المقاتلة مع المشركين لمثل هذا الدفاع أيضا، و إنما خرج بأدلة المقيدات، المقاتلة البدوية لفاقد القيود، و بقي الباقي تحتها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بأس بدعوى شرطية البلوغ و العقل في المقام أيضا الحديث رفع القلم، إلّا أن يكون الدفاع عن المسلمين يحتاج إليهم أيضا في جهة من الجهات، فيجب على الولي تمكينهم عليه مقدمة لحظ المسلمين، للجزم بأنّ أهمية حفظهم كانت بمثابة توجب مطلوبية الإقدام حتى من الصبي و المجنون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الأمر مثل هذه المصلحة الملزمة لا تكون موجبة لتوجه التكليف إلى الصبي و مثله، و لا مانع لتوجهه إلى وليه، كما هو الشأن في الأغراض المتعلقة بأموالهم و أنفسهم في حقوق الناس، فإنّ المكلف بحفظها هو الولي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مورد تعلّقت بعمل الصبيان و المجانين مصلحة ملزمة لا يفي بها إلا عملهم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كمثل هذه المصلحة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يمكن توجه التكليف إليهم، لعموم رفع القلم عنهم في جميع التكاليف، إلّا أنه لا مانع في اقتضاء مثل هذه المصلحة توجيه التكليف نحو وليهم، نظرا إلى انّ الاهتمام بالمصلحة المزبورة مقتضية لتوجه الطلب نحو إيجاده بقول مطلق، ما لم يمنع منه مانع، و حيث إنّ لإيجاده أنحاء من الاعتبار من إيجاده مباشرة أو تسبيبا، و كان لأحدهما مانع، كانت المصلحة مؤثرة في إيجاب إيجاده تسبيبا</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حيث انّ الأولى به وليه الإجباري يتوجه التكليف بدوا إليه، و مع عدمه يتوجه الى الحاكم، لأنّ في الحسبيات كان الحاكم أولى بهم من غيره، و مع عدم الحاكم يتوجه التكليف المزبور إلى العدول، لأوليتهم عن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الشأن في جميع الحسبيات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عدم العدل يتوجه التكليف إلى بقية المسلمين، فلهم بل عليهم تمكين الصبيان أو المجانين على المقاتلة، أو سائر الجهات اللازمة في قبال البقية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إلى هذا المعنى ينظر كلماتهم، في عدم اعتبار الشروط المذكورة، في الجهاد بالمعنى الأعم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ظاهر إطلاق عدم الشرطية يشمل البلوغ و الجنون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فمعنى عدم الشرطية فيهما، عدم سقوط التكليف عن أوليائهم، لا بمعنى كونهم مكلفين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 الصبي غير متعلّق به التكليف و كذا المجنون إجماعا، من دون فرق بين نحو تكليف دون تكليف،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الجهاد بالمعنى الأخص ليس الاهتمام به بمثابة تقتضي محبوبية إيجاد العمل بأي نحو و لو تسبيبا، و لذا لا مقتضى لوجوب التسبيب على الولي، بل حديث رفع القلم حينئذ يرفع التكليف عنهما مباشرة، فلا يبقى عمل الصبي و المجنون تحت أمر مطلقا، لا تسبيبا و لا مباشرة كسائر تكاليفهما،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يشكل في جريان شرطية السلامة عن المرض، المنتهي إلى عدم قدرته على الدفاع أيضا، فإنه لا يعقل نفي شرطيته، بل و إطلاق نفي الحرج عن المريض و الضعيف و غير القادر على النفقة أيضا يشمل المقام، كما يشمل إطلاق كتب الجهاد على الرجال، بناء على شموله للدفاع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دليل الحرية حيث إنّ الجهاد عندهم عبارة عن مطلق المقاتلة لتشييد أركان الدين و حفظ جهات نوع المسلمين، أعم من أن يكون بمهاجمتهم على المشركين بدوا، أم لدفع هجوم غيرهم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اختصاص لمفهوم الجهاد عندهم بالمعنى الأول</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يشهد له تقسيمهم الجهاد من الأول إلى القسمين، و حينئذ فلا قصور</w:t>
      </w:r>
    </w:p>
    <w:p>
      <w:pPr>
        <w:pStyle w:val="BookText"/>
        <w:rPr/>
      </w:pPr>
      <w:r>
        <w:rPr>
          <w:rFonts w:ascii="IRNazanin" w:hAnsi="IRNazanin" w:eastAsia="IRNazanin"/>
          <w:color w:val="111111"/>
          <w:sz w:val="28"/>
          <w:sz w:val="28"/>
          <w:szCs w:val="28"/>
          <w:rtl w:val="true"/>
          <w:lang w:bidi="fa-IR"/>
        </w:rPr>
        <w:t>لشمول مثل هذه الإطلاقات لمقامنا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إلّا أن يدعى انصرافها إلى الجهاد بالمعنى الأول، و لعل وجه الانصراف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الدفاع عن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قيام من به 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على غيرهم، و يسقط عنهم و لو كانوا واجدين للشرائط، فضلا عن فاقديها، للجزم بأني مصلحة الدفع قائمة بإقدام جماعة وافية بها، بلا اقتضاء فيها للزوم الدفع على الزائد منهم، و لو مع وجدان الشرائط، فضلا عن فقدانها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مع عدم قيام من به الكفاية، بل كان الدفاع بمثابة تحتاج إلى العبيد و النساء و الصبيان و المجانين و غيرهم، فالاهتمام بمصلحة حفظ المسلمين دينا و نفسا، بل مالا و أراضي، بنحو ينتهي، إلى ذلك المسلمين، يقتضي قيام جميعهم، بلا صلاحية شمول الأدلة النافية عن الأصناف لمثل هؤلاء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بأس بشمولها للجهاد بمعنى هجومهم على المشركين بدوا، لعدم إحراز الاهتمام فيه بهذه المثابة، بحيث يكشف عن وجوب قيام فاقدي الشرائط عند عدم كفاية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غاية الأمر يسقط الجهاد حينئذ عن الجميع، لعدم وجود من به الكفاية من واجدي الشرائط، بلا قرينة خارجية حينئذ مقتضية لرفع اليد عن النصوص النافية في حق المذكورين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فأدلة الشرائط النافية للجهاد عن الأصناف المزبورة باقية على حالها بالنسبة إلى الجهاد بالمعنى الأول، بخلافه على المعنى الثاني، كما لا يخفى</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في المرض و الإقعاد و العمى الموجبة لخروج الدفاع عن تحت قدرته رأسا و بجميع جهاته، يسقط عنه التكليف حينئذ عقلا، و لكن، ليس ذلك بإسقاط شرعي كاشف عن عدم المصلحة، كي لا يجب عليه تحصيل مقدمات رفع هذه الموانع، حتى مع القدرة على رفعها، بل إنما هو بإسقاط عقلي كاشف عن مجرد سقوط التكليف عنه، مع علمه بوفاء عمله بالغرض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لازمة</w:t>
      </w:r>
    </w:p>
    <w:p>
      <w:pPr>
        <w:pStyle w:val="BookText"/>
        <w:rPr/>
      </w:pPr>
      <w:r>
        <w:rPr>
          <w:rFonts w:ascii="Amiri" w:hAnsi="Amiri" w:eastAsia="Amiri" w:cs="Amiri"/>
          <w:color w:val="111111"/>
          <w:sz w:val="28"/>
          <w:sz w:val="28"/>
          <w:szCs w:val="28"/>
          <w:rtl w:val="true"/>
          <w:lang w:bidi="ar-SA"/>
        </w:rPr>
        <w:t>وجوب تحصيل مقدمات قدرته على الجهاد، بل و مع الشك فيه أيضا يجب عليه الاحتياط، كما هو الشأن في جميع الشرائط العقلية،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ذلك كله حال الشرائط المعتبرة في الجهاد بالمعنى الأول، و أما الأحكام المترتبة عليه، مثل أحكام الشهيد، و قسمة الغنيمة، و حرمة الفرار، ففي ترتبها عليه بالمعنى الثاني أيضا، مبني على ترتب الأحكام المزبورة على مطلق المقاتلة في حماية الدين و تشييد أمر المسلمين، و إلّا فيشكل أمر جريانها في الجهاد بالمعنى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 التفصيل بين فرض كون الدفاع مع الامام العادل أو من نصبه، و عدمه، فعلى الأول فهو جهاد يترتب عليه أحكامه، و على الثاني لا يكون جهادا فلا تترتب عليه الأحكام المزبورة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يقال أولا، إنّ أحكام عنوان الشهيد تترتب على من قتل بين الصفين أو في حماية الدين، فلا بد من ملاحظة انّ مثل هذا العنوان شامل للدفاع بإطلاقه أم ليس له إطلاق من حيث حضور الإمام أو عدمه، أو من حيث شموله للقتال الدفاعي في قبال هجومهم على المشركين بدوا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مبني مثل هذا الحكم شرح مفهوم لفظ الجهاد، كي يتشبث بشمول عنوانه لمثل المقام و عدمه، كما انّ قسمة الغنيمة و حرمة الفرار أيضا ليس المأخوذ في موضوعهما مثل هذا العنوان، بل غاية ما يتبادر من الأول ما يغنمه المقاتلون في مورد حماية الدين، و غاية ما أخذ في موضوع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الآية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ملاقاتهم للكفار زحفا</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شموله للمقام و عدمه لا بد من تنقيح أنّ إطلاقه هل يشمل مطلق المقاتلة في حماية الدين و لو في زمن الغيبة دفاعا و بلا حضور إمام، أو يختص بصورة حضور الإمام، أو يختص علاوة على حضوره بصورة القتال البدوي؟</w:t>
      </w:r>
    </w:p>
    <w:p>
      <w:pPr>
        <w:pStyle w:val="BookText"/>
        <w:rPr/>
      </w:pPr>
      <w:r>
        <w:rPr>
          <w:rFonts w:ascii="Amiri" w:hAnsi="Amiri" w:eastAsia="Amiri" w:cs="Amiri"/>
          <w:color w:val="111111"/>
          <w:sz w:val="28"/>
          <w:sz w:val="28"/>
          <w:szCs w:val="28"/>
          <w:rtl w:val="true"/>
          <w:lang w:bidi="ar-SA"/>
        </w:rPr>
        <w:t>فليس مبني هذه الجهة أيضا شرح عنوان الجهاد من حيث الصدق على مورد دون 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أي حال لا مجال للتفصيل المزبور من حيث صدق عنوان الجهاد و عدمه، بل عمدة الوجه ملاحظة إطلاق المقاتلة في سبيل اللّٰه و ما في معناه، المأخوذ في موضوع الشهيد، و موضوع قسمة الغنيمة و حرمة الفرار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له إطلاق على وجه يشمل مثل هذه الجهات فيؤخذ به، و إلّا فيقتصر في ترتب مثل هذه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الواردة على خلاف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موردها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فلا يبعد منع إطلاق هذه العناوين الواردة في شرح الشهيد أو قسمة الغنيمة و حرمة الفرار من حيث هذه الجهات، بل غاية ما يستفاد منها كونها في مقام بيان أنّ للمقاتلة المزبورة مثلا دخلا في الحكم، و انه منوط بتحقق عنوان المقاتلة في سبيل اللّٰه، أو في حفظ نوع المسلمين، لا بكل مقاتلة و أما كونه تمام الموضوع فليس مثلها في مقام البيان، فلا موجب حينئذ لتسرية الأحكام المزبورة إلى غير الجهاد بالمعنى المعهود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ففي شمولها لصورة الدفاع المزبور، و لو مع حضور الإمام إشكال</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موضوع البحث في المقام من حيث وجوب الدفاع و ترتب سائر الأحكام أيضا هو الدفاع في حماية الدين و حفظ نوع المسلمين، و لو مالا و أراضي، كما هو مقتضى إطلاق النص السابق، فلا يصغى إلى ما في الجواهر من منع وجوبه عند كون غرضهم مجرد التسلط على الأراضي، بلا نظر منهم إلى تغيير دينهم أو حكم من أحكامهم </w:t>
      </w:r>
      <w:r>
        <w:rPr>
          <w:rStyle w:val="FootnoteAnchor"/>
          <w:rtl w:val="true"/>
        </w:rPr>
        <w:footnoteReference w:id="9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ذلك خلاف إطلاق النص السابق، الشامل لصورة كون استيلائهم على أراضي المسلمين موجبا لذلهم</w:t>
      </w:r>
      <w:bookmarkStart w:id="458" w:name="pg19818_204196"/>
    </w:p>
    <w:p>
      <w:pPr>
        <w:pStyle w:val="BookText"/>
        <w:rPr/>
      </w:pPr>
      <w:bookmarkEnd w:id="458"/>
      <w:r>
        <w:rPr>
          <w:rFonts w:ascii="Amiri" w:hAnsi="Amiri" w:eastAsia="Amiri" w:cs="Amiri"/>
          <w:color w:val="111111"/>
          <w:sz w:val="28"/>
          <w:sz w:val="28"/>
          <w:szCs w:val="28"/>
          <w:rtl w:val="true"/>
          <w:lang w:bidi="ar-SA"/>
        </w:rPr>
        <w:t>و هتك صولتهم جزما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الدفاع عن هجوم العدو على أشخاص مخصوصين، لا من حيث كونهم مسلمين، بل لخصوصية اخرى، نفسا أو عرضا أو مالا، فهو يقينا مورد انصراف الأحكام المزبورة عنها و الشرائط المسطورة، غير وجوب الدفاع عنهم، بل ربما لا يعتبر في وجوب مثل هذا الدفاع كون العدو كافرا، بل يشمل المسلم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 هذا المعنى أيضا منصرف عنه عنوان الجهاد، فلا يبقى مجال توهم جريان الشرائط و الأحكام المزبورة في مثله، و سيأتي تفصيل ذلك في كتاب الحدود إن شاء اللّٰه</w:t>
      </w:r>
      <w:r>
        <w:rPr>
          <w:rFonts w:eastAsia="Amiri" w:cs="Amiri" w:ascii="Amiri" w:hAnsi="Amiri"/>
          <w:color w:val="111111"/>
          <w:sz w:val="28"/>
          <w:szCs w:val="28"/>
          <w:rtl w:val="true"/>
          <w:lang w:bidi="ar-SA"/>
        </w:rPr>
        <w:t>.</w:t>
      </w:r>
    </w:p>
    <w:p>
      <w:pPr>
        <w:pStyle w:val="Heading6"/>
        <w:numPr>
          <w:ilvl w:val="5"/>
          <w:numId w:val="1"/>
        </w:numPr>
        <w:rPr/>
      </w:pPr>
      <w:bookmarkStart w:id="459" w:name="__RefHeading___Toc3321024_2314609296"/>
      <w:bookmarkStart w:id="460" w:name="_Toc170"/>
      <w:bookmarkEnd w:id="459"/>
      <w:r>
        <w:rPr>
          <w:rtl w:val="true"/>
        </w:rPr>
        <w:t>و العاجز</w:t>
      </w:r>
      <w:bookmarkEnd w:id="460"/>
    </w:p>
    <w:p>
      <w:pPr>
        <w:pStyle w:val="Heading6"/>
        <w:numPr>
          <w:ilvl w:val="5"/>
          <w:numId w:val="1"/>
        </w:numPr>
        <w:rPr/>
      </w:pPr>
      <w:bookmarkStart w:id="461" w:name="__RefHeading___Toc3321026_2314609296"/>
      <w:bookmarkStart w:id="462" w:name="_Toc171"/>
      <w:bookmarkEnd w:id="461"/>
      <w:r>
        <w:rPr>
          <w:rtl w:val="true"/>
        </w:rPr>
        <w:t>اشارة</w:t>
      </w:r>
      <w:bookmarkEnd w:id="462"/>
    </w:p>
    <w:p>
      <w:pPr>
        <w:pStyle w:val="BookText"/>
        <w:rPr/>
      </w:pPr>
      <w:r>
        <w:rPr>
          <w:rFonts w:ascii="Amiri" w:hAnsi="Amiri" w:eastAsia="Amiri" w:cs="Amiri"/>
          <w:color w:val="111111"/>
          <w:sz w:val="28"/>
          <w:sz w:val="28"/>
          <w:szCs w:val="28"/>
          <w:rtl w:val="true"/>
          <w:lang w:bidi="ar-SA"/>
        </w:rPr>
        <w:t>عن المقاتلة يجب أن يستنيب مع القدرة و الاحتياج إليه، لعدم الكفاية، مع فرض عدم تمكن غيره من النفقة، نظرا إلى أنّ وجوب الجهاد لما كان كفائيا، ففي الفرض المزبور يجب على القادر على الإنفاق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عجزه عن القتال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بذلها 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فالواجب عليه حينئذ تعيينا بذل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مع قدرته لا يجب عليه تعيينا البذل المزبور، لكن في وجوبه عليه، و لو تخييرا،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بعد الجزم بتشريع النيابة في باب الجهاد، للجزم بأنّ مصلحته غير مخصوصة بعمل نفسه، بل مما يفي به فعل غيره أيضا تسبيبا، فالواجب من الأول علاوة على كونه كفائيا تخييري أيضا بين الجهاد بنفسه أو بنائبه بماله، إذ هو أيضا نحو جهاد بالمال، فيشمله عموم يجاهدون بأنفسهم و أموالهم</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لم يحتج إلى العاجز، لقيام من به الكفاية، فلا وجه لوجوب استنابته، بل لا يجب عليه حتى مع قدرته، بعد فرض القيام المزبور</w:t>
      </w:r>
      <w:r>
        <w:rPr>
          <w:rFonts w:eastAsia="Amiri" w:cs="Amiri" w:ascii="Amiri" w:hAnsi="Amiri"/>
          <w:color w:val="111111"/>
          <w:sz w:val="28"/>
          <w:szCs w:val="28"/>
          <w:rtl w:val="true"/>
          <w:lang w:bidi="ar-SA"/>
        </w:rPr>
        <w:t>.</w:t>
      </w:r>
      <w:bookmarkStart w:id="463" w:name="pg19818_204197"/>
    </w:p>
    <w:p>
      <w:pPr>
        <w:pStyle w:val="BookText"/>
        <w:rPr/>
      </w:pPr>
      <w:bookmarkEnd w:id="463"/>
      <w:r>
        <w:rPr>
          <w:rFonts w:ascii="Amiri" w:hAnsi="Amiri" w:eastAsia="Amiri" w:cs="Amiri"/>
          <w:color w:val="111111"/>
          <w:sz w:val="28"/>
          <w:sz w:val="28"/>
          <w:szCs w:val="28"/>
          <w:rtl w:val="true"/>
          <w:lang w:bidi="ar-SA"/>
        </w:rPr>
        <w:t>كما انه لو تمكن النائب بنفسه يجب عليه مستقلا، مثل ما يجب على هذا العاجز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 الاحتياج إليه يجب عليه بلا نيابته عن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أيضا على نحو التخيير بين الجهاد بنفسه أو بنائبه و لو كان قادرا في صورة لا يحتاج إليهما، كما انّ على الأخير أيضا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ينتهي الأمر أيضا إلى وجوب بذل واحد منهما بنحو الكفاية، لغير قادر على النفقة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فرق في هذه الجهات بين الجهاد بالمعنى الأخص أو الأعم، كما هو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ظهر ما في إطلاق كلام المصنف، من وجوب استنابة العاجز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أجاد العلّامة الأستاذ في تكملته، في مصيره إلى عدم وجوب الاستنابة إلّا مع الاحتياج، بناء على إرادته من الوجوب في طرف المستنثى أعم من التخييري و التعييني </w:t>
      </w:r>
      <w:r>
        <w:rPr>
          <w:rStyle w:val="FootnoteAnchor"/>
          <w:rtl w:val="true"/>
        </w:rPr>
        <w:footnoteReference w:id="993"/>
      </w:r>
      <w:r>
        <w:rPr>
          <w:rFonts w:ascii="Amiri" w:hAnsi="Amiri" w:eastAsia="Amiri" w:cs="Amiri"/>
          <w:color w:val="111111"/>
          <w:sz w:val="28"/>
          <w:sz w:val="28"/>
          <w:szCs w:val="28"/>
          <w:rtl w:val="true"/>
          <w:lang w:bidi="ar-SA"/>
        </w:rPr>
        <w:t>،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التأمل فيما ذكرنا ظهر وجه انه تجوز الاستنابة أيضا لغير العاجز، لما عرفت من كون الوجوب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علاوة على كفائيته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تخييريا بين المباشرة و التسبيب كما لا يخفى</w:t>
      </w:r>
      <w:r>
        <w:rPr>
          <w:rFonts w:eastAsia="Amiri" w:cs="Amiri" w:ascii="Amiri" w:hAnsi="Amiri"/>
          <w:color w:val="111111"/>
          <w:sz w:val="28"/>
          <w:szCs w:val="28"/>
          <w:rtl w:val="true"/>
          <w:lang w:bidi="ar-SA"/>
        </w:rPr>
        <w:t>.</w:t>
      </w:r>
    </w:p>
    <w:p>
      <w:pPr>
        <w:pStyle w:val="Heading6"/>
        <w:numPr>
          <w:ilvl w:val="5"/>
          <w:numId w:val="1"/>
        </w:numPr>
        <w:rPr/>
      </w:pPr>
      <w:bookmarkStart w:id="464" w:name="__RefHeading___Toc3321028_2314609296"/>
      <w:bookmarkStart w:id="465" w:name="_Toc172"/>
      <w:bookmarkEnd w:id="464"/>
      <w:r>
        <w:rPr>
          <w:rtl w:val="true"/>
        </w:rPr>
        <w:t>بقي في المقام فروع</w:t>
      </w:r>
      <w:r>
        <w:rPr>
          <w:rtl w:val="true"/>
        </w:rPr>
        <w:t>:</w:t>
      </w:r>
      <w:bookmarkEnd w:id="465"/>
    </w:p>
    <w:p>
      <w:pPr>
        <w:pStyle w:val="Heading6"/>
        <w:numPr>
          <w:ilvl w:val="5"/>
          <w:numId w:val="1"/>
        </w:numPr>
        <w:rPr/>
      </w:pPr>
      <w:bookmarkStart w:id="466" w:name="__RefHeading___Toc3321030_2314609296"/>
      <w:bookmarkStart w:id="467" w:name="_Toc173"/>
      <w:bookmarkEnd w:id="466"/>
      <w:r>
        <w:rPr>
          <w:rtl w:val="true"/>
        </w:rPr>
        <w:t>أحدها</w:t>
      </w:r>
      <w:r>
        <w:rPr>
          <w:rtl w:val="true"/>
        </w:rPr>
        <w:t>:</w:t>
      </w:r>
      <w:bookmarkEnd w:id="467"/>
    </w:p>
    <w:p>
      <w:pPr>
        <w:pStyle w:val="BookText"/>
        <w:rPr/>
      </w:pPr>
      <w:r>
        <w:rPr>
          <w:rFonts w:ascii="Amiri" w:hAnsi="Amiri" w:eastAsia="Amiri" w:cs="Amiri"/>
          <w:color w:val="111111"/>
          <w:sz w:val="28"/>
          <w:sz w:val="28"/>
          <w:szCs w:val="28"/>
          <w:rtl w:val="true"/>
          <w:lang w:bidi="ar-SA"/>
        </w:rPr>
        <w:t>انه لو تجدد العجز في أثناء الحرب و بعد تلاقي الصفين، فإن كان ذلك بمثابة يخرج عن حيز القدرة على الجهاد بجميع شئونه، و لو عن خدمة المقاتلين، فلا إشكال في سقوط التكليف، لقبح التكليف بما لا يطاق عقلا</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لو بلغ حد الحرج الخارج عن مقدار ما يقتضيه طبع التكليف بالجهاد، لحكومة عموم نفي الحرج على أدلة التكاليف، من دون فرق في ذلك أيضا بين</w:t>
      </w:r>
      <w:bookmarkStart w:id="468" w:name="pg19818_204198"/>
    </w:p>
    <w:p>
      <w:pPr>
        <w:pStyle w:val="BookText"/>
        <w:rPr/>
      </w:pPr>
      <w:bookmarkEnd w:id="468"/>
      <w:r>
        <w:rPr>
          <w:rFonts w:ascii="Amiri" w:hAnsi="Amiri" w:eastAsia="Amiri" w:cs="Amiri"/>
          <w:color w:val="111111"/>
          <w:sz w:val="28"/>
          <w:sz w:val="28"/>
          <w:szCs w:val="28"/>
          <w:rtl w:val="true"/>
          <w:lang w:bidi="ar-SA"/>
        </w:rPr>
        <w:t>الجهاد و الدفاع عن بيضة الإسلام أو عن نوع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لم يبلغ هذا الحد، فمع عدم من به الكفاية، فلا إشكال في وجوب الثبات في الدفاع، لعدم دخل الشرائط الزائدة عن القدرة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وجوده و قيامه به، فلا يجب عليه الثبات و لو كان صحيحا، بلا تحديد شي‌ء عليه، بناء على ما عرفت من عدم جريان دليل حرمة الفرار بعد التلاقي، و وجوب الثبات في باب الدفاع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جهادا بالمعنى الأخص، ربما وقعت المعارضة بين عموم دليل الشرطية و عموم وجوب الثبات عند التلاقي، بالعموم من وجه، فيتساقطان، فيرجع إلى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لكن مقتضى الإنصاف أن يقال بمنع عموم لدليل الثبات، على وجه يشمل هذه الصورة، إذ هو ناظر إلى من يجب عليه الجهاد و لو كفاية، فيحرم عليه الفرار عند التلاقي، فكأن مثل هذا الدليل سيق لبيان قلب الوجوب الكفائي قبل التلاقي إلى الوجوب العيني بالتلاقي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فدليل الشرطية بإطلاقه وارد على دليل حرمة الفرار، لا معارض له، كي يلاحظ بينهما النسبة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من هذا البيان ظهر حكم جميع صور المسألة مع تشتت كلماتهم فيها، كما لا يخفى على من راجعها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يظهر لك النظر في كثير من كلمات الأعلام في المقام، و اللّٰه العالم</w:t>
      </w:r>
      <w:r>
        <w:rPr>
          <w:rFonts w:eastAsia="Amiri" w:cs="Amiri" w:ascii="Amiri" w:hAnsi="Amiri"/>
          <w:color w:val="111111"/>
          <w:sz w:val="28"/>
          <w:szCs w:val="28"/>
          <w:rtl w:val="true"/>
          <w:lang w:bidi="ar-SA"/>
        </w:rPr>
        <w:t>.</w:t>
      </w:r>
    </w:p>
    <w:p>
      <w:pPr>
        <w:pStyle w:val="Heading6"/>
        <w:numPr>
          <w:ilvl w:val="5"/>
          <w:numId w:val="1"/>
        </w:numPr>
        <w:rPr/>
      </w:pPr>
      <w:bookmarkStart w:id="469" w:name="__RefHeading___Toc3321032_2314609296"/>
      <w:bookmarkStart w:id="470" w:name="_Toc174"/>
      <w:bookmarkEnd w:id="469"/>
      <w:r>
        <w:rPr>
          <w:rtl w:val="true"/>
        </w:rPr>
        <w:t>ثانيها</w:t>
      </w:r>
      <w:r>
        <w:rPr>
          <w:rtl w:val="true"/>
        </w:rPr>
        <w:t>:</w:t>
      </w:r>
      <w:bookmarkEnd w:id="470"/>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من عليه دين فتارة يكون مؤجلا، و اخرى يكون معجلا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الأخير فتارة هو معسر، و اخرى هو موسر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التقادير فتارة يكون في الجهاد بالمعنى الأخص، و اخرى في الدفاع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التقديرين فتارة مع قيام من به الكفاية، و اخرى مع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الأخير فلا شبهة في أهمية حفظ بيضة الإسلام أو نوع المسلمين، و لو مالا و أراضي، على وجه ينتهي الأمر إلى ذلهم عن وفاء الدين، فلا يكاد يتعلق به التكليف بأداء الدين، و لو كان الدائن مطالبا لدينه المعجل فضلا عن صورة عدم مطالبته، أو عدم تعجيل دينه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لو كان مع قيام من به الكفاية، فلا شبهة في تقديم الدين المعجل مع المطالبة دون غيره، لعدم ثبوت تكليف على قيامه بالدفاع، فضلا عن أهميته عن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وجب القيام قبل قيام الغير به، لكن لا يزاحم ذلك مع التكليف بأداء الدين المعجل، فيجب القيام بأداء دينه كي يتعيّن على الغير قيامه بالدفاع،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في فروض الجهاد بالمعنى الأخص، ففي تقديم التكليف بالجهاد حتى مع عدم من به الكفاية، على الدين المطالب المعجل اشكال، لعدم إحراز الاهتمام به على وجه يزاحم حقوق الناس، كما هو الشأن في غالب موارد مزاحمة حقوق اللّٰه مع حقوق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بناء الأصحاب على تقديم حقوق الناس على حقوق اللّٰه، و لازمة حينئذ توقيف الجهاد إلى أن يتمكن بوجه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مع عدم تعجيل الدين أو عدم مطالبة الدائن، فلا شبهة في وجوبه عليه، لفرض الاحتياج إليه، للعمومات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 هذا التفصيل جار في صورة وجود من به الكفاية و عدم قيام غيره بعد، و إلّا فمع قيام الغير أيضا لا يجب عليه الجهاد رأسا، كما هو ظاهر</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بمقتضى القواعد، و أما مقتضى النصوص الخاصة، فقد ورد في الباب تارة بلسان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المقاتلة في سبيل اللّٰه تكفّر الخطايا إلّا الدين </w:t>
      </w:r>
      <w:r>
        <w:rPr>
          <w:rStyle w:val="FootnoteAnchor"/>
          <w:rtl w:val="true"/>
        </w:rPr>
        <w:footnoteReference w:id="994"/>
      </w:r>
      <w:r>
        <w:rPr>
          <w:rFonts w:eastAsia="Times New Roman" w:cs="Times New Roman" w:ascii="Times New Roman" w:hAnsi="Times New Roman"/>
          <w:color w:val="111111"/>
          <w:sz w:val="28"/>
          <w:szCs w:val="28"/>
          <w:rtl w:val="true"/>
          <w:lang w:val="en-US" w:bidi="en-US"/>
        </w:rPr>
        <w:t>.</w:t>
      </w:r>
      <w:bookmarkStart w:id="471" w:name="pg19818_204200"/>
    </w:p>
    <w:p>
      <w:pPr>
        <w:pStyle w:val="BookText"/>
        <w:rPr/>
      </w:pPr>
      <w:bookmarkEnd w:id="471"/>
      <w:r>
        <w:rPr>
          <w:rFonts w:ascii="Amiri" w:hAnsi="Amiri" w:eastAsia="Amiri" w:cs="Amiri"/>
          <w:color w:val="111111"/>
          <w:sz w:val="28"/>
          <w:sz w:val="28"/>
          <w:szCs w:val="28"/>
          <w:rtl w:val="true"/>
          <w:lang w:bidi="ar-SA"/>
        </w:rPr>
        <w:t>و اخرى بأنّ النبي صلّى اللّٰه عليه و آله قال في حق من استشهد في الجهاد و عليه دين كثير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زالت الملائكة تظلّه بأجنحتها</w:t>
      </w:r>
      <w:r>
        <w:rPr>
          <w:rFonts w:eastAsia="Amiri" w:cs="Amiri" w:ascii="Amiri" w:hAnsi="Amiri"/>
          <w:color w:val="111111"/>
          <w:sz w:val="28"/>
          <w:szCs w:val="28"/>
          <w:rtl w:val="true"/>
          <w:lang w:bidi="ar-SA"/>
        </w:rPr>
        <w:t xml:space="preserve">» </w:t>
      </w:r>
      <w:r>
        <w:rPr>
          <w:rStyle w:val="FootnoteAnchor"/>
          <w:rtl w:val="true"/>
        </w:rPr>
        <w:footnoteReference w:id="9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يمكن تنزيل الأول على صورة تقصيره في أداء الدين، بقرينة جعله في زمرة الخطايا، بخلاف الأخير، و لو لعدم مطالبة الدائن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فيه إطلاق يشمل مطالبته قبل الجهاد، فلا دلالة فيهما على خلاف ما ذكرنا، من مقتضى القواعد، كما لا يخفى</w:t>
      </w:r>
      <w:r>
        <w:rPr>
          <w:rFonts w:eastAsia="Amiri" w:cs="Amiri" w:ascii="Amiri" w:hAnsi="Amiri"/>
          <w:color w:val="111111"/>
          <w:sz w:val="28"/>
          <w:szCs w:val="28"/>
          <w:rtl w:val="true"/>
          <w:lang w:bidi="ar-SA"/>
        </w:rPr>
        <w:t>.</w:t>
      </w:r>
    </w:p>
    <w:p>
      <w:pPr>
        <w:pStyle w:val="Heading6"/>
        <w:numPr>
          <w:ilvl w:val="5"/>
          <w:numId w:val="1"/>
        </w:numPr>
        <w:rPr/>
      </w:pPr>
      <w:bookmarkStart w:id="472" w:name="__RefHeading___Toc3321034_2314609296"/>
      <w:bookmarkStart w:id="473" w:name="_Toc175"/>
      <w:bookmarkEnd w:id="472"/>
      <w:r>
        <w:rPr>
          <w:rtl w:val="true"/>
        </w:rPr>
        <w:t>ثالثها</w:t>
      </w:r>
      <w:bookmarkEnd w:id="47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وجوب الدفاع مع عدم قيام من به الكفاية، حتى مع منع والديه على وجه يتأذيان بمخالفته إياهما، لأهمية حفظ بيضة الإسلام و نوع المسلمين من حرمة أذى الوالدين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انه يحرم قتاله مع وجود من به الكفاية بنهي الوالدين على الوجه المزبور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لم يتأذ الوالدان من مخالفته، فلا دليل على وجوب إطاعتهما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أجاد في الجواهر حيث منع من إطلاق وجوب إطاعتهما، نعم يحرم عليه ايذاؤهما و لو بمخالفة أمرهما، لعموم فَلٰا تَقُلْ لَهُمٰا أُفٍّ </w:t>
      </w:r>
      <w:r>
        <w:rPr>
          <w:rStyle w:val="FootnoteAnchor"/>
          <w:rtl w:val="true"/>
        </w:rPr>
        <w:footnoteReference w:id="996"/>
      </w:r>
      <w:r>
        <w:rPr>
          <w:rFonts w:ascii="Amiri" w:hAnsi="Amiri" w:eastAsia="Amiri" w:cs="Amiri"/>
          <w:color w:val="111111"/>
          <w:sz w:val="28"/>
          <w:sz w:val="28"/>
          <w:szCs w:val="28"/>
          <w:rtl w:val="true"/>
          <w:lang w:bidi="ar-SA"/>
        </w:rPr>
        <w:t>و حينئذ فلا بأس بمقتضى القاعدة إقدامه على الدفاع حتى مع نهي والديه و قيام من به الكفاية ما لم يتأذيا من مخالفته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الجهاد بالمعنى الأخص فمع قيام من به الكفاية، فالظاهر جريان التفصيل السابق، بين صورة تأذيهما و عدمه، فيحرم على الأول دون الثاني</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مع عدم قيام من به الكفاية للثاني و فرض تأذي الوالدين، ففي تقديم</w:t>
      </w:r>
    </w:p>
    <w:p>
      <w:pPr>
        <w:pStyle w:val="BookText"/>
        <w:rPr/>
      </w:pPr>
      <w:r>
        <w:rPr>
          <w:rFonts w:ascii="Amiri" w:hAnsi="Amiri" w:eastAsia="Amiri" w:cs="Amiri"/>
          <w:color w:val="111111"/>
          <w:sz w:val="28"/>
          <w:sz w:val="28"/>
          <w:szCs w:val="28"/>
          <w:rtl w:val="true"/>
          <w:lang w:bidi="ar-SA"/>
        </w:rPr>
        <w:t>حرمة التأذي أو وجوب الجهاد اشكال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توهم عدم إطلاق لدليل حرمة التأذي، على وجه يشمل ترك واجباته، كما لو تأذى الأبوان عن صومه الواجب و صلاته، إذ لم يقل أحد بمزاحمته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لازمة الحكم بمفاد دليل وجوب الجهاد، و خروج المورد عن موضوع حرمة التأذي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لئن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تأذي الوالدين إنما يحرم المورد القابل لأن يترك، و هذه القابلية لا بد أن تحرز من الخارج، و لا يصلح هذا الدليل لإحرازها، بل بعموم دليل وجوب الجهاد يحرز 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 أولا بأن مقتضى هذا التقريب بعينه جار في طرف وجوب الجهاد، فكما أنّ إطلاق دليله يحرز قابلية المحل، و لو من جهة كونه من اللوازم العقلية القابلة لإحرازها بالعموم، كذلك في عموم دليل حرمة التأذي أيضا مثل هذا النظر و الإطلاق، فلا جرم لا يكون نسبة دليل حرمة التأذي بالإضافة إلى أدلة سائر الواجبات نسبة المورد إلى الوارد، بل هو من قبيل نسبة التزاحم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فمجرد إحراز أهمية أمثال الصوم و الصلاة من الخارج، لا يقتضي إحراز الأهمية، لكل واجب، حتى يشمل الجهاد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فلا محيص مع الشك في الأهمية إلّا عن الرجوع إلى الأصول العملية، و الأصل، في مثل المقام يقتضي التخيير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فإن تم إجماع على أهمية الجهاد في فرض تعيينه عليه فهو، و إلّا فللنظر في تقديم الجهاد 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مع احتمال كون عدم تأذي الوالدين من حقوقهما على الأولاد، لا من الأحكام، فإن بناء الأصحاب حينئذ على تقديم حقوق الناس على حقوقه تعالى</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أيضا بمقتضى القواعد، و أما مقتضى النصوص ففي كثير منها ترجيح مراعاة جانب الوالدين على الجهاد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 نص أبي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إذنهما</w:t>
      </w:r>
    </w:p>
    <w:p>
      <w:pPr>
        <w:pStyle w:val="BookText"/>
        <w:rPr/>
      </w:pPr>
      <w:r>
        <w:rPr>
          <w:rFonts w:ascii="Amiri" w:hAnsi="Amiri" w:eastAsia="Amiri" w:cs="Amiri"/>
          <w:color w:val="111111"/>
          <w:sz w:val="28"/>
          <w:sz w:val="28"/>
          <w:szCs w:val="28"/>
          <w:rtl w:val="true"/>
          <w:lang w:bidi="ar-SA"/>
        </w:rPr>
        <w:t xml:space="preserve">في الجهاد، حيث أمر النبي صلّى اللّٰه عليه و آله برجوعه الى اليمن فيستأذن للجهاد </w:t>
      </w:r>
      <w:r>
        <w:rPr>
          <w:rStyle w:val="FootnoteAnchor"/>
          <w:rtl w:val="true"/>
        </w:rPr>
        <w:footnoteReference w:id="9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النص عامي </w:t>
      </w:r>
      <w:r>
        <w:rPr>
          <w:rStyle w:val="FootnoteAnchor"/>
          <w:rtl w:val="true"/>
        </w:rPr>
        <w:footnoteReference w:id="998"/>
      </w:r>
      <w:r>
        <w:rPr>
          <w:rFonts w:ascii="Amiri" w:hAnsi="Amiri" w:eastAsia="Amiri" w:cs="Amiri"/>
          <w:color w:val="111111"/>
          <w:sz w:val="28"/>
          <w:sz w:val="28"/>
          <w:szCs w:val="28"/>
          <w:rtl w:val="true"/>
          <w:lang w:bidi="ar-SA"/>
        </w:rPr>
        <w:t>و لم يكن مجبورا بعملهم، كيف و ظاهر كلماتهم اعتبار منعهما في نفي الوجوب لا دخل إذنهما في جوازه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 يمكن حمل إطلاق كلماتهم في دخل المنع أيضا على الغالب، من كون مخالفتهما موجبة لتأذيهما، لا على دخله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حينئذ لم يبق في البين إلّا بقية النصوص، الظاهرة في صورة تأذيهما بجهاده بقرينة بكائهما، كما في بعض النصوص </w:t>
      </w:r>
      <w:r>
        <w:rPr>
          <w:rStyle w:val="FootnoteAnchor"/>
          <w:rtl w:val="true"/>
        </w:rPr>
        <w:footnoteReference w:id="999"/>
      </w:r>
      <w:r>
        <w:rPr>
          <w:rFonts w:ascii="Amiri" w:hAnsi="Amiri" w:eastAsia="Amiri" w:cs="Amiri"/>
          <w:color w:val="111111"/>
          <w:sz w:val="28"/>
          <w:sz w:val="28"/>
          <w:szCs w:val="28"/>
          <w:rtl w:val="true"/>
          <w:lang w:bidi="ar-SA"/>
        </w:rPr>
        <w:t xml:space="preserve">، أو كراهتهما </w:t>
      </w:r>
      <w:r>
        <w:rPr>
          <w:rStyle w:val="FootnoteAnchor"/>
          <w:rtl w:val="true"/>
        </w:rPr>
        <w:footnoteReference w:id="1000"/>
      </w:r>
      <w:r>
        <w:rPr>
          <w:rFonts w:ascii="Amiri" w:hAnsi="Amiri" w:eastAsia="Amiri" w:cs="Amiri"/>
          <w:color w:val="111111"/>
          <w:sz w:val="28"/>
          <w:sz w:val="28"/>
          <w:szCs w:val="28"/>
          <w:rtl w:val="true"/>
          <w:lang w:bidi="ar-SA"/>
        </w:rPr>
        <w:t xml:space="preserve">الملازمة لتأذيهما غالبا من مخالفته كما في نص آخر </w:t>
      </w:r>
      <w:r>
        <w:rPr>
          <w:rStyle w:val="FootnoteAnchor"/>
          <w:rtl w:val="true"/>
        </w:rPr>
        <w:footnoteReference w:id="10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حينئذ فربما توهم مثل هذه الروايات أهمية مفسدة حرمة التأذي عن مصلحة وجوب الجهاد، فتقدّم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يمكن أن يدعى أنّ مصب هذه الروايات صورة وجود من به الكفاية، بشهادة عدم توقف النبي صلّى اللّٰه عليه و آله عن الجهاد بتركه، و في مثل هذه الصورة قد أشرنا الى أنّ القواعد أيضا تقتضي تقديم مراعاتهما على الجهاد</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إنما الكلام و الاشكال، في صورة عدم قيام من به الكفاية، ففي هذه الصورة لا يكاد يمكن التشبث بالنصوص المزبورة لإثبات ترجيح حرمة التأذي، لخروج مثله عن مصب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محيص عن التشبث بدليل آخر، فإن تم</w:t>
      </w:r>
      <w:bookmarkStart w:id="474" w:name="pg19818_204203"/>
    </w:p>
    <w:p>
      <w:pPr>
        <w:pStyle w:val="BookText"/>
        <w:rPr/>
      </w:pPr>
      <w:bookmarkEnd w:id="474"/>
      <w:r>
        <w:rPr>
          <w:rFonts w:ascii="Amiri" w:hAnsi="Amiri" w:eastAsia="Amiri" w:cs="Amiri"/>
          <w:color w:val="111111"/>
          <w:sz w:val="28"/>
          <w:sz w:val="28"/>
          <w:szCs w:val="28"/>
          <w:rtl w:val="true"/>
          <w:lang w:bidi="ar-SA"/>
        </w:rPr>
        <w:t>إجماع على أهمية الجهاد، كما هو ظاهر كلماتهم من تقديم منع الوالدين إلّا مع تعيين الجهاد عليه، المحمول على صورة عدم قيام من به الكفاية، بل في الجواهر التصريح بالإجماع على تقديم الجهاد، فهو، و إلّا فللنظر في ترجيح أي واحد اشكال، فالمرجع البراءة عن الطرفين، فيتخيّر في الأخذ بأي طرف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في جريان حرمة التأذي في الأب الكافر إشكال، لإمكان دعوى انصراف الآية عن مثله، لو لا الأوامر الواردة بمصاحبتهما بالمعروف في الدنيا، فإنه يؤكد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لازمة إلحاق الكافر بالمسلم من تلك الجهة، لو لا شهادة جهاد أبي بكر و أبي حذيفة مع النبي، مع كفر أبويهما، على عدم منع تأذيهما عن جواز الجهاد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أيضا لو لا احتمال عدم تأذيهما منه، فلا دلالة فيهما أيضا على إطلاق تقديم الجهاد على عقوق الأب الكافر، مع أنّ مقتضى إطلاق أمر النبي صلّى اللّٰه عليه و آله بمراعاة جانب الوالدين بلا استفسار عن حالهما، عدم الفرق في ذلك بين المسلم و الكافر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دعوى غلبة إسلامهم، فتنزل المطلقات المزبورة على الغالب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لو كان الأب مملوكا فإنه لا ينافي وجوب مراعاة جانبه، فلا قصور في شمول الآية لمثله، فيلحق المملوك من تلك الجهة أيضا بالحر</w:t>
      </w:r>
      <w:r>
        <w:rPr>
          <w:rFonts w:eastAsia="Amiri" w:cs="Amiri" w:ascii="Amiri" w:hAnsi="Amiri"/>
          <w:color w:val="111111"/>
          <w:sz w:val="28"/>
          <w:szCs w:val="28"/>
          <w:rtl w:val="true"/>
          <w:lang w:bidi="ar-SA"/>
        </w:rPr>
        <w:t>.</w:t>
      </w:r>
    </w:p>
    <w:p>
      <w:pPr>
        <w:pStyle w:val="Heading6"/>
        <w:numPr>
          <w:ilvl w:val="5"/>
          <w:numId w:val="1"/>
        </w:numPr>
        <w:rPr/>
      </w:pPr>
      <w:bookmarkStart w:id="475" w:name="__RefHeading___Toc3321036_2314609296"/>
      <w:bookmarkStart w:id="476" w:name="_Toc176"/>
      <w:bookmarkEnd w:id="475"/>
      <w:r>
        <w:rPr>
          <w:rtl w:val="true"/>
        </w:rPr>
        <w:t>رابعها</w:t>
      </w:r>
      <w:bookmarkEnd w:id="476"/>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بذل للمعسر ما يحتاج إليه، فمع قيام من به الكفاية في الجهاد لا يجب عليه القبول، إذ حاله حينئذ حال الموسر الساقط عنه الجهاد بقيام من به 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عدمه فيجب عليه تعيينا، في صورة يعلم بعدم قدرة الباذل بنفسه على الجهاد، و أما مع قدرته فيجب عليهما حينئذ بنحو الكفاية، فباقدام أيهما يسقط عن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هذه الصورة يدور الوجوب مدار بقائه على البذل، فمهما رجع، عن البذل سقط، و لو في صورة تقابل العسكرين، لما عرفت من أنّ دليل حرمة الفرار أيضا قاصر الشمول لفاقد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الشك يستصحب عدم رجوعه، و لو كان بذله تدريجيا ففي جريان الاستصحاب المذكور اشكال، نظير الإشكال في استصحاب جريان الدم بنحو التدريج في باب الحيض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عمدة وجه التشكيك التشكيك في اعتبار العرف الأمور المندرجة المنفصلة بمنزلة الواحد المستمر، و ذلك أيضا في صورة استمرار مقتضاها، و إلّا فمع انفصال المقتضيات لا إشكال في عدم اعتبارهم الوحدة المستمرة في أمثال ذلك، فلا مجال لجريان الاستصحاب جزما،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كفاية الوثوق بكلام الباذل وجه، لو لا دعوى أنه بمنزلة خبر الواحد لا يعبأ به في الموضوعات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لكن يمكن في المقام دعوى القبول، لأنّ الغالب في موارد البذل عدم طريق لإحراز بقائه على بذله إلّا الوثوق بكلامه، كما هو الشأن في بذل الزاد و الراحلة في الحج أيضا، فقضية عدم تنزيل إطلاقات وجوب الحج أو الجهاد بالبذل على الموارد النادرة، لزوم الاتكال و الوثوق بكلامه، فيستفاد حينئذ حجية هذا الوثوق من فحوى الإطلاقات، كما 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يدعى أنّ غالب موارد البذل دفعي، و في مثله يجري استصحاب عدم رجوعه، بلا احتياج إلى حجية الوثوق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فلا دليل في التدريجيات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حجية الوثوق بكلام الباذل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فالعمدة حينئذ هو الاستصحاب، فمع التشكيك المزبور فيه، أشكل أمر الوجوب بمثل هذا البذل التدريجي</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أشكل منه وجوب القبول في هبته، بناء على كون الوجدان في الجهاد</w:t>
      </w:r>
      <w:bookmarkStart w:id="477" w:name="pg19818_204205"/>
    </w:p>
    <w:p>
      <w:pPr>
        <w:pStyle w:val="BookText"/>
        <w:rPr/>
      </w:pPr>
      <w:bookmarkEnd w:id="477"/>
      <w:r>
        <w:rPr>
          <w:rFonts w:ascii="Amiri" w:hAnsi="Amiri" w:eastAsia="Amiri" w:cs="Amiri"/>
          <w:color w:val="111111"/>
          <w:sz w:val="28"/>
          <w:sz w:val="28"/>
          <w:szCs w:val="28"/>
          <w:rtl w:val="true"/>
          <w:lang w:bidi="ar-SA"/>
        </w:rPr>
        <w:t>بالمعنى الأخص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الشرائط الشرعية، كما هو الظاهر أيضا من الآية الشريفة المشار إليها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الدفاع حيث إنه من الشرائط العقلية، يجب عليه القبول عند عدم قيام من به الكفاية، بل و فيها يجب على المبذول له الاقدام بمحض احتمال البقاء، لكونه من صغريات الشك في القدرة، الحاكم فيها العقل بالاحتياط، كما لا يخفى</w:t>
      </w:r>
      <w:r>
        <w:rPr>
          <w:rFonts w:eastAsia="Amiri" w:cs="Amiri" w:ascii="Amiri" w:hAnsi="Amiri"/>
          <w:color w:val="111111"/>
          <w:sz w:val="28"/>
          <w:szCs w:val="28"/>
          <w:rtl w:val="true"/>
          <w:lang w:bidi="ar-SA"/>
        </w:rPr>
        <w:t>.</w:t>
      </w:r>
    </w:p>
    <w:p>
      <w:pPr>
        <w:pStyle w:val="Heading6"/>
        <w:numPr>
          <w:ilvl w:val="5"/>
          <w:numId w:val="1"/>
        </w:numPr>
        <w:rPr/>
      </w:pPr>
      <w:bookmarkStart w:id="478" w:name="__RefHeading___Toc3321038_2314609296"/>
      <w:bookmarkStart w:id="479" w:name="_Toc177"/>
      <w:bookmarkEnd w:id="478"/>
      <w:r>
        <w:rPr>
          <w:rtl w:val="true"/>
        </w:rPr>
        <w:t>و خامسها</w:t>
      </w:r>
      <w:r>
        <w:rPr>
          <w:rtl w:val="true"/>
        </w:rPr>
        <w:t>:</w:t>
      </w:r>
      <w:bookmarkEnd w:id="479"/>
    </w:p>
    <w:p>
      <w:pPr>
        <w:pStyle w:val="BookText"/>
        <w:rPr/>
      </w:pPr>
      <w:r>
        <w:rPr>
          <w:rFonts w:ascii="Amiri" w:hAnsi="Amiri" w:eastAsia="Amiri" w:cs="Amiri"/>
          <w:color w:val="111111"/>
          <w:sz w:val="28"/>
          <w:sz w:val="28"/>
          <w:szCs w:val="28"/>
          <w:rtl w:val="true"/>
          <w:lang w:bidi="ar-SA"/>
        </w:rPr>
        <w:t>انه يجب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من يضعف في بلد الكفر عن إظهار شعائر الإسلام، من الأذان و الصلاة و الصيام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الهجرة إلى بلاد الإسلام، مع تمكنه من المهاجرة، بلا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لمعلومية أمر النبي صلّى اللّٰه عليه و آله بها </w:t>
      </w:r>
      <w:r>
        <w:rPr>
          <w:rStyle w:val="FootnoteAnchor"/>
          <w:rtl w:val="true"/>
        </w:rPr>
        <w:footnoteReference w:id="1002"/>
      </w:r>
      <w:r>
        <w:rPr>
          <w:rFonts w:ascii="Amiri" w:hAnsi="Amiri" w:eastAsia="Amiri" w:cs="Amiri"/>
          <w:color w:val="111111"/>
          <w:sz w:val="28"/>
          <w:sz w:val="28"/>
          <w:szCs w:val="28"/>
          <w:rtl w:val="true"/>
          <w:lang w:bidi="ar-SA"/>
        </w:rPr>
        <w:t xml:space="preserve">، و في الآية الشريفة أيضا في قوله أَ لَمْ تَكُنْ أَرْضُ اللّٰهِ وٰاسِعَةً </w:t>
      </w:r>
      <w:r>
        <w:rPr>
          <w:rStyle w:val="FootnoteAnchor"/>
          <w:rtl w:val="true"/>
        </w:rPr>
        <w:footnoteReference w:id="1003"/>
      </w:r>
      <w:r>
        <w:rPr>
          <w:rFonts w:ascii="Amiri" w:hAnsi="Amiri" w:eastAsia="Amiri" w:cs="Amiri"/>
          <w:color w:val="111111"/>
          <w:sz w:val="28"/>
          <w:sz w:val="28"/>
          <w:szCs w:val="28"/>
          <w:rtl w:val="true"/>
          <w:lang w:bidi="ar-SA"/>
        </w:rPr>
        <w:t>دلالة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من لم يتمكن من المهاجرة لا حرج عليه، لعموم نفي الحرج، كما انّ من يتمكن من اقامة الشعائر فيه خارج عن مورد الآية الشريفة، لظهورها في كونه مستضعفا عن إظهار دينه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معقد كلماتهم مختص ببلاد الكفر، لعدم التمكن من إظهار أصل الأذان و الصلاة و الصيام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من كان في بلاد العامة، و لا يتمكن من إظهار تشيعه، فهو خارج عن مصب الكلمات</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لا يبعد شمول عموم الآية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ظٰالِمِي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تفويت</w:t>
      </w:r>
    </w:p>
    <w:p>
      <w:pPr>
        <w:pStyle w:val="BookText"/>
        <w:rPr/>
      </w:pPr>
      <w:r>
        <w:rPr>
          <w:rFonts w:ascii="Amiri" w:hAnsi="Amiri" w:eastAsia="Amiri" w:cs="Amiri"/>
          <w:color w:val="111111"/>
          <w:sz w:val="28"/>
          <w:sz w:val="28"/>
          <w:szCs w:val="28"/>
          <w:rtl w:val="true"/>
          <w:lang w:bidi="ar-SA"/>
        </w:rPr>
        <w:t>أحكامهم و مصالحهم الواقعية لمثله، لو لا دعوى كون التقية دينا ثانويا لهم، على وجه يصلح لجبر المصالح الفائتة، فلا يكون بهذه الجهة ظالما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توهم انّ ذلك كذلك لو لم نقل بلزوم عدم المندوحة في التقية، و إلّا فمع التمكن من الهجرة لا تقية عليه، لعدم صدق الاضطرار الجميع للمحذور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 بأنّ عموم الاضطرار و إن لم يشمل المقام، إلّا انّ من الموارد المنصوصة، المأمور بإجراء التقية فيها، يمكن أن يستفاد انّ في ظرف الابتلاء بمورد التقية لا يلزم عليه تغيير موضوع الابتلاء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فالعمدة في المقام حينئذ التعدّي عن الموارد المنصوصة إلى غيرها، مضافا إلى إمكان استفادته من فحاوي الإطلاقات الواردة غالبا في فرض التمكن من المندوحة في ظرف الابتلاء، و يستفاد حينئذ توسعة في باب التقية، موجبة لامتيازها عن سائر الأعذار،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هذه الجهة هي منشأ صرف أنظار المشهور في مثل هذا الحكم إلى خصوص من كان من المسلمين في بلاد الكفر، دون من كان من الشيعة في بلاد العامة</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حينئذ فما عن الشهيد من إجرائه فيهم أيضا </w:t>
      </w:r>
      <w:r>
        <w:rPr>
          <w:rStyle w:val="FootnoteAnchor"/>
          <w:rtl w:val="true"/>
        </w:rPr>
        <w:footnoteReference w:id="1004"/>
      </w:r>
      <w:r>
        <w:rPr>
          <w:rFonts w:ascii="Amiri" w:hAnsi="Amiri" w:eastAsia="Amiri" w:cs="Amiri"/>
          <w:color w:val="111111"/>
          <w:sz w:val="28"/>
          <w:sz w:val="28"/>
          <w:szCs w:val="28"/>
          <w:rtl w:val="true"/>
          <w:lang w:bidi="ar-SA"/>
        </w:rPr>
        <w:t xml:space="preserve">، وفاقا للكركي </w:t>
      </w:r>
      <w:r>
        <w:rPr>
          <w:rStyle w:val="FootnoteAnchor"/>
          <w:rtl w:val="true"/>
        </w:rPr>
        <w:footnoteReference w:id="1005"/>
      </w:r>
      <w:r>
        <w:rPr>
          <w:rFonts w:ascii="Amiri" w:hAnsi="Amiri" w:eastAsia="Amiri" w:cs="Amiri"/>
          <w:color w:val="111111"/>
          <w:sz w:val="28"/>
          <w:sz w:val="28"/>
          <w:szCs w:val="28"/>
          <w:rtl w:val="true"/>
          <w:lang w:bidi="ar-SA"/>
        </w:rPr>
        <w:t>، منظور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أجاد في الجواهر في ردهما، بكونه خلاف السيرة في زمن الغيبة </w:t>
      </w:r>
      <w:r>
        <w:rPr>
          <w:rStyle w:val="FootnoteAnchor"/>
          <w:rtl w:val="true"/>
        </w:rPr>
        <w:footnoteReference w:id="1006"/>
      </w:r>
      <w:r>
        <w:rPr>
          <w:rFonts w:ascii="Amiri" w:hAnsi="Amiri" w:eastAsia="Amiri" w:cs="Amiri"/>
          <w:color w:val="111111"/>
          <w:sz w:val="28"/>
          <w:sz w:val="28"/>
          <w:szCs w:val="28"/>
          <w:rtl w:val="true"/>
          <w:lang w:bidi="ar-SA"/>
        </w:rPr>
        <w:t>، مؤيدا بجملة من النصوص الواردة في الحث على معاشرتهم، بتشييع جنائزهم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في استفادة جواز تفويت التكليف من مثلها نظر، كيف و إطلاقها يقتضي جواز جعل نفسه اختيارا مورد الابتلاء بهم، و لا أظن التزامه</w:t>
      </w:r>
      <w:bookmarkStart w:id="480" w:name="pg19818_204207"/>
    </w:p>
    <w:p>
      <w:pPr>
        <w:pStyle w:val="BookText"/>
        <w:rPr/>
      </w:pPr>
      <w:bookmarkEnd w:id="480"/>
      <w:r>
        <w:rPr>
          <w:rFonts w:ascii="Amiri" w:hAnsi="Amiri" w:eastAsia="Amiri" w:cs="Amiri"/>
          <w:color w:val="111111"/>
          <w:sz w:val="28"/>
          <w:sz w:val="28"/>
          <w:szCs w:val="28"/>
          <w:rtl w:val="true"/>
          <w:lang w:bidi="ar-SA"/>
        </w:rPr>
        <w:t>من غالبهم، كيف و في النص أيضا الأمر بصلاته في بيته، ثم يظهر الصلاة معهم 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فالعمدة في وجه الاستفادة هو الذي أشرنا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الأمر بالمهاجرة باق ما دام أهل البلد كافرين، و عدم تمكنه من اقامة الشعائر فيه، و إن كان بعد فتح المسلمين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في النبوي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هجرة بعد الفتح</w:t>
      </w:r>
      <w:r>
        <w:rPr>
          <w:rFonts w:eastAsia="Amiri" w:cs="Amiri" w:ascii="Amiri" w:hAnsi="Amiri"/>
          <w:color w:val="111111"/>
          <w:sz w:val="28"/>
          <w:szCs w:val="28"/>
          <w:rtl w:val="true"/>
          <w:lang w:bidi="ar-SA"/>
        </w:rPr>
        <w:t xml:space="preserve">» </w:t>
      </w:r>
      <w:r>
        <w:rPr>
          <w:rStyle w:val="FootnoteAnchor"/>
          <w:rtl w:val="true"/>
        </w:rPr>
        <w:footnoteReference w:id="1007"/>
      </w:r>
      <w:r>
        <w:rPr>
          <w:rFonts w:ascii="Amiri" w:hAnsi="Amiri" w:eastAsia="Amiri" w:cs="Amiri"/>
          <w:color w:val="111111"/>
          <w:sz w:val="28"/>
          <w:sz w:val="28"/>
          <w:szCs w:val="28"/>
          <w:rtl w:val="true"/>
          <w:lang w:bidi="ar-SA"/>
        </w:rPr>
        <w:t>محمول على فتح مكة، لصيرورتها من بلاد المسلمين بفتحها، مع إمكان تنزيله على ما هو الغالب من تمكن المسلمين بعد فتحها من اقامة شعائرهم، و إلّا فإطلاق الآية الشريفة السابقة شاملة له، كما لا يخفى، و اللّٰه العالم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Heading6"/>
        <w:numPr>
          <w:ilvl w:val="5"/>
          <w:numId w:val="1"/>
        </w:numPr>
        <w:rPr/>
      </w:pPr>
      <w:bookmarkStart w:id="481" w:name="__RefHeading___Toc3321040_2314609296"/>
      <w:bookmarkStart w:id="482" w:name="_Toc178"/>
      <w:bookmarkEnd w:id="481"/>
      <w:r>
        <w:rPr>
          <w:rtl w:val="true"/>
        </w:rPr>
        <w:t>سادسها</w:t>
      </w:r>
      <w:r>
        <w:rPr>
          <w:rtl w:val="true"/>
        </w:rPr>
        <w:t xml:space="preserve">: </w:t>
      </w:r>
      <w:r>
        <w:rPr>
          <w:rtl w:val="true"/>
        </w:rPr>
        <w:t>إنه يستحب المرابطة ثلاثة أيام إلى أربعين</w:t>
      </w:r>
      <w:bookmarkEnd w:id="482"/>
    </w:p>
    <w:p>
      <w:pPr>
        <w:pStyle w:val="BookText"/>
        <w:rPr/>
      </w:pPr>
      <w:r>
        <w:rPr>
          <w:rFonts w:ascii="Amiri" w:hAnsi="Amiri" w:eastAsia="Amiri" w:cs="Amiri"/>
          <w:color w:val="111111"/>
          <w:sz w:val="28"/>
          <w:sz w:val="28"/>
          <w:szCs w:val="28"/>
          <w:rtl w:val="true"/>
          <w:lang w:bidi="ar-SA"/>
        </w:rPr>
        <w:t>، أما الاستحباب فهو المشهور، بل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أجد خلافا بينهم إلّا عن التنقيح، حيث ذهب إلى وجوبها على المسلمين كفاية من غير شرط ظهور الامام </w:t>
      </w:r>
      <w:r>
        <w:rPr>
          <w:rStyle w:val="FootnoteAnchor"/>
          <w:rtl w:val="true"/>
        </w:rPr>
        <w:footnoteReference w:id="10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وجّهه في الجواهر بصورة لزوم الضرر على المسلمين بدونها </w:t>
      </w:r>
      <w:r>
        <w:rPr>
          <w:rStyle w:val="FootnoteAnchor"/>
          <w:rtl w:val="true"/>
        </w:rPr>
        <w:footnoteReference w:id="1009"/>
      </w:r>
      <w:r>
        <w:rPr>
          <w:rFonts w:ascii="Amiri" w:hAnsi="Amiri" w:eastAsia="Amiri" w:cs="Amiri"/>
          <w:color w:val="111111"/>
          <w:sz w:val="28"/>
          <w:sz w:val="28"/>
          <w:szCs w:val="28"/>
          <w:rtl w:val="true"/>
          <w:lang w:bidi="ar-SA"/>
        </w:rPr>
        <w:t>، و لكنه خلاف إطلاق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أي حال فعمدة وجه الاستحباب استفادة الرجحان من جملة نصوص، تارة بلسان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رباط ليلة خير من صيام شهر</w:t>
      </w:r>
      <w:r>
        <w:rPr>
          <w:rFonts w:eastAsia="Amiri" w:cs="Amiri" w:ascii="Amiri" w:hAnsi="Amiri"/>
          <w:color w:val="111111"/>
          <w:sz w:val="28"/>
          <w:szCs w:val="28"/>
          <w:rtl w:val="true"/>
          <w:lang w:bidi="ar-SA"/>
        </w:rPr>
        <w:t xml:space="preserve">» </w:t>
      </w:r>
      <w:r>
        <w:rPr>
          <w:rStyle w:val="FootnoteAnchor"/>
          <w:rtl w:val="true"/>
        </w:rPr>
        <w:footnoteReference w:id="1010"/>
      </w:r>
      <w:r>
        <w:rPr>
          <w:rFonts w:eastAsia="Times New Roman" w:cs="Times New Roman" w:ascii="Times New Roman" w:hAnsi="Times New Roman"/>
          <w:color w:val="111111"/>
          <w:sz w:val="28"/>
          <w:szCs w:val="28"/>
          <w:rtl w:val="true"/>
          <w:lang w:val="en-US" w:bidi="en-US"/>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اخرى بأنّ من العين التي لا تمسها النار عين باتت تحرس في سبيل اللّٰه </w:t>
      </w:r>
      <w:r>
        <w:rPr>
          <w:rStyle w:val="FootnoteAnchor"/>
          <w:rtl w:val="true"/>
        </w:rPr>
        <w:footnoteReference w:id="10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ثالثة بأنّ كل ميت يختم على عمله إلّا المرابط </w:t>
      </w:r>
      <w:r>
        <w:rPr>
          <w:rStyle w:val="FootnoteAnchor"/>
          <w:rtl w:val="true"/>
        </w:rPr>
        <w:footnoteReference w:id="10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مثل هذه النصوص لا يستفاد منها سوى مجرد رجحان المرابطة، و أما وجوبها فلا، كما هو الشأن في مفاد الآية، لعدم اشتمالها على أزيد من مدح الذين جاهدوا و رابطوا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نص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بالمرابطة و النهي عن المقاتلة </w:t>
      </w:r>
      <w:r>
        <w:rPr>
          <w:rStyle w:val="FootnoteAnchor"/>
          <w:rtl w:val="true"/>
        </w:rPr>
        <w:footnoteReference w:id="1013"/>
      </w:r>
      <w:r>
        <w:rPr>
          <w:rFonts w:ascii="Amiri" w:hAnsi="Amiri" w:eastAsia="Amiri" w:cs="Amiri"/>
          <w:color w:val="111111"/>
          <w:sz w:val="28"/>
          <w:sz w:val="28"/>
          <w:szCs w:val="28"/>
          <w:rtl w:val="true"/>
          <w:lang w:bidi="ar-SA"/>
        </w:rPr>
        <w:t xml:space="preserve">، و لعل ذلك مدرك التنقيح في مصيره إلى وجوبه </w:t>
      </w:r>
      <w:r>
        <w:rPr>
          <w:rStyle w:val="FootnoteAnchor"/>
          <w:rtl w:val="true"/>
        </w:rPr>
        <w:footnoteReference w:id="10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يمكن حمل هذا الأمر أيضا على دفع توهم الحظر بتوهم كونها كالقتال مع الجائرين، الممنوع شرعا، كما توهمه بعض أصحابه، و عليه فيكفي في نفي الوجوب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لا تعارض دلالة السابقة على الرجحان مع ما في بعض النصوص من النهي عن المرابطة تارة، و من ثبوت الويل للمقتولين في الثغور اخرى، لإمكان تقييدها بصورة قصد الإعانة للجائرين، كما هو المرئي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في اقتران الأمر بالمرابطة بالنهي عن القتال، يستفاد إنّ الرباط غير القتال، بل غايته كون الغرض منه كونه عينا للمسلمين، و سببا لإعلامهم بحال المشركين كي لا يهجموا عليهم غفلة منهم، و مثل هذا المعنى أمر مستحسن حتى في زمن الغيبة، و لا يختص بزمان الحضور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إطلاق النصوص المزبورة ربما يكون شاهدا على ذلك، خصوصا مثل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رباط ليلة خير من صيام شهر</w:t>
      </w:r>
      <w:r>
        <w:rPr>
          <w:rFonts w:eastAsia="Amiri" w:cs="Amiri" w:ascii="Amiri" w:hAnsi="Amiri"/>
          <w:color w:val="111111"/>
          <w:sz w:val="28"/>
          <w:szCs w:val="28"/>
          <w:rtl w:val="true"/>
          <w:lang w:bidi="ar-SA"/>
        </w:rPr>
        <w:t xml:space="preserve">» </w:t>
      </w:r>
      <w:r>
        <w:rPr>
          <w:rStyle w:val="FootnoteAnchor"/>
          <w:rtl w:val="true"/>
        </w:rPr>
        <w:footnoteReference w:id="1015"/>
      </w:r>
      <w:r>
        <w:rPr>
          <w:rFonts w:ascii="Amiri" w:hAnsi="Amiri" w:eastAsia="Amiri" w:cs="Amiri"/>
          <w:color w:val="111111"/>
          <w:sz w:val="28"/>
          <w:sz w:val="28"/>
          <w:szCs w:val="28"/>
          <w:rtl w:val="true"/>
          <w:lang w:bidi="ar-SA"/>
        </w:rPr>
        <w:t>، و توهم عدم سوقه لهذه الجهات، منظور فيه</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ظاهره أيضا عدم اختصاص الرجحان في طرف الأقل بالثلاثة الأيام،</w:t>
      </w:r>
      <w:bookmarkStart w:id="483" w:name="pg19818_204209"/>
    </w:p>
    <w:p>
      <w:pPr>
        <w:pStyle w:val="BookText"/>
        <w:rPr/>
      </w:pPr>
      <w:bookmarkEnd w:id="483"/>
      <w:r>
        <w:rPr>
          <w:rFonts w:ascii="Amiri" w:hAnsi="Amiri" w:eastAsia="Amiri" w:cs="Amiri"/>
          <w:color w:val="111111"/>
          <w:sz w:val="28"/>
          <w:sz w:val="28"/>
          <w:szCs w:val="28"/>
          <w:rtl w:val="true"/>
          <w:lang w:bidi="ar-SA"/>
        </w:rPr>
        <w:t>و ما في النصوص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الرباط ثلاثة و الكثرة أربعون يوما</w:t>
      </w:r>
      <w:r>
        <w:rPr>
          <w:rFonts w:eastAsia="Amiri" w:cs="Amiri" w:ascii="Amiri" w:hAnsi="Amiri"/>
          <w:color w:val="111111"/>
          <w:sz w:val="28"/>
          <w:szCs w:val="28"/>
          <w:rtl w:val="true"/>
          <w:lang w:bidi="ar-SA"/>
        </w:rPr>
        <w:t xml:space="preserve">» </w:t>
      </w:r>
      <w:r>
        <w:rPr>
          <w:rStyle w:val="FootnoteAnchor"/>
          <w:rtl w:val="true"/>
        </w:rPr>
        <w:footnoteReference w:id="1016"/>
      </w:r>
      <w:r>
        <w:rPr>
          <w:rFonts w:ascii="Amiri" w:hAnsi="Amiri" w:eastAsia="Amiri" w:cs="Amiri"/>
          <w:color w:val="111111"/>
          <w:sz w:val="28"/>
          <w:sz w:val="28"/>
          <w:szCs w:val="28"/>
          <w:rtl w:val="true"/>
          <w:lang w:bidi="ar-SA"/>
        </w:rPr>
        <w:t>محمول على مراتب الفضيلة، كما هو الشأن في المستحبات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في ذيل الرواية بمضمون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زادت كانت جهادا بمعنى انّ ثوابه ثواب المجاهدين، لا انّ حد الرباط أربعون ليس إلّا، بحيث لو تجاوز عنه لا ثواب له، بل بازدياده يتأكد ثوابه، إلى أن يبلغ حد ثواب المجاهدين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تجب المرابطة بالنذر و شبهه، لعموم دليله بعد رجحانه ذاتا، و الوجه فيه ظاهر</w:t>
      </w:r>
      <w:r>
        <w:rPr>
          <w:rFonts w:eastAsia="Amiri" w:cs="Amiri" w:ascii="Amiri" w:hAnsi="Amiri"/>
          <w:color w:val="111111"/>
          <w:sz w:val="28"/>
          <w:szCs w:val="28"/>
          <w:rtl w:val="true"/>
          <w:lang w:bidi="ar-SA"/>
        </w:rPr>
        <w:t>.</w:t>
      </w:r>
    </w:p>
    <w:p>
      <w:pPr>
        <w:pStyle w:val="Heading5"/>
        <w:numPr>
          <w:ilvl w:val="4"/>
          <w:numId w:val="1"/>
        </w:numPr>
        <w:rPr/>
      </w:pPr>
      <w:bookmarkStart w:id="484" w:name="__RefHeading___Toc3321042_2314609296"/>
      <w:bookmarkStart w:id="485" w:name="_Toc179"/>
      <w:bookmarkEnd w:id="484"/>
      <w:r>
        <w:rPr>
          <w:rtl w:val="true"/>
        </w:rPr>
        <w:t>الفصل الثاني</w:t>
      </w:r>
      <w:r>
        <w:rPr>
          <w:rtl w:val="true"/>
        </w:rPr>
        <w:t xml:space="preserve">: </w:t>
      </w:r>
      <w:r>
        <w:rPr>
          <w:rtl w:val="true"/>
        </w:rPr>
        <w:t>فيمن يجب جهادهم</w:t>
      </w:r>
      <w:bookmarkEnd w:id="485"/>
    </w:p>
    <w:p>
      <w:pPr>
        <w:pStyle w:val="Heading6"/>
        <w:numPr>
          <w:ilvl w:val="5"/>
          <w:numId w:val="1"/>
        </w:numPr>
        <w:rPr/>
      </w:pPr>
      <w:bookmarkStart w:id="486" w:name="__RefHeading___Toc3321044_2314609296"/>
      <w:bookmarkStart w:id="487" w:name="_Toc180"/>
      <w:bookmarkEnd w:id="486"/>
      <w:r>
        <w:rPr>
          <w:rtl w:val="true"/>
        </w:rPr>
        <w:t>اشارة</w:t>
      </w:r>
      <w:bookmarkEnd w:id="487"/>
    </w:p>
    <w:p>
      <w:pPr>
        <w:pStyle w:val="BookText"/>
        <w:rPr/>
      </w:pPr>
      <w:r>
        <w:rPr>
          <w:rFonts w:ascii="IRNazanin" w:hAnsi="IRNazanin" w:eastAsia="IRNazanin"/>
          <w:color w:val="111111"/>
          <w:sz w:val="28"/>
          <w:sz w:val="28"/>
          <w:szCs w:val="28"/>
          <w:rtl w:val="true"/>
          <w:lang w:bidi="fa-IR"/>
        </w:rPr>
        <w:t>بالمعنى الأخص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أصناف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اليهود و النصارى و المجوس المعبّر عنهم بأهل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هؤلاء يقاتلون إلى أن يسلموا أو يلتزموا بشرائط الذمة، بلا خلاف فيه فتوى و نصا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روت العامة و الخاصة أنّ النبي كان يوصي أمراء السرايا بالدعاء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دعاء أهل الذمة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الإسلام قبل القتال، فإن أبوا فإلى الجزية، فإن أبوا قوتلوا </w:t>
      </w:r>
      <w:r>
        <w:rPr>
          <w:rStyle w:val="FootnoteAnchor"/>
          <w:rtl w:val="true"/>
        </w:rPr>
        <w:footnoteReference w:id="10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النص الواصل من طريق الخاصة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السيوف الثلاثة الشاهرة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فسيف على مشركي العرب، قال اللّٰه عز و جل فَاقْتُلُوا الْمُشْرِكِينَ حَيْثُ وَجَدْتُمُوهُمْ </w:t>
      </w:r>
      <w:r>
        <w:rPr>
          <w:rStyle w:val="FootnoteAnchor"/>
          <w:rtl w:val="true"/>
        </w:rPr>
        <w:footnoteReference w:id="1018"/>
      </w:r>
      <w:r>
        <w:rPr>
          <w:rFonts w:ascii="Amiri" w:hAnsi="Amiri" w:eastAsia="Amiri" w:cs="Amiri"/>
          <w:color w:val="111111"/>
          <w:sz w:val="28"/>
          <w:sz w:val="28"/>
          <w:szCs w:val="28"/>
          <w:rtl w:val="true"/>
          <w:lang w:bidi="ar-SA"/>
        </w:rPr>
        <w:t>، فهؤلاء لا يقبل منهم إلّا القتل أو الدخول في الإسلام</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السيف الثاني على أهل الذمة، قال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قٰاتِلُوا الَّذِينَ لٰا يُؤْمِنُونَ بِاللّٰهِ وَ لٰا بِالْيَوْمِ الْآخِرِ </w:t>
      </w:r>
      <w:r>
        <w:rPr>
          <w:rStyle w:val="FootnoteAnchor"/>
          <w:rtl w:val="true"/>
        </w:rPr>
        <w:footnoteReference w:id="1019"/>
      </w:r>
      <w:r>
        <w:rPr>
          <w:rFonts w:ascii="Amiri" w:hAnsi="Amiri" w:eastAsia="Amiri" w:cs="Amiri"/>
          <w:color w:val="111111"/>
          <w:sz w:val="28"/>
          <w:sz w:val="28"/>
          <w:szCs w:val="28"/>
          <w:rtl w:val="true"/>
          <w:lang w:bidi="ar-SA"/>
        </w:rPr>
        <w:t>، فهؤلاء لا يقبل منهم إلّا الجزية أو القتل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السيف الثالث على مشركي العجم، يعني الترك و الخزرج و الديلم و الخزر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هؤلاء لا يقبل منهم إلّا القتل أو الدخول في الإسلام</w:t>
      </w:r>
      <w:r>
        <w:rPr>
          <w:rFonts w:eastAsia="Amiri" w:cs="Amiri" w:ascii="Amiri" w:hAnsi="Amiri"/>
          <w:color w:val="111111"/>
          <w:sz w:val="28"/>
          <w:szCs w:val="28"/>
          <w:rtl w:val="true"/>
          <w:lang w:bidi="ar-SA"/>
        </w:rPr>
        <w:t xml:space="preserve">» </w:t>
      </w:r>
      <w:r>
        <w:rPr>
          <w:rStyle w:val="FootnoteAnchor"/>
          <w:rtl w:val="true"/>
        </w:rPr>
        <w:footnoteReference w:id="10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أمثال هذه النصوص دلّت على اختصاص أهل الذمة بالبقاء على دينهم مع قبول شرائط الذمة و الالتزام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تعيين أهل الذمة فيستفاد من روايات أخرى مشتملة تارة على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مولود يولد إلّا على الفطرة فأبواه يهودانه و ينصرانه و يمجسانه، و إنما أعطى رسول اللّٰه صلّى اللّٰه عليه و آله الذمة و قبل الجزية عن رءوس أولئك بأعيانهم على أن لا يهودوا أولادهم</w:t>
      </w:r>
      <w:r>
        <w:rPr>
          <w:rFonts w:eastAsia="Amiri" w:cs="Amiri" w:ascii="Amiri" w:hAnsi="Amiri"/>
          <w:color w:val="111111"/>
          <w:sz w:val="28"/>
          <w:szCs w:val="28"/>
          <w:rtl w:val="true"/>
          <w:lang w:bidi="ar-SA"/>
        </w:rPr>
        <w:t xml:space="preserve">.» </w:t>
      </w:r>
      <w:r>
        <w:rPr>
          <w:rStyle w:val="FootnoteAnchor"/>
          <w:rtl w:val="true"/>
        </w:rPr>
        <w:footnoteReference w:id="10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نص آخر قول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أني لست آخذ الجزية إلّا من أهل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المجوس كان لهم نبي فقتلوه و كتاب أحرقوه</w:t>
      </w:r>
      <w:r>
        <w:rPr>
          <w:rFonts w:eastAsia="Amiri" w:cs="Amiri" w:ascii="Amiri" w:hAnsi="Amiri"/>
          <w:color w:val="111111"/>
          <w:sz w:val="28"/>
          <w:szCs w:val="28"/>
          <w:rtl w:val="true"/>
          <w:lang w:bidi="ar-SA"/>
        </w:rPr>
        <w:t xml:space="preserve">» </w:t>
      </w:r>
      <w:r>
        <w:rPr>
          <w:rStyle w:val="FootnoteAnchor"/>
          <w:rtl w:val="true"/>
        </w:rPr>
        <w:footnoteReference w:id="10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نص 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المجوس يؤخذ منهم الجزية، لأنّ النبي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سنّوا بهم سنة أهل الكتاب</w:t>
      </w:r>
      <w:r>
        <w:rPr>
          <w:rFonts w:eastAsia="Amiri" w:cs="Amiri" w:ascii="Amiri" w:hAnsi="Amiri"/>
          <w:color w:val="111111"/>
          <w:sz w:val="28"/>
          <w:szCs w:val="28"/>
          <w:rtl w:val="true"/>
          <w:lang w:bidi="ar-SA"/>
        </w:rPr>
        <w:t xml:space="preserve">» </w:t>
      </w:r>
      <w:r>
        <w:rPr>
          <w:rStyle w:val="FootnoteAnchor"/>
          <w:rtl w:val="true"/>
        </w:rPr>
        <w:footnoteReference w:id="1023"/>
      </w:r>
      <w:r>
        <w:rPr>
          <w:rFonts w:ascii="Amiri" w:hAnsi="Amiri" w:eastAsia="Amiri" w:cs="Amiri"/>
          <w:color w:val="111111"/>
          <w:sz w:val="28"/>
          <w:sz w:val="28"/>
          <w:szCs w:val="28"/>
          <w:rtl w:val="true"/>
          <w:lang w:bidi="ar-SA"/>
        </w:rPr>
        <w:t xml:space="preserve">، و في نص آخر مثله أيضا </w:t>
      </w:r>
      <w:r>
        <w:rPr>
          <w:rStyle w:val="FootnoteAnchor"/>
          <w:rtl w:val="true"/>
        </w:rPr>
        <w:footnoteReference w:id="1024"/>
      </w:r>
      <w:r>
        <w:rPr>
          <w:rFonts w:eastAsia="Times New Roman" w:cs="Times New Roman" w:ascii="Times New Roman" w:hAnsi="Times New Roman"/>
          <w:color w:val="111111"/>
          <w:sz w:val="28"/>
          <w:szCs w:val="28"/>
          <w:rtl w:val="true"/>
          <w:lang w:val="en-US" w:bidi="en-US"/>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هذه النصوص بمجموعها تدل على اختصاص أهل الكتاب عن بقية المشركين بقبول الجزية منهم على خلاف غيرهم من المشركين، عربا و عجما، فإنه لا يقبل منهم إلّا الإسلام</w:t>
      </w:r>
      <w:r>
        <w:rPr>
          <w:rFonts w:eastAsia="Amiri" w:cs="Amiri" w:ascii="Amiri" w:hAnsi="Amiri"/>
          <w:color w:val="111111"/>
          <w:sz w:val="28"/>
          <w:szCs w:val="28"/>
          <w:rtl w:val="true"/>
          <w:lang w:bidi="ar-SA"/>
        </w:rPr>
        <w:t>.</w:t>
      </w:r>
      <w:bookmarkStart w:id="488" w:name="pg19818_204211"/>
    </w:p>
    <w:p>
      <w:pPr>
        <w:pStyle w:val="BookText"/>
        <w:rPr/>
      </w:pPr>
      <w:bookmarkEnd w:id="488"/>
      <w:r>
        <w:rPr>
          <w:rFonts w:ascii="Amiri" w:hAnsi="Amiri" w:eastAsia="Amiri" w:cs="Amiri"/>
          <w:color w:val="111111"/>
          <w:sz w:val="28"/>
          <w:sz w:val="28"/>
          <w:szCs w:val="28"/>
          <w:rtl w:val="true"/>
          <w:lang w:bidi="ar-SA"/>
        </w:rPr>
        <w:t>و أيضا يستفاد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المجوس ملحقون بأهل الكتاب و محكمون بسنتهم في قبول شرائط الذمة منهم، فما عن العماني من إلحاقهم بالمشركين فلا يقبل منهم إلّا الإسلام، منظور فيه بل في الجواهر هو مسبوق بالإجماع و ملحوق به </w:t>
      </w:r>
      <w:r>
        <w:rPr>
          <w:rStyle w:val="FootnoteAnchor"/>
          <w:rtl w:val="true"/>
        </w:rPr>
        <w:footnoteReference w:id="1025"/>
      </w:r>
      <w:r>
        <w:rPr>
          <w:rFonts w:ascii="Amiri" w:hAnsi="Amiri" w:eastAsia="Amiri" w:cs="Amiri"/>
          <w:color w:val="111111"/>
          <w:sz w:val="28"/>
          <w:sz w:val="28"/>
          <w:szCs w:val="28"/>
          <w:rtl w:val="true"/>
          <w:lang w:bidi="ar-SA"/>
        </w:rPr>
        <w:t>، و النصوص السابقة أيضا ناطقة بخلافه</w:t>
      </w:r>
      <w:r>
        <w:rPr>
          <w:rFonts w:eastAsia="Amiri" w:cs="Amiri" w:ascii="Amiri" w:hAnsi="Amiri"/>
          <w:color w:val="111111"/>
          <w:sz w:val="28"/>
          <w:szCs w:val="28"/>
          <w:rtl w:val="true"/>
          <w:lang w:bidi="ar-SA"/>
        </w:rPr>
        <w:t>.</w:t>
      </w:r>
    </w:p>
    <w:p>
      <w:pPr>
        <w:pStyle w:val="Heading6"/>
        <w:numPr>
          <w:ilvl w:val="5"/>
          <w:numId w:val="1"/>
        </w:numPr>
        <w:rPr/>
      </w:pPr>
      <w:bookmarkStart w:id="489" w:name="__RefHeading___Toc3321046_2314609296"/>
      <w:bookmarkStart w:id="490" w:name="_Toc181"/>
      <w:bookmarkEnd w:id="489"/>
      <w:r>
        <w:rPr>
          <w:rtl w:val="true"/>
        </w:rPr>
        <w:t>و هي أي</w:t>
      </w:r>
      <w:r>
        <w:rPr>
          <w:rtl w:val="true"/>
        </w:rPr>
        <w:t xml:space="preserve">- </w:t>
      </w:r>
      <w:r>
        <w:rPr>
          <w:rtl w:val="true"/>
        </w:rPr>
        <w:t>شرائط الذمة</w:t>
      </w:r>
      <w:r>
        <w:rPr>
          <w:rtl w:val="true"/>
        </w:rPr>
        <w:t xml:space="preserve">- </w:t>
      </w:r>
      <w:r>
        <w:rPr>
          <w:rtl w:val="true"/>
        </w:rPr>
        <w:t>أمور ستة عند المصنف</w:t>
      </w:r>
      <w:r>
        <w:rPr>
          <w:rtl w:val="true"/>
        </w:rPr>
        <w:t>:</w:t>
      </w:r>
      <w:bookmarkEnd w:id="490"/>
    </w:p>
    <w:p>
      <w:pPr>
        <w:pStyle w:val="Heading6"/>
        <w:numPr>
          <w:ilvl w:val="5"/>
          <w:numId w:val="1"/>
        </w:numPr>
        <w:rPr/>
      </w:pPr>
      <w:bookmarkStart w:id="491" w:name="__RefHeading___Toc3321048_2314609296"/>
      <w:bookmarkStart w:id="492" w:name="_Toc182"/>
      <w:bookmarkEnd w:id="491"/>
      <w:r>
        <w:rPr>
          <w:rtl w:val="true"/>
        </w:rPr>
        <w:t>منها</w:t>
      </w:r>
      <w:r>
        <w:rPr>
          <w:rtl w:val="true"/>
        </w:rPr>
        <w:t xml:space="preserve">: </w:t>
      </w:r>
      <w:r>
        <w:rPr>
          <w:rtl w:val="true"/>
        </w:rPr>
        <w:t>قبول الجزية</w:t>
      </w:r>
      <w:bookmarkEnd w:id="492"/>
    </w:p>
    <w:p>
      <w:pPr>
        <w:pStyle w:val="BookText"/>
        <w:rPr/>
      </w:pPr>
      <w:r>
        <w:rPr>
          <w:rFonts w:ascii="Amiri" w:hAnsi="Amiri" w:eastAsia="Amiri" w:cs="Amiri"/>
          <w:color w:val="111111"/>
          <w:sz w:val="28"/>
          <w:sz w:val="28"/>
          <w:szCs w:val="28"/>
          <w:rtl w:val="true"/>
          <w:lang w:bidi="ar-SA"/>
        </w:rPr>
        <w:t xml:space="preserve">، و يدل عليه النص بأنّ إبائهم عن قبولها يحل دماءهم </w:t>
      </w:r>
      <w:r>
        <w:rPr>
          <w:rStyle w:val="FootnoteAnchor"/>
          <w:rtl w:val="true"/>
        </w:rPr>
        <w:footnoteReference w:id="102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93" w:name="__RefHeading___Toc3321050_2314609296"/>
      <w:bookmarkStart w:id="494" w:name="_Toc183"/>
      <w:bookmarkEnd w:id="493"/>
      <w:r>
        <w:rPr>
          <w:rtl w:val="true"/>
        </w:rPr>
        <w:t>و منها</w:t>
      </w:r>
      <w:r>
        <w:rPr>
          <w:rtl w:val="true"/>
        </w:rPr>
        <w:t xml:space="preserve">: </w:t>
      </w:r>
      <w:r>
        <w:rPr>
          <w:rtl w:val="true"/>
        </w:rPr>
        <w:t>أن لا يؤذوا المسلمين</w:t>
      </w:r>
      <w:bookmarkEnd w:id="494"/>
    </w:p>
    <w:p>
      <w:pPr>
        <w:pStyle w:val="BookText"/>
        <w:rPr/>
      </w:pPr>
      <w:r>
        <w:rPr>
          <w:rFonts w:ascii="Amiri" w:hAnsi="Amiri" w:eastAsia="Amiri" w:cs="Amiri"/>
          <w:color w:val="111111"/>
          <w:sz w:val="28"/>
          <w:sz w:val="28"/>
          <w:szCs w:val="28"/>
          <w:rtl w:val="true"/>
          <w:lang w:bidi="ar-SA"/>
        </w:rPr>
        <w:t>على ما يظهر عن بعضهم، و لكن في كونه من مقومات عقد الذمة، على وجه ينقض عقده بمخالفتهم و لو لم يشترط في متن العقد تأمل، و سيأتي توضيحه في ذيل بيان الشرائط التي اعتبرها المصنف إن شاء اللّٰه تعالى</w:t>
      </w:r>
      <w:r>
        <w:rPr>
          <w:rFonts w:eastAsia="Amiri" w:cs="Amiri" w:ascii="Amiri" w:hAnsi="Amiri"/>
          <w:color w:val="111111"/>
          <w:sz w:val="28"/>
          <w:szCs w:val="28"/>
          <w:rtl w:val="true"/>
          <w:lang w:bidi="ar-SA"/>
        </w:rPr>
        <w:t>.</w:t>
      </w:r>
    </w:p>
    <w:p>
      <w:pPr>
        <w:pStyle w:val="Heading6"/>
        <w:numPr>
          <w:ilvl w:val="5"/>
          <w:numId w:val="1"/>
        </w:numPr>
        <w:rPr/>
      </w:pPr>
      <w:bookmarkStart w:id="495" w:name="__RefHeading___Toc3321052_2314609296"/>
      <w:bookmarkStart w:id="496" w:name="_Toc184"/>
      <w:bookmarkEnd w:id="495"/>
      <w:r>
        <w:rPr>
          <w:rtl w:val="true"/>
        </w:rPr>
        <w:t>و منها</w:t>
      </w:r>
      <w:r>
        <w:rPr>
          <w:rtl w:val="true"/>
        </w:rPr>
        <w:t xml:space="preserve">: </w:t>
      </w:r>
      <w:r>
        <w:rPr>
          <w:rtl w:val="true"/>
        </w:rPr>
        <w:t>أن لا يتظاهروا بالمحرّمات،</w:t>
      </w:r>
      <w:bookmarkEnd w:id="496"/>
    </w:p>
    <w:p>
      <w:pPr>
        <w:pStyle w:val="BookText"/>
        <w:rPr/>
      </w:pPr>
      <w:r>
        <w:rPr>
          <w:rFonts w:ascii="Amiri" w:hAnsi="Amiri" w:eastAsia="Amiri" w:cs="Amiri"/>
          <w:color w:val="111111"/>
          <w:sz w:val="28"/>
          <w:sz w:val="28"/>
          <w:szCs w:val="28"/>
          <w:rtl w:val="true"/>
          <w:lang w:bidi="ar-SA"/>
        </w:rPr>
        <w:t>كشرب الخمر، و نكاح المحارم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يدل عليه ما في النص المشتمل ذيله على انهم إن فعلوا ذلك برئت ذمة اللّٰه منهم </w:t>
      </w:r>
      <w:r>
        <w:rPr>
          <w:rStyle w:val="FootnoteAnchor"/>
          <w:rtl w:val="true"/>
        </w:rPr>
        <w:footnoteReference w:id="10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ظاهر إطلاقه يشمل ما لو لم يشترط ذلك في متن العقد، و انّ نفس فعلها مناف للذمة، فمقتضاه كونه من اللوازم الشرعية لعقد الذمة بلا احتياج إلى اشتراطها في متن العقد، بل لو اشترط خلافها كان باطلا، لأنه شرط خلاف مقتضى العقد، كما هو الشأن في الجزية</w:t>
      </w:r>
      <w:r>
        <w:rPr>
          <w:rFonts w:eastAsia="Amiri" w:cs="Amiri" w:ascii="Amiri" w:hAnsi="Amiri"/>
          <w:color w:val="111111"/>
          <w:sz w:val="28"/>
          <w:szCs w:val="28"/>
          <w:rtl w:val="true"/>
          <w:lang w:bidi="ar-SA"/>
        </w:rPr>
        <w:t>.</w:t>
      </w:r>
    </w:p>
    <w:p>
      <w:pPr>
        <w:pStyle w:val="Heading6"/>
        <w:numPr>
          <w:ilvl w:val="5"/>
          <w:numId w:val="1"/>
        </w:numPr>
        <w:rPr/>
      </w:pPr>
      <w:bookmarkStart w:id="497" w:name="__RefHeading___Toc3321054_2314609296"/>
      <w:bookmarkStart w:id="498" w:name="_Toc185"/>
      <w:bookmarkEnd w:id="497"/>
      <w:r>
        <w:rPr>
          <w:rtl w:val="true"/>
        </w:rPr>
        <w:t>و منها</w:t>
      </w:r>
      <w:r>
        <w:rPr>
          <w:rtl w:val="true"/>
        </w:rPr>
        <w:t xml:space="preserve">: </w:t>
      </w:r>
      <w:r>
        <w:rPr>
          <w:rtl w:val="true"/>
        </w:rPr>
        <w:t>أن لا يحدثوا كنيسة و لا يضربوا ناقوسا</w:t>
      </w:r>
      <w:bookmarkEnd w:id="498"/>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 في الغنية</w:t>
      </w:r>
      <w:r>
        <w:rPr>
          <w:rFonts w:eastAsia="Amiri" w:cs="Amiri" w:ascii="Amiri" w:hAnsi="Amiri"/>
          <w:color w:val="111111"/>
          <w:sz w:val="28"/>
          <w:szCs w:val="28"/>
          <w:rtl w:val="true"/>
          <w:lang w:bidi="ar-SA"/>
        </w:rPr>
        <w:t>:</w:t>
      </w:r>
      <w:bookmarkStart w:id="499" w:name="pg19818_204212"/>
    </w:p>
    <w:p>
      <w:pPr>
        <w:pStyle w:val="BookText"/>
        <w:rPr/>
      </w:pPr>
      <w:bookmarkEnd w:id="499"/>
      <w:r>
        <w:rPr>
          <w:rFonts w:ascii="Amiri" w:hAnsi="Amiri" w:eastAsia="Amiri" w:cs="Amiri"/>
          <w:color w:val="111111"/>
          <w:sz w:val="28"/>
          <w:sz w:val="28"/>
          <w:szCs w:val="28"/>
          <w:rtl w:val="true"/>
          <w:lang w:bidi="ar-SA"/>
        </w:rPr>
        <w:t xml:space="preserve">دعوى الإجماع عليه، و انه ينقض بها العهد و إن لم يشترط في متن العقد بحيث لازمة كون ذلك أيضا من لوازم الحقيقة في عقد الذمة و لو شرعا </w:t>
      </w:r>
      <w:r>
        <w:rPr>
          <w:rStyle w:val="FootnoteAnchor"/>
          <w:rtl w:val="true"/>
        </w:rPr>
        <w:footnoteReference w:id="10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تمامية الإجماع أشكل أمره، خصوصا مع كونهم مقررين على أحكامهم </w:t>
      </w:r>
      <w:r>
        <w:rPr>
          <w:rStyle w:val="FootnoteAnchor"/>
          <w:rtl w:val="true"/>
        </w:rPr>
        <w:footnoteReference w:id="10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انتقاض العهد بمثله فرع التصريح به في متن عقد الذمة، و إلّا فلا ينتقض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لازمة عدم جعلهم ذلك من لوازم الحقيقة، فيدخل في سائر الأمور الخارجة عن قوام عقد الذمة، و مع هذا الخلاف يوهن إجماع الغنية</w:t>
      </w:r>
      <w:r>
        <w:rPr>
          <w:rFonts w:eastAsia="Amiri" w:cs="Amiri" w:ascii="Amiri" w:hAnsi="Amiri"/>
          <w:color w:val="111111"/>
          <w:sz w:val="28"/>
          <w:szCs w:val="28"/>
          <w:rtl w:val="true"/>
          <w:lang w:bidi="ar-SA"/>
        </w:rPr>
        <w:t>.</w:t>
      </w:r>
    </w:p>
    <w:p>
      <w:pPr>
        <w:pStyle w:val="Heading6"/>
        <w:numPr>
          <w:ilvl w:val="5"/>
          <w:numId w:val="1"/>
        </w:numPr>
        <w:rPr/>
      </w:pPr>
      <w:bookmarkStart w:id="500" w:name="__RefHeading___Toc3321056_2314609296"/>
      <w:bookmarkStart w:id="501" w:name="_Toc186"/>
      <w:bookmarkEnd w:id="500"/>
      <w:r>
        <w:rPr>
          <w:rtl w:val="true"/>
        </w:rPr>
        <w:t>و منها</w:t>
      </w:r>
      <w:r>
        <w:rPr>
          <w:rtl w:val="true"/>
        </w:rPr>
        <w:t xml:space="preserve">: </w:t>
      </w:r>
      <w:r>
        <w:rPr>
          <w:rtl w:val="true"/>
        </w:rPr>
        <w:t>أن يجري عليهم أحكام المسلمين</w:t>
      </w:r>
      <w:bookmarkEnd w:id="501"/>
    </w:p>
    <w:p>
      <w:pPr>
        <w:pStyle w:val="BookText"/>
        <w:rPr/>
      </w:pPr>
      <w:r>
        <w:rPr>
          <w:rFonts w:ascii="Amiri" w:hAnsi="Amiri" w:eastAsia="Amiri" w:cs="Amiri"/>
          <w:color w:val="111111"/>
          <w:sz w:val="28"/>
          <w:sz w:val="28"/>
          <w:szCs w:val="28"/>
          <w:rtl w:val="true"/>
          <w:lang w:bidi="ar-SA"/>
        </w:rPr>
        <w:t xml:space="preserve">الراجعة إلى جهة إسلامهم كالتزامهم بأداء الحقوق و ترك المنكرات الإسلامية، و أما لزوم مطلق التزاماتهم، و لو بمثل استخدامهم مجانا أو بعوض، فالظاهر عدم كونه من لوازم عقد الذمة، كي لا يحتاج نقضه بخلفهم إلى الاشتراط في متن العقد، إذ عمدة الدليل عليه آية الصاغرين </w:t>
      </w:r>
      <w:r>
        <w:rPr>
          <w:rStyle w:val="FootnoteAnchor"/>
          <w:rtl w:val="true"/>
        </w:rPr>
        <w:footnoteReference w:id="1030"/>
      </w:r>
      <w:r>
        <w:rPr>
          <w:rFonts w:ascii="Amiri" w:hAnsi="Amiri" w:eastAsia="Amiri" w:cs="Amiri"/>
          <w:color w:val="111111"/>
          <w:sz w:val="28"/>
          <w:sz w:val="28"/>
          <w:szCs w:val="28"/>
          <w:rtl w:val="true"/>
          <w:lang w:bidi="ar-SA"/>
        </w:rPr>
        <w:t>، إذ الصغار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التذكرة </w:t>
      </w:r>
      <w:r>
        <w:rPr>
          <w:rStyle w:val="FootnoteAnchor"/>
          <w:rtl w:val="true"/>
        </w:rPr>
        <w:footnoteReference w:id="10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عن الالتزام بأحكام الإسلام لا بمطلق التزامات المسلمين، و لو لم يكن الملزم به من أحكام الإسلام، كالاستخدام المزبور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ليس للآية الشريفة إطلاق لوجوب التزامهم بأحكام الإسلام، و لو لم يكن في البين إلزام من المسلمين، إذ موردها إعطاء الجزية المسبوق بإلزامهم، و لذلك فسّر في الجواهر هذا الشرط بوجوب قبولهم لما يحكم به المسلمون من رد حق و غيره</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ربما اختلفت عباراتهم في شرحه، و يستفاد من مجموعها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عبارة عن</w:t>
      </w:r>
    </w:p>
    <w:p>
      <w:pPr>
        <w:pStyle w:val="BookText"/>
        <w:rPr/>
      </w:pPr>
      <w:r>
        <w:rPr>
          <w:rFonts w:ascii="Amiri" w:hAnsi="Amiri" w:eastAsia="Amiri" w:cs="Amiri"/>
          <w:color w:val="111111"/>
          <w:sz w:val="28"/>
          <w:sz w:val="28"/>
          <w:szCs w:val="28"/>
          <w:rtl w:val="true"/>
          <w:lang w:bidi="ar-SA"/>
        </w:rPr>
        <w:t>ذلهم البالغ بمرتبة يصلح أن يكون داعيا لقبولهم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فكل ما له دخل في ذلهم لا بد أن يعامل معهم، و أعظمها كونهم ملزمين بأحكامنا و إلزاماتنا في المرافعات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يدخل في ذلك عدم علو بنائهم و أمثالها، لو لا دعوى أنّ المتيقن من مراتب الذل المأخوذ في قوام عقد الذمة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ظاهر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التزامهم بالزاماتنا، و الزائد منه مشكوك، فلا يكون فيها نقض لعقدها، لو لا اشتراطها في متن العقد،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فمثل هذه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عدا بناء الكنيسة و إيذاء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من لوازم عقد الذمة على وجه لا يحتاج في اعتبارها إلى الاشتراط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عن الرياض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التشكيك في اعتبار عدم تظاهرهم بالمحرمات لو لا اشتراطه في متن العقد </w:t>
      </w:r>
      <w:r>
        <w:rPr>
          <w:rStyle w:val="FootnoteAnchor"/>
          <w:rtl w:val="true"/>
        </w:rPr>
        <w:footnoteReference w:id="1032"/>
      </w:r>
      <w:r>
        <w:rPr>
          <w:rFonts w:ascii="Amiri" w:hAnsi="Amiri" w:eastAsia="Amiri" w:cs="Amiri"/>
          <w:color w:val="111111"/>
          <w:sz w:val="28"/>
          <w:sz w:val="28"/>
          <w:szCs w:val="28"/>
          <w:rtl w:val="true"/>
          <w:lang w:bidi="ar-SA"/>
        </w:rPr>
        <w:t>، نظرا إلى تشكيكه في إطلاق النص السابق، و هو مع ملاحظة صدره في محله، لإمكان حمله على صورة الاشتراط في متن العقد، كما يومئ إليه الصدر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في الجواهر تقوية إطلاقه </w:t>
      </w:r>
      <w:r>
        <w:rPr>
          <w:rStyle w:val="FootnoteAnchor"/>
          <w:rtl w:val="true"/>
        </w:rPr>
        <w:footnoteReference w:id="1033"/>
      </w:r>
      <w:r>
        <w:rPr>
          <w:rFonts w:ascii="Amiri" w:hAnsi="Amiri" w:eastAsia="Amiri" w:cs="Amiri"/>
          <w:color w:val="111111"/>
          <w:sz w:val="28"/>
          <w:sz w:val="28"/>
          <w:szCs w:val="28"/>
          <w:rtl w:val="true"/>
          <w:lang w:bidi="ar-SA"/>
        </w:rPr>
        <w:t>، و هو المشهور، و لو لا إجماع في البين كان تشكيك الرياض إنصافا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فالمتيقن من مقومات عقد الذمة قبول الجزية، و قبولهم لأحكام المسلمين بالتزامهم، بما هو من شئون أحكام الإسلام، و أما الزائد عنها فلم يكن من مقومات عقد الجزية، بحيث يستلزم خلفها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بلا اشتراط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نقض العهد</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حينئذ فمثل احداث الكنيسة، و عدم ضرب الناقوس، و عدم اطالة البناء و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عدا الجزية و الصغار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يدل دليل على القوامية، عدا إجماع</w:t>
      </w:r>
    </w:p>
    <w:p>
      <w:pPr>
        <w:pStyle w:val="BookText"/>
        <w:rPr/>
      </w:pPr>
      <w:r>
        <w:rPr>
          <w:rFonts w:ascii="Amiri" w:hAnsi="Amiri" w:eastAsia="Amiri" w:cs="Amiri"/>
          <w:color w:val="111111"/>
          <w:sz w:val="28"/>
          <w:sz w:val="28"/>
          <w:szCs w:val="28"/>
          <w:rtl w:val="true"/>
          <w:lang w:bidi="ar-SA"/>
        </w:rPr>
        <w:t>الغنية، فإن تم فهو و إلّا فللنظر فيه مجال، فمقتضى أصالة الوفاء بالعقد، العاري عن مثل هذه القيود، يقتضي عدم نقضه بمخالفتها، مع فرض عدم اشتراطها في متن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انّ قضية عدم سب النبي صلّى اللّٰه عليه و آله و غيره من أئمة الدين و المذهب أيضا لا دليل على كونه من مقومات عقد الذمة إلّا دعوى إجماع الغنية، و إلّا فمجرد وجوب قتلهم بمثل سب الأنبياء و الأئمة أو الملائكة، على ما سيأتي في كتاب الحدود، لا يقتضي كونه من مقومات عقد الذمة، كي يثمر ترتيب سائر الآثار الخارجة عن الذمة، من استباحة ماله و ولده و سبي ذراريه و استحلال نسائه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انه لو نالوهم بما دون السب، فإنه لا يوجب القتل، بل غاية الأمر يعزرون بما يراه الحاكم، و ذلك أيضا غير مناف لبقاء عقد الذمة من سائر الجهات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أيضا إيذاؤهم للمسلمين، و التعرض لنسائهم و أطفالهم و أمثالها، فإنه أيضا لا دليل على مقوميتها لعقد الذمة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بأس بأخذها شرطا في العقد، فمع عدم الاشتراط لا موجب لخلف العقد بارتكاب ذلك، غاية الأمر يجري عليهم ما ثبت له في الشرع من العقوبات حدا أو قتلا أو تعزيرا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ترتيب الآثار الناقضة لعقد الذمة، و إجراء أحكام الحربي عليهم فلا وجه له، بعد صدق الوفاء بالعقد العاري عنها</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دخلوا في الحرب مع المسلمين فهو خلاف مقتضى عقد الذمة، كما هو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لم يجعلوا مثل هذه الجهة من شرائطها قبال سائر الشرائط، لأنه ليس أمرا خارجا عن حقيقة عقد الذمة عرفا، كي يحتاج إلى التنبيه عليه، كما هو الشأن في المقومات الشرعية،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 أنّ مثل هذا العقد مهما صدر من أهله، فإنه يجب على الطرفين الوفاء به، و مع الشك في اشتراط زائد عن مقوماته، فأصالة الإطلاق يلحقه بغير المشروط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يكون مخالفته نقض عقد الذمة، و إن كان ربما يترتب عليه سائر الجهات من الحد و التعزير، الوارد في شرعنا على ارتكابه، لو لا تعزيرهم على مذهبهم، الموجب لسقوط أمثال هذه العقوبات عنهم كما ربما تومئ إليه آية الصغار، إذ الظاهر من قوله قٰاتِلُوا الَّذِينَ لٰا يُؤْمِنُونَ بِاللّٰهِ وَ لٰا بِالْيَوْمِ الْآخِرِ وَ لٰا يُحَرِّمُونَ مٰا حَرَّمَ اللّٰهُ وَ رَسُولُهُ وَ لٰا يَدِينُونَ دِينَ الْحَقِّ مِنَ الَّذِينَ أُوتُوا الْكِتٰابَ حَتّٰى يُعْطُوا الْجِزْيَةَ عَنْ يَدٍ وَ هُمْ صٰاغِرُونَ </w:t>
      </w:r>
      <w:r>
        <w:rPr>
          <w:rStyle w:val="FootnoteAnchor"/>
          <w:rtl w:val="true"/>
        </w:rPr>
        <w:footnoteReference w:id="1034"/>
      </w:r>
      <w:r>
        <w:rPr>
          <w:rFonts w:ascii="Amiri" w:hAnsi="Amiri" w:eastAsia="Amiri" w:cs="Amiri"/>
          <w:color w:val="111111"/>
          <w:sz w:val="28"/>
          <w:sz w:val="28"/>
          <w:szCs w:val="28"/>
          <w:rtl w:val="true"/>
          <w:lang w:bidi="ar-SA"/>
        </w:rPr>
        <w:t>انهم بإعطاء الجزية صاغرون يبقون على حالهم و تدينهم بغير دين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أيضا هو المنشأ لاستقرار السيرة على تقريرهم على مذهبهم، و انه الأصل لهم إلّا ما خرج بالدليل، بانكارهم لشي‌ء أو إثبات عقوبة خاصة في حقهم، نظير القتل في سب رؤساء المذهب و التعزير فيما دونه 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شأن هذا العقد أن يصدر عمن له عقد الذمة لقطر أو ناحية،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إلّا رئيس الجيش و الذي أمر الحرب بيده إثباتا و رفعا في زمان مشروعية الجهاد و بسط يد 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في غيره ففي كون الأمر في زمن الغيبة بيد الفقيه أو ذي الشوكة من المسلمين كلام سيجي‌ء شرحه في مسألة الذمام و تعيين عاقده</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توهم أنّ نتيجة عقد الذمة رفع اليد عن الجهاد، فكيف يتصور في زمن لا يشرع فيه الجهاد، مدفوع بعدم اختصاص نتيجته بذلك، بل عمدة النتيجة خروجهم بذلك عن الحربية و صيرورتهم محقوني الدم و المال، و هذا المعنى يعم</w:t>
      </w:r>
      <w:bookmarkStart w:id="502" w:name="pg19818_204216"/>
    </w:p>
    <w:p>
      <w:pPr>
        <w:pStyle w:val="BookText"/>
        <w:rPr/>
      </w:pPr>
      <w:bookmarkEnd w:id="502"/>
      <w:r>
        <w:rPr>
          <w:rFonts w:ascii="Amiri" w:hAnsi="Amiri" w:eastAsia="Amiri" w:cs="Amiri"/>
          <w:color w:val="111111"/>
          <w:sz w:val="28"/>
          <w:sz w:val="28"/>
          <w:szCs w:val="28"/>
          <w:rtl w:val="true"/>
          <w:lang w:bidi="ar-SA"/>
        </w:rPr>
        <w:t>زمن الغيبة، فلا بد من تعيين عاقده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أي حال لا يكاد يصدر ذلك من آحاد المسلمين حتى للآحاد، لعدم إطلاق يقتضي نفوذ عقده مطلقا، إذ ما ورد من العمومات في وجوب الوفاء بالعقود إنما يتم في عقد صادر عمن له سلطان على ذلك لا مطلقا، مع انّ مثل هذا العقد في زمن الحضور مختص بمن له زمان أمر الحرب، و هو الرئيس، و بعد الجزم ببقاء أصل مشروعية العقد في زمان الغيبة يشك في بقاء اختصاص هذا الشأن بالرئيس فيستصحب، و تتمة الكلام يجي‌ء في بحث الذمام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التزموا بهذا يعني بما ذكر من شرائط الذمة، على اشكال في بعضها إذا لم يشترط في متن العقد، و كذا بغيرها مما اشترط في عقد الذمة كف عنهم القتال، كما هو مضمون نفس العقد، فيصيرون بذلك في أمان ما داموا على عهدهم، و عدم نقضهم إياه بمخالفتهم، و لو لما اشترط فيه، فضلا عما به قوام العقد</w:t>
      </w:r>
      <w:r>
        <w:rPr>
          <w:rFonts w:eastAsia="Amiri" w:cs="Amiri" w:ascii="Amiri" w:hAnsi="Amiri"/>
          <w:color w:val="111111"/>
          <w:sz w:val="28"/>
          <w:szCs w:val="28"/>
          <w:rtl w:val="true"/>
          <w:lang w:bidi="ar-SA"/>
        </w:rPr>
        <w:t>.</w:t>
      </w:r>
    </w:p>
    <w:p>
      <w:pPr>
        <w:pStyle w:val="Heading6"/>
        <w:numPr>
          <w:ilvl w:val="5"/>
          <w:numId w:val="1"/>
        </w:numPr>
        <w:rPr/>
      </w:pPr>
      <w:bookmarkStart w:id="503" w:name="__RefHeading___Toc3321058_2314609296"/>
      <w:bookmarkStart w:id="504" w:name="_Toc187"/>
      <w:bookmarkEnd w:id="503"/>
      <w:r>
        <w:rPr>
          <w:rtl w:val="true"/>
        </w:rPr>
        <w:t>و لا حد للجزية بل بحسب ما يراه الامام</w:t>
      </w:r>
      <w:bookmarkEnd w:id="504"/>
    </w:p>
    <w:p>
      <w:pPr>
        <w:pStyle w:val="BookText"/>
        <w:rPr/>
      </w:pPr>
      <w:r>
        <w:rPr>
          <w:rFonts w:ascii="Amiri" w:hAnsi="Amiri" w:eastAsia="Amiri" w:cs="Amiri"/>
          <w:color w:val="111111"/>
          <w:sz w:val="28"/>
          <w:sz w:val="28"/>
          <w:szCs w:val="28"/>
          <w:rtl w:val="true"/>
          <w:lang w:bidi="ar-SA"/>
        </w:rPr>
        <w:t>بلا اشكال على المشهور، لما في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السؤال عن حد الجزية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إلى الامام، يأخذ من كل إنسان منهم ما شاء، على قدر ما يطيق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اللّٰه عز و جل قال حَتّٰى يُعْطُوا الْجِزْيَةَ عَنْ يَدٍ وَ هُمْ صٰاغِرُونَ</w:t>
      </w:r>
      <w:r>
        <w:rPr>
          <w:rFonts w:eastAsia="Amiri" w:cs="Amiri" w:ascii="Amiri" w:hAnsi="Amiri"/>
          <w:color w:val="111111"/>
          <w:sz w:val="28"/>
          <w:szCs w:val="28"/>
          <w:rtl w:val="true"/>
          <w:lang w:bidi="ar-SA"/>
        </w:rPr>
        <w:t xml:space="preserve">» </w:t>
      </w:r>
      <w:r>
        <w:rPr>
          <w:rStyle w:val="FootnoteAnchor"/>
          <w:rtl w:val="true"/>
        </w:rPr>
        <w:footnoteReference w:id="1035"/>
      </w:r>
      <w:r>
        <w:rPr>
          <w:rFonts w:eastAsia="Times New Roman" w:cs="Times New Roman" w:ascii="Times New Roman" w:hAnsi="Times New Roman"/>
          <w:color w:val="111111"/>
          <w:sz w:val="28"/>
          <w:szCs w:val="28"/>
          <w:rtl w:val="true"/>
          <w:lang w:val="en-US" w:bidi="en-US"/>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حينئذ فما في بعض النصوص من التحديد في طرف الأقل بالدينار </w:t>
      </w:r>
      <w:r>
        <w:rPr>
          <w:rStyle w:val="FootnoteAnchor"/>
          <w:rtl w:val="true"/>
        </w:rPr>
        <w:footnoteReference w:id="1036"/>
      </w:r>
      <w:r>
        <w:rPr>
          <w:rFonts w:ascii="Amiri" w:hAnsi="Amiri" w:eastAsia="Amiri" w:cs="Amiri"/>
          <w:color w:val="111111"/>
          <w:sz w:val="28"/>
          <w:sz w:val="28"/>
          <w:szCs w:val="28"/>
          <w:rtl w:val="true"/>
          <w:lang w:bidi="ar-SA"/>
        </w:rPr>
        <w:t>، و في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تحديدها في كل صنف و طبقة بحد </w:t>
      </w:r>
      <w:r>
        <w:rPr>
          <w:rStyle w:val="FootnoteAnchor"/>
          <w:rtl w:val="true"/>
        </w:rPr>
        <w:footnoteReference w:id="1037"/>
      </w:r>
      <w:r>
        <w:rPr>
          <w:rFonts w:ascii="IRNazanin" w:hAnsi="IRNazanin" w:eastAsia="IRNazanin"/>
          <w:color w:val="111111"/>
          <w:sz w:val="28"/>
          <w:sz w:val="28"/>
          <w:szCs w:val="28"/>
          <w:rtl w:val="true"/>
          <w:lang w:bidi="fa-IR"/>
        </w:rPr>
        <w:t>، بل و على اختلاف</w:t>
      </w:r>
    </w:p>
    <w:p>
      <w:pPr>
        <w:pStyle w:val="BookText"/>
        <w:rPr/>
      </w:pPr>
      <w:r>
        <w:rPr>
          <w:rFonts w:ascii="Amiri" w:hAnsi="Amiri" w:eastAsia="Amiri" w:cs="Amiri"/>
          <w:color w:val="111111"/>
          <w:sz w:val="28"/>
          <w:sz w:val="28"/>
          <w:szCs w:val="28"/>
          <w:rtl w:val="true"/>
          <w:lang w:bidi="ar-SA"/>
        </w:rPr>
        <w:t>الأراضي، من حيث الزراعة و تحديدها بمقدار مخصوص، محمول على ما رأوه مصلحة في ذلك الحين، و إلّا فليس فيها شي‌ء موظف، على وجه لا ينبغي أن يتجاوز عنه في طرفيه الأقل و الأكثر، كما هو صريح النص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تؤخذ الجزية عن الصبيان و المجانين و البله و النساء بلا اشكال ظاهرا نصا و فتوى، و في النص التصريح برفع الجزية عمن يحرم قتله من النساء و الولدان </w:t>
      </w:r>
      <w:r>
        <w:rPr>
          <w:rStyle w:val="FootnoteAnchor"/>
          <w:rtl w:val="true"/>
        </w:rPr>
        <w:footnoteReference w:id="10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جرت السنة أن لا تؤخذ الجزية من المعتوه و لا من المغلوب على عقله</w:t>
      </w:r>
      <w:r>
        <w:rPr>
          <w:rFonts w:eastAsia="Amiri" w:cs="Amiri" w:ascii="Amiri" w:hAnsi="Amiri"/>
          <w:color w:val="111111"/>
          <w:sz w:val="28"/>
          <w:szCs w:val="28"/>
          <w:rtl w:val="true"/>
          <w:lang w:bidi="ar-SA"/>
        </w:rPr>
        <w:t xml:space="preserve">» </w:t>
      </w:r>
      <w:r>
        <w:rPr>
          <w:rStyle w:val="FootnoteAnchor"/>
          <w:rtl w:val="true"/>
        </w:rPr>
        <w:footnoteReference w:id="10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المراد من المعتوه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الجواهر </w:t>
      </w:r>
      <w:r>
        <w:rPr>
          <w:rStyle w:val="FootnoteAnchor"/>
          <w:rtl w:val="true"/>
        </w:rPr>
        <w:footnoteReference w:id="10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الأبله الضعيف العقل، المعبّر عنه بالأحمق الذي كان أدون من السفيه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المستفاد من النص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وضع الجزية دائرا مدار جواز قتلهم و عدمه، و لازمة وضع الجزية عن المقعد و الأعمى و الشيخ الفاني و الصغار من الولدان، و في ذيله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ذلك رفعت عنهم الجزية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لازمة اشتراط وضعه عنهم بعدم دخولهم في الحرب، و إلّا فيجوز قتلهم فتوضع عليهم الجزية أيضا</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إلى هذا التفصيل ذهب بعضهم كما في الجواهر </w:t>
      </w:r>
      <w:r>
        <w:rPr>
          <w:rStyle w:val="FootnoteAnchor"/>
          <w:rtl w:val="true"/>
        </w:rPr>
        <w:footnoteReference w:id="1041"/>
      </w:r>
      <w:r>
        <w:rPr>
          <w:rFonts w:ascii="Amiri" w:hAnsi="Amiri" w:eastAsia="Amiri" w:cs="Amiri"/>
          <w:color w:val="111111"/>
          <w:sz w:val="28"/>
          <w:sz w:val="28"/>
          <w:szCs w:val="28"/>
          <w:rtl w:val="true"/>
          <w:lang w:bidi="ar-SA"/>
        </w:rPr>
        <w:t>، و حكي عن الإسكافي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في الجواهر </w:t>
      </w:r>
      <w:r>
        <w:rPr>
          <w:rStyle w:val="FootnoteAnchor"/>
          <w:rtl w:val="true"/>
        </w:rPr>
        <w:footnoteReference w:id="1042"/>
      </w:r>
      <w:r>
        <w:rPr>
          <w:rFonts w:ascii="Amiri" w:hAnsi="Amiri" w:eastAsia="Amiri" w:cs="Amiri"/>
          <w:color w:val="111111"/>
          <w:sz w:val="28"/>
          <w:sz w:val="28"/>
          <w:szCs w:val="28"/>
          <w:rtl w:val="true"/>
          <w:lang w:bidi="ar-SA"/>
        </w:rPr>
        <w:t>أيضا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لا جابر للرواية بعمومها، فالأقوى عدم السقوط للعموم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يأخذ من كل إنسان منهم ما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ظاهر في عموم من عليه الجزية إلّا ما خرج بالنص الصحيح المعمول به، و حيث لا جابر للعموم السابق، فيقتصر على مورد اليقين، كما أفاده المصنف أيضا من الأصناف الثلاثة، لكن الإنصاف أنّ المسألة لا تخلو من اشكال، لقوة سند التفصيل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المملوك فالظاهر عدم ثبوتها عليه، لأنه لا يقدر على مثل هذا العقد، الذي مفاده جعل شي‌ء في عهدته، و كون مفاده اشتغال ذمة مولاه أيضا على خلاف القاعدة، إذ ضرب الجزية على كل إنسان يجعل المال في ذمته لا في ذمة غيره، و العبد غير قادر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يقاس المقام بسائر الديون كالغرامات المالية و الجنائية، لأنّ ثبوتها في ذمة العبد لم يكن منوطا بأسباب اختيارية، بحيث كان لقدرته دخل فيها، و لذا لا تمضي معاملاته الذمية إلّا بإذن مولاه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لا بأس بمقتضى القاعدة ضرب الجزية عليهم بإذن الموالي، فيشتغل به ذمتهم و لا يلزم الموالي في أدائه، كما انّ في عقد الذمة مع المولى كان للإمام جعل الجزية على رأس العبد كغيره، الراجع إلى جعل ما في ذمتهم، إذ هذا المعنى هو المنكر بعموم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لو لا اذن مولاه فإنّ القاعدة تقتضي صحته، لو لا الفتوى المشتملة على نفي الجزية على العبد، مؤيدة بما دل على ملازمة ضرب الجزية مع جواز 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سيأتي أنّ العبد لا يجوز قتله إلّا مع دخوله في الحرب</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قبال النبوي نص الباقر عليه السلام بثبوته على العبد، و لا يؤدي عنه</w:t>
      </w:r>
    </w:p>
    <w:p>
      <w:pPr>
        <w:pStyle w:val="BookText"/>
        <w:rPr/>
      </w:pPr>
      <w:r>
        <w:rPr>
          <w:rFonts w:ascii="IRNazanin" w:hAnsi="IRNazanin" w:eastAsia="IRNazanin"/>
          <w:color w:val="111111"/>
          <w:sz w:val="28"/>
          <w:sz w:val="28"/>
          <w:szCs w:val="28"/>
          <w:rtl w:val="true"/>
          <w:lang w:bidi="fa-IR"/>
        </w:rPr>
        <w:t xml:space="preserve">مولاه </w:t>
      </w:r>
      <w:r>
        <w:rPr>
          <w:rStyle w:val="FootnoteAnchor"/>
          <w:rtl w:val="true"/>
        </w:rPr>
        <w:footnoteReference w:id="10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مجال للجمع بينهما بحمل الأخير على اذن المولى المناسب لإلزامه بأدائه، و حمل الأول على عدم إذنه، لأنه لا شاهد على مثله بعد إطلاقهما، و المناسبة المذكورة أيضا لا تقتضي الظهور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الذي يسهّل الخطب اشتهار الفتوى على طبق النبوي، الحاكم بالسقوط، و إليه أيضا ذهب في الجواهر </w:t>
      </w:r>
      <w:r>
        <w:rPr>
          <w:rStyle w:val="FootnoteAnchor"/>
          <w:rtl w:val="true"/>
        </w:rPr>
        <w:footnoteReference w:id="10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تم ذلك جبرا له و وهنا للنص الباقري، فهو و إلّا فللتأمل فيه مجال، في عدم الثبوت في ذمة العبد، حتى مع اذن المولى، مع عدم التصريح به في متن عقد الذمة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مع التصريح به في العقد فقد يتوهم اقتضاء عموم الوفاء ثبوته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إنّ المقام من قبيل الشك في قابلية المحل لورود العقد عليه، و عموم الوفاء به لا يثبت القابلية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أيضا لو لا كون المسألة من صغريات الصلح المشكوك كونه محلّلا للحرام أو محرّما للحلال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أصالة عدم المخالفة بنحو سلب الاتصاف تدخله في عموم وجوب الوفاء بالعقد،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فتؤخذ الجزية من غير هؤلاء، رهبانا كانوا أو فقراء مع تمكنهم و لو بقرض أو بيع شي‌ء، و لو من مستثنيات الدين، المناسب للامتنان غير الجاري في المقام، لعدم مناسبة مع صغارهم، و مع عدم التمكن يبقى دينا في عهدتهم إلى أن يتمكنوا</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إجبارهم على الكسب حينئذ و لو باستخدامهم وجه، لو لا دعوى الإجماع على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ضربت عليهم جزية و اشترطوها على النساء في أصل ثبوتها فيبطل، لعدم مشروعية العقد المزبور، و لو اشترطوا عليهنّ الأداء لديونهم، بحيث يكون أصل ثبوت الجزية على الرجال، و على النساء أداء ديون رجالهم، ففي كونه صلحا محلّلا للحرام إشكال، لأنّ الثابت عدم وضع الجزية عليهن، لا عدم جعلهن ملتزمات في أداء ديون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ظواهر الكلمات أيضا منصرفة عن هذه الصورة، و إن كان كلام صاحب الجواهر يوهم شمول عدم المشروعية للصورة الثانية أيضا، و فيه تأمل، لعدم مساعدة دليل عليه، لو لا قيام إجماع في البين، و فيه أيضا بعد شبهة صرف الكلمات إلى الصورة الأولى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حاصر المسلمون حصنا و قتلوا رجالهم، و طلبت النساء وضع الجزية عليهن و كونهن في أمان من السبي، ففيه قولان، أقواهما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العدم، لعدم المشروعية، لو لا دعوى انّ نفيها عنهن امتناني غير شامل لمثل المقام، الذي تكون المنة في حقهن ضربها عليهن، و لعله إليه نظر القائل بالجواز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يجوز إيقاع صورة الصلح معهن مقدمة لفتح الحصن، ثم يسبين؟</w:t>
      </w:r>
    </w:p>
    <w:p>
      <w:pPr>
        <w:pStyle w:val="BookText"/>
        <w:rPr/>
      </w:pPr>
      <w:r>
        <w:rPr>
          <w:rFonts w:ascii="Amiri" w:hAnsi="Amiri" w:eastAsia="Amiri" w:cs="Amiri"/>
          <w:color w:val="111111"/>
          <w:sz w:val="28"/>
          <w:sz w:val="28"/>
          <w:szCs w:val="28"/>
          <w:rtl w:val="true"/>
          <w:lang w:bidi="ar-SA"/>
        </w:rPr>
        <w:t>نسب ذلك إلى قائل مجهول، و مشعر بضعفه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لعله من جهة شمول دليل شبهة الإمكان لهن حينئذ، فيجب ردهن إلى مأمنهن، و ليس لهم سبيهن حينئذ، بل عن الكركي جواز عقد الأمان لهن بلا ضرب جزية، لعموم الوفاء بالعقد </w:t>
      </w:r>
      <w:r>
        <w:rPr>
          <w:rStyle w:val="FootnoteAnchor"/>
          <w:rtl w:val="true"/>
        </w:rPr>
        <w:footnoteReference w:id="1045"/>
      </w:r>
      <w:r>
        <w:rPr>
          <w:rFonts w:eastAsia="Times New Roman" w:cs="Times New Roman" w:ascii="Times New Roman" w:hAnsi="Times New Roman"/>
          <w:color w:val="111111"/>
          <w:sz w:val="28"/>
          <w:szCs w:val="28"/>
          <w:rtl w:val="true"/>
          <w:lang w:val="en-US" w:bidi="en-US"/>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دعوى انحصار أمر أهل الكتاب بالقتل و سبي النساء و تملك الأموال، إلّا مع التزامهم بالذمة، و حيث لا ذمة على النساء، لعدم وضع الجزية التي هي من مقوماتها عليهن، فلا أمان لهن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مدفوعة بأنّ غاية نفي الذمة لهن كونهن بحكم الحربي، و سيأتي عقد الأمان معهم، على وجه يبقون في أرض المسلمين مأمونين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من دخل بشبهة أمان لا بد أن يرد إلى مأمنه، و ليس له البقاء بعد رفع الشبهة، كما سيأتي تفصيله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ذلك بعد عقد الجزية و الذمة فلازم نقضهم للعهد عدم جريان الاستصحاب في أمان نسائهم أيضا، لأنه يتبع بقائهم على العهد، و المفروض نقضهم، الموجب لحصرهم في الحصن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عن المحقق في الشرائع من استصحاب أمانهن، و لو بلا جزية </w:t>
      </w:r>
      <w:r>
        <w:rPr>
          <w:rStyle w:val="FootnoteAnchor"/>
          <w:rtl w:val="true"/>
        </w:rPr>
        <w:footnoteReference w:id="1046"/>
      </w:r>
      <w:r>
        <w:rPr>
          <w:rFonts w:ascii="Amiri" w:hAnsi="Amiri" w:eastAsia="Amiri" w:cs="Amiri"/>
          <w:color w:val="111111"/>
          <w:sz w:val="28"/>
          <w:sz w:val="28"/>
          <w:szCs w:val="28"/>
          <w:rtl w:val="true"/>
          <w:lang w:bidi="ar-SA"/>
        </w:rPr>
        <w:t>، منظور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أعتق العبد الذمي أجبر على الخروج من دار الإسلام إلّا بقبول الجزية و شرائط الذمة بلا 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يقتل فعلا، لأنه دخل بشبهة الأمان مع سيده، فيجري عليه 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في إلزامهم على ضرب الجزية على كل من بلغ من صبيانهم، لعموم صحة وضع عقد الجزية و اجراء حكم الذمة على كل بالغ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كون حكمهم حكم العبد حتى في كونه تحت شبهة الأمان في دخوله في دار المسلمين اشكال، و في الشرائع إلزامه بالجزية فإن امتنع كان حربيا </w:t>
      </w:r>
      <w:r>
        <w:rPr>
          <w:rStyle w:val="FootnoteAnchor"/>
          <w:rtl w:val="true"/>
        </w:rPr>
        <w:footnoteReference w:id="10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ظاهره جواز قتله، و ذلك لإمكان منع صدق الشبهة عليه حين البلوغ</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كونه في أمان حين عدم التكليف غير مشمول لدليل شبهة الأمان، و بذلك يفترق المقام عن العبد المعتق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في الجواهر أظهر التسلم بكونه في شبهة أمان أبيه، فيرد الى مأمنه </w:t>
      </w:r>
      <w:r>
        <w:rPr>
          <w:rStyle w:val="FootnoteAnchor"/>
          <w:rtl w:val="true"/>
        </w:rPr>
        <w:footnoteReference w:id="10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تم إجماعا فهو، و إلّا ففيه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حكم الصبي البالغ المجنون الذي أفاق من جنونه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الأدواري دورة إفاقته، خصوصا مع كونها أكثر من دورة جنونه، كلام آخر، من كونه بحكم المطبق مطلقا، أو بحكم المفيق مطلقا، أو فيه تفصيل بين صورة بلوغ إفاقته إلى السنة و عدمه، وجوه، بل هنا تفصيلات أخر، كما لا يخفى على من راجع الجواهر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يقتضيه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عموم اجراء حكم الذمي على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بد من ملاحظة دليل المخصص، و هو عنوان المغلوب عليه، فإن انصرف الى المطبق فيدخل في عموم المستثنى منه، و إلّا فينصرف إلى المغلوب عليه وقت عقد الذمة، فيصير المدار عليه لا على إفاقته في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ينصرف، دليل وضع الجزية المحدودة بالسنة، إلى صورة بقائه على الشرط في تمامها، بل لو فرض تحديد زمان الجزية بأقل منها، بناء على عدم اعتبار السنة فيها، كما يظهر من كلماتهم، فيعتبر بقاؤه على الشرط في هذه المدة، للانصراف المزبور، و لعله لا يخلو عن قوة،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يجوز وضعها يعني الجزية على رءوسهم و أراضيهم بأجمعهما على اشكال فيه، أو بانفراد كل منهما عن الآخر بلا 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عمدة وجه الإشكال في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عموم الوفاء بالعقد على أي نحو وقع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النص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ليس للإمام أكثر من الجزية، إن شاء وضع على رءوسهم و ليس على أموالهم شي‌ء، و إن شاء وضع على أموالهم و ليس على رءوسهم شي‌ء</w:t>
      </w:r>
      <w:r>
        <w:rPr>
          <w:rFonts w:eastAsia="Amiri" w:cs="Amiri" w:ascii="Amiri" w:hAnsi="Amiri"/>
          <w:color w:val="111111"/>
          <w:sz w:val="28"/>
          <w:szCs w:val="28"/>
          <w:rtl w:val="true"/>
          <w:lang w:bidi="ar-SA"/>
        </w:rPr>
        <w:t xml:space="preserve">» </w:t>
      </w:r>
      <w:r>
        <w:rPr>
          <w:rStyle w:val="FootnoteAnchor"/>
          <w:rtl w:val="true"/>
        </w:rPr>
        <w:footnoteReference w:id="1049"/>
      </w:r>
      <w:r>
        <w:rPr>
          <w:rFonts w:eastAsia="Times New Roman" w:cs="Times New Roman" w:ascii="Times New Roman" w:hAnsi="Times New Roman"/>
          <w:color w:val="111111"/>
          <w:sz w:val="28"/>
          <w:szCs w:val="28"/>
          <w:rtl w:val="true"/>
          <w:lang w:val="en-US" w:bidi="en-US"/>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أخذ من رءوسهم فلا سبيل له على أراضيهم، و إن أخذ من أراضيهم فلا سبيل على رءوسهم</w:t>
      </w:r>
      <w:r>
        <w:rPr>
          <w:rFonts w:eastAsia="Amiri" w:cs="Amiri" w:ascii="Amiri" w:hAnsi="Amiri"/>
          <w:color w:val="111111"/>
          <w:sz w:val="28"/>
          <w:szCs w:val="28"/>
          <w:rtl w:val="true"/>
          <w:lang w:bidi="ar-SA"/>
        </w:rPr>
        <w:t xml:space="preserve">» </w:t>
      </w:r>
      <w:r>
        <w:rPr>
          <w:rStyle w:val="FootnoteAnchor"/>
          <w:rtl w:val="true"/>
        </w:rPr>
        <w:footnoteReference w:id="10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لا يخفى أنّ ظاهرهما أنه بعد شرط كل منهما منفردا في عقد الذمة، ليس له التعدّي إلى غيره، لا أنه ليس له جعل مجموعهما في العقد، أو جعل الجزية عليهما بعد شرطها في الذمة بنحو الإجمال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فعموم ليس فيه شي‌ء موظف، و ان كيفية جعله و ضربه بعد العقد بنحو الإجمال، أو في متن العقد، بنظر الامام، يبقى على 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أسلموا سقطت الجزية سواء كان إسلامهم قبل الحلول أم بعده قبل الأداء، بلا إشكال في الأول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المشهور في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عمدة ما وجهوا له هو عموم قاعدة الجب، و عموم إِنْ يَنْتَهُوا يُغْفَرْ لَهُمْ مٰا قَدْ سَلَفَ </w:t>
      </w:r>
      <w:r>
        <w:rPr>
          <w:rStyle w:val="FootnoteAnchor"/>
          <w:rtl w:val="true"/>
        </w:rPr>
        <w:footnoteReference w:id="1051"/>
      </w:r>
      <w:r>
        <w:rPr>
          <w:rFonts w:ascii="Amiri" w:hAnsi="Amiri" w:eastAsia="Amiri" w:cs="Amiri"/>
          <w:color w:val="111111"/>
          <w:sz w:val="28"/>
          <w:sz w:val="28"/>
          <w:szCs w:val="28"/>
          <w:rtl w:val="true"/>
          <w:lang w:bidi="ar-SA"/>
        </w:rPr>
        <w:t xml:space="preserve">، و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على المسلم جزية</w:t>
      </w:r>
      <w:r>
        <w:rPr>
          <w:rFonts w:eastAsia="Amiri" w:cs="Amiri" w:ascii="Amiri" w:hAnsi="Amiri"/>
          <w:color w:val="111111"/>
          <w:sz w:val="28"/>
          <w:szCs w:val="28"/>
          <w:rtl w:val="true"/>
          <w:lang w:bidi="ar-SA"/>
        </w:rPr>
        <w:t xml:space="preserve">» </w:t>
      </w:r>
      <w:r>
        <w:rPr>
          <w:rStyle w:val="FootnoteAnchor"/>
          <w:rtl w:val="true"/>
        </w:rPr>
        <w:footnoteReference w:id="1052"/>
      </w:r>
      <w:r>
        <w:rPr>
          <w:rFonts w:ascii="Amiri" w:hAnsi="Amiri" w:eastAsia="Amiri" w:cs="Amiri"/>
          <w:color w:val="111111"/>
          <w:sz w:val="28"/>
          <w:sz w:val="28"/>
          <w:szCs w:val="28"/>
          <w:rtl w:val="true"/>
          <w:lang w:bidi="ar-SA"/>
        </w:rPr>
        <w:t>، و في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ينبغي للمسلم أن يؤدي الخراج</w:t>
      </w:r>
      <w:r>
        <w:rPr>
          <w:rFonts w:eastAsia="Amiri" w:cs="Amiri" w:ascii="Amiri" w:hAnsi="Amiri"/>
          <w:color w:val="111111"/>
          <w:sz w:val="28"/>
          <w:szCs w:val="28"/>
          <w:rtl w:val="true"/>
          <w:lang w:bidi="ar-SA"/>
        </w:rPr>
        <w:t xml:space="preserve">» </w:t>
      </w:r>
      <w:r>
        <w:rPr>
          <w:rStyle w:val="FootnoteAnchor"/>
          <w:rtl w:val="true"/>
        </w:rPr>
        <w:footnoteReference w:id="1053"/>
      </w:r>
      <w:r>
        <w:rPr>
          <w:rFonts w:ascii="Amiri" w:hAnsi="Amiri" w:eastAsia="Amiri" w:cs="Amiri"/>
          <w:color w:val="111111"/>
          <w:sz w:val="28"/>
          <w:sz w:val="28"/>
          <w:szCs w:val="28"/>
          <w:rtl w:val="true"/>
          <w:lang w:bidi="ar-SA"/>
        </w:rPr>
        <w:t>يعني الجزية، و بأنّ الغرض من ضرب الجزية الرغبة إلى الإسلام، و مع دخولهم فيه لا مقتضى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غاية ما يستفاد من قاعدة الجب رفع الآثار غير الامتنانية، من الإلزامات و العقوبات المرتبة على حدوث أسبابها حال الكفر، لا ما يترتب على بقائه إلى حال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هو عمدة الفارق بين ديونه و قضاء عباداته أو سائر عقوباته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 هذا المعنى يجري في المقام أيضا، بعد كونه بمقتضى عقد الذمة دينا عليهم</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كون الداعي على العقد ترغيبهم إلى الإسلام لا ينافي بقاء دينهم الحاصل بالعقد بإزاء حقن دمهم و أمانهم، و لو في مقدار من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مجرد كون دينهم</w:t>
      </w:r>
    </w:p>
    <w:p>
      <w:pPr>
        <w:pStyle w:val="BookText"/>
        <w:rPr/>
      </w:pPr>
      <w:r>
        <w:rPr>
          <w:rFonts w:ascii="Amiri" w:hAnsi="Amiri" w:eastAsia="Amiri" w:cs="Amiri"/>
          <w:color w:val="111111"/>
          <w:sz w:val="28"/>
          <w:sz w:val="28"/>
          <w:szCs w:val="28"/>
          <w:rtl w:val="true"/>
          <w:lang w:bidi="ar-SA"/>
        </w:rPr>
        <w:t>هذا من تبعات كفرهم، لا ينافي البقاء بعد فرض كونه عوض حقن الدم ما دام كفرهم، الحاصل و لو في 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توهم انّ قاعدة الجب لا يشمل ما كان حدوثه من تبعات الكفر، و لو كان الأمر مترتبا على بقائه، و بذلك يفرق بين الدين في المقام و سائر الديون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لازمة سقوط دين ثمن الخمر و الخنزير أيضا لو أسلما معا، بل و سقوط الزيادة في ذمته من المعاملات الربوية، لأنّ مثل هذه الديون من تبعات كفرهم، و لا أظن التزامه من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عاقده الجب إنما هي من جهة المنة الثابتة للمسلمين، و مجرد وجود الدين بلا سلطة و لا وجوب أداء لا يكون خلافهم منة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المنة في رفع ما ينتهي إلى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فظاهر القاعدة رفع إلزام أو عقوبة دنيوية مترتبة على حدوث السبب حال الكفر، بل ينظر إلى التكاليف الثابتة لبقاء موضوعه حال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بهذه الملاحظة تبقى ديونه أجمع، من دون فرق بين ما كان حدوثه باقتضاء كفره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الكلام في قاعدة الجب، و أما ما دل على عدم الجزية على المسلمين، ففيه انّ غاية ما يستفاد من عدم الجزية على المسلم، عدم ضربها جديدا عليهم لا عدم أداء ما ضرب عليهم حال الكفر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توهم انّ مثل هذا الدين يلازم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بمقتضى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صغارهم، و هذا المعنى ساقط عن المسلم جزما، فيلازم سقوطه سقوط الدين أيضا، إذ لا اعتبار لوجوده في ظرف يكون دينهم مسلوب السلطة من جميع الجهات، كما هو الشأن في ملكية الأعيان</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مدفوع بأنّ لازم ذلك سقوطها بموتهم أيضا، و عدم الأخذ من تركتهم، و ليس كذلك جزما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اختصاص كيفية الأداء بحال الكفر لا يوجب تخصيص أصل أدائه، و الآية في مقام بيان كيفية الأداء حال الكفر، لا في مقام بيان تخصيص الأداء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الأولى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باب ضرب الجزية ليس من قبيل المصالحات المعاوضية، بجعل المال في ذمتهم قبال حقن الدم كما 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مرجع عقدها إلى الإغماض عن دمائهم و نسائهم و عن بقية أموالهم، و القرار على مقدار معيّن في ذممهم أو على أعيان أموالهم، نظير إغماض ذي الحق عن تمام حقه ببعض منه في عين أو في الذمة، بلا اعتبار معاوضة فيه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 هذا المعنى إنما يستقر عليهم ما داموا كفارا، فباسلامهم يسقط ما لهم عن الفيئية للمسلمين، فلا يبقى لهم حق عليهم، كي يصلح أن تكون ماليته في عهدتهم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فمفاد عقد الصلح من الأول ليس إلّا تحديد مقدار استحقاقهم الثابت خارجا في دين أو عين معين، و لا يكون مقيّدا لأصل الاستحقاق، كي يكون في زمرة بقية الديون الصالحة للبقاء إلى حين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أصل استحقاقهم بملك المال ثابت بكفرهم، و إنما مفاد العقد تعيين محل أخذه من عين أو 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المعلوم أنّ هذا الاستحقاق بعد ما كان منوطا ببقاء كفرهم، فمصالحتهم المزبورة تتبع هذا الاستحقاق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فبانتفاء أصله يفوت مفاد عقد المصالحة، الذي هو تبعه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عمدة النكتة في سقوط الجزية بإسلامهم، لا ما تقدّم، كي يشكل أمره بما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شبهة في انّ لازم ما ذكرنا سقوط جميع الجزية بمجرد الإسلام قبل مضي السنة أو بعدها، فما في بعض الكلمات من الفرق في الإسلام قبل السنة و بعده منظور فيه</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مات الذمي بعد الحلول المضروب عليهم مثلا، فلا إشكال في</w:t>
      </w:r>
    </w:p>
    <w:p>
      <w:pPr>
        <w:pStyle w:val="BookText"/>
        <w:rPr/>
      </w:pPr>
      <w:r>
        <w:rPr>
          <w:rFonts w:ascii="Amiri" w:hAnsi="Amiri" w:eastAsia="Amiri" w:cs="Amiri"/>
          <w:color w:val="111111"/>
          <w:sz w:val="28"/>
          <w:sz w:val="28"/>
          <w:szCs w:val="28"/>
          <w:rtl w:val="true"/>
          <w:lang w:bidi="ar-SA"/>
        </w:rPr>
        <w:t>استقرار الحق بتمامه في الذمة، و أخذت من تركته، إذ ليس الموت كالإسلام محددا لدائرة الاستحقاق بأصله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هكذا الأمر لو مات قبل تمام السنة بعد دخوله، لأنه بمقتضى الشرط يستحق تمام ما في ذمته، لا خصوص الحصة المقسطة على ما مضى، كما يظهر من العلّامة </w:t>
      </w:r>
      <w:r>
        <w:rPr>
          <w:rStyle w:val="FootnoteAnchor"/>
          <w:rtl w:val="true"/>
        </w:rPr>
        <w:footnoteReference w:id="10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لو مات قبل دخول السنة المضروبة، و ذلك بأن يكون مفاد العقد الواقع في صفر مثلا كون الجزية عليه من أول الربيع، فمات قبل الدخول في الربيع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فتارة يكون الغرض من التحديد المزبور تحديد وقت أدائه في ظرف السنة أو في آخرها، مع كون الغرض من الصلح تعيين الاستحقاق منه من حين العقد في عين أو دين، بحيث يكون ظرف مطالبته في السنة المعينة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اخرى يكون الغرض من التحديد الإغماض قبل دخول الشهر عن أصل استحقاقه رأسا، و حصر الاستحقاق عليه من حين دخول الشهر بدين أو 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الأولى لا يسقط الحق عن ذمة الميت بالإضافة إلى تركته، بل حاله كما لو مات في أثناء السنة، فينتقل في تركته ما شرط عليه بتمامه، بعد فرض أنّ الموت لا يسقطه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حتى لو قلنا بالمعاوضة أيضا، كما هو مسلك صاحب الجواهر </w:t>
      </w:r>
      <w:r>
        <w:rPr>
          <w:rStyle w:val="FootnoteAnchor"/>
          <w:rtl w:val="true"/>
        </w:rPr>
        <w:footnoteReference w:id="10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لازمة في الفرض المزبور استحقاق تمام ما شرط عليه و لو مات قبل السنة، لأنّ المفروض انه عاوض حقن دمه من حين العقد ما دام كافرا قل أو كثر بمقدار كذا</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ينافي ذلك عدم استحقاق المطالبة عنه قبل دخول الشهر، و سلطة</w:t>
      </w:r>
    </w:p>
    <w:p>
      <w:pPr>
        <w:pStyle w:val="BookText"/>
        <w:rPr/>
      </w:pPr>
      <w:r>
        <w:rPr>
          <w:rFonts w:ascii="Amiri" w:hAnsi="Amiri" w:eastAsia="Amiri" w:cs="Amiri"/>
          <w:color w:val="111111"/>
          <w:sz w:val="28"/>
          <w:sz w:val="28"/>
          <w:szCs w:val="28"/>
          <w:rtl w:val="true"/>
          <w:lang w:bidi="ar-SA"/>
        </w:rPr>
        <w:t>الذمي على امتناعه عن أزيد مما شرط عليه، لأنّ الموت أوجب انتقال حقه الثابت في ذمته من الآن، عوض حقن دمه في تركته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الشأن في ما لو مات في أثناء السنة، مع فرض تعيين وقت الأداء في آخرها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على الفرض الأخير، لو مات قبل الدخول في الشهر، لا يكون شي‌ء مستحقا على الميت، إذ المفروض أنّ نتيجة الصلح هو الإغماض عما يستحق عليه قبل الشهر رأسا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عين الاستحقاق عليه من حين دخول الشهر، فقبل الشهر الذي هو زمان حياته لا يستحق عليه شي‌ء، و بعد موته لا يبقى ظرف أصل الاستحقاق عليه، كي يبقى ظرف للمصالحة و التعيين في دين أو 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كلمات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فرض موته قبل دخوله في السنة، حيث حكموا بعدم استحقاق الامام عليه السلام في تركته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منزّلة على هذه الصورة، بل و يتعيّن هذا المعنى في فرض تعيين وقت الأداء بآخر السنة مثلا، إذ لا معنى لتحديد بدية حينئذ إلّا لبيان تعيين ظرف أصل الاستحقاق الملازم لعفوه عما قبله رأسا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لا يتعين الفرض بخصوص هذه، بل قد تتعين السنة لتعيين الأقساط في أدائه، في أولها و آخرها و وسطها مثلا، أو من أولها إلى آخرها بنحو التدريج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ليس في التحديد المذكور دلالة على الإغماض و العفو عن قبل دخول السنة رأسا، بل لمجي‌ء الفرض الأول حينئذ كمال مجال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مثله لا وجه لسقوط الحق الثابت في ذمته بالموت بمحض تعيين وقت أدائه، كما هو الشأن في موته في أثناء السنة مع التعيين لوقت أدائه في آخر السنة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عليك بالتدبر، لعلك ترى انصراف كلماتهم عن هذه الصورة، و إلّا فلا بد من ملاحظة بلوغه حد الإجماع، و إلّا فيتمشى على وفق القاعدة</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في فرض عدم الاستحقاق في تركته بموته، لو استسلف الامام منه شيئا، و لو بتراضيهما، لا بد أن يرده، لو لا كون وارثه خارجا عن الذمة، فيملك المال</w:t>
      </w:r>
    </w:p>
    <w:p>
      <w:pPr>
        <w:pStyle w:val="BookText"/>
        <w:rPr/>
      </w:pPr>
      <w:r>
        <w:rPr>
          <w:rFonts w:ascii="Amiri" w:hAnsi="Amiri" w:eastAsia="Amiri" w:cs="Amiri"/>
          <w:color w:val="111111"/>
          <w:sz w:val="28"/>
          <w:sz w:val="28"/>
          <w:szCs w:val="28"/>
          <w:rtl w:val="true"/>
          <w:lang w:bidi="ar-SA"/>
        </w:rPr>
        <w:t>منه مستقلا،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ذلك كله لو مات أو أسلم قبل أداء ما عليه، و لو أسلم بعد الأداء فلم يكن مجال لمطالبته من 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عمدة النكتة فيه هو انه بعد مصالحة استحقاق تملكه، بمال معيّن، فنتيجة الصلح المزبور قطع سلطنته عن أخذ بقية أمواله أو قتله مثلا، و قصر سلطنته في تملكه عنه بما في ذمته أو بعين خاص في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قبل الأخذ يكون للإمام عليه السلام اعتبار تملك أن يتملك، و هذا المقدار يكفي في اعتبار الكلي في ذمة الذمي، و لا يحتاج إلى المملوكية الفعلية، فلو أسلم حينئذ قبل الأخذ يسقط أصل الاستحقاق المزبور فيرتفع طرف المصالحة أيضا كما أشرنا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لو أخذ و تملك فخرج المال عن ملكية الذمي، و دخل في ملك المسلمين، فلا يقتضي الإسلام رفع ملكيتهم عن المال، لأنه خلاف الامتنان في حق المسلم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بناء على مسلك المعاوضة، و كون الامام مالكا لما في ذمة الذمي، لتعيين أدائه في عين مخصوصة، فلا فرق حينئذ بين فرض أدائه قبل الإسلام أو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قاعدة الجب كما ترفع ملكية المسلمين عما في ذمتهم، ترفع ملكيتهم عن العين المأخوذة بعنوان تشخيص الدين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إلى ذلك نظر الجواهر في مصيره في نهاية الأمر إلى لزوم الاسترداد </w:t>
      </w:r>
      <w:r>
        <w:rPr>
          <w:rStyle w:val="FootnoteAnchor"/>
          <w:rtl w:val="true"/>
        </w:rPr>
        <w:footnoteReference w:id="1056"/>
      </w:r>
      <w:r>
        <w:rPr>
          <w:rFonts w:ascii="Amiri" w:hAnsi="Amiri" w:eastAsia="Amiri" w:cs="Amiri"/>
          <w:color w:val="111111"/>
          <w:sz w:val="28"/>
          <w:sz w:val="28"/>
          <w:szCs w:val="28"/>
          <w:rtl w:val="true"/>
          <w:lang w:bidi="ar-SA"/>
        </w:rPr>
        <w:t>، لكن التحقيق خلافه، من جهة بطلان مسلكه على ما لا يخفى على المراجع</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قاعدة الذمة لما كانت بالعقد على ما هو في‌ء للمسلمين، أما في الذمة</w:t>
      </w:r>
    </w:p>
    <w:p>
      <w:pPr>
        <w:pStyle w:val="BookText"/>
        <w:rPr/>
      </w:pPr>
      <w:r>
        <w:rPr>
          <w:rFonts w:ascii="Amiri" w:hAnsi="Amiri" w:eastAsia="Amiri" w:cs="Amiri"/>
          <w:color w:val="111111"/>
          <w:sz w:val="28"/>
          <w:sz w:val="28"/>
          <w:szCs w:val="28"/>
          <w:rtl w:val="true"/>
          <w:lang w:bidi="ar-SA"/>
        </w:rPr>
        <w:t>أو على عين مخصوصة،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في زمان بسط يد الامام، لما كان في قبال كفهم عن جهادهم، الموجب كون مالهم فيئا للمجاهدين، و من الغنائم المختصة بهم، فاعتبار مثل هذا التعيين يقتضي كون ما في ذمتهم أيضا لهم، و مخصوصا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ذلك هو الوجه في تسلّمهم كون مصرف الجزية في زمان بسط اليد مصرف الغنيمة و هم المجاهدون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في زمان الغيبة، فإن صدر مثل هذا العقد من الجائر عفوا عن جهادهم، فالحكم حكم عقد الامام، بعد ثبوت تقرير فعلهم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إن صدر عن الفقيه أو ذي شوكة من المسلمين، ممن ليس له وظيفة الجهاد، بل كانت وظيفته إبقاء أمانهم بعد بلوغ صغارهم، فلا محيص عن أن يكون صرفه بنظر من له الرئاسة على عفوهم، و المصالحة معهم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يبعد أن يكون مصرفه أيضا مصرف بقية أموالهم لو امتنعوا عن الجزية، لأنّ المفروض أنّ مفاد عقده هو تعيين استحقاقهم لبقية الأموال، على فرض الجزية، في مقدار مخصوص في ذمتهم أو في عين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يوجب مثل هذا العقد تغيير مصرفه عن مصرف بقية أموالهم، و لا اختصاص لها في هذه الصورة بالمجاهدين بمعنى المدافعين، كما قيل، و لا تعيين مصرف الخراج في الأراضي الخراجية الراجعة إلى نوع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في ضربه عليهم في كل سنة شبيها لضرب الخراج على أراضيهم، خصوصا إذا كان ذلك على أراضيهم لا على نفوسهم، و لكن مجرد المشابهة الصورية لا توجب اتحاد المصرف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فما في الكلمات من تعيين أمثال هذه المصارف، إن كان لقيام إجماع أو قرينة أخرى كاشفة عن حكم المعصوم فهو، و إلّا فللنظر فيه مجال</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يختص هذا الاشكال بما ذكرنا في شرح عقد الذمة، بل جار على مشرب المعاوضة على حقن الدم و غيره، كما هو مسلك الجواهر أيضا، لأنّ إتلاف الحربي بغير عنوان الجهاد غير مختص بشخص دون شخص، كفيئية</w:t>
      </w:r>
    </w:p>
    <w:p>
      <w:pPr>
        <w:pStyle w:val="BookText"/>
        <w:rPr/>
      </w:pPr>
      <w:r>
        <w:rPr>
          <w:rFonts w:ascii="Amiri" w:hAnsi="Amiri" w:eastAsia="Amiri" w:cs="Amiri"/>
          <w:color w:val="111111"/>
          <w:sz w:val="28"/>
          <w:sz w:val="28"/>
          <w:szCs w:val="28"/>
          <w:rtl w:val="true"/>
          <w:lang w:bidi="ar-SA"/>
        </w:rPr>
        <w:t>أموالهم للمسلمين، فلازم حصة المعاوضة المزبورة في زمان الغيبة، هو دخول العوض في ملك من هو مسلّط على ذلك لولاه، و هو نوع المسلمين، فكل من أقدم على أخذه يتملك بأخذه منهم، بلا اختصاصه بطائفة دون طائفة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زمن مشروعية الجهاد لو صولح، كان المصالح له خصوص المجاهدين، كما يظهر مما تقدّم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الظاهر من كلماتهم انّ للإمام عقد الجزية بأي نحو يراه مصلحة، من حيث تعيين الجزية عليهم سنة أو سنوات، منقطعة على عدد معين أو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انّ في تحديد الجزية عليهم كان الأمر بيده، فإن رأى المصلحة في كيفية الضرب أو كميته على الدوام، فليس للإمام اللاحق تغييره مع بقاء كبارهم من الطبقة الأولى إلى زمان الإمام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مع عدم بقاء الكبار و الموجودين حال العقد، بحيث لم يبق من الطبقة الثانية إلّا صغارهم الموجودون مع الطبقة السابقة، الخارجين عن موضوع العقد مع الكبار، و إن كانوا في أمان بتبع أمان كبارهم، فلا شبهة في أنّ حكم الامام اللاحق بدوام مضمون العقد مع الكبار لا يقتضي عدم اختلاف نظره مع الامام السابق في العقد الجديد مع الصغار في الكيفية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الامام السابق رأى المصلحة في كيفية العقود الواردة على جميع الطبقات متدرجا بنحو واحد، فليس للإمام اللاحق تغييره في العقد الجديد على الصغار، كما هو واضح</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إنه لو لم يتعلّق نظر الإمام في عقده مع الكبار الموجودين، في زمانه دوام هذا العقد عليهم حتى بعد موته، كان للإمام اللاحق تغيير كيفية العقد معهم جديدا على الطبقة الاولى من الكبار، فضلا عن العقود الجديدة الواردة على صغارهم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هذا البيان ظهر ما في إطلاق كلام المحقق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مات الامام و ضرب لما قدره من الجزية أمدا معيّنا أو اشتراط الدوام، وجب على الإمام القائم بعده إمضاء ذلك </w:t>
      </w:r>
      <w:r>
        <w:rPr>
          <w:rStyle w:val="FootnoteAnchor"/>
          <w:rtl w:val="true"/>
        </w:rPr>
        <w:footnoteReference w:id="10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ربما يوهم هذا الكلام بإطلاقه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كلام الجواهر، في مقام إجراء أصالة الإطلاق في عقد الإمام في زمان بالنسبة إلى الشروط المشكوك اعتبارها في متن عقد الجزية، مع كونها خارجة عن قوامها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العقد على الطبقة السابقة جار على جميع الطبقات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تؤيده السيرة على إجراء أحكام الذمي، من حقن دمه و ماله، بمحض اقدامه على الجزية و قبول الشرائط، بلا احتياج في زمان متأخر إلى عقد جديد، و لو فرض كونه مخالفا مع العقد السابق على الطبقة السابقة أحيانا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مثل هذا المعنى لا يناسب أطباق كلمتهم على احتياج الصغار في كل طبقة بعد بلوغهم الى عقد جديد، و عليه فلا بد أن توجه السيرة المزبورة بأنّ نفس بنائهم على أخذ الجزية منهم، بعد بلوغهم و رضاهم ببقائهم على الشرائط السابقة، نحو عقد جديد و لو معاطاة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انّ السكوت أحيانا عن عرض الإسلام عليهم، ربما يكون بملاحظة اشتهار دعوة الإسلام بينهم، و إلّا فمع غفلتهم عنها فلا بد أن ينبهوا عليه قبل أخذ الجزية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انّ كلام المحقّق أيضا قابل لأن يوجه بالنسبة إلى خصوص الكبار الموجودين في الطبقة السابقة، لا مطلقا</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كلام الجواهر فلا بد أن يحمل على صورة إحراز موافقة العقود اللاحقة للسابقة، كما هو مقتضى السيرة في الاكتفاء في الطبقات اللاحقة بالتزامهم بما</w:t>
      </w:r>
      <w:bookmarkStart w:id="505" w:name="pg19818_204232"/>
    </w:p>
    <w:p>
      <w:pPr>
        <w:pStyle w:val="BookText"/>
        <w:rPr/>
      </w:pPr>
      <w:bookmarkEnd w:id="505"/>
      <w:r>
        <w:rPr>
          <w:rFonts w:ascii="Amiri" w:hAnsi="Amiri" w:eastAsia="Amiri" w:cs="Amiri"/>
          <w:color w:val="111111"/>
          <w:sz w:val="28"/>
          <w:sz w:val="28"/>
          <w:szCs w:val="28"/>
          <w:rtl w:val="true"/>
          <w:lang w:bidi="ar-SA"/>
        </w:rPr>
        <w:t>التزم به سابقوهم، و إلّا فلا مجال لتوهم نفوذ العقد الجاري على الطبقة السابقة على الطبقة اللاحقة، لأنه خلاف صريح فتاواهم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فلا يكون عقد الامام مركز أصالة الإطلاق عند الشك في ذكر شرط من الشروط، بل مع احتمال مخالفة العقد السابق اللاحق في بعض الشروط، يلاحظ أصالة الإطلاق بالنسبة إلى العقود اللاحقة لا السابقة</w:t>
      </w:r>
      <w:r>
        <w:rPr>
          <w:rFonts w:eastAsia="Amiri" w:cs="Amiri" w:ascii="Amiri" w:hAnsi="Amiri"/>
          <w:color w:val="111111"/>
          <w:sz w:val="28"/>
          <w:szCs w:val="28"/>
          <w:rtl w:val="true"/>
          <w:lang w:bidi="ar-SA"/>
        </w:rPr>
        <w:t>.</w:t>
      </w:r>
    </w:p>
    <w:p>
      <w:pPr>
        <w:pStyle w:val="Heading6"/>
        <w:numPr>
          <w:ilvl w:val="5"/>
          <w:numId w:val="1"/>
        </w:numPr>
        <w:rPr/>
      </w:pPr>
      <w:bookmarkStart w:id="506" w:name="__RefHeading___Toc3321060_2314609296"/>
      <w:bookmarkStart w:id="507" w:name="_Toc188"/>
      <w:bookmarkEnd w:id="506"/>
      <w:r>
        <w:rPr>
          <w:rtl w:val="true"/>
        </w:rPr>
        <w:t>و يجوز أخذها</w:t>
      </w:r>
      <w:bookmarkEnd w:id="507"/>
    </w:p>
    <w:p>
      <w:pPr>
        <w:pStyle w:val="BookText"/>
        <w:rPr/>
      </w:pPr>
      <w:r>
        <w:rPr>
          <w:rFonts w:ascii="Amiri" w:hAnsi="Amiri" w:eastAsia="Amiri" w:cs="Amiri"/>
          <w:color w:val="111111"/>
          <w:sz w:val="28"/>
          <w:sz w:val="28"/>
          <w:szCs w:val="28"/>
          <w:rtl w:val="true"/>
          <w:lang w:bidi="ar-SA"/>
        </w:rPr>
        <w:t>أي الجزية من ثمن المحرمات بلا اشكال، و في صحيح ابن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 صدقات أهل الذمة، و ما يؤخذ من جزيتهم من ثمن خمورهم و خنازيرهم و ميتتهم،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عليهم الجزية في أموالهم، تؤخذ من ثمن لحم الخنزير أو خمر، فكل ما أخذوا منهم من ذلك فوزر ذلك عليهم، و ثمنه للمسلمين حلال، يأخذونه في جزيتهم</w:t>
      </w:r>
      <w:r>
        <w:rPr>
          <w:rFonts w:eastAsia="Amiri" w:cs="Amiri" w:ascii="Amiri" w:hAnsi="Amiri"/>
          <w:color w:val="111111"/>
          <w:sz w:val="28"/>
          <w:szCs w:val="28"/>
          <w:rtl w:val="true"/>
          <w:lang w:bidi="ar-SA"/>
        </w:rPr>
        <w:t xml:space="preserve">» </w:t>
      </w:r>
      <w:r>
        <w:rPr>
          <w:rStyle w:val="FootnoteAnchor"/>
          <w:rtl w:val="true"/>
        </w:rPr>
        <w:footnoteReference w:id="10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ظاهر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جواز الأخذ أيضا غير مختص بالجزية، بل ربما يجري هذا الحكم بالنسبة إلى ما يؤخذ منهم بأي عنوان، حتى بدل زكاة أو خمس ربح، لو لم نقل بتقريرهم على عدم إعطائهم الخمس، بكون أموالهم المخمسة أيضا بحكم مالهم، كما هو مقتضى السيرة على المعاملة معهم معاملات أملاكهم، حتى فيما يتعلّق بها الخمس، خصوصا في أرباح مكاسبهم</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في زكاتهم كان مقتضى إطلاق كلماتهم بل صريح جملة منها عدم سقوطها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قيل بسقوط القربة في مثله، لعدم صلاحية الكافر للتقرب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أيضا لو لا إطلاق جواز معاملة الحربي في أمواله حتى في ماله الزكوي، بلا تعرض لوجوب أداء حق الفقير مما بيده من المال، مع سبق تعلق الزكاة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توسم عدم تملك الحربي من الأول منظور فيه، اللهم إلّا أن يستفاد من الفيئية كون أملاكهم بحكم عدم الملك لأحد بالإضافة إلى المسلمين، فلازمه عدم وجوب الزكاة على المأخوذ منهم و إن وجبت عليهم بمقتضى كونهم بحكم المسلمين وضعا و تكليفا، و لكن في استفادة مثل هذا التنزيل من دليل الفيئية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فرضه فغايته اختصاصه بالحربي، فلا يجري في أهل الذمة الذين هم محترمون في أموالهم و أنفسهم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فلو لا السيرة المزبورة في الخمس لكان التفكيك بين الخمس و الزكاة في غاية الإشكال، لو لا اقتضاء قاعدة التقرير فيما يتدينون به، بعد التزامهم بالجزية، كما هو مفاد الآية الشريفة، على ما أسلفنا الحكم بكون المال بحكم ملكهم تماما إلّا ما 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الثابت بمقتضى الكلمات لزوم أخذ الزكاة منهم، و به ترفع اليد عن تقريرهم، فيبقى الباقي مثل الخمس و غيره على حاله،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قد تقدّم البحث و الكلام في انّ مستحقها، يعني مستحق الجزية في زمان بسط يد الإمام الذي كان زمان أمر الجهاد نفيا أو إثباتا بيده، هم المجاهدون، لما عرفت وجهه مفصلا</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في زمان الغيبة يشكل ثبوته لهم بمعنى المدافعين بخصوصهم و إن كان ذلك أيضا ظاهر كلمات جملة منهم، بل يمكن حمل كلام المصنف عليه أيضا، لو لا دعوى انصرافه إلى الجهاد بالمعنى الأخص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عرفت انّ التخصيص بالمجاهدين أو بالصرف في مصرف الخراج في زمن الغيبة، الذي لا يشرع فيه الجهاد بالمعنى الأخص، فرع تمامية الإجماع المدعى في كلماتهم، و إلّا فللنظر فيه مجال، و اللّٰه العالم</w:t>
      </w:r>
      <w:r>
        <w:rPr>
          <w:rFonts w:eastAsia="Amiri" w:cs="Amiri" w:ascii="Amiri" w:hAnsi="Amiri"/>
          <w:color w:val="111111"/>
          <w:sz w:val="28"/>
          <w:szCs w:val="28"/>
          <w:rtl w:val="true"/>
          <w:lang w:bidi="ar-SA"/>
        </w:rPr>
        <w:t>.</w:t>
      </w:r>
      <w:bookmarkStart w:id="508" w:name="pg19818_204234"/>
    </w:p>
    <w:p>
      <w:pPr>
        <w:pStyle w:val="Heading6"/>
        <w:numPr>
          <w:ilvl w:val="5"/>
          <w:numId w:val="1"/>
        </w:numPr>
        <w:rPr/>
      </w:pPr>
      <w:bookmarkStart w:id="509" w:name="__RefHeading___Toc3321062_2314609296"/>
      <w:bookmarkStart w:id="510" w:name="_Toc189"/>
      <w:bookmarkEnd w:id="508"/>
      <w:bookmarkEnd w:id="509"/>
      <w:r>
        <w:rPr>
          <w:rtl w:val="true"/>
        </w:rPr>
        <w:t>و ليس لهم</w:t>
      </w:r>
      <w:bookmarkEnd w:id="510"/>
    </w:p>
    <w:p>
      <w:pPr>
        <w:pStyle w:val="BookText"/>
        <w:rPr/>
      </w:pPr>
      <w:r>
        <w:rPr>
          <w:rFonts w:ascii="Amiri" w:hAnsi="Amiri" w:eastAsia="Amiri" w:cs="Amiri"/>
          <w:color w:val="111111"/>
          <w:sz w:val="28"/>
          <w:sz w:val="28"/>
          <w:szCs w:val="28"/>
          <w:rtl w:val="true"/>
          <w:lang w:bidi="ar-SA"/>
        </w:rPr>
        <w:t>يعني لأهل الذمة استئناف بيعة و لا كنيسة في دار الإسلام، بل و لا صومعة و لا بيوت نيران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الأصل فيه ما عن الدعائم عن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رسول اللّٰه صلّى اللّٰه عليه و آله نهى عن إحداث الكنائس في دار الإسلام</w:t>
      </w:r>
      <w:r>
        <w:rPr>
          <w:rFonts w:eastAsia="Amiri" w:cs="Amiri" w:ascii="Amiri" w:hAnsi="Amiri"/>
          <w:color w:val="111111"/>
          <w:sz w:val="28"/>
          <w:szCs w:val="28"/>
          <w:rtl w:val="true"/>
          <w:lang w:bidi="ar-SA"/>
        </w:rPr>
        <w:t xml:space="preserve">» </w:t>
      </w:r>
      <w:r>
        <w:rPr>
          <w:rStyle w:val="FootnoteAnchor"/>
          <w:rtl w:val="true"/>
        </w:rPr>
        <w:footnoteReference w:id="10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النبوي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تبنى الكنيسة في الإسلام</w:t>
      </w:r>
      <w:r>
        <w:rPr>
          <w:rFonts w:eastAsia="Amiri" w:cs="Amiri" w:ascii="Amiri" w:hAnsi="Amiri"/>
          <w:color w:val="111111"/>
          <w:sz w:val="28"/>
          <w:szCs w:val="28"/>
          <w:rtl w:val="true"/>
          <w:lang w:bidi="ar-SA"/>
        </w:rPr>
        <w:t xml:space="preserve">» </w:t>
      </w:r>
      <w:r>
        <w:rPr>
          <w:rStyle w:val="FootnoteAnchor"/>
          <w:rtl w:val="true"/>
        </w:rPr>
        <w:footnoteReference w:id="10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يؤيده ما عن ابن عباس الذي قيل بأنّ من عادته الرواية عن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أيما مصر مصّره العرب فليس لأحد من أهل الذمة أن يبني فيه بيعة، و ما كان قبل ذلك فحق على المسلمين أن يقر لهم</w:t>
      </w:r>
      <w:r>
        <w:rPr>
          <w:rFonts w:eastAsia="Amiri" w:cs="Amiri" w:ascii="Amiri" w:hAnsi="Amiri"/>
          <w:color w:val="111111"/>
          <w:sz w:val="28"/>
          <w:szCs w:val="28"/>
          <w:rtl w:val="true"/>
          <w:lang w:bidi="ar-SA"/>
        </w:rPr>
        <w:t xml:space="preserve">» </w:t>
      </w:r>
      <w:r>
        <w:rPr>
          <w:rStyle w:val="FootnoteAnchor"/>
          <w:rtl w:val="true"/>
        </w:rPr>
        <w:footnoteReference w:id="10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أيما مصر مصّرته العرب فليس للعجم أن يبنوا فيه بيعة، و لا يضربوا ناقوسا، و لا يشربوا فيه خمرا، و لا يتخذوا فيه خنزيرا</w:t>
      </w:r>
      <w:r>
        <w:rPr>
          <w:rFonts w:eastAsia="Amiri" w:cs="Amiri" w:ascii="Amiri" w:hAnsi="Amiri"/>
          <w:color w:val="111111"/>
          <w:sz w:val="28"/>
          <w:szCs w:val="28"/>
          <w:rtl w:val="true"/>
          <w:lang w:bidi="ar-SA"/>
        </w:rPr>
        <w:t xml:space="preserve">» </w:t>
      </w:r>
      <w:r>
        <w:rPr>
          <w:rStyle w:val="FootnoteAnchor"/>
          <w:rtl w:val="true"/>
        </w:rPr>
        <w:footnoteReference w:id="10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يخفى انّ ظاهر إطلاقها منعهم من ذلك و عدم إقرارهم على مذهبهم و إن لم يشترط ذلك في عقد الجزية، و هو ظاهر جملة من الكلمات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في الجواهر تقييد الحكم المذكور بصورة الاشتراط عليهم </w:t>
      </w:r>
      <w:r>
        <w:rPr>
          <w:rStyle w:val="FootnoteAnchor"/>
          <w:rtl w:val="true"/>
        </w:rPr>
        <w:footnoteReference w:id="10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أرى له وجها مع إطلاق النصوص و فتاوى جملة من الأعلام</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ظاهر ذيل رواية ابن عباس السابقة وجوب ابقائهم على مذهبهم في الأبنية المزبورة، فيما كان قبل الفتح، و قبل صيرورة البلد بلد المسلمين و بيدهم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عن عمر بن عبد العزيز انه كتب الى عماله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يهدموا بيعة و لا كنيسة و لا بيت نيران </w:t>
      </w:r>
      <w:r>
        <w:rPr>
          <w:rStyle w:val="FootnoteAnchor"/>
          <w:rtl w:val="true"/>
        </w:rPr>
        <w:footnoteReference w:id="1064"/>
      </w:r>
      <w:r>
        <w:rPr>
          <w:rFonts w:ascii="Amiri" w:hAnsi="Amiri" w:eastAsia="Amiri" w:cs="Amiri"/>
          <w:color w:val="111111"/>
          <w:sz w:val="28"/>
          <w:sz w:val="28"/>
          <w:szCs w:val="28"/>
          <w:rtl w:val="true"/>
          <w:lang w:bidi="ar-SA"/>
        </w:rPr>
        <w:t>، و هو المشهور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ذلك فقد استشكل فيه بعدم حجية قول ابن عباس، و لا فعل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كانت خبرية قول ابن عباس عن النبي صلّى اللّٰه عليه و آله ظنية، فلا تثمر الشهرة في جبرها، كعدم جابريتها للفقه المنسوب إلى الرضا عليه السلام، للشك في خبريته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فلا مجال لاستفادة الحكم الشرعي الواقعي من مثل هذه الروايات، غاية ما في البين قيام السيرة على عدم هدم كنائسهم القديمة، و لعله مستند إلى إمضاء الجائر و إقراره معهم الممضاة في شرعنا، و ذلك غير الحكم الشرعي الحقيقي،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مقتضى الإنصاف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عموم دليل التقرير يقتضي إثباتها على حالها، غاية الأمر قام النص على ردعهم عن الأحداث، و لا يشمل الإبقاء جزما، فيبقى تحت دليل التقرير،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يجوز تجديدها مع كون أصل بنائها قبل الإسلام؟ وجهان مبنيان على انه احداث مشمول للنواهي، أو إبقاء خارج عنها، فيبقى تحت عموم تقريرهم على مذهبهم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الجواهر تقوية الأول </w:t>
      </w:r>
      <w:r>
        <w:rPr>
          <w:rStyle w:val="FootnoteAnchor"/>
          <w:rtl w:val="true"/>
        </w:rPr>
        <w:footnoteReference w:id="1065"/>
      </w:r>
      <w:r>
        <w:rPr>
          <w:rFonts w:ascii="Amiri" w:hAnsi="Amiri" w:eastAsia="Amiri" w:cs="Amiri"/>
          <w:color w:val="111111"/>
          <w:sz w:val="28"/>
          <w:sz w:val="28"/>
          <w:szCs w:val="28"/>
          <w:rtl w:val="true"/>
          <w:lang w:bidi="ar-SA"/>
        </w:rPr>
        <w:t>، لكن الانصاف اختلاف أنحاء التجديد، فتارة يكون تجديدا في أصل البنيان، خصوصا مع تغيير وضع الأول، فلا يبعد فيه صدق الإحداث، خصوصا مع ما في النص من النهي عن بناء الكنيسة، بلا لفظ احداث فيه، المعلوم صدقه في هذه الصورة جزما</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تارة يكون تجديدا في بعض جدرانه أو سقوفه أو شي‌ء آخر منه، فلا شبهة في عدم صدق الإحداث حينئذ، بل و بناء الكنيسة أيضا منصرف عن مثله،</w:t>
      </w:r>
    </w:p>
    <w:p>
      <w:pPr>
        <w:pStyle w:val="BookText"/>
        <w:rPr/>
      </w:pPr>
      <w:r>
        <w:rPr>
          <w:rFonts w:ascii="Amiri" w:hAnsi="Amiri" w:eastAsia="Amiri" w:cs="Amiri"/>
          <w:color w:val="111111"/>
          <w:sz w:val="28"/>
          <w:sz w:val="28"/>
          <w:szCs w:val="28"/>
          <w:rtl w:val="true"/>
          <w:lang w:bidi="ar-SA"/>
        </w:rPr>
        <w:t>فلا يكون مثله مشمول النواهي، فيبقى على عموم دليل تقريرهم، و لا أقل من استصحاب بقاء حكمهم في شرعهم، السابق على شرعنا، فيكون المقام من صغريات استصحاب الشرائع السابقة،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فتحت الأرض صلحا، على أن تكون الأرض لهم و يؤدون الخراج أو الجزية، فالظاهر عدم صدق كونها حينئذ من أراضي المسلمين و بلادهم، فلا تشملها النواهي عن بناء الكنائس و غيرها، فلا وجه لمنعهم عما يقتضيه تدينهم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شرط عدمها في متن عقد الصلح، قلنا المنع عنها، لعدم سلطتهم عليه، فللمسلمين حق منعهم حينئذ، كما 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الأرض التي صولح عليها على أن الأرض للمسلمين، ففي جواز اشتراطهم احداث الكنيسة فيها اشكال، لكونه شرطا أو صلحا على خلاف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للإمام مثل هذا الشرط إذا رأى مصلحة فيه </w:t>
      </w:r>
      <w:r>
        <w:rPr>
          <w:rStyle w:val="FootnoteAnchor"/>
          <w:rtl w:val="true"/>
        </w:rPr>
        <w:footnoteReference w:id="1066"/>
      </w:r>
      <w:r>
        <w:rPr>
          <w:rFonts w:ascii="Amiri" w:hAnsi="Amiri" w:eastAsia="Amiri" w:cs="Amiri"/>
          <w:color w:val="111111"/>
          <w:sz w:val="28"/>
          <w:sz w:val="28"/>
          <w:szCs w:val="28"/>
          <w:rtl w:val="true"/>
          <w:lang w:bidi="ar-SA"/>
        </w:rPr>
        <w:t>، و فيه انّ شأن الإمام ليس تغيير الأحكام و لا يجوز صلح هو محلل للحرام، إلّا أن تكون المصلحة الملحوظة بمثابة تكشف عن تخصيص دليل الحرمة، كي لا يقع الصلح المزبور محللا للحرام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عدم كشف هذا التخصيص لا بد أن يستكشف تخصيص دليل بطلان الصلح المحلل للحرام، فيستكشف منه صلاحية الصلح المزبور للمانعية عن مقتضى الحرمة في تأثيرها</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إحراز هذا المعنى لا يكون إلّا بعد وقوعه من المعصوم، و إلّا فقبل صدوره منهم فمقتضى العمومات المزبورة استحالة صدوره منهم، لأنهم لا ينطقون عن الهوى فليس لنا حينئذ نسبة جواز ذلك إليهم إلا بالنحو المزبور، كما لا يخفى</w:t>
      </w:r>
      <w:r>
        <w:rPr>
          <w:rFonts w:eastAsia="Amiri" w:cs="Amiri" w:ascii="Amiri" w:hAnsi="Amiri"/>
          <w:color w:val="111111"/>
          <w:sz w:val="28"/>
          <w:szCs w:val="28"/>
          <w:rtl w:val="true"/>
          <w:lang w:bidi="ar-SA"/>
        </w:rPr>
        <w:t>.</w:t>
      </w:r>
      <w:bookmarkStart w:id="511" w:name="pg19818_204237"/>
    </w:p>
    <w:p>
      <w:pPr>
        <w:pStyle w:val="Heading6"/>
        <w:numPr>
          <w:ilvl w:val="5"/>
          <w:numId w:val="1"/>
        </w:numPr>
        <w:rPr/>
      </w:pPr>
      <w:bookmarkStart w:id="512" w:name="__RefHeading___Toc3321064_2314609296"/>
      <w:bookmarkStart w:id="513" w:name="_Toc190"/>
      <w:bookmarkEnd w:id="511"/>
      <w:bookmarkEnd w:id="512"/>
      <w:r>
        <w:rPr>
          <w:rtl w:val="true"/>
        </w:rPr>
        <w:t>و لا يجوز أن يعلو الذمي ببنائه على بناء المسلمين</w:t>
      </w:r>
      <w:bookmarkEnd w:id="513"/>
    </w:p>
    <w:p>
      <w:pPr>
        <w:pStyle w:val="BookText"/>
        <w:rPr/>
      </w:pPr>
      <w:r>
        <w:rPr>
          <w:rFonts w:ascii="Amiri" w:hAnsi="Amiri" w:eastAsia="Amiri" w:cs="Amiri"/>
          <w:color w:val="111111"/>
          <w:sz w:val="28"/>
          <w:sz w:val="28"/>
          <w:szCs w:val="28"/>
          <w:rtl w:val="true"/>
          <w:lang w:bidi="ar-SA"/>
        </w:rPr>
        <w:t>، و عمدة الوجه فيه الإجماعات المتكررة في كلماتهم، و إلّا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الإسلام يعلو و لا يعلى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محمول على العلو شرفا و معنى، لا العلو في المحسوسات الخارجية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فهم الأصحاب منه في مورد البحث قرينة معهودية أمثال هذا المعنى منه، و إلّا فهو بظاهر إطلاقه منظور فيه،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مقتضى الخبر المزبور عدم مساواة بنيانهم أيضا، بل و عدم الفرق بين الحدوث و البقاء لما ابتاعه من مسلم، مع انّ الظاهر من جم غفير جواز إبقاء الأخير على 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 مختار المحقق أيضا جواز مساواته، و ربما يكون في أمثال هذه الفتاوى نحو إيهام بعدم استفادتهم الحكم السابق من الخبر المزبور، بل العمدة فيه الإجماع غير الجاري في المقامين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ظهر وجه ما أفاده المصنف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يقر ما ابتاعه من مسلم على 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إطلاق معاقد الإجماعات في المقام أيضا عدم اختصاص الحكم المزبور بصورة شرطه في متن عقد الذمة، و إن كانا يفترقان في نقض العقد المزبور بفعلهما و عدمه</w:t>
      </w:r>
      <w:r>
        <w:rPr>
          <w:rFonts w:eastAsia="Amiri" w:cs="Amiri" w:ascii="Amiri" w:hAnsi="Amiri"/>
          <w:color w:val="111111"/>
          <w:sz w:val="28"/>
          <w:szCs w:val="28"/>
          <w:rtl w:val="true"/>
          <w:lang w:bidi="ar-SA"/>
        </w:rPr>
        <w:t>.</w:t>
      </w:r>
    </w:p>
    <w:p>
      <w:pPr>
        <w:pStyle w:val="Heading6"/>
        <w:numPr>
          <w:ilvl w:val="5"/>
          <w:numId w:val="1"/>
        </w:numPr>
        <w:rPr/>
      </w:pPr>
      <w:bookmarkStart w:id="514" w:name="__RefHeading___Toc3321066_2314609296"/>
      <w:bookmarkStart w:id="515" w:name="_Toc191"/>
      <w:bookmarkEnd w:id="514"/>
      <w:r>
        <w:rPr>
          <w:rtl w:val="true"/>
        </w:rPr>
        <w:t>و لا يجوز</w:t>
      </w:r>
      <w:bookmarkEnd w:id="515"/>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أيضا أن يدخل الذمي فضلا عن غيره من سائر فرق الكفّار المساجد، لظهور تفريع عدم دخول المسجد الحرام في الآية على نجاسة المشرك، الجاري في غيرهم من أهل الذمة، فضلا عن شموله لهم، لقولهم بانّ عزير أو المسيح ابن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بضميمة عدم الفصل بين المسجد الحرام و غيره، خصوصا مسجد النبي صلّى اللّٰه عليه و آله، بل إطلاقه يشمل صورة عدم تعدّي نجاستهم أيضا كالكلب و الخنزير، خصوصا مع صدق الهتك به، الجاري حرمة مثله حتى في العذرة اليابسة أحيانا، كما تقدّم في أحكام</w:t>
      </w:r>
    </w:p>
    <w:p>
      <w:pPr>
        <w:pStyle w:val="BookText"/>
        <w:rPr/>
      </w:pPr>
      <w:r>
        <w:rPr>
          <w:rFonts w:ascii="Amiri" w:hAnsi="Amiri" w:eastAsia="Amiri" w:cs="Amiri"/>
          <w:color w:val="111111"/>
          <w:sz w:val="28"/>
          <w:sz w:val="28"/>
          <w:szCs w:val="28"/>
          <w:rtl w:val="true"/>
          <w:lang w:bidi="ar-SA"/>
        </w:rPr>
        <w:t>المسجد، و ما روي عن العامة من إدخال النبي صلّى اللّٰه عليه و آله بعض الكفار غير 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فرق في حرمة الدخول بين رضاء المسلمين لذلك و عدمه، للإطلاق، كما انّ هذا الإطلاق أيضا يمنع عن اجتيازهم و أخذ شي‌ء منه أو وضعه فيه، فضلا عن لبثه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لا يجوز لهم الدخول في الحرم، لما في خبر الدعائم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يدخل أهل الذمة الحرم، و لا دار الهجرة، و يخرجون منها</w:t>
      </w:r>
      <w:r>
        <w:rPr>
          <w:rFonts w:eastAsia="Amiri" w:cs="Amiri" w:ascii="Amiri" w:hAnsi="Amiri"/>
          <w:color w:val="111111"/>
          <w:sz w:val="28"/>
          <w:szCs w:val="28"/>
          <w:rtl w:val="true"/>
          <w:lang w:bidi="ar-SA"/>
        </w:rPr>
        <w:t xml:space="preserve">» </w:t>
      </w:r>
      <w:r>
        <w:rPr>
          <w:rStyle w:val="FootnoteAnchor"/>
          <w:rtl w:val="true"/>
        </w:rPr>
        <w:footnoteReference w:id="10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تنقيح المناط يقتضي إلحاق حرم النبي صلّى اللّٰه عليه و آله و بقية الأئمة، بل و المشاهد المعظّمة، و حرم الزهراء سلام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 لو مات فيه لم يدفن فيه، بمناط عدم دفنهم في مقابر المسلمين أيضا، بل لو دفن ينبش قبره، لعدم احترام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وجه لحرمة نبش قبرهم مطلقا، لعدم احترام لجنائزهم، و دليل حرمة النبش قاصر الشمول عن المورد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المشهور عدم جواز استيطانهم في الحجاز، لقول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اخرجوا اليهود من الحجاز</w:t>
      </w:r>
      <w:r>
        <w:rPr>
          <w:rFonts w:eastAsia="Amiri" w:cs="Amiri" w:ascii="Amiri" w:hAnsi="Amiri"/>
          <w:color w:val="111111"/>
          <w:sz w:val="28"/>
          <w:szCs w:val="28"/>
          <w:rtl w:val="true"/>
          <w:lang w:bidi="ar-SA"/>
        </w:rPr>
        <w:t xml:space="preserve">» </w:t>
      </w:r>
      <w:r>
        <w:rPr>
          <w:rStyle w:val="FootnoteAnchor"/>
          <w:rtl w:val="true"/>
        </w:rPr>
        <w:footnoteReference w:id="1068"/>
      </w:r>
      <w:r>
        <w:rPr>
          <w:rFonts w:ascii="Amiri" w:hAnsi="Amiri" w:eastAsia="Amiri" w:cs="Amiri"/>
          <w:color w:val="111111"/>
          <w:sz w:val="28"/>
          <w:sz w:val="28"/>
          <w:szCs w:val="28"/>
          <w:rtl w:val="true"/>
          <w:lang w:bidi="ar-SA"/>
        </w:rPr>
        <w:t>، بضم عدم الفصل بينهم و بين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بعض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إخراجهم من جزيرة العرب </w:t>
      </w:r>
      <w:r>
        <w:rPr>
          <w:rStyle w:val="FootnoteAnchor"/>
          <w:rtl w:val="true"/>
        </w:rPr>
        <w:footnoteReference w:id="1069"/>
      </w:r>
      <w:r>
        <w:rPr>
          <w:rFonts w:ascii="Amiri" w:hAnsi="Amiri" w:eastAsia="Amiri" w:cs="Amiri"/>
          <w:color w:val="111111"/>
          <w:sz w:val="28"/>
          <w:sz w:val="28"/>
          <w:szCs w:val="28"/>
          <w:rtl w:val="true"/>
          <w:lang w:bidi="ar-SA"/>
        </w:rPr>
        <w:t>، و فسر ذلك بالحجاز، لأنّ السيرة على خلاف عمومه، لعدم إخراجهم من اليمن، مع انه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مقتضى الأمر بالإخراج حرمة مطلق مكثهم، بل و مجرد دخولهم، لو لا انصرافه إلى إخراج متوطنيهم، فلا يستفاد حرمة مطلق المكث</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 في المقام فروعا أخر، سنتعرض لها في ذيل البحث عن عقد المهادنة</w:t>
      </w:r>
      <w:r>
        <w:rPr>
          <w:rFonts w:eastAsia="Amiri" w:cs="Amiri" w:ascii="Amiri" w:hAnsi="Amiri"/>
          <w:color w:val="111111"/>
          <w:sz w:val="28"/>
          <w:szCs w:val="28"/>
          <w:rtl w:val="true"/>
          <w:lang w:bidi="ar-SA"/>
        </w:rPr>
        <w:t>.</w:t>
      </w:r>
      <w:bookmarkStart w:id="516" w:name="pg19818_204239"/>
    </w:p>
    <w:p>
      <w:pPr>
        <w:pStyle w:val="BookText"/>
        <w:rPr/>
      </w:pPr>
      <w:bookmarkEnd w:id="516"/>
      <w:r>
        <w:rPr>
          <w:rFonts w:ascii="Amiri" w:hAnsi="Amiri" w:eastAsia="Amiri" w:cs="Amiri"/>
          <w:color w:val="111111"/>
          <w:sz w:val="28"/>
          <w:sz w:val="28"/>
          <w:szCs w:val="28"/>
          <w:rtl w:val="true"/>
          <w:lang w:bidi="ar-SA"/>
        </w:rPr>
        <w:t>هذا كله في أهل الذمة، و هم القسم الأول من أصناف الكفّار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Heading5"/>
        <w:numPr>
          <w:ilvl w:val="4"/>
          <w:numId w:val="1"/>
        </w:numPr>
        <w:rPr/>
      </w:pPr>
      <w:bookmarkStart w:id="517" w:name="__RefHeading___Toc3321068_2314609296"/>
      <w:bookmarkStart w:id="518" w:name="_Toc192"/>
      <w:bookmarkEnd w:id="517"/>
      <w:r>
        <w:rPr>
          <w:rtl w:val="true"/>
        </w:rPr>
        <w:t>الثاني</w:t>
      </w:r>
      <w:bookmarkEnd w:id="518"/>
    </w:p>
    <w:p>
      <w:pPr>
        <w:pStyle w:val="BookText"/>
        <w:rPr/>
      </w:pPr>
      <w:r>
        <w:rPr>
          <w:rFonts w:ascii="Amiri" w:hAnsi="Amiri" w:eastAsia="Amiri" w:cs="Amiri"/>
          <w:color w:val="111111"/>
          <w:sz w:val="28"/>
          <w:sz w:val="28"/>
          <w:szCs w:val="28"/>
          <w:rtl w:val="true"/>
          <w:lang w:bidi="ar-SA"/>
        </w:rPr>
        <w:t xml:space="preserve">منهم من عدا هؤلاء من الكفار، و يجب جهادهم و لا يقبل منهم إلّا الإسلام بلا اشكال، لعموم فَاقْتُلُوا الْمُشْرِكِينَ حَيْثُ وَجَدْتُمُوهُمْ </w:t>
      </w:r>
      <w:r>
        <w:rPr>
          <w:rStyle w:val="FootnoteAnchor"/>
          <w:rtl w:val="true"/>
        </w:rPr>
        <w:footnoteReference w:id="1070"/>
      </w:r>
      <w:r>
        <w:rPr>
          <w:rFonts w:ascii="Amiri" w:hAnsi="Amiri" w:eastAsia="Amiri" w:cs="Amiri"/>
          <w:color w:val="111111"/>
          <w:sz w:val="28"/>
          <w:sz w:val="28"/>
          <w:szCs w:val="28"/>
          <w:rtl w:val="true"/>
          <w:lang w:bidi="ar-SA"/>
        </w:rPr>
        <w:t xml:space="preserve">، و قوله فَإِذٰا لَقِيتُمُ الَّذِينَ كَفَرُوا فَضَرْبَ الرِّقٰابِ </w:t>
      </w:r>
      <w:r>
        <w:rPr>
          <w:rStyle w:val="FootnoteAnchor"/>
          <w:rtl w:val="true"/>
        </w:rPr>
        <w:footnoteReference w:id="1071"/>
      </w:r>
      <w:r>
        <w:rPr>
          <w:rFonts w:ascii="Amiri" w:hAnsi="Amiri" w:eastAsia="Amiri" w:cs="Amiri"/>
          <w:color w:val="111111"/>
          <w:sz w:val="28"/>
          <w:sz w:val="28"/>
          <w:szCs w:val="28"/>
          <w:rtl w:val="true"/>
          <w:lang w:bidi="ar-SA"/>
        </w:rPr>
        <w:t>، بل و مقتضى الآية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عمومه لمن تهود أو تنصر من الكفار بعد نسخ شريعتهما بالإسلام، لظهور دليل المخصص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المخرج لأهل الذمة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 كان قبل شرع الإسلام، بل و عليه 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عن التذكرة </w:t>
      </w:r>
      <w:r>
        <w:rPr>
          <w:rStyle w:val="FootnoteAnchor"/>
          <w:rtl w:val="true"/>
        </w:rPr>
        <w:footnoteReference w:id="1072"/>
      </w:r>
      <w:r>
        <w:rPr>
          <w:rFonts w:ascii="IRNazanin" w:hAnsi="IRNazanin" w:eastAsia="IRNazanin"/>
          <w:color w:val="111111"/>
          <w:sz w:val="28"/>
          <w:sz w:val="28"/>
          <w:szCs w:val="28"/>
          <w:rtl w:val="true"/>
          <w:lang w:bidi="fa-IR"/>
        </w:rPr>
        <w:t xml:space="preserve">و المنتهى </w:t>
      </w:r>
      <w:r>
        <w:rPr>
          <w:rStyle w:val="FootnoteAnchor"/>
          <w:rtl w:val="true"/>
        </w:rPr>
        <w:footnoteReference w:id="10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كلام الأمير عليه السلام في بني تغلب، من عدم قبول الجزية منهم، إنما هو لنقض عهدهم، فلا ينافي كونهم أهل الذمة بتنصرهم قبل البيعة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 عمر من ضرب الجزية عليهم باسم الخراج غير مسموع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الظاهر من فعل علي عليه السلام أنّ تنصر أولادهم بعد خروج آبائهم عن شرائط الذمة لا يوجب اجراء عقد الذمة عليهم جديدا، لأنهم بتبع آبائهم خرجوا عن الأمان، فصاروا بحكم الحربي، من جواز سبيهم، بما هم من ذراري آبائهم، ما داموا صغارا، و إلّا فيجري عليهم حكم القتل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تقدّم في السابق من عرض الإسلام على الصغار جديدا ثم عقد الجزية معهم كذلك، إنما هو في فرض كون الصغار في أمان آبائهم لا مثل المقام، كما لا يخفى</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 حصر الأمر في حق غير أهل الكتاب بالقتل أو قبول الإسلام، إنما هو إضافي بالنسبة إلى قبول الجزية منهم بشرائطها، و إلّا فسيأتي أنّ للإمام</w:t>
      </w:r>
      <w:bookmarkStart w:id="519" w:name="pg19818_204240"/>
    </w:p>
    <w:p>
      <w:pPr>
        <w:pStyle w:val="BookText"/>
        <w:rPr/>
      </w:pPr>
      <w:bookmarkEnd w:id="519"/>
      <w:r>
        <w:rPr>
          <w:rFonts w:ascii="Amiri" w:hAnsi="Amiri" w:eastAsia="Amiri" w:cs="Amiri"/>
          <w:color w:val="111111"/>
          <w:sz w:val="28"/>
          <w:sz w:val="28"/>
          <w:szCs w:val="28"/>
          <w:rtl w:val="true"/>
          <w:lang w:bidi="ar-SA"/>
        </w:rPr>
        <w:t>و نائبه بل و سلطان الجور عقد أمان لهم، المعبّر عنه بعقد الذمام، بل و لآحاد المسلمين أيضا مثل هذا العقد لآحادهم إلى عشرة أو أزيد، كما انّ للإمام أو رئيس المسلمين الذي بيده زمام أمر الجهاد أيضا إيقاع الهدنة معهم إلى سنة أو أقل، على ما سيأتي الكلام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فالغرض من الحصر المزبور عدم قبول التزامهم بالجزية و شرائط الذمة، بعد تخصيص أهل الكتاب باليهود و النصارى، بضم المجوس إليهم لنصوص خاصة تقدّمت</w:t>
      </w:r>
      <w:r>
        <w:rPr>
          <w:rFonts w:eastAsia="Amiri" w:cs="Amiri" w:ascii="Amiri" w:hAnsi="Amiri"/>
          <w:color w:val="111111"/>
          <w:sz w:val="28"/>
          <w:szCs w:val="28"/>
          <w:rtl w:val="true"/>
          <w:lang w:bidi="ar-SA"/>
        </w:rPr>
        <w:t>.</w:t>
      </w:r>
    </w:p>
    <w:p>
      <w:pPr>
        <w:pStyle w:val="Heading5"/>
        <w:numPr>
          <w:ilvl w:val="4"/>
          <w:numId w:val="1"/>
        </w:numPr>
        <w:rPr/>
      </w:pPr>
      <w:bookmarkStart w:id="520" w:name="__RefHeading___Toc3321070_2314609296"/>
      <w:bookmarkStart w:id="521" w:name="_Toc193"/>
      <w:bookmarkEnd w:id="520"/>
      <w:r>
        <w:rPr>
          <w:rtl w:val="true"/>
        </w:rPr>
        <w:t>و يبدأ بقتال الأقرب و الأشد خطرا</w:t>
      </w:r>
      <w:bookmarkEnd w:id="521"/>
    </w:p>
    <w:p>
      <w:pPr>
        <w:pStyle w:val="BookText"/>
        <w:rPr/>
      </w:pPr>
      <w:r>
        <w:rPr>
          <w:rFonts w:ascii="Amiri" w:hAnsi="Amiri" w:eastAsia="Amiri" w:cs="Amiri"/>
          <w:color w:val="111111"/>
          <w:sz w:val="28"/>
          <w:sz w:val="28"/>
          <w:szCs w:val="28"/>
          <w:rtl w:val="true"/>
          <w:lang w:bidi="ar-SA"/>
        </w:rPr>
        <w:t>بلا إشكال في الأخير، لأنه مقتضى السياسة و وجوب دفع الخطر و الضرر مهما أمكن 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الأول بظهور قٰاتِلُوا الَّذِينَ يَلُونَكُمْ </w:t>
      </w:r>
      <w:r>
        <w:rPr>
          <w:rStyle w:val="FootnoteAnchor"/>
          <w:rtl w:val="true"/>
        </w:rPr>
        <w:footnoteReference w:id="1074"/>
      </w:r>
      <w:r>
        <w:rPr>
          <w:rFonts w:ascii="Amiri" w:hAnsi="Amiri" w:eastAsia="Amiri" w:cs="Amiri"/>
          <w:color w:val="111111"/>
          <w:sz w:val="28"/>
          <w:sz w:val="28"/>
          <w:szCs w:val="28"/>
          <w:rtl w:val="true"/>
          <w:lang w:bidi="ar-SA"/>
        </w:rPr>
        <w:t>بناء على إطلاقه حتى المقاتلة البدوية، الملازمة لبدء المقاتلة، فيستفاد منه حينئذ وجوب الابتداء بالأقرب فالأقرب، كما هو ظاهر 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 أولى، تشكيكا في دلالة الآية على وجوب البدأة، و غايته وجوب قتال الأقرب لا وجوب البدء بهم</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ذلك مع عدم تمامية الإطلاق على الوجه المزبور في غاية المتانة، بل و يجب على رئيس الجيش التربص، مع كثرة العدو و قلة المسلمين، حتى تحصل الكثرة القابلة للمقاومة معهم، بل و لا بد أيضا أن يلاحظ رئيس الجيش أطراف بلاد المسلمين، و يستحكمها عن هجوم العدو بما يراه صلاحا، من حفر الخنادق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لا يبدءون بالقتال قبل دعوتهم إلى الإسلام، و إنما يحاربون بعد الدعاء من الامام أو من نصبه، أو من أقروه في عمله من سلاطين الجور إلى الإسلام، لما في خبر مسمع من قول النبي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لا تقاتلنّ أحدا حتى تدعوه إلى الإسلام</w:t>
      </w:r>
      <w:r>
        <w:rPr>
          <w:rFonts w:eastAsia="Amiri" w:cs="Amiri" w:ascii="Amiri" w:hAnsi="Amiri"/>
          <w:color w:val="111111"/>
          <w:sz w:val="28"/>
          <w:szCs w:val="28"/>
          <w:rtl w:val="true"/>
          <w:lang w:bidi="ar-SA"/>
        </w:rPr>
        <w:t xml:space="preserve">» </w:t>
      </w:r>
      <w:r>
        <w:rPr>
          <w:rStyle w:val="FootnoteAnchor"/>
          <w:rtl w:val="true"/>
        </w:rPr>
        <w:footnoteReference w:id="10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بدر أحد من المسلمين إلى حربي فقتله قبل الدعوة أثم و لكن يكن ضامنا، لعدم حرمة دمه و لو قبل الدعوة، بخلاف الذمي بعد التزامه بشرائط الذمة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 المصنف و جمع آخر كون الدعوة شأن رئيس الجيش، و هو الظاهر من وصيته صلّى اللّٰه عليه و آله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أقل من احتمال كونه شأن الرئيس، فلا يثبت مثل هذا الشأن لغيره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يدعى انّ عمومات المقاتلة تقتضي الجواز حتى قبل الدعوة، خرج منه صورة عدم الدعوة من أحد، و بقي 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النصوص أيضا لا تدل على أزيد من لزوم تنبيههم إلى الإسلام، و لا مفهوم في خطابه لعلي، فتبقى عمومات المقاتلة بعد دعوة واحد من المسلمين بحاله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فلو لا الإجماع على تخصيص هذه الوظيفة بشخص خاص، لكان للنظر فيه مجال</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تسقط الدعوة مع علمهم بها بقتال سابق أو غيره، للجزم بأنّ الغرض من الدعوة تنبيههم إليها كي يرغبون في الإسلام، و مع علمهم به لا فائدة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مع احتمال حصول الرغبة بالتأكيد، ربما يجي‌ء، مناط وجوبها، لو لا احتمال اختصاص المصلحة الملزومة بأول مرتبة التنبيه، فلا إطلاق لدليل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بأس بدعوى أولويته، بشهادة دعوة علي عليه السلام عمرو بن عبد ود، و لا فرق في الدعوة المزبورة بين أهل الكتاب و غيرهم إجماعا</w:t>
      </w:r>
      <w:r>
        <w:rPr>
          <w:rFonts w:eastAsia="Amiri" w:cs="Amiri" w:ascii="Amiri" w:hAnsi="Amiri"/>
          <w:color w:val="111111"/>
          <w:sz w:val="28"/>
          <w:szCs w:val="28"/>
          <w:rtl w:val="true"/>
          <w:lang w:bidi="ar-SA"/>
        </w:rPr>
        <w:t>.</w:t>
      </w:r>
      <w:bookmarkStart w:id="522" w:name="pg19818_204242"/>
    </w:p>
    <w:p>
      <w:pPr>
        <w:pStyle w:val="BookText"/>
        <w:rPr/>
      </w:pPr>
      <w:bookmarkEnd w:id="522"/>
      <w:r>
        <w:rPr>
          <w:rFonts w:ascii="Amiri" w:hAnsi="Amiri" w:eastAsia="Amiri" w:cs="Amiri"/>
          <w:color w:val="111111"/>
          <w:sz w:val="28"/>
          <w:sz w:val="28"/>
          <w:szCs w:val="28"/>
          <w:rtl w:val="true"/>
          <w:lang w:bidi="ar-SA"/>
        </w:rPr>
        <w:t>فإن امتنعوا عن الإسلام حل قتالهم، للعموم السابق من الأمر بقتال المشركين، الجاري في غيرهم من فرق الكفّار، علاوة على إطلاق ضرب رقاب الكفّار</w:t>
      </w:r>
      <w:r>
        <w:rPr>
          <w:rFonts w:eastAsia="Amiri" w:cs="Amiri" w:ascii="Amiri" w:hAnsi="Amiri"/>
          <w:color w:val="111111"/>
          <w:sz w:val="28"/>
          <w:szCs w:val="28"/>
          <w:rtl w:val="true"/>
          <w:lang w:bidi="ar-SA"/>
        </w:rPr>
        <w:t>.</w:t>
      </w:r>
    </w:p>
    <w:p>
      <w:pPr>
        <w:pStyle w:val="Heading5"/>
        <w:numPr>
          <w:ilvl w:val="4"/>
          <w:numId w:val="1"/>
        </w:numPr>
        <w:rPr/>
      </w:pPr>
      <w:bookmarkStart w:id="523" w:name="__RefHeading___Toc3321072_2314609296"/>
      <w:bookmarkStart w:id="524" w:name="_Toc194"/>
      <w:bookmarkEnd w:id="523"/>
      <w:r>
        <w:rPr>
          <w:rtl w:val="true"/>
        </w:rPr>
        <w:t>و تجوز المهادنة</w:t>
      </w:r>
      <w:bookmarkEnd w:id="524"/>
    </w:p>
    <w:p>
      <w:pPr>
        <w:pStyle w:val="BookText"/>
        <w:rPr/>
      </w:pPr>
      <w:r>
        <w:rPr>
          <w:rFonts w:ascii="Amiri" w:hAnsi="Amiri" w:eastAsia="Amiri" w:cs="Amiri"/>
          <w:color w:val="111111"/>
          <w:sz w:val="28"/>
          <w:sz w:val="28"/>
          <w:szCs w:val="28"/>
          <w:rtl w:val="true"/>
          <w:lang w:bidi="ar-SA"/>
        </w:rPr>
        <w:t>بلا عوض و بعوض، للمسلمين و عليهم مع اقتضاء المصلحة ذلك، إما لقلة المسلمين و ضعفهم، أو جهة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يدل عليه فعل النبي صلّى اللّٰه عليه و آله المعلوم من السير و التواريخ، و في الآية الشريفة فَأَتِمُّوا إِلَيْهِمْ عَهْدَهُمْ إِلىٰ مُدَّتِهِمْ </w:t>
      </w:r>
      <w:r>
        <w:rPr>
          <w:rStyle w:val="FootnoteAnchor"/>
          <w:rtl w:val="true"/>
        </w:rPr>
        <w:footnoteReference w:id="1076"/>
      </w:r>
      <w:r>
        <w:rPr>
          <w:rFonts w:ascii="Amiri" w:hAnsi="Amiri" w:eastAsia="Amiri" w:cs="Amiri"/>
          <w:color w:val="111111"/>
          <w:sz w:val="28"/>
          <w:sz w:val="28"/>
          <w:szCs w:val="28"/>
          <w:rtl w:val="true"/>
          <w:lang w:bidi="ar-SA"/>
        </w:rPr>
        <w:t xml:space="preserve">، وَ إِنْ جَنَحُوا لِلسَّلْمِ فَاجْنَحْ لَهٰا </w:t>
      </w:r>
      <w:r>
        <w:rPr>
          <w:rStyle w:val="FootnoteAnchor"/>
          <w:rtl w:val="true"/>
        </w:rPr>
        <w:footnoteReference w:id="10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ما عن ابن عباس من نسخ آية السلم غير مسموع و مع الدوران بين نسخها بآية وَ اقْتُلُوهُمْ حَيْثُ وَجَدْتُمُوهُمْ </w:t>
      </w:r>
      <w:r>
        <w:rPr>
          <w:rStyle w:val="FootnoteAnchor"/>
          <w:rtl w:val="true"/>
        </w:rPr>
        <w:footnoteReference w:id="1078"/>
      </w:r>
      <w:r>
        <w:rPr>
          <w:rFonts w:ascii="Amiri" w:hAnsi="Amiri" w:eastAsia="Amiri" w:cs="Amiri"/>
          <w:color w:val="111111"/>
          <w:sz w:val="28"/>
          <w:sz w:val="28"/>
          <w:szCs w:val="28"/>
          <w:rtl w:val="true"/>
          <w:lang w:bidi="ar-SA"/>
        </w:rPr>
        <w:t>، أو تخصيصها بزمان المهادنة، كان التخصيص مقدّما، كما هو الديدن في الصنعة المألوفة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إشكال في جوازها إلى أربعة أشهر حتى مع قوة المسلمين، و في الآية الشريفة فَسِيحُوا فِي الْأَرْضِ أَرْبَعَةَ أَشْهُرٍ </w:t>
      </w:r>
      <w:r>
        <w:rPr>
          <w:rStyle w:val="FootnoteAnchor"/>
          <w:rtl w:val="true"/>
        </w:rPr>
        <w:footnoteReference w:id="1079"/>
      </w:r>
      <w:r>
        <w:rPr>
          <w:rFonts w:ascii="Amiri" w:hAnsi="Amiri" w:eastAsia="Amiri" w:cs="Amiri"/>
          <w:color w:val="111111"/>
          <w:sz w:val="28"/>
          <w:sz w:val="28"/>
          <w:szCs w:val="28"/>
          <w:rtl w:val="true"/>
          <w:lang w:bidi="ar-SA"/>
        </w:rPr>
        <w:t xml:space="preserve">، و هو أيضا فعل النبي صلّى اللّٰه عليه و آله في تبوك، على اشكال فيه أشار إليه في الجواهر </w:t>
      </w:r>
      <w:r>
        <w:rPr>
          <w:rStyle w:val="FootnoteAnchor"/>
          <w:rtl w:val="true"/>
        </w:rPr>
        <w:footnoteReference w:id="1080"/>
      </w:r>
      <w:r>
        <w:rPr>
          <w:rFonts w:eastAsia="Times New Roman" w:cs="Times New Roman" w:ascii="Times New Roman" w:hAnsi="Times New Roman"/>
          <w:color w:val="111111"/>
          <w:sz w:val="28"/>
          <w:szCs w:val="28"/>
          <w:rtl w:val="true"/>
          <w:lang w:val="en-US" w:bidi="en-US"/>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يجوز عند المشهور هذه المهادنة أزيد من السنة، و استدل له بالآية الدالة على وجوب الجهاد في كل سنة، و هو ينافي المهادنة في تمامها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يخفى انّ لازم هذا الاستدلال عدم جواز المهادنة بمقدار السنة و أزيد، فلا يناسب ما</w:t>
      </w:r>
    </w:p>
    <w:p>
      <w:pPr>
        <w:pStyle w:val="BookText"/>
        <w:rPr/>
      </w:pPr>
      <w:r>
        <w:rPr>
          <w:rFonts w:ascii="Amiri" w:hAnsi="Amiri" w:eastAsia="Amiri" w:cs="Amiri"/>
          <w:color w:val="111111"/>
          <w:sz w:val="28"/>
          <w:sz w:val="28"/>
          <w:szCs w:val="28"/>
          <w:rtl w:val="true"/>
          <w:lang w:bidi="ar-SA"/>
        </w:rPr>
        <w:t xml:space="preserve">في كلام المحقق </w:t>
      </w:r>
      <w:r>
        <w:rPr>
          <w:rStyle w:val="FootnoteAnchor"/>
          <w:rtl w:val="true"/>
        </w:rPr>
        <w:footnoteReference w:id="1081"/>
      </w:r>
      <w:r>
        <w:rPr>
          <w:rFonts w:ascii="Amiri" w:hAnsi="Amiri" w:eastAsia="Amiri" w:cs="Amiri"/>
          <w:color w:val="111111"/>
          <w:sz w:val="28"/>
          <w:sz w:val="28"/>
          <w:szCs w:val="28"/>
          <w:rtl w:val="true"/>
          <w:lang w:bidi="ar-SA"/>
        </w:rPr>
        <w:t>و غيره من التحديد بأزيد من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يحمل كلامهم على ما في المبسوط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تجوز المهادنة في سنة و أزيد </w:t>
      </w:r>
      <w:r>
        <w:rPr>
          <w:rStyle w:val="FootnoteAnchor"/>
          <w:rtl w:val="true"/>
        </w:rPr>
        <w:footnoteReference w:id="10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فرض صحة هذا الحمل لا يخفى ما في هذا الاستدلال، إذ غاية مفاد الآية هو وجوب القتال في السنة بحسب المصلحة الأولية، و ذلك لا ينافي جواز تركه لعقد الهدنة معهم لمصلحة أقوى، خصوصا لتروّيهم في أمر الإسلام لعلهم يسلموا بلا حرب، فتزيد بهم شوكة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حينئذ لا مجال لتوهم المعارضة بين دليل القتال بعد انقضاء الأشهر الحرم، كما هو مفاد آية فَإِذَا انْسَلَخَ </w:t>
      </w:r>
      <w:r>
        <w:rPr>
          <w:rStyle w:val="FootnoteAnchor"/>
          <w:rtl w:val="true"/>
        </w:rPr>
        <w:footnoteReference w:id="1083"/>
      </w:r>
      <w:r>
        <w:rPr>
          <w:rFonts w:ascii="Amiri" w:hAnsi="Amiri" w:eastAsia="Amiri" w:cs="Amiri"/>
          <w:color w:val="111111"/>
          <w:sz w:val="28"/>
          <w:sz w:val="28"/>
          <w:szCs w:val="28"/>
          <w:rtl w:val="true"/>
          <w:lang w:bidi="ar-SA"/>
        </w:rPr>
        <w:t>التي هي الدليل على وجوبه في كل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عليه فلو لا قيام إجماع في البين كان مقتضى القاعدة صحة عقد الهدنة بأي نحو يراه رئيس الجيش مصلحة للمسلمين، نعم مع عدم قيام مصلحة ظاهرة في ذلك لا مجال لصحتها، لعموم قوله فَلٰا تَهِنُوا وَ تَدْعُوا إِلَى السَّلْمِ وَ أَنْتُمُ الْأَعْلَوْنَ </w:t>
      </w:r>
      <w:r>
        <w:rPr>
          <w:rStyle w:val="FootnoteAnchor"/>
          <w:rtl w:val="true"/>
        </w:rPr>
        <w:footnoteReference w:id="10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توهم إطلاق الآية حتى لصورة قيام المصلحة من غير جهة ضعف المسلمين، و بمثله تستكشف أهمية مصلحة الجهاد عن غيره</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مدفوع بأنّ الغرض من الجهاد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كان دفع المضار مقدمة لازدياد شوكة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يستحيل أقووية ذلك عما يراه رئيس الجيش في الوصول إلى مثل هذه المصلحة بطريق الهدنة، فكان المقام من صغريات اتصال الكلام بخصوصيات ارتكازية، مانعة عن إطلاقه لبعض الصور، فلا يبقى مجال للتمسك بمثل هذه الإطلاقات على فساد عقد الهدنة مع المصلحة الظاهرة،</w:t>
      </w:r>
    </w:p>
    <w:p>
      <w:pPr>
        <w:pStyle w:val="BookText"/>
        <w:rPr/>
      </w:pPr>
      <w:r>
        <w:rPr>
          <w:rFonts w:ascii="Amiri" w:hAnsi="Amiri" w:eastAsia="Amiri" w:cs="Amiri"/>
          <w:color w:val="111111"/>
          <w:sz w:val="28"/>
          <w:sz w:val="28"/>
          <w:szCs w:val="28"/>
          <w:rtl w:val="true"/>
          <w:lang w:bidi="ar-SA"/>
        </w:rPr>
        <w:t>الأهم مما هو مرتكز الأذهان من مصالح الجهاد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فتمسك الجواهر بأمثال هذه العمومات، على بطلان عقد الهدنة مع قوة المسلمين بأزيد من السنة </w:t>
      </w:r>
      <w:r>
        <w:rPr>
          <w:rStyle w:val="FootnoteAnchor"/>
          <w:rtl w:val="true"/>
        </w:rPr>
        <w:footnoteReference w:id="1085"/>
      </w:r>
      <w:r>
        <w:rPr>
          <w:rFonts w:ascii="Amiri" w:hAnsi="Amiri" w:eastAsia="Amiri" w:cs="Amiri"/>
          <w:color w:val="111111"/>
          <w:sz w:val="28"/>
          <w:sz w:val="28"/>
          <w:szCs w:val="28"/>
          <w:rtl w:val="true"/>
          <w:lang w:bidi="ar-SA"/>
        </w:rPr>
        <w:t>، منظور فيه، خصوصا مع جريان هذه الوجوه في الأربعة أشهر و ما زاد، بل و في الأقل من أربعة أشهر، مع فرض قوة المسلمين و كونهم هم الأعلون، و هو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فالعمدة في المقام تمامية الإجماع المزبور، و إلّا فللنظر فيه مجال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مع ضعف المسلمين و مدخلية المهادنة في قوتهم، لا اشكال ظاهرا في عدم تحديدها بأربعة أشهر أو سنة، بل ربما تقتضي المصلحة المزبورة المهادنة إلى عشرين سنة أو أزيد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في بعض الكلمات من التحديد بعشر سنوات أيضا، منظور فيه، لأنّ مصالحة النبي صلّى اللّٰه عليه و آله مع قريش عشر سنين لا يدل على التحديد، لاحتمال اقتضاء ما يراه من المصلحة هذا المقدار، فالأمر حينئذ يدور مدار ملاحظة ازدياد قوة المسلمين بالهدنة في أي مقدار يرى حصولها فيه، بلا تحديد في هذه المقادير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أطلق في الزمان، لا بد أن يشترط خيار النقض للمسلمين، و إلّا فربما تنجر مهادنتهم على الإطلاق إلى مفسدة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شأن الإمام أجل من ذلك، فلا يصدر منه ذلك، لا أنه لو صدر كان باطلا، كيف و هو لا ينطق عن الهوى، فبالان تستكشف صحة فعله و صلاح عمله</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ربما يثمر ذلك في فعل الجائر أو النائب، على فرض كون زمام الجهاد 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الدفاع في زمان الغيبة، على فرض تصور ذلك فيه، و لو بتصور مهادنتهم بأخذ العوض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إطلاق عقدها معهم بعوض مع قوة المسلمين ربما</w:t>
      </w:r>
    </w:p>
    <w:p>
      <w:pPr>
        <w:pStyle w:val="BookText"/>
        <w:rPr/>
      </w:pPr>
      <w:r>
        <w:rPr>
          <w:rFonts w:ascii="Amiri" w:hAnsi="Amiri" w:eastAsia="Amiri" w:cs="Amiri"/>
          <w:color w:val="111111"/>
          <w:sz w:val="28"/>
          <w:sz w:val="28"/>
          <w:szCs w:val="28"/>
          <w:rtl w:val="true"/>
          <w:lang w:bidi="ar-SA"/>
        </w:rPr>
        <w:t>تكون فيها مفسدة، فلا بد أن يكون فعلهم من باب الولاية، بملاحظة المصلحة في حقهم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انه لو بنينا على الجهاد بالمعنى الأخص لهم، لا بد من هذه الملاحظة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أيضا ربما يقطع بعدم تقريرهم فعل الجائر الموجب للفساد على المسلمين، بل فيما لا صلاح فيه و لا فساد يشكل أيضا ثبوت تقريرهم لأعمالهم، كما لا يثبت ولاية الفقيه أيضا و لو في الدفاع في هذا المقدار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الذي يسهّل الخطب في دفاعهم زمن الغيبة، أنّ المطلوب دفعهم بأي وجه من الوجوه، سواء بعقد المهادنة معهم على الإطلاق بلا عوض، أو مع عوض يسير لا يحسب ضررا على المسلمين،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التأمل فيما ذكرنا ظهر انّ اشتراط ما لا يجوز فعله للحربي، مثل التظاهر بالمناكير و اعادة النساء المسلمات المهاجرات، مع عدم اقتضاء المصلحة في هذا الشرط، أو المفسدة في تركه، لا يجوز قطعا، لأنه شرط على خلاف المشروع، للنهي عن اعادة النساء المهاجرات في الآية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مع المفسدة في ترك الشرط أو المصلحة في فعله، كما لو كان المسلمون على الضعف على وجه يخشى من قتالهم انقراض المسلمين و ذهاب شوكة الإسلام، و بروز آثار الذل عليهم، بأزيد مما يقتضيه الشرط، ففي عدم جوازه نظر، بل من المقطوع أهمية حفظ بيضة الإسلام و شوكة المسلمين عن هذه الأمور</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فإطلاق كلماتهم في بطلان هذه الشروط لا بد أنّ ينزّل على غير هذه الصورة، اللهم إلّا أن يكون في المقام أيضا إجماع على ذلك، و لا أظن به، فضلا عن الجزم بمثله،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ليس لهم في فرض إطلاق عقد الهدنة إعادة الرجال المهاجرين مع إسلامهم، بعد وجوب مهاجرتهم عن بلادهم الكفر، عند عدم تمكنهم من اقامة الشعائر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 مع التمكن أيضا ليس لهم الإلزام بالخروج معهم عن دار الإسلام، إذ غاية ما يستفاد من عقد المهادنة صيرورتهم في أمان نفسا و مالا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ثبوت حق إلزام لهم على المهاجرين، بجلبهم الى بلادهم،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وجه لمثل هذا الالتزام بشأن الكفار، لو أرادوا الإقامة في بلاد المسلمين برضاهم، و لو برجاء ميلهم إلى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للمسلمين إلزامهم بالخروج عن بلادهم، لعدم اقتضاء عقد الهدنة استحقاقهم للبقاء في بلاد الإسلام، خصوصا لو خيف منهم الفتنة بين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فرض رضاء المسلمين بإخراج رجالهم، فليس عليهم إلّا مجرد التخلية بينه و بينهم، و ليست مئونة السفر و راحلته عليهم، لعدم الدليل،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في فرض عدم اعادة النسوان يجب عليهم رد ما أنفقوا عليها من مهرها إلى زوجها، لما في الآية الشريفة وَ آتُوهُمْ مٰا أَنْفَقُوا </w:t>
      </w:r>
      <w:r>
        <w:rPr>
          <w:rStyle w:val="FootnoteAnchor"/>
          <w:rtl w:val="true"/>
        </w:rPr>
        <w:footnoteReference w:id="1086"/>
      </w:r>
      <w:r>
        <w:rPr>
          <w:rFonts w:ascii="Amiri" w:hAnsi="Amiri" w:eastAsia="Amiri" w:cs="Amiri"/>
          <w:color w:val="111111"/>
          <w:sz w:val="28"/>
          <w:sz w:val="28"/>
          <w:szCs w:val="28"/>
          <w:rtl w:val="true"/>
          <w:lang w:bidi="ar-SA"/>
        </w:rPr>
        <w:t>بعد تفسيرها بالمهر، فلا يجب عليهم رد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يجب رد المهر لو لم يكن مالا شرعا كالخمر و الخنزير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بد أن يكون مردودا لو كان ذلك من ثمنهما، كل ذلك مما لا اشكال فيه، بالتسلم في كلماتهم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المال المردود إليهم، يكون من بيت مال المسلمين المعد لمصالحهم، و ذلك منها</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إشكال في وجوب رد المهر لو كانت المطالبة في العدة، و أما بعدها فعن المسالك حكاية سقوط وجوب الرد عن بعض الأصحاب </w:t>
      </w:r>
      <w:r>
        <w:rPr>
          <w:rStyle w:val="FootnoteAnchor"/>
          <w:rtl w:val="true"/>
        </w:rPr>
        <w:footnoteReference w:id="10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الجواهر ما يشعر بتمريضه،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كذلك، لإطلاق النص و الفتوى </w:t>
      </w:r>
      <w:r>
        <w:rPr>
          <w:rStyle w:val="FootnoteAnchor"/>
          <w:rtl w:val="true"/>
        </w:rPr>
        <w:footnoteReference w:id="1088"/>
      </w:r>
      <w:r>
        <w:rPr>
          <w:rFonts w:ascii="Amiri" w:hAnsi="Amiri" w:eastAsia="Amiri" w:cs="Amiri"/>
          <w:color w:val="111111"/>
          <w:sz w:val="28"/>
          <w:sz w:val="28"/>
          <w:szCs w:val="28"/>
          <w:rtl w:val="true"/>
          <w:lang w:bidi="ar-SA"/>
        </w:rPr>
        <w:t>، و يؤيدهما الاستصحاب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المتولي لعقد الهدنة مثل عقد الذمة، من كان زمام أمر الجهاد بيده، و ليس سوى رئيس الجيش، الذي ليس في الجهاد بالمعنى الأخص إلّا الإمام أو نائبه، أو من قرر فعله من سلاطين الجور في زمان عدم بسط يده، و لو كان ذلك في زمان الغيبة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بمعنى الدفاع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شبهة في وجوبه على ما تقدّم حتى في زمان الغيبة، و لو كان غرض الكفار مجرد الاستيلاء على بلاد المسلمين بلا نظر الى عقائدهم، كما أشرنا إليه سابقا، من جهة إطلاق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خاف على بيضة الإسلام و المسلمين قاتل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فيكون قتاله لنفسه لا للسلطان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فقرته السابقة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يخاف على ذراري المسلمين، فإن ظاهر الفقرتين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خوف استيلائهم على المسلمين أيضا مجوز لدفاعهم، و لو لم يكن غرضهم محو آثار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فزمام أمر هذا الجهاد في زمن الغيبة، بيد الفقيه المبسوط اليد، و إلّا فبيد ذي الشوكة من المسلمين، الجامع لكلمتهم، المرغوب إليه في مثل هذه الأمور</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نفوذ عقد المهادنة منه معهم على النحو الذي تصورناه في الدفاع، بدون إذن الفقيه 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الجزم بأنّ المصلحة الملحوظة في هذا العقد لازم المراعاة على جميع المسلمين، بلا اختصاصه ببعضهم دون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المقام مقام تصرف جبري ولائي، كي يستشكل في نفوذ ولاية غير نائب الإمام أو</w:t>
      </w:r>
    </w:p>
    <w:p>
      <w:pPr>
        <w:pStyle w:val="BookText"/>
        <w:rPr/>
      </w:pPr>
      <w:r>
        <w:rPr>
          <w:rFonts w:ascii="Amiri" w:hAnsi="Amiri" w:eastAsia="Amiri" w:cs="Amiri"/>
          <w:color w:val="111111"/>
          <w:sz w:val="28"/>
          <w:sz w:val="28"/>
          <w:szCs w:val="28"/>
          <w:rtl w:val="true"/>
          <w:lang w:bidi="ar-SA"/>
        </w:rPr>
        <w:t>من قرره على عمله من سلاطين الجور، و على فرضه فيجب على الفقيه إنفاذه و إمضاؤه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عقد الذمة مع الكتابي فقد لا يتصور في الدفاع، لأنه فرع ضعفهم الداعي إلى تقبلهم للذمة، حقنا لدمائهم عن هجوم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الدفاع لا يتصور مثل هذه المراحل، بل و مع ضعفهم هم لا يهجمون على المسلمين، و ما لم يهجموا لا يصدق على مقاتلتهم الدفاع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الذي يسهّل الخطب أنّ نتيجة عقد الذمة ليست منحصرة بترك القتال، كي يجي‌ء فيه ما ذكر، بل ربما تكون نتيجة خروج أهله عن عنوان المحارب، فيصيرون به محترمي النفس و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المعنى غير مختص بزمان الحضور، بل يجري في زمان الغيبة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فلا قصور في صحة عقدها في زمن الغيبة، و إنما الكلام في عاقدها، و الظاهر انه قائد الذمام في زمن الغيبة، و سيأتي شرحه إن شاء اللّٰه، و قد أشرنا إليه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بقيت في المقام فروع تعرّض لها المحقق رحمه اللّٰه في ذيل عقد المهادنة </w:t>
      </w:r>
      <w:r>
        <w:rPr>
          <w:rStyle w:val="FootnoteAnchor"/>
          <w:rtl w:val="true"/>
        </w:rPr>
        <w:footnoteReference w:id="1089"/>
      </w:r>
      <w:r>
        <w:rPr>
          <w:rFonts w:ascii="Amiri" w:hAnsi="Amiri" w:eastAsia="Amiri" w:cs="Amiri"/>
          <w:color w:val="111111"/>
          <w:sz w:val="28"/>
          <w:sz w:val="28"/>
          <w:szCs w:val="28"/>
          <w:rtl w:val="true"/>
          <w:lang w:bidi="ar-SA"/>
        </w:rPr>
        <w:t>، و نحن أيضا نتابعه،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انتقل الذمي عن دينه الى دين لا يقر عليه، فلا يقر عليه، بلا اشكال فتوى و نصا، للعمومات، من عدم قبول غير الإسلام من غير أهل الكتاب، فإن أبوا فحكمهم القتل </w:t>
      </w:r>
      <w:r>
        <w:rPr>
          <w:rStyle w:val="FootnoteAnchor"/>
          <w:rtl w:val="true"/>
        </w:rPr>
        <w:footnoteReference w:id="1090"/>
      </w:r>
      <w:r>
        <w:rPr>
          <w:rFonts w:eastAsia="Times New Roman" w:cs="Times New Roman" w:ascii="Times New Roman" w:hAnsi="Times New Roman"/>
          <w:color w:val="111111"/>
          <w:sz w:val="28"/>
          <w:szCs w:val="28"/>
          <w:rtl w:val="true"/>
          <w:lang w:val="en-US" w:bidi="en-US"/>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الآية وَ مَنْ يَبْتَغِ غَيْرَ الْإِسْلٰامِ دِيناً فَلَنْ يُقْبَلَ مِنْهُ </w:t>
      </w:r>
      <w:r>
        <w:rPr>
          <w:rStyle w:val="FootnoteAnchor"/>
          <w:rtl w:val="true"/>
        </w:rPr>
        <w:footnoteReference w:id="10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النبوي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بدّل دينه فاقتلوه</w:t>
      </w:r>
      <w:r>
        <w:rPr>
          <w:rFonts w:eastAsia="Amiri" w:cs="Amiri" w:ascii="Amiri" w:hAnsi="Amiri"/>
          <w:color w:val="111111"/>
          <w:sz w:val="28"/>
          <w:szCs w:val="28"/>
          <w:rtl w:val="true"/>
          <w:lang w:bidi="ar-SA"/>
        </w:rPr>
        <w:t xml:space="preserve">» </w:t>
      </w:r>
      <w:r>
        <w:rPr>
          <w:rStyle w:val="FootnoteAnchor"/>
          <w:rtl w:val="true"/>
        </w:rPr>
        <w:footnoteReference w:id="10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انتقل إلى ما يقر عليه كنصراني تهوّد أو بالعكس، فعن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يقبل، لشمول دليل أهل الكتاب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القبول أشبه </w:t>
      </w:r>
      <w:r>
        <w:rPr>
          <w:rStyle w:val="FootnoteAnchor"/>
          <w:rtl w:val="true"/>
        </w:rPr>
        <w:footnoteReference w:id="1093"/>
      </w:r>
      <w:r>
        <w:rPr>
          <w:rFonts w:ascii="Amiri" w:hAnsi="Amiri" w:eastAsia="Amiri" w:cs="Amiri"/>
          <w:color w:val="111111"/>
          <w:sz w:val="28"/>
          <w:sz w:val="28"/>
          <w:szCs w:val="28"/>
          <w:rtl w:val="true"/>
          <w:lang w:bidi="ar-SA"/>
        </w:rPr>
        <w:t xml:space="preserve">، من جهة انصراف دليل أهل الكتاب إلى من كان كذلك قبل النسخ بالإسلام، و إلّا فبعد النسخ لا يقبل تنصّره الجديد، فيشمله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بدّل 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يبتغ غير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يقاس ذلك بما لو رجع إلى دينه الأول، لصدق تهوده بعد الإسلام فلا يقبل منه أيضا، لأنه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بعد شمول نصوص القتل لمثله، فلا أقل من استصحاب حكم عنوانه، بتقريب انّ تهوّده سابقا كان حافظا لدمه، و الآن كما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عمومات وجوب قتال الذين كفروا شامل لهم، و قد خرج الباقي على تهوّده قبل البعثة و بقي الباقي تحت الحكم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دليل القتل منحصرا بنصوص التبديل، كي يشكل شموله للمقام، و حينئذ لا وجه لما قرّبه في الجواهر من عدم القتل و إقرارهم بعد العود </w:t>
      </w:r>
      <w:r>
        <w:rPr>
          <w:rStyle w:val="FootnoteAnchor"/>
          <w:rtl w:val="true"/>
        </w:rPr>
        <w:footnoteReference w:id="10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فعل أهل الذمة ما هو سائغ في دينهم و غير سائغ في دين الإسلام، فلا يتعرّض لهم ما لم يتجاهروا، لعموم دليل تقريرهم المفهوم من آية الصغار</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مع التجاهر، فإن قلنا بأنه من مقومات عقد الذمة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فينقضون</w:t>
      </w:r>
    </w:p>
    <w:p>
      <w:pPr>
        <w:pStyle w:val="BookText"/>
        <w:rPr/>
      </w:pPr>
      <w:r>
        <w:rPr>
          <w:rFonts w:ascii="Amiri" w:hAnsi="Amiri" w:eastAsia="Amiri" w:cs="Amiri"/>
          <w:color w:val="111111"/>
          <w:sz w:val="28"/>
          <w:sz w:val="28"/>
          <w:szCs w:val="28"/>
          <w:rtl w:val="true"/>
          <w:lang w:bidi="ar-SA"/>
        </w:rPr>
        <w:t>به عقدهم فيصيرون حربيين، و 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استشكلنا فيه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يخرجون بذلك عن كونهم ذميين، ففي جواز ردعهم الكاشف عن عدم تقريرهم في هذه الصورة إشكال، و لو لا التسالم في الكلمات كان للنظر فيه مجال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توهم استفادة ذلك من كونهم صاغرين، مدفوع، إذ المتيقن منه كونهم مأمورين بأمر المسلمين، لا مردوعين عما أقروا عليه في شرعهم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الذي يسهّل الخطب أنّ للمسلمين أن يأمروهم بترك التجاهر بها، فيجب عليهم القبول لكونهم صاغرين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المقدار لا ينافي تقريرهم على مذهبهم، إذ مرجع عدم تقريرهم اجراء حكم العصاة بدوا عليهم، لأنهم مكلّفون بالفروع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بخلاف ابقائهم على تقريرهم و عدم اجراء حكم العصاة بدوا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ذلك لو أمروا بترك شي‌ء جائز في مذهبهم، اقتراحا من المسلمين، يجب عليهم الإطاعة، لكونهم صاغرين،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فعلوا ما هو غير سائغ حتى في دينهم، ففي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فالحكم فيه كما في المسلم، و إن شاء الحاكم دفعه إلى أهل نحلته ليقيموا عليه الحد </w:t>
      </w:r>
      <w:r>
        <w:rPr>
          <w:rStyle w:val="FootnoteAnchor"/>
          <w:rtl w:val="true"/>
        </w:rPr>
        <w:footnoteReference w:id="10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الإجماع لكان ردّهم إلى نحلتهم مشكلا، لأنّ مقتضى تكليفهم بالفروع عدم تعطيل الحد الشرعي في حقهم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قضية تقريرهم على مذهبهم إنما هو مع عدم الاطلاع، و إلّا فلا عموم في الأدلة </w:t>
      </w:r>
      <w:r>
        <w:rPr>
          <w:rStyle w:val="FootnoteAnchor"/>
          <w:rtl w:val="true"/>
        </w:rPr>
        <w:footnoteReference w:id="1096"/>
      </w:r>
      <w:r>
        <w:rPr>
          <w:rFonts w:eastAsia="Times New Roman" w:cs="Times New Roman" w:ascii="Times New Roman" w:hAnsi="Times New Roman"/>
          <w:color w:val="111111"/>
          <w:sz w:val="28"/>
          <w:szCs w:val="28"/>
          <w:rtl w:val="true"/>
          <w:lang w:val="en-US" w:bidi="en-US"/>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قصور في إطلاق أدلة التقرير، لشمولها لصورة الاطلاع أيضا، خصوصا إذا لم يتجاهروا، و لازمة حينئذ تعيين إرجاعهم إلى نحلتهم فيما اختلفوا معنا في أصل الحد أو في كيفيته و كميته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مرجع تقريرهم إلى عدم</w:t>
      </w:r>
    </w:p>
    <w:p>
      <w:pPr>
        <w:pStyle w:val="BookText"/>
        <w:rPr/>
      </w:pPr>
      <w:r>
        <w:rPr>
          <w:rFonts w:ascii="Amiri" w:hAnsi="Amiri" w:eastAsia="Amiri" w:cs="Amiri"/>
          <w:color w:val="111111"/>
          <w:sz w:val="28"/>
          <w:sz w:val="28"/>
          <w:szCs w:val="28"/>
          <w:rtl w:val="true"/>
          <w:lang w:bidi="ar-SA"/>
        </w:rPr>
        <w:t>استحقاقهم الزيادة الثابتة في شرعنا، فلا مجال في هذه الصورة لكلام المحقق و لا لكلام الجواهر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يوجه كلام المحقق بأنّ المستفاد مما ورد في تخيير الحاكم بين الحكم بين المتخاصمين بمذهبنا و الاعراض عنهم للآية و رواية أبي بصير، إنّ شأن من ثبت في حقه منهم شي‌ء من حقوق الناس أو حقوق اللّٰه، تخيير الحاكم بين إجراء الحق عليه أو إعراضه و إرجاعه إلى نحلته، من دون اختصاص ذلك بالخصومات في حقوق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وجه حينئذ لتسلم الجواهر ذلك في الخصومات في حقوق الناس دون حقوق اللّٰه من الحدود و التعزيرات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مهما حكم على الذمي بالقتل لتبديل دينه، فهل تملك أطفاله و نساؤه، أم يبقون على أمانهم؟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أمانهم كان بتبع أمان أبيهم و رجالهم، و لذا لو عادوا حربيين تملك نساؤهم و ذراريهم، فكذا لو خرجوا عن دينهم صاروا حربيين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أنّ أمانهم جاء من قبل عقد ذمتهم، و هو ما دام باقيا يبقى أثره، و خروجه بنفسه عن موضوع العقد بتبديل دينه لا يوجب نقض عقده، فالعقد بعد باق على أثره بالنسبة إلى ذراريه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لا دعوى انّ عقد الذمة لا يوجب لهم أمانا مستقلا، و إنما يؤمنهم تبعا لأمان رجالهم، فمهما خرج الرجل عن الأمان فهم بتبعه أيضا يخرجون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احتمال كون مقتضى العقد تأمينهم مستقلا ما لم ينقض كاف في استصحاب أمانهم، و المسألة إنصافا لا تخلو عن اشكال، و اللّٰه العالم</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الذمي إذا خرج عن مقتضى عقد الذمة، و لم يكن في أمان</w:t>
      </w:r>
    </w:p>
    <w:p>
      <w:pPr>
        <w:pStyle w:val="BookText"/>
        <w:rPr/>
      </w:pPr>
      <w:r>
        <w:rPr>
          <w:rFonts w:ascii="Amiri" w:hAnsi="Amiri" w:eastAsia="Amiri" w:cs="Amiri"/>
          <w:color w:val="111111"/>
          <w:sz w:val="28"/>
          <w:sz w:val="28"/>
          <w:szCs w:val="28"/>
          <w:rtl w:val="true"/>
          <w:lang w:bidi="ar-SA"/>
        </w:rPr>
        <w:t>المسلمين من جهة أخرى، و لا في شبهة أمان، و لا مورد عقد المهادنة في المدة المعيّنة، كان ماله فيئا للمسلمين و دمه هدرا، بمعنى عدم ضمان قاتله، و في جواز قتله بلا إذن الرئيس و لو مثل الفقيه في زمن الغيبة، أم لا بد فيه من الاذن،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الجواهر أجرى حكم الأسير عليه، من تخيير الحاكم بين القتل و بين الفداء و الاسترقاق </w:t>
      </w:r>
      <w:r>
        <w:rPr>
          <w:rStyle w:val="FootnoteAnchor"/>
          <w:rtl w:val="true"/>
        </w:rPr>
        <w:footnoteReference w:id="10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أولا انّ في إجرائه في المقام حكم الأسير بتخيير الامام بين القتل و الفداء، لعله اشتباه من قلم الناسخ، و إلّا فقد تقدّم منه انّ في الأسير وقت الحرب يتعيّن عليه القتل، و بعده لا قتل عليه فيتخير بين المن و الفداء و الاسترقاق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فليس في البين دليل على التخيير بينه و بين غيره كي يتعدّى منه إلى المقام، بل إطلاق الأمر بقتال المشركين يقتضي تعيين قتله، كما انّ إطلاقه يقتضي جوازه لكل أحد، و لا يجري عليه حكم الأسير، من كون أنحاء قتله بنظر الامام بمقتضى نصه الآتي، بل أصالة الحل تقتضي جواز تصديه لكل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فإن استفيد من تسلّم الجواهر في المقام كون التخيير بين قتله و استرقاقه بيد الإمام إجماعيا فهو، و إلّا فللنظر فيه مجال</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أي حال فاحتمال وجوب ردهم بعد نقضهم العهد إلى مأمنهم، كما عن بعض، أو حرمة ذراريهم و نسائهم بعد ذلك أيضا، كما عن بعض آخر، منظور فيه، إذ طرف العقد ليس إلّا الرجال و قد نقضوه، و ليسوا هم طرف العقد، كي يحتمل بقاؤه بالنسبة إليهم، فلا يبقى مقتض للأمان بالنسبة إليهم</w:t>
      </w:r>
      <w:bookmarkStart w:id="525" w:name="pg19818_204253"/>
    </w:p>
    <w:p>
      <w:pPr>
        <w:pStyle w:val="BookText"/>
        <w:rPr/>
      </w:pPr>
      <w:bookmarkEnd w:id="525"/>
      <w:r>
        <w:rPr>
          <w:rFonts w:ascii="IRNazanin" w:hAnsi="IRNazanin" w:eastAsia="IRNazanin"/>
          <w:color w:val="111111"/>
          <w:sz w:val="28"/>
          <w:sz w:val="28"/>
          <w:szCs w:val="28"/>
          <w:rtl w:val="true"/>
          <w:lang w:bidi="fa-IR"/>
        </w:rPr>
        <w:t>أصلا</w:t>
      </w:r>
      <w:r>
        <w:rPr>
          <w:rFonts w:eastAsia="IRNazanin" w:cs="IRNazanin"/>
          <w:color w:val="111111"/>
          <w:sz w:val="28"/>
          <w:szCs w:val="28"/>
          <w:rtl w:val="true"/>
          <w:lang w:bidi="fa-IR"/>
        </w:rPr>
        <w:t>.</w:t>
      </w:r>
    </w:p>
    <w:p>
      <w:pPr>
        <w:pStyle w:val="Heading5"/>
        <w:numPr>
          <w:ilvl w:val="4"/>
          <w:numId w:val="1"/>
        </w:numPr>
        <w:rPr/>
      </w:pPr>
      <w:bookmarkStart w:id="526" w:name="__RefHeading___Toc3321074_2314609296"/>
      <w:bookmarkStart w:id="527" w:name="_Toc195"/>
      <w:bookmarkEnd w:id="526"/>
      <w:r>
        <w:rPr>
          <w:rtl w:val="true"/>
        </w:rPr>
        <w:t>و يمضي ذمام آحاد المسلمين</w:t>
      </w:r>
      <w:r>
        <w:rPr>
          <w:rtl w:val="true"/>
        </w:rPr>
        <w:t xml:space="preserve">- </w:t>
      </w:r>
      <w:r>
        <w:rPr>
          <w:rtl w:val="true"/>
        </w:rPr>
        <w:t>و إن كان عبدا</w:t>
      </w:r>
      <w:r>
        <w:rPr>
          <w:rtl w:val="true"/>
        </w:rPr>
        <w:t xml:space="preserve">- </w:t>
      </w:r>
      <w:r>
        <w:rPr>
          <w:rtl w:val="true"/>
        </w:rPr>
        <w:t>لآحاد المشركين</w:t>
      </w:r>
      <w:bookmarkEnd w:id="527"/>
    </w:p>
    <w:p>
      <w:pPr>
        <w:pStyle w:val="BookText"/>
        <w:rPr/>
      </w:pPr>
      <w:r>
        <w:rPr>
          <w:rFonts w:ascii="Amiri" w:hAnsi="Amiri" w:eastAsia="Amiri" w:cs="Amiri"/>
          <w:color w:val="111111"/>
          <w:sz w:val="28"/>
          <w:sz w:val="28"/>
          <w:szCs w:val="28"/>
          <w:rtl w:val="true"/>
          <w:lang w:bidi="ar-SA"/>
        </w:rPr>
        <w:t xml:space="preserve">بلا اشكال فيه نصا و فتوى، بعد ندرة قول أبي الصلاح في عدم مضي زمام الآحاد بلا اذن </w:t>
      </w:r>
      <w:r>
        <w:rPr>
          <w:rStyle w:val="FootnoteAnchor"/>
          <w:rtl w:val="true"/>
        </w:rPr>
        <w:footnoteReference w:id="1098"/>
      </w:r>
      <w:r>
        <w:rPr>
          <w:rFonts w:ascii="Amiri" w:hAnsi="Amiri" w:eastAsia="Amiri" w:cs="Amiri"/>
          <w:color w:val="111111"/>
          <w:sz w:val="28"/>
          <w:sz w:val="28"/>
          <w:szCs w:val="28"/>
          <w:rtl w:val="true"/>
          <w:lang w:bidi="ar-SA"/>
        </w:rPr>
        <w:t>، و لقصور النص الدال تارة على عدم انفراد المؤمن بالصلح إلّا باجتماع ملائهم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اخرى على نفي التسالم من مؤمن دون مؤمن </w:t>
      </w:r>
      <w:r>
        <w:rPr>
          <w:rStyle w:val="FootnoteAnchor"/>
          <w:rtl w:val="true"/>
        </w:rPr>
        <w:footnoteReference w:id="1099"/>
      </w:r>
      <w:r>
        <w:rPr>
          <w:rFonts w:ascii="Amiri" w:hAnsi="Amiri" w:eastAsia="Amiri" w:cs="Amiri"/>
          <w:color w:val="111111"/>
          <w:sz w:val="28"/>
          <w:sz w:val="28"/>
          <w:szCs w:val="28"/>
          <w:rtl w:val="true"/>
          <w:lang w:bidi="ar-SA"/>
        </w:rPr>
        <w:t>، لإمكان حملهما على الصلح الكلي بين الطائفتين، بلا نظر فيهما لذمام الآحاد للآحاد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أي حال يكفي للنص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أيما رجل من أدنى المسلمين أو أفضلهم، نظر إلى رجل من المشركين فهو جار</w:t>
      </w:r>
      <w:r>
        <w:rPr>
          <w:rFonts w:eastAsia="Amiri" w:cs="Amiri" w:ascii="Amiri" w:hAnsi="Amiri"/>
          <w:color w:val="111111"/>
          <w:sz w:val="28"/>
          <w:szCs w:val="28"/>
          <w:rtl w:val="true"/>
          <w:lang w:bidi="ar-SA"/>
        </w:rPr>
        <w:t xml:space="preserve">» </w:t>
      </w:r>
      <w:r>
        <w:rPr>
          <w:rStyle w:val="FootnoteAnchor"/>
          <w:rtl w:val="true"/>
        </w:rPr>
        <w:footnoteReference w:id="1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النبوي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المسلمون إخوة تتكافأ دماؤهم، و يسعى بذمتهم أدناهم</w:t>
      </w:r>
      <w:r>
        <w:rPr>
          <w:rFonts w:eastAsia="Amiri" w:cs="Amiri" w:ascii="Amiri" w:hAnsi="Amiri"/>
          <w:color w:val="111111"/>
          <w:sz w:val="28"/>
          <w:szCs w:val="28"/>
          <w:rtl w:val="true"/>
          <w:lang w:bidi="ar-SA"/>
        </w:rPr>
        <w:t xml:space="preserve">» </w:t>
      </w:r>
      <w:r>
        <w:rPr>
          <w:rStyle w:val="FootnoteAnchor"/>
          <w:rtl w:val="true"/>
        </w:rPr>
        <w:footnoteReference w:id="1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ورد في شرحه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 جيشا من المسلمين حاصروا قوما من 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فأعطاه أدناهم الأمان وجب على أفضلهم الوفاء به</w:t>
      </w:r>
      <w:r>
        <w:rPr>
          <w:rFonts w:eastAsia="Amiri" w:cs="Amiri" w:ascii="Amiri" w:hAnsi="Amiri"/>
          <w:color w:val="111111"/>
          <w:sz w:val="28"/>
          <w:szCs w:val="28"/>
          <w:rtl w:val="true"/>
          <w:lang w:bidi="ar-SA"/>
        </w:rPr>
        <w:t xml:space="preserve">» </w:t>
      </w:r>
      <w:r>
        <w:rPr>
          <w:rStyle w:val="FootnoteAnchor"/>
          <w:rtl w:val="true"/>
        </w:rPr>
        <w:footnoteReference w:id="1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خبر مسعدة الوارد في إجازة أمان عبد مملوك لأهل حصن، معللا بأنه من المؤمنين </w:t>
      </w:r>
      <w:r>
        <w:rPr>
          <w:rStyle w:val="FootnoteAnchor"/>
          <w:rtl w:val="true"/>
        </w:rPr>
        <w:footnoteReference w:id="1103"/>
      </w:r>
      <w:r>
        <w:rPr>
          <w:rFonts w:eastAsia="Times New Roman" w:cs="Times New Roman" w:ascii="Times New Roman" w:hAnsi="Times New Roman"/>
          <w:color w:val="111111"/>
          <w:sz w:val="28"/>
          <w:szCs w:val="28"/>
          <w:rtl w:val="true"/>
          <w:lang w:val="en-US" w:bidi="en-US"/>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إمضاء النبي صلّى اللّٰه عليه و آله لاجارة أم هاني معللا</w:t>
      </w:r>
    </w:p>
    <w:p>
      <w:pPr>
        <w:pStyle w:val="BookText"/>
        <w:rPr/>
      </w:pP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يجير على المسلمين أدناهم</w:t>
      </w:r>
      <w:r>
        <w:rPr>
          <w:rFonts w:eastAsia="Amiri" w:cs="Amiri" w:ascii="Amiri" w:hAnsi="Amiri"/>
          <w:color w:val="111111"/>
          <w:sz w:val="28"/>
          <w:szCs w:val="28"/>
          <w:rtl w:val="true"/>
          <w:lang w:bidi="ar-SA"/>
        </w:rPr>
        <w:t xml:space="preserve">» </w:t>
      </w:r>
      <w:r>
        <w:rPr>
          <w:rStyle w:val="FootnoteAnchor"/>
          <w:rtl w:val="true"/>
        </w:rPr>
        <w:footnoteReference w:id="1104"/>
      </w:r>
      <w:r>
        <w:rPr>
          <w:rFonts w:ascii="Amiri" w:hAnsi="Amiri" w:eastAsia="Amiri" w:cs="Amiri"/>
          <w:color w:val="111111"/>
          <w:sz w:val="28"/>
          <w:sz w:val="28"/>
          <w:szCs w:val="28"/>
          <w:rtl w:val="true"/>
          <w:lang w:bidi="ar-SA"/>
        </w:rPr>
        <w:t>، إلى غير ذلك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صريح الأخيرين إمضاء عقد المملوك المسلم و لو لم يكن بإذن مولاه، و إمضاء عقد المرأة المسلمة، و بذلك ترفع اليد عن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خلافا للعامة القائلين بعدم نفوذ عقد العبد بدون اذن مولاه، للعموم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في شمول الإطلاقات لذمام أطفال المسلمين المميزين نظر، فضلا عن غير المميز، إذ الظاهر اشتراط كون العاقد مسلما حقيقة، و الأطفال ليسوا كذلك، و إنما هم بحكم المسلمين في أحكام خاصة </w:t>
      </w:r>
      <w:r>
        <w:rPr>
          <w:rStyle w:val="FootnoteAnchor"/>
          <w:rtl w:val="true"/>
        </w:rPr>
        <w:footnoteReference w:id="11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شمول المطلقات للأطفال نظر بيّن، خصوصا مع سلب عباراته </w:t>
      </w:r>
      <w:r>
        <w:rPr>
          <w:rStyle w:val="FootnoteAnchor"/>
          <w:rtl w:val="true"/>
        </w:rPr>
        <w:footnoteReference w:id="1106"/>
      </w:r>
      <w:r>
        <w:rPr>
          <w:rFonts w:ascii="Amiri" w:hAnsi="Amiri" w:eastAsia="Amiri" w:cs="Amiri"/>
          <w:color w:val="111111"/>
          <w:sz w:val="28"/>
          <w:sz w:val="28"/>
          <w:szCs w:val="28"/>
          <w:rtl w:val="true"/>
          <w:lang w:bidi="ar-SA"/>
        </w:rPr>
        <w:t>في عقوده و إيقاعاته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المجنون خصوصا مسلوب الشعور لانصراف النصوص عن مثله و كذلك السكران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انّ المكره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بحديث رفع القلم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مسلوب العقد أثرا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كونه على خلاف الامتنان في حق الغير لا ضير فيه إذا كان ذلك الغير كافرا</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عبارة البالغين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عبارة 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فظهورها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بالقرائن المنفصلة فضلا عن المتصلة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و لعل أمر أمثال هذه العقود أوسع من أمر سائر عقود المعاملات، فيكتفى بالمجازات البعيدة و الكنايات الغريبة، بعد فهم المراد هنا بالقرينة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ظاهر اجازة علي عليه السلام اجارة العبد لأهل حصن، بل و في نص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اجارة أدنى المسلمين لقوم</w:t>
      </w:r>
      <w:r>
        <w:rPr>
          <w:rFonts w:eastAsia="Amiri" w:cs="Amiri" w:ascii="Amiri" w:hAnsi="Amiri"/>
          <w:color w:val="111111"/>
          <w:sz w:val="28"/>
          <w:szCs w:val="28"/>
          <w:rtl w:val="true"/>
          <w:lang w:bidi="ar-SA"/>
        </w:rPr>
        <w:t xml:space="preserve">» </w:t>
      </w:r>
      <w:r>
        <w:rPr>
          <w:rStyle w:val="FootnoteAnchor"/>
          <w:rtl w:val="true"/>
        </w:rPr>
        <w:footnoteReference w:id="1107"/>
      </w:r>
      <w:r>
        <w:rPr>
          <w:rFonts w:ascii="Amiri" w:hAnsi="Amiri" w:eastAsia="Amiri" w:cs="Amiri"/>
          <w:color w:val="111111"/>
          <w:sz w:val="28"/>
          <w:sz w:val="28"/>
          <w:szCs w:val="28"/>
          <w:rtl w:val="true"/>
          <w:lang w:bidi="ar-SA"/>
        </w:rPr>
        <w:t>عدم اختصاص نفوذ اجارة الآحاد للآحاد فقط، بل يمضي على القبيلة أيضا، لأنه أقل ما يصدق عليه القوم، بل إطلاقه يشمل الأزيد، كما أنّ أهل الحصن، و القرية ربما يبلغ عددهم الى مائة فما زاد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في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فعل علي عليه السلام قضية في واقعة </w:t>
      </w:r>
      <w:r>
        <w:rPr>
          <w:rStyle w:val="FootnoteAnchor"/>
          <w:rtl w:val="true"/>
        </w:rPr>
        <w:footnoteReference w:id="1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تعليله عليه السلام يقتضي التعدّي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الجواهر تسليمه نفوذ ذمام الآحاد لقرية صغيرة أو قافلة قليلة </w:t>
      </w:r>
      <w:r>
        <w:rPr>
          <w:rStyle w:val="FootnoteAnchor"/>
          <w:rtl w:val="true"/>
        </w:rPr>
        <w:footnoteReference w:id="1109"/>
      </w:r>
      <w:r>
        <w:rPr>
          <w:rFonts w:ascii="Amiri" w:hAnsi="Amiri" w:eastAsia="Amiri" w:cs="Amiri"/>
          <w:color w:val="111111"/>
          <w:sz w:val="28"/>
          <w:sz w:val="28"/>
          <w:szCs w:val="28"/>
          <w:rtl w:val="true"/>
          <w:lang w:bidi="ar-SA"/>
        </w:rPr>
        <w:t>، و لعله لكونه المتيقن من صدق القوم و أهل الحصن المزبور، فلا يشمل الدليل أزيد من المتيقن مما يستفاد من لفظهما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للإمام أن يذم لأهل الحرب جميعا، و له أيضا ذمام قطر أو ناحية، بل في زماننا هذا ربما ينفذ ذمام سلاطين الجور لنوع الحربيين، و لو بعقد الهدنة معهم، في دخولهم في بلاد المسلمين آمنين و اتفاقهم مع الأجانب بإرسال السفير إليهم، و قبوله منهم، و مراودتهم بين الدولتين، فإنّ ذلك كلّه من شئون عقد الذمام مع الحربيين</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ربما يكون فعلهم هذا ممضاة في زمن الأئمة، و لذا كان الحربيون في زمانهم بعد هذه المعاهدة آمنين نفسا و مالا، سواء كانوا من أهل الكتاب الخارجين من شرائط الذمة أو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فجرت هذه السيرة إلى زماننا، بل يمكن التعدّي منه إلى مطلق ذي الشوكة من المسلمين، على ما قيل به في عقد الذمة الجاري في زمان الغيبة بالسيرة القطعية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يتعدّى إلى إمضاء معاهدات سلاطين الشيعة، أو هيئة الشورى القائمين بإصلاح أمر الأمة، كل ذلك للجزم بأنّ معاهداتهم هذه ممضاة شرعا عند الفقهاء الراشدين، طبقا عن طبق، بلا تشكيك لأحد في مثل هذه المعاهدات و نتائجها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ينتهي ذلك إلى عمل السالفين، المنتهي إلى زمان الغيبة الصغرى، الواصل يدهم إلى النواب و سفرائهم المخصوصين، العارفين بمذاق إمام عصرنا 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يضر بمثله حينئذ عدم ابتلاء الأئمة بفعل مطلق ذي الشوكة من الشيعة أو سلاطينهم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عدم معلومية إمضائهم لسلاطين الجور إنما هو بما هو ذوو الشوكة من المسلمين، كي يبقى مجال استصحابه، بمثل استصحاب الحكم في الشرائع السابقة الثابتة لعناوينها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يستشكل في صحة أمثال هذه المعاهدات في أمثال زماننا، من جهة كون، ذوي الشوكة من المسلمين في منتهى الضعف بالنسبة إلى سائر الملل، بحيث يمكن دعوى انّ معاهدات سلاطينهم مع الملل الخارجة لمحض الاضطرار و الإكراه غير الصالحة للنفوذ، كما أشرنا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فمثل هذه المعاهدات لا تصلح لاحترام دمائهم، و أموالهم عينا شرعا و إن لم نستطع من هتكهم خارجا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فيثمر حينئذ جواز غيلتهم و سرقة أموالهم خصوصا مثل أهل الكتاب القاطنين في بلاد المسلمين، الذين هم تحت حماية الملل الخارجة، الذي هو موجب لمقهوريتنا على المعاملة معهم، معاملة المحترمين نفسا و مالا، لا أنه مستند إلى معاهدة من المسلمين معهم، كي يصيروا بذلك مأمونين شرعا</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الإنصاف يقتضي إمكان دفعه، بأنّ مجرد إلجاء المسلمين في المماشاة مع الخارجي، لا يوجب عدم جواز امانه، لإمكان كون المقام من باب</w:t>
      </w:r>
    </w:p>
    <w:p>
      <w:pPr>
        <w:pStyle w:val="BookText"/>
        <w:rPr/>
      </w:pPr>
      <w:r>
        <w:rPr>
          <w:rFonts w:ascii="Amiri" w:hAnsi="Amiri" w:eastAsia="Amiri" w:cs="Amiri"/>
          <w:color w:val="111111"/>
          <w:sz w:val="28"/>
          <w:sz w:val="28"/>
          <w:szCs w:val="28"/>
          <w:rtl w:val="true"/>
          <w:lang w:bidi="ar-SA"/>
        </w:rPr>
        <w:t>الإكراه على اللازم، فيكون في معاهدتهم تأمينهم في بلاد المسلمين عن طيب نفس منهم و إن كانوا ملجئين في ذلك لخوف المضار الواردة عليهم من جهة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المقدار غير مضر بصحة معاهداتهم المزبورة، كما هو الشأن في سائر المعاملات الصادرة عن الاضطرار و الإلجاء، غير المانع عن صحتها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فيترتب على مثل هذه المعاهدات حينئذ صيرورتهم في أمان من المسلمين نفسا و مالا، فيحرم التعدّي عليهم حينئذ و لو غيلة، ما دام بقاء المعاهدة حتى بالنسبة إلى من كان تحت حماية الخارجي، إذ مقتضى عقد الذمام معهم صيرورة أمثال هذه الطوائف أيضا مأمونين من قبلهم، فلا يحتاج في تأمينهم حينئذ عقد الأمان معهم في تأمين هذه الطائفة، و إن كانوا من أهل دينهم و نحلتهم، بل لا بد من عقد الذمام معهم مستقلا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فأهل الكتاب القاطنون في زماننا في بلاد المسلمين، و ان كانوا خارجين عن شرائط الذمة، و لكن بملاحظة كونهم من رعايا دول أجانب أو تحت حمايتها، مأمونون نفسا و مالا من قبل معاهدة ذوي الشوكة من المسلمين مع سلطانهم، أو من كانوا تحت حماية معاهدة التأمين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انتقضت المعاهدة المزبورة، لا يبقى بعد ذلك لأمثالهم أمان، بل يحتاج أمانهم حينئذ إلى ضرب معاهدة جديدة معهم، إما بعقد الذمام أو بعقد الذمة، و إلّا فيكون ما لهم فيئا للمسلمين، و دمهم هدرا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ما ذكرناه كله فيما لو كانت الدولة الإسلامية دولة مستقلة، و إن كان ضعفهم، بالنسبة إلى سائر الدول و باقي الملل موجبا لتحملهم بعض التحميلات غير المنافية مع استقلالهم</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لو لم تكن دولتهم دولة مستقلة، بل كانوا تحت حماية الأجانب،</w:t>
      </w:r>
    </w:p>
    <w:p>
      <w:pPr>
        <w:pStyle w:val="BookText"/>
        <w:rPr/>
      </w:pPr>
      <w:r>
        <w:rPr>
          <w:rFonts w:ascii="Amiri" w:hAnsi="Amiri" w:eastAsia="Amiri" w:cs="Amiri"/>
          <w:color w:val="111111"/>
          <w:sz w:val="28"/>
          <w:sz w:val="28"/>
          <w:szCs w:val="28"/>
          <w:rtl w:val="true"/>
          <w:lang w:bidi="ar-SA"/>
        </w:rPr>
        <w:t>فذلك تارة يكون عدم استقلالهم في جهات غير مرتبطة بأمثال هذه المعاهدات، فلا ينافي حينئذ استقلالهم في ذلك، فتمضي عليهم المعاهدة الذمامية و الذمية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تارة يكون عدم استقلالهم من جميع الجهات حتى هذه الجهة، ففي مثل هذه الصورة تارة يكون مرجع استقلالهم إلى كونهم ملزمين من قبلهم على المعاهدة المزبورة أيضا، فذلك من المصاديق الظاهرة لكون أمثال معاهداتهم هذه صادرة عن إكراه و إلزام منهم عليها، فلا يكون مثل ذلك نافذا شرعا و إن كانوا في الخارج حينئذ مقهورين على التأمين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 يجدي ذلك في حرمة أموالهم بأخذها غيلة أو سرقة، بمقدار لا يوجب إضرارا على المسلمين، من جهة أخرى تكون أهم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اخرى لا يكونون ملزمين بمثل ذلك، بل غاية الأمر التزامهم بلوازمه، بحيث لا يصدق عليه الإكراه على نفس المعاهدة، بل كان من مصاديق الإكراه على اللازم، لتكون حال هذه الصورة حال الدول الضعاف المستقلة ظاهرا، المجبورة على أمثال هذه المعاهدات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عرفت انّ مقتضى القواعد صحة معاهداتهم حينئذ، و ترتيب الأثر عليها شرعا، من احترام أنفسهم و أموالهم، و كذلك كل من يلوذ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ذلك أيضا في صورة كونهم دولة، غاية الأمر غير مستقلة و تحت حماية غيرهم من الأجانب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لو لم يكونوا دولة، بل كانت لهم صورة دولة يشكلها الأجانب، بجعلهم واحدا من المسلمين سلطانا على البقية، بحيث يكون هو المسئول عنهم تجاه الأجانب في الشئون السياسية و التجارية و غيرها، فيعاهدون معه بمعاهدات خاصة</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فتارة يكون ذلك أيضا صوريا محضا، فلا يثمر في تحقق الذمام</w:t>
      </w:r>
    </w:p>
    <w:p>
      <w:pPr>
        <w:pStyle w:val="BookText"/>
        <w:rPr/>
      </w:pPr>
      <w:r>
        <w:rPr>
          <w:rFonts w:ascii="Amiri" w:hAnsi="Amiri" w:eastAsia="Amiri" w:cs="Amiri"/>
          <w:color w:val="111111"/>
          <w:sz w:val="28"/>
          <w:sz w:val="28"/>
          <w:szCs w:val="28"/>
          <w:rtl w:val="true"/>
          <w:lang w:bidi="ar-SA"/>
        </w:rPr>
        <w:t>بلا اشكال، لعدم تحقق معاهدة من قبل ذي الشوكة من المسلمين، بل هذا المسلم المنصوب يعد من أحد المأمورين لهم و محسوبا منهم، فكانت معاهداته معهم لمجرد الصورة، بلا اعتناء بمثل هذا العهد، فيصح حينئذ سلب المعاهدة الحقيقة بينهم و بين المسلمين، فلا ينتج مثله احتراما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اخرى لا يكون غرضهم من التشكيل المزبور إلّا جعله حقيقة دولة، غاية الأمر غير مستقلة، ففي مثله يجي‌ء التفصيل السابق حرفا بحرف، و لعل العراق في زماننا هذا من هذا القبيل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شك في مورد أنه من أي الأقسام، و وقعت معاهدة بين ذي الشوكة خارجا، فتارة يكون الشك في كونها معاهدة صورية أو حقيقة، من جهة الجهل بإرادة الحقيقة جدا أو لا، فأصالة الحقيقة تجعلها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اخرى يكون الشك في كونها معاهدة الرئيس بما هو رئيس المسلمين أو معاهدة مأمور من مأموريهم، و أن صورة المعاهدة من جهة الجهل برئاسته، و لو في هذه الجهة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جريان أصالة الصحة إشكال، للشك في صدق عنوان المعاهدة بين المسلمين بما هم مسلمون مع الكفار، فأصالة الصحة قاصرة عن إثبات الصحة في مثلها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علم بأنّ ذي الشوكة من المسلمين لم يكن من خدامهم، غاية الأمر كان تحت سيطرتهم و حمايتهم، و شك في انّ معاهدته هذه عن إلزام منهم بها، أو إلزام بلازمه، كانت أصالة الصحة حينئذ مجدية، فيحكم بصحة المعاهدة، و يترتب عليها أثرها</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وقت عقد الأمان لآحاد المسلمين قبل الأسر لا بعده إجماعا، نعم للإمام عليه السلام و النبي صلّى اللّٰه عليه و آله بأمينهم أو إطلاقهم، حتى بعد الأسر بشهادة اجازته صلّى اللّٰه عليه و آله لزينب في تأمين زوجها بعد أسره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يمضي مثل ذلك من سلاطين الجور أيضا بشهادة إمضاء علي عليه السلام فعل عمر في حق الهرمزان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يستصحب مثل هذا في حق سلاطين الجور في زمان الغيبة، نظير استصحاب أحكام الشرائع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ثبوت مثل هذا الشأن للفقيه، فهو فرع إثبات عموم الخلافة و النيابة، و أشكل منه إثباته لذوي الشوكة من مطلق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توهم الملازمة بين هذا التأمين و بين تأمين القطر و الناحية الثابتة لهم في زمان الغيبة، حسب ما عرفت من نفوذ معاهداتهم مع الكفار، منظور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فالأصل عدم نفوذه منهم، لو لا دعوى انّ مقتضى الإطلاقات نفوذ أمان الآحاد للآحاد، حتى بعد الأسر، خرج عنه من لم يكن رئيسا و ذا شوكة، و بقي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يدفع الإطلاق بعدم سوقها من تلك الجهة، فتبقى أصالة الفساد خالية عن المعارض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هذا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عقد الذمة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قابل لوقوعه مطلقا و مشروطا، فيصح في ضمنه كل شرط سائغ شرعا، لا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اشترط ذلك فيه، فمع علم الكافر ببطلان الشرط فلا أمان له، لانتفاء القيد بانتفاء شرطه، بعد الجزم بعدم كون الشروط في ضمن أمثال هذه المعاهدات من باب تعدد المطلوب، بخلاف ما إذا لم يعلم به فإنه في شبهة أمان</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انّ حقيقة هذه المعاهدات أيضا ليست إلّا من باب التسالم الخارجي المنوط بقاؤه ببقائهم على العهد، فمهما انتقضوا العهد بالعمل على خلافه، ينقض العهد حقيقة، و ليس من باب العهود و التسالمات الإنشائية الحاصلة</w:t>
      </w:r>
    </w:p>
    <w:p>
      <w:pPr>
        <w:pStyle w:val="BookText"/>
        <w:rPr/>
      </w:pPr>
      <w:r>
        <w:rPr>
          <w:rFonts w:ascii="Amiri" w:hAnsi="Amiri" w:eastAsia="Amiri" w:cs="Amiri"/>
          <w:color w:val="111111"/>
          <w:sz w:val="28"/>
          <w:sz w:val="28"/>
          <w:szCs w:val="28"/>
          <w:rtl w:val="true"/>
          <w:lang w:bidi="ar-SA"/>
        </w:rPr>
        <w:t>بالإنشاء غير المنقض مضمونها بصرف مخالفة أحد الطرفين، التي كان لكل منهما إلزام طرفه على الحركة على وفقها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فلعاقد الأمان أن يشترط على أنفسهم المال أو في أموالهم شيئا، فتصير شبيهة عقد الجزية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فالفرق بين عقد الذمام و عقد الجزية هو أنّ في عقد الجزية كان قوامه بالمال و كونهم صغارا، بخلاف عقد الذمام فإنه ليس قوامه ذلك، بل يصح بدونهما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انّ عقد الجزية حق لهم، بحيث لو أقدموا عليه يجب على رئيس الجيش أو ذي الشوكة من المسلمين قبوله، و يقروهم على مذهبهم، و يمكّنوهم من بلاد المسلمين أو بلادهم بخلاف عقد الذمام، فإنه حق للمسلمين و ذوي شوكتهم، فيصح لهم تأمينهم مع المصلحة، بل في الآحاد للآحاد و لو اقتراحا، ما لم يضر ذلك بالإسلام و لا بهيئة المسلمين، فإنه حينئذ لا ولاية له عليه جزما، فمهما تحقق صحيحا كان مساويا لعقد الذمة في حفظ النفس و المال، بلا يتعرض المسلمين لهم ما لم يهتكوا مقدسات المسلمين، لانصراف الأدلة عن مثل هذه الصورة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و ذلك منة من اللّٰه على المسلمين بشرافة إسلامهم، فلا يكاد يشمل دليله ما يوجب خلاف المنة عليهم، أو يوجب هتك شرفهم بما هم مسلمون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لو أقر مسلم بذمام حربي قبل أسره، قبل، لكونه مدعيا بلا معارض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عارضه غيره في ذلك، فيحتاج سماعة إلى بينة في أصل إيقاع العقد، و مع العلم به كانت أصالة الصحة تقتضي تقديم قوله بيمينه</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ادعى الحربي أمان المسلم له، فمع العلم بأصل المعاهدة و الشك في وقوعها بعد الأسر أو قبله، قبل قوله، لأصالة الصحة</w:t>
      </w:r>
      <w:r>
        <w:rPr>
          <w:rFonts w:eastAsia="Amiri" w:cs="Amiri" w:ascii="Amiri" w:hAnsi="Amiri"/>
          <w:color w:val="111111"/>
          <w:sz w:val="28"/>
          <w:szCs w:val="28"/>
          <w:rtl w:val="true"/>
          <w:lang w:bidi="ar-SA"/>
        </w:rPr>
        <w:t>.</w:t>
      </w:r>
      <w:bookmarkStart w:id="528" w:name="pg19818_204262"/>
    </w:p>
    <w:p>
      <w:pPr>
        <w:pStyle w:val="BookText"/>
        <w:rPr/>
      </w:pPr>
      <w:bookmarkEnd w:id="528"/>
      <w:r>
        <w:rPr>
          <w:rFonts w:ascii="Amiri" w:hAnsi="Amiri" w:eastAsia="Amiri" w:cs="Amiri"/>
          <w:color w:val="111111"/>
          <w:sz w:val="28"/>
          <w:sz w:val="28"/>
          <w:szCs w:val="28"/>
          <w:rtl w:val="true"/>
          <w:lang w:bidi="ar-SA"/>
        </w:rPr>
        <w:t>و لو أنكره المسلم انتقض الأمان فعلا، و في كونه حينئذ في شبهة أمان وجه، لأصالة عدم علمه ببطلان المعاهدة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مع الجهل بأصل الأمان لا يسمع، بل أصالة عدمه يدخله في الحربي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مع عدم منكر في البين، ربما يسمع قوله بمناط الدعوى بلا معارض،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عقد مع الحربي الذمام على أن يتوطن في دار المسلمين، صح و استؤمن على نفسه و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التحق بعد ذلك بدار الحرب للاستيطان انتقض أمانه في نفسه، و في انتقاض الأمان في ماله نظر، من كونه بتبع نفسه، و من انّ عقد الأمان كان على النفس و المال كليهما، فانتقاض أثر أحدهما لا يوجب انتقاض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لئن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استيطانه في دار الحرب لا يكون ناقضا لأصل العقد، إذ ليس عدمه شرطا فيه، و إنما هو ناقض لأثره، إذ أثره حقن دمه ما دام متوطنا في دار الإسلام، فإذا التحق بدار الحرب لا يبقى مجال لحقن دمه، لخروجه عن مفاد العقد، فيبقى حينئذ أثر العقد بالنسبة إلى ماله باقيا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أخذ ماله و أتى به إلى دار الحرب، يبطل أمان ماله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لا يقاس المقام بباب مخالفة الذمي للذمة، الموجبة لنقض الأمان في نفسه و ماله، لأنّ أمانهما كان تابعا لبقاء العهد، فإذا انتقض العهد حقيقة فلا موجب لأمانهما أصلا، و ذلك ظاهر،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فلو أسّره المسلمون و استرقوه دخل ماله في ملكهم تبعا لرقبته</w:t>
      </w:r>
      <w:r>
        <w:rPr>
          <w:rFonts w:eastAsia="Amiri" w:cs="Amiri" w:ascii="Amiri" w:hAnsi="Amiri"/>
          <w:color w:val="111111"/>
          <w:sz w:val="28"/>
          <w:szCs w:val="28"/>
          <w:rtl w:val="true"/>
          <w:lang w:bidi="ar-SA"/>
        </w:rPr>
        <w:t>.</w:t>
      </w:r>
    </w:p>
    <w:p>
      <w:pPr>
        <w:pStyle w:val="Heading5"/>
        <w:numPr>
          <w:ilvl w:val="4"/>
          <w:numId w:val="1"/>
        </w:numPr>
        <w:rPr/>
      </w:pPr>
      <w:bookmarkStart w:id="529" w:name="__RefHeading___Toc3321076_2314609296"/>
      <w:bookmarkStart w:id="530" w:name="_Toc196"/>
      <w:bookmarkEnd w:id="529"/>
      <w:r>
        <w:rPr>
          <w:rtl w:val="true"/>
        </w:rPr>
        <w:t>و يرد من دخل</w:t>
      </w:r>
      <w:bookmarkEnd w:id="530"/>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بلاد المسلمين لشبهة الأمان إلى مأمنه بلا اشكال نصا و فتوى، و في النص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 قوما حاصروا مدينة فسألوهم</w:t>
      </w:r>
      <w:bookmarkStart w:id="531" w:name="pg19818_204263"/>
    </w:p>
    <w:p>
      <w:pPr>
        <w:pStyle w:val="BookText"/>
        <w:rPr/>
      </w:pPr>
      <w:bookmarkEnd w:id="531"/>
      <w:r>
        <w:rPr>
          <w:rFonts w:ascii="Amiri" w:hAnsi="Amiri" w:eastAsia="Amiri" w:cs="Amiri"/>
          <w:color w:val="111111"/>
          <w:sz w:val="28"/>
          <w:sz w:val="28"/>
          <w:szCs w:val="28"/>
          <w:rtl w:val="true"/>
          <w:lang w:bidi="ar-SA"/>
        </w:rPr>
        <w:t>الأمان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فظنوا أنهم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فنزلوا إليهم، كانوا آمنين</w:t>
      </w:r>
      <w:r>
        <w:rPr>
          <w:rFonts w:eastAsia="Amiri" w:cs="Amiri" w:ascii="Amiri" w:hAnsi="Amiri"/>
          <w:color w:val="111111"/>
          <w:sz w:val="28"/>
          <w:szCs w:val="28"/>
          <w:rtl w:val="true"/>
          <w:lang w:bidi="ar-SA"/>
        </w:rPr>
        <w:t xml:space="preserve">» </w:t>
      </w:r>
      <w:r>
        <w:rPr>
          <w:rStyle w:val="FootnoteAnchor"/>
          <w:rtl w:val="true"/>
        </w:rPr>
        <w:footnoteReference w:id="1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ظاهر النص حصول أمانهم بشبهتهم، و لازمة لزوم إيصالهم إلى مأمنهم، و ليس لهم البقاء مأمونين بعد رفع الشبهة إلّا بأمان جديد، أو بشبهة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إلّا فللمسلمين إما إيصالهم إلى المأمن أو تأمين جديد، فمع عدم تأمين جديد لا تقتضي الشبهة إلّا المأمونية من قبل دخولهم المستتبع لخروجهم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إما بقاؤهم اختيارا في بلد المسلمين بعد رفع الشبهة، فلا بد أن يكون بأمان جديد، كيف و لا يقتضي دليل الأمان الحاصل بالشبهة، مثل هذه الصورة المستند فيها بقاؤهم باختيارهم و عمدهم، فلا شبهة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دخل الحربي بدعوى الشبهة، ففي سماع دعواه وجه، لأنه لا يعلم إلّا عن قبله، إلّا مع وجود القرائن و ظواهر الأحوال التي هي بمنزلة ظاهر اللفظ الحاكي على خلافه، فيحكم حينئذ على طبق ظهور حاله، لبناء العقلاء على حجية ظواهر الأحوال كظواهر الألفاظ</w:t>
      </w:r>
      <w:r>
        <w:rPr>
          <w:rFonts w:eastAsia="Amiri" w:cs="Amiri" w:ascii="Amiri" w:hAnsi="Amiri"/>
          <w:color w:val="111111"/>
          <w:sz w:val="28"/>
          <w:szCs w:val="28"/>
          <w:rtl w:val="true"/>
          <w:lang w:bidi="ar-SA"/>
        </w:rPr>
        <w:t>.</w:t>
      </w:r>
    </w:p>
    <w:p>
      <w:pPr>
        <w:pStyle w:val="Heading5"/>
        <w:numPr>
          <w:ilvl w:val="4"/>
          <w:numId w:val="1"/>
        </w:numPr>
        <w:rPr/>
      </w:pPr>
      <w:bookmarkStart w:id="532" w:name="__RefHeading___Toc3321078_2314609296"/>
      <w:bookmarkStart w:id="533" w:name="_Toc197"/>
      <w:bookmarkEnd w:id="532"/>
      <w:r>
        <w:rPr>
          <w:rtl w:val="true"/>
        </w:rPr>
        <w:t>و لا يجوز الفرار إن كان العدو على الضعف من المسلمين إلّا لمتحرف لقتال أو متحيز إلى فئة</w:t>
      </w:r>
      <w:bookmarkEnd w:id="533"/>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بلا إشكال في الأول في الجملة نصا و فتوى، و يكفي من النص الآية الشريفة المشتملة على المستثنى و المستثنى منه </w:t>
      </w:r>
      <w:r>
        <w:rPr>
          <w:rStyle w:val="FootnoteAnchor"/>
          <w:rtl w:val="true"/>
        </w:rPr>
        <w:footnoteReference w:id="1111"/>
      </w:r>
      <w:r>
        <w:rPr>
          <w:rFonts w:ascii="Amiri" w:hAnsi="Amiri" w:eastAsia="Amiri" w:cs="Amiri"/>
          <w:color w:val="111111"/>
          <w:sz w:val="28"/>
          <w:sz w:val="28"/>
          <w:szCs w:val="28"/>
          <w:rtl w:val="true"/>
          <w:lang w:bidi="ar-SA"/>
        </w:rPr>
        <w:t>، و في ذيل نص إسماعيل بن جابر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عدة المشركين أكثر من رجلين لرجل لم يكن فارا من الزحف، و إن كان العدة رجلين لرجل كان فارا من الزحف</w:t>
      </w:r>
      <w:r>
        <w:rPr>
          <w:rFonts w:eastAsia="Amiri" w:cs="Amiri" w:ascii="Amiri" w:hAnsi="Amiri"/>
          <w:color w:val="111111"/>
          <w:sz w:val="28"/>
          <w:szCs w:val="28"/>
          <w:rtl w:val="true"/>
          <w:lang w:bidi="ar-SA"/>
        </w:rPr>
        <w:t xml:space="preserve">» </w:t>
      </w:r>
      <w:r>
        <w:rPr>
          <w:rStyle w:val="FootnoteAnchor"/>
          <w:rtl w:val="true"/>
        </w:rPr>
        <w:footnoteReference w:id="1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نظيره بعض نصوص أخر في حرمة الفرار مع الضعف </w:t>
      </w:r>
      <w:r>
        <w:rPr>
          <w:rStyle w:val="FootnoteAnchor"/>
          <w:rtl w:val="true"/>
        </w:rPr>
        <w:footnoteReference w:id="1113"/>
      </w:r>
      <w:r>
        <w:rPr>
          <w:rFonts w:ascii="Amiri" w:hAnsi="Amiri" w:eastAsia="Amiri" w:cs="Amiri"/>
          <w:color w:val="111111"/>
          <w:sz w:val="28"/>
          <w:sz w:val="28"/>
          <w:szCs w:val="28"/>
          <w:rtl w:val="true"/>
          <w:lang w:bidi="ar-SA"/>
        </w:rPr>
        <w:t>، و في بعض النصوص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حرّم اللّٰه الفرار من الزحف، لما فيه من الوهن في الدين</w:t>
      </w:r>
      <w:r>
        <w:rPr>
          <w:rFonts w:eastAsia="Amiri" w:cs="Amiri" w:ascii="Amiri" w:hAnsi="Amiri"/>
          <w:color w:val="111111"/>
          <w:sz w:val="28"/>
          <w:szCs w:val="28"/>
          <w:rtl w:val="true"/>
          <w:lang w:bidi="ar-SA"/>
        </w:rPr>
        <w:t xml:space="preserve">» </w:t>
      </w:r>
      <w:r>
        <w:rPr>
          <w:rStyle w:val="FootnoteAnchor"/>
          <w:rtl w:val="true"/>
        </w:rPr>
        <w:footnoteReference w:id="1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المستثنى، فلما تقدّم من استفادته من الآية الشريفة، بل ربما ينصرف عنوان الفرار المحرّم عن مثله، كالانصراف عن الفرار غيلة، لوقوع الخصم في أمكنة موجبة لمعلوميتهم، لخصوصية من الجهات الحربية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نظيره أيضا الفرار مائلا و متحيزا إلى فئة منقطعة عن غيرها للإمداد، فإنّ ذلك كله من الفنون الحربية غير الصادقة على فاعليها الفرار عن القتال، بل هذا نحو قتال باعمال فنونه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إطلاق حرمة الفرار من الزحف يشمل صورة الظن بالهلاك، لأنّ موضوع القتال الواجب وارد مورد شبهة الهلكة المنجبرة بمصالح أخروية و دنيوية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العقل في مثله قاصر عن الحكم بوجوب دفع الضرر المظنون أو المحتمل، و آية الهلكة أيضا قاصرة الشمول لغير مورد الجزم بالهلاك، نعم مع الجزم به و إمكان الفرار على وجه لا يترتب عليه نقض آخر، لا بأس بالالتزام بوجوب الفرار للآية، و إلّا فمع صدق الإهانة بالدين و إيقاع الذل بالمسلمين، فربما تقتضي التعليلات الواردة في حرمة الفرار من الزحف، أهمية تلك المصالح عن مصلحة حفظ النفس، كما 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المسلمون أقل من النصف فلا يشملهم دليل الحرمة، و في النص</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وجوب قتال الواحد مع العشر نسخ تخفيفا من اللّٰه</w:t>
      </w:r>
      <w:r>
        <w:rPr>
          <w:rFonts w:eastAsia="Amiri" w:cs="Amiri" w:ascii="Amiri" w:hAnsi="Amiri"/>
          <w:color w:val="111111"/>
          <w:sz w:val="28"/>
          <w:szCs w:val="28"/>
          <w:rtl w:val="true"/>
          <w:lang w:bidi="ar-SA"/>
        </w:rPr>
        <w:t xml:space="preserve">» </w:t>
      </w:r>
      <w:r>
        <w:rPr>
          <w:rStyle w:val="FootnoteAnchor"/>
          <w:rtl w:val="true"/>
        </w:rPr>
        <w:footnoteReference w:id="11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شمول</w:t>
      </w:r>
      <w:bookmarkStart w:id="534" w:name="pg19818_204265"/>
    </w:p>
    <w:p>
      <w:pPr>
        <w:pStyle w:val="BookText"/>
        <w:rPr/>
      </w:pPr>
      <w:bookmarkEnd w:id="534"/>
      <w:r>
        <w:rPr>
          <w:rFonts w:ascii="Amiri" w:hAnsi="Amiri" w:eastAsia="Amiri" w:cs="Amiri"/>
          <w:color w:val="111111"/>
          <w:sz w:val="28"/>
          <w:sz w:val="28"/>
          <w:szCs w:val="28"/>
          <w:rtl w:val="true"/>
          <w:lang w:bidi="ar-SA"/>
        </w:rPr>
        <w:t xml:space="preserve">نصوص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برجلين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الآحاد أيضا إشكال، لأنها واردة لبيان نسبة العسكرين، و ربما يكون فيه خصوصية في غلبتهم لتعاضد مجموعهم بالمجموع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ففي التعدّي عنه الى الآحاد نظر، فأصالة البراءة حينئذ محكمة، بعد عدم شمول الأمر بالقتال مع الضعف لمثل هذه الصورة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أيضا لو لا عموم فَاقْتُلُوا الْمُشْرِكِينَ حَيْثُ وَجَدْتُمُوهُمْ </w:t>
      </w:r>
      <w:r>
        <w:rPr>
          <w:rStyle w:val="FootnoteAnchor"/>
          <w:rtl w:val="true"/>
        </w:rPr>
        <w:footnoteReference w:id="1116"/>
      </w:r>
      <w:r>
        <w:rPr>
          <w:rFonts w:ascii="Amiri" w:hAnsi="Amiri" w:eastAsia="Amiri" w:cs="Amiri"/>
          <w:color w:val="111111"/>
          <w:sz w:val="28"/>
          <w:sz w:val="28"/>
          <w:szCs w:val="28"/>
          <w:rtl w:val="true"/>
          <w:lang w:bidi="ar-SA"/>
        </w:rPr>
        <w:t>لأمثال المورد، و لو بدعوى انّ في مورد الشك في الغلبة يرجع إلى الشك في القدرة، فيجب احتياطا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يدعي انصرافه إلى صورة الجزم بالغلبة و القدرة، فمع احتمال المغلوبية فالأصل البراءة في غير المورد المنصوص فيه بحرمة الفرار</w:t>
      </w:r>
      <w:r>
        <w:rPr>
          <w:rFonts w:eastAsia="Amiri" w:cs="Amiri" w:ascii="Amiri" w:hAnsi="Amiri"/>
          <w:color w:val="111111"/>
          <w:sz w:val="28"/>
          <w:szCs w:val="28"/>
          <w:rtl w:val="true"/>
          <w:lang w:bidi="ar-SA"/>
        </w:rPr>
        <w:t>.</w:t>
      </w:r>
    </w:p>
    <w:p>
      <w:pPr>
        <w:pStyle w:val="Heading5"/>
        <w:numPr>
          <w:ilvl w:val="4"/>
          <w:numId w:val="1"/>
        </w:numPr>
        <w:rPr/>
      </w:pPr>
      <w:bookmarkStart w:id="535" w:name="__RefHeading___Toc3321080_2314609296"/>
      <w:bookmarkStart w:id="536" w:name="_Toc198"/>
      <w:bookmarkEnd w:id="535"/>
      <w:r>
        <w:rPr>
          <w:rtl w:val="true"/>
        </w:rPr>
        <w:t>و تجوز المحاربة</w:t>
      </w:r>
      <w:bookmarkEnd w:id="536"/>
    </w:p>
    <w:p>
      <w:pPr>
        <w:pStyle w:val="BookText"/>
        <w:rPr/>
      </w:pPr>
      <w:r>
        <w:rPr>
          <w:rFonts w:ascii="Amiri" w:hAnsi="Amiri" w:eastAsia="Amiri" w:cs="Amiri"/>
          <w:color w:val="111111"/>
          <w:sz w:val="28"/>
          <w:sz w:val="28"/>
          <w:szCs w:val="28"/>
          <w:rtl w:val="true"/>
          <w:lang w:bidi="ar-SA"/>
        </w:rPr>
        <w:t xml:space="preserve">مع العدو بسائر أنواع الحرب بلا إشكال، لإطلاق الأمر بالمقاتلة، علاوة على قوله وَ أَعِدُّوا لَهُمْ مَا اسْتَطَعْتُمْ </w:t>
      </w:r>
      <w:r>
        <w:rPr>
          <w:rStyle w:val="FootnoteAnchor"/>
          <w:rtl w:val="true"/>
        </w:rPr>
        <w:footnoteReference w:id="1117"/>
      </w:r>
      <w:r>
        <w:rPr>
          <w:rFonts w:ascii="IRNazanin" w:hAnsi="IRNazanin" w:eastAsia="IRNazanin"/>
          <w:color w:val="111111"/>
          <w:sz w:val="28"/>
          <w:sz w:val="28"/>
          <w:szCs w:val="28"/>
          <w:rtl w:val="true"/>
          <w:lang w:bidi="fa-IR"/>
        </w:rPr>
        <w:t>، و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اقْعُدُوا لَهُمْ كُلَّ مَرْصَدٍ </w:t>
      </w:r>
      <w:r>
        <w:rPr>
          <w:rStyle w:val="FootnoteAnchor"/>
          <w:rtl w:val="true"/>
        </w:rPr>
        <w:footnoteReference w:id="1118"/>
      </w:r>
      <w:r>
        <w:rPr>
          <w:rFonts w:ascii="Amiri" w:hAnsi="Amiri" w:eastAsia="Amiri" w:cs="Amiri"/>
          <w:color w:val="111111"/>
          <w:sz w:val="28"/>
          <w:sz w:val="28"/>
          <w:szCs w:val="28"/>
          <w:rtl w:val="true"/>
          <w:lang w:bidi="ar-SA"/>
        </w:rPr>
        <w:t xml:space="preserve">، مضافا إلى ما ورد من إرسال الماء عليهم، أو إلقاء النار عليهم أو الرمي بالمنجنيق </w:t>
      </w:r>
      <w:r>
        <w:rPr>
          <w:rStyle w:val="FootnoteAnchor"/>
          <w:rtl w:val="true"/>
        </w:rPr>
        <w:footnoteReference w:id="1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 و إطلاق بعض النصوص المزبورة يشمل قتلهم بحبس الماء عنهم ليموتوا عطاشا </w:t>
      </w:r>
      <w:r>
        <w:rPr>
          <w:rStyle w:val="FootnoteAnchor"/>
          <w:rtl w:val="true"/>
        </w:rPr>
        <w:footnoteReference w:id="1120"/>
      </w:r>
      <w:r>
        <w:rPr>
          <w:rFonts w:ascii="Amiri" w:hAnsi="Amiri" w:eastAsia="Amiri" w:cs="Amiri"/>
          <w:color w:val="111111"/>
          <w:sz w:val="28"/>
          <w:sz w:val="28"/>
          <w:szCs w:val="28"/>
          <w:rtl w:val="true"/>
          <w:lang w:bidi="ar-SA"/>
        </w:rPr>
        <w:t xml:space="preserve">، خصوصا مع التعليل في بعضها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بأنهم شر الدواب و أشدهم أذية</w:t>
      </w:r>
      <w:r>
        <w:rPr>
          <w:rFonts w:eastAsia="Amiri" w:cs="Amiri" w:ascii="Amiri" w:hAnsi="Amiri"/>
          <w:color w:val="111111"/>
          <w:sz w:val="28"/>
          <w:szCs w:val="28"/>
          <w:rtl w:val="true"/>
          <w:lang w:bidi="ar-SA"/>
        </w:rPr>
        <w:t xml:space="preserve">» </w:t>
      </w:r>
      <w:r>
        <w:rPr>
          <w:rStyle w:val="FootnoteAnchor"/>
          <w:rtl w:val="true"/>
        </w:rPr>
        <w:footnoteReference w:id="1121"/>
      </w:r>
      <w:r>
        <w:rPr>
          <w:rFonts w:eastAsia="Times New Roman" w:cs="Times New Roman" w:ascii="Times New Roman" w:hAnsi="Times New Roman"/>
          <w:color w:val="111111"/>
          <w:sz w:val="28"/>
          <w:szCs w:val="28"/>
          <w:rtl w:val="true"/>
          <w:lang w:val="en-US" w:bidi="en-US"/>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في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فيهم الصبيان و النساء و الشيخ الكبير و الأسارى من</w:t>
      </w:r>
    </w:p>
    <w:p>
      <w:pPr>
        <w:pStyle w:val="BookText"/>
        <w:rPr/>
      </w:pPr>
      <w:r>
        <w:rPr>
          <w:rFonts w:ascii="Amiri" w:hAnsi="Amiri" w:eastAsia="Amiri" w:cs="Amiri"/>
          <w:color w:val="111111"/>
          <w:sz w:val="28"/>
          <w:sz w:val="28"/>
          <w:szCs w:val="28"/>
          <w:rtl w:val="true"/>
          <w:lang w:bidi="ar-SA"/>
        </w:rPr>
        <w:t>المسلمين و التجار،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يفعل ذلك بهم و لا يمسك عنهم لهؤلاء، و لا دية عليهم للمسلمين و لا كفارة</w:t>
      </w:r>
      <w:r>
        <w:rPr>
          <w:rFonts w:eastAsia="Amiri" w:cs="Amiri" w:ascii="Amiri" w:hAnsi="Amiri"/>
          <w:color w:val="111111"/>
          <w:sz w:val="28"/>
          <w:szCs w:val="28"/>
          <w:rtl w:val="true"/>
          <w:lang w:bidi="ar-SA"/>
        </w:rPr>
        <w:t xml:space="preserve">» </w:t>
      </w:r>
      <w:r>
        <w:rPr>
          <w:rStyle w:val="FootnoteAnchor"/>
          <w:rtl w:val="true"/>
        </w:rPr>
        <w:footnoteReference w:id="1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أيضا محمول على صورة توقف الفتح على ذلك، فلا ينافي ما سيأتي من عدم جواز قتل الصبيان و النساء، و غيرهما مع عدم إمكان الفتح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لا خصوصية في أنحاء الحرب حتى بالآلات الجديدة أو غيرها، إلّا إلقاء السم في بلادهم، لما في خبر السكوني المنجبر بالعمل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نهى رسول اللّٰه صلّى اللّٰه عليه و آله أن يلقى السم في بلاد المشركين</w:t>
      </w:r>
      <w:r>
        <w:rPr>
          <w:rFonts w:eastAsia="Amiri" w:cs="Amiri" w:ascii="Amiri" w:hAnsi="Amiri"/>
          <w:color w:val="111111"/>
          <w:sz w:val="28"/>
          <w:szCs w:val="28"/>
          <w:rtl w:val="true"/>
          <w:lang w:bidi="ar-SA"/>
        </w:rPr>
        <w:t xml:space="preserve">» </w:t>
      </w:r>
      <w:r>
        <w:rPr>
          <w:rStyle w:val="FootnoteAnchor"/>
          <w:rtl w:val="true"/>
        </w:rPr>
        <w:footnoteReference w:id="1123"/>
      </w:r>
      <w:r>
        <w:rPr>
          <w:rFonts w:ascii="Amiri" w:hAnsi="Amiri" w:eastAsia="Amiri" w:cs="Amiri"/>
          <w:color w:val="111111"/>
          <w:sz w:val="28"/>
          <w:sz w:val="28"/>
          <w:szCs w:val="28"/>
          <w:rtl w:val="true"/>
          <w:lang w:bidi="ar-SA"/>
        </w:rPr>
        <w:t>، و إطلاقه يشمل حتى صورة توقف الفتح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أن يستفاد منه أن وجه النهي منصرف إلى صورة استلزامه هلاك الصبيان و النساء، و حينئذ فربما يشكل شموله لصورة اختصاص الهلاك بمن يستحق القتل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قتل الصبيان و النساء جائز بأنحاء القتل عند الضرورة، فخصوصية النهي عن إلقاء السم في بلادهم مع الضرورة، ليست إلّا لخصوصية في السم من بين آلات المقاتلة، و بعد ذلك يمكن التعدّي إلى قتل المستحقين أيضا، و لعله إلى ذلك نظر الجماعة في إطلاق حكمهم بالتحريم</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مما ذكرنا ظهر أنه لو تترسوا بالصغار و النساء أو المسلمين، و لم يمكن الفتح إلّا بقتلهم جاز، لما تقدّم في نص حفص من الأمر بقتلهم و فيهم الصبيان و النساء و الشيخ و الأسارى من المسلمين و التجار </w:t>
      </w:r>
      <w:r>
        <w:rPr>
          <w:rStyle w:val="FootnoteAnchor"/>
          <w:rtl w:val="true"/>
        </w:rPr>
        <w:footnoteReference w:id="1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إطلاقه ربما يوهم جوازه حتى مع تمكن الفتح بغيره، و فيه منع، لأنّ كيفية الواقعة غير معلومة، لو لم نقل بظهورها في صورة الإلجاء إليه مقدمة للفتح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المتيقن منه صورة توقف الفتح عليه، فتبقى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نواهي قتل الصبيان و النساء بحالها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فرق فيه بين الجهاد بالمعنى الأخص أو الأعم الشامل للدفاع، و توهم اختصاص النص المزبور بالأول ممنوع، و على فرضه فيتعدّى منه إلى غيره، لإلغاء الخصوصية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الغض عنه فينتهي الأمر إلى التفصيل بين صورة التمكن من الدفاع بدونه و عدمه، و في الثاني يكون الترجيح لجانب الوجوب، لأهمية حفظ بيضة الإسلام و المسلمين، بخلاف الأول فإنّ حرمة قتلهم باقية بلا مزاحم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بالنسبة إلى التترس بالمسلم، و إلّا فبالنسبة إلى نسائهم و أطفالهم فيمكن دعوى جريان التشكيك السابق، من حيث احتمال اختصاصه بالجهاد بالمعنى الأخص، فيبقى عموم وجوب الدفاع بحاله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ذلك أيضا لو لا دعوى فهم ذلك من جعل الوظيفة في الحربي سبي ذراريه و نسائه، فإنه يفهم منه عدم جعل القتل عليهم، بل و في الجزية قد تقدّم أنّ بناءهم على وضعها عنهم، لأنها ملزوم جواز قتلهم، فيكشف ذلك عن تسلم حرمة قتلهم حتى في الدفاع إلّا مع 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في ذيل رواية حفص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الدية عمن جاز قتله عند التترس به، مسلما كان أو غيره، بل و نفي الكفارة، و الأصحاب أخذوا بالفقرة الأولى فنفوا الدية، و طرحوا الأخيرة و رجعوا فيه إلى عموم كفارة قتل المسلم أو غيره</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كونه من قبيل العمد أو الخطأ كلام آخر، و لا يبعد مع القصد في الرمي مع عدم قصد المسلم بخصوصه مثلا أن يكون من باب شبه العمد لا العمد المحض و لا الخطأ المحض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قصده بخصوصه و لو للتوصل به إلى</w:t>
      </w:r>
      <w:bookmarkStart w:id="537" w:name="pg19818_204268"/>
    </w:p>
    <w:p>
      <w:pPr>
        <w:pStyle w:val="BookText"/>
        <w:rPr/>
      </w:pPr>
      <w:bookmarkEnd w:id="537"/>
      <w:r>
        <w:rPr>
          <w:rFonts w:ascii="Amiri" w:hAnsi="Amiri" w:eastAsia="Amiri" w:cs="Amiri"/>
          <w:color w:val="111111"/>
          <w:sz w:val="28"/>
          <w:sz w:val="28"/>
          <w:szCs w:val="28"/>
          <w:rtl w:val="true"/>
          <w:lang w:bidi="ar-SA"/>
        </w:rPr>
        <w:t>قتل الكفار، يكون من العمد، و مجرد جوازه لا يخرجه عن العنوان، كما انّ عدم حرمته لا ينافي الكفارة كما في الخطأ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يدعي أنّ زيادة كفارة العمد تكون من تبعات حرمته، فلا يترتب عليه حينئذ إلّا كفارة شبه العمد أو الخطأ، و هو فرع التشكيك في عموم دليل كفارة العمد في المقام، أو قيام إجماع عليه، و إلّا فللنظر فيه مجال، و اللّٰه العالم</w:t>
      </w:r>
      <w:r>
        <w:rPr>
          <w:rFonts w:eastAsia="Amiri" w:cs="Amiri" w:ascii="Amiri" w:hAnsi="Amiri"/>
          <w:color w:val="111111"/>
          <w:sz w:val="28"/>
          <w:szCs w:val="28"/>
          <w:rtl w:val="true"/>
          <w:lang w:bidi="ar-SA"/>
        </w:rPr>
        <w:t>.</w:t>
      </w:r>
    </w:p>
    <w:p>
      <w:pPr>
        <w:pStyle w:val="Heading5"/>
        <w:numPr>
          <w:ilvl w:val="4"/>
          <w:numId w:val="1"/>
        </w:numPr>
        <w:rPr/>
      </w:pPr>
      <w:bookmarkStart w:id="538" w:name="__RefHeading___Toc3321082_2314609296"/>
      <w:bookmarkStart w:id="539" w:name="_Toc199"/>
      <w:bookmarkEnd w:id="538"/>
      <w:r>
        <w:rPr>
          <w:rtl w:val="true"/>
        </w:rPr>
        <w:t>و لا تقتل النساء</w:t>
      </w:r>
      <w:bookmarkEnd w:id="539"/>
    </w:p>
    <w:p>
      <w:pPr>
        <w:pStyle w:val="BookText"/>
        <w:rPr/>
      </w:pPr>
      <w:r>
        <w:rPr>
          <w:rFonts w:ascii="Amiri" w:hAnsi="Amiri" w:eastAsia="Amiri" w:cs="Amiri"/>
          <w:color w:val="111111"/>
          <w:sz w:val="28"/>
          <w:sz w:val="28"/>
          <w:szCs w:val="28"/>
          <w:rtl w:val="true"/>
          <w:lang w:bidi="ar-SA"/>
        </w:rPr>
        <w:t>و لا الصبيان و المجانين و إن عاون أو عاونوا إلّا مع الضرورة، بلا خلاف ظاهرا في غير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قيل بحرمة القتل حتى مع الضرورة، و فيه نظر، لأهمية الجهاد و إعلاء كلمة الحق، و ربما يكون الالتزام به موجبا لتعطيل الجهاد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عرفت سابقا نص حفص و غيره من الأمر بقتلهم، المحمول على الضرورة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نصوص الباب تعليق ترك قتلهم بمقدار الإمكان، الذي هو كناية عن عدم الإلجاء على قتلهن، مؤيدا ذلك بسكوت النبي صلّى اللّٰه عليه و آله عن قتلهن بعد اعتذار القاتل في يوم الخندق باضطراره في ذلك بمنازعتها في قائم سيفه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الخنثى المشكل أيضا بحكم المرأة، و لعله من جهة تغليب جانب الحرمة مع الدوران، و لا وجه له، كما انّ عموم وجوب قتل المشركين حيثما وجدوا، على فرض عدم انصرافه الى الذكور، فلا أقل من سقوطه عن الحجية للشبهة المصداقية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فيكون المورد من أظهر مصاديق الدوران بين المحذورين، بلا ثبوت ترجيح لأحد الجانبين، كما هو ظاهر</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مقتضى إطلاق النهي عن قتل النساء، و الصبيان مهما أمكن، حرمة قتلهم و لو كانوا محاربين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المستفاد من بعض النصوص جواز قتلهم مع</w:t>
      </w:r>
    </w:p>
    <w:p>
      <w:pPr>
        <w:pStyle w:val="BookText"/>
        <w:rPr/>
      </w:pPr>
      <w:r>
        <w:rPr>
          <w:rFonts w:ascii="Amiri" w:hAnsi="Amiri" w:eastAsia="Amiri" w:cs="Amiri"/>
          <w:color w:val="111111"/>
          <w:sz w:val="28"/>
          <w:sz w:val="28"/>
          <w:szCs w:val="28"/>
          <w:rtl w:val="true"/>
          <w:lang w:bidi="ar-SA"/>
        </w:rPr>
        <w:t xml:space="preserve">محاربتهم، لقتل النبي يوم بني قريظة امرأة ألقت رحى على محمود بن مسلمة </w:t>
      </w:r>
      <w:r>
        <w:rPr>
          <w:rStyle w:val="FootnoteAnchor"/>
          <w:rtl w:val="true"/>
        </w:rPr>
        <w:footnoteReference w:id="1125"/>
      </w:r>
      <w:r>
        <w:rPr>
          <w:rFonts w:ascii="Amiri" w:hAnsi="Amiri" w:eastAsia="Amiri" w:cs="Amiri"/>
          <w:color w:val="111111"/>
          <w:sz w:val="28"/>
          <w:sz w:val="28"/>
          <w:szCs w:val="28"/>
          <w:rtl w:val="true"/>
          <w:lang w:bidi="ar-SA"/>
        </w:rPr>
        <w:t>، و يتعدّى بالفحوى إلى الصبيان إذا كانوا داخلين في الحرب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يبعد تخصيص النواهي بمثلها، لو لا عدم مساعدة إطلاق كلمات الأصحاب في الجزية، فإنه ربما يوجب الوهن في سند الرواية المزبورة، خصوصا مع التصريح في بعض النصوص بحرمة قتلهن و إن قاتلن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التعدّي من الحكم المزبور إلى الدفاع في زمان الغيبة وجه، كما أنه مع الضرورة و توقف حفظ بيضة الإسلام و المسلمين على قتلهم، لا شبهة في جوازه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في بعض النصوص إلحاق الشيخ الفاني بالصبيان من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استحيوا شيوخهم و صبيانهم</w:t>
      </w:r>
      <w:r>
        <w:rPr>
          <w:rFonts w:eastAsia="Amiri" w:cs="Amiri" w:ascii="Amiri" w:hAnsi="Amiri"/>
          <w:color w:val="111111"/>
          <w:sz w:val="28"/>
          <w:szCs w:val="28"/>
          <w:rtl w:val="true"/>
          <w:lang w:bidi="ar-SA"/>
        </w:rPr>
        <w:t xml:space="preserve">» </w:t>
      </w:r>
      <w:r>
        <w:rPr>
          <w:rStyle w:val="FootnoteAnchor"/>
          <w:rtl w:val="true"/>
        </w:rPr>
        <w:footnoteReference w:id="1126"/>
      </w:r>
      <w:r>
        <w:rPr>
          <w:rFonts w:ascii="Amiri" w:hAnsi="Amiri" w:eastAsia="Amiri" w:cs="Amiri"/>
          <w:color w:val="111111"/>
          <w:sz w:val="28"/>
          <w:sz w:val="28"/>
          <w:szCs w:val="28"/>
          <w:rtl w:val="true"/>
          <w:lang w:bidi="ar-SA"/>
        </w:rPr>
        <w:t xml:space="preserve">، على معنى كف القتال عنهم، و حكي عن التذكرة دعوى الإجماع عليه </w:t>
      </w:r>
      <w:r>
        <w:rPr>
          <w:rStyle w:val="FootnoteAnchor"/>
          <w:rtl w:val="true"/>
        </w:rPr>
        <w:footnoteReference w:id="1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ذلك أيضا في صورة عدم كونه ذا رأي، و إلّا فربما يكون وجوده أضر من نفس الجيش، فيجب قتله جزما، و الكلمات أيضا منصرفة عن هذه الصورة كالنصوص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أيضا مقتضى العموم وجوب قتل الراهب و غيره، و ما في نص مسعدة من النهي عن قتل المتبتل في شاهق </w:t>
      </w:r>
      <w:r>
        <w:rPr>
          <w:rStyle w:val="FootnoteAnchor"/>
          <w:rtl w:val="true"/>
        </w:rPr>
        <w:footnoteReference w:id="1128"/>
      </w:r>
      <w:r>
        <w:rPr>
          <w:rFonts w:ascii="Amiri" w:hAnsi="Amiri" w:eastAsia="Amiri" w:cs="Amiri"/>
          <w:color w:val="111111"/>
          <w:sz w:val="28"/>
          <w:sz w:val="28"/>
          <w:szCs w:val="28"/>
          <w:rtl w:val="true"/>
          <w:lang w:bidi="ar-SA"/>
        </w:rPr>
        <w:t>، الشامل بالمناط لمثل الراهب، لا حجية فيه، لوهنه بعدم عمل المشهور به، فما عن ابن الجنيد من حرمة قتله، منظور فيه</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كان شيخا فانيا غير ذي رأي، لا يقتل، للنصوص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يلحق بالشيخ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الفحوى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الأعمى، و المقعد، و المريض الذي لا يرجى زوال مرضه، بشرط عدم كونهم صاحبي رأي في الحرب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بعض النصوص التصريح بإلحاق الأعمى و المقعد بالنساء و الصبيان </w:t>
      </w:r>
      <w:r>
        <w:rPr>
          <w:rStyle w:val="FootnoteAnchor"/>
          <w:rtl w:val="true"/>
        </w:rPr>
        <w:footnoteReference w:id="1129"/>
      </w:r>
      <w:r>
        <w:rPr>
          <w:rFonts w:ascii="IRNazanin" w:hAnsi="IRNazanin" w:eastAsia="IRNazanin"/>
          <w:color w:val="111111"/>
          <w:sz w:val="28"/>
          <w:sz w:val="28"/>
          <w:szCs w:val="28"/>
          <w:rtl w:val="true"/>
          <w:lang w:bidi="fa-IR"/>
        </w:rPr>
        <w:t>، فراجع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يحرم أيضا قتل الرسول، لأنه مقتضى السياسة، و لقول النبي صلّى اللّٰه عليه و آله لرسولي مسيلمة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كنت قاتلا رسولا لضربت عنقيكما</w:t>
      </w:r>
      <w:r>
        <w:rPr>
          <w:rFonts w:eastAsia="Amiri" w:cs="Amiri" w:ascii="Amiri" w:hAnsi="Amiri"/>
          <w:color w:val="111111"/>
          <w:sz w:val="28"/>
          <w:szCs w:val="28"/>
          <w:rtl w:val="true"/>
          <w:lang w:bidi="ar-SA"/>
        </w:rPr>
        <w:t xml:space="preserve">» </w:t>
      </w:r>
      <w:r>
        <w:rPr>
          <w:rStyle w:val="FootnoteAnchor"/>
          <w:rtl w:val="true"/>
        </w:rPr>
        <w:footnoteReference w:id="1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يجوز التمثيل بهم بقطع الآناف و الآذان، لما عن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تجوز المثلة و لو بالكلب العقور</w:t>
      </w:r>
      <w:r>
        <w:rPr>
          <w:rFonts w:eastAsia="Amiri" w:cs="Amiri" w:ascii="Amiri" w:hAnsi="Amiri"/>
          <w:color w:val="111111"/>
          <w:sz w:val="28"/>
          <w:szCs w:val="28"/>
          <w:rtl w:val="true"/>
          <w:lang w:bidi="ar-SA"/>
        </w:rPr>
        <w:t xml:space="preserve">» </w:t>
      </w:r>
      <w:r>
        <w:rPr>
          <w:rStyle w:val="FootnoteAnchor"/>
          <w:rtl w:val="true"/>
        </w:rPr>
        <w:footnoteReference w:id="1131"/>
      </w:r>
      <w:r>
        <w:rPr>
          <w:rFonts w:ascii="Amiri" w:hAnsi="Amiri" w:eastAsia="Amiri" w:cs="Amiri"/>
          <w:color w:val="111111"/>
          <w:sz w:val="28"/>
          <w:sz w:val="28"/>
          <w:szCs w:val="28"/>
          <w:rtl w:val="true"/>
          <w:lang w:bidi="ar-SA"/>
        </w:rPr>
        <w:t>، و إطلاقه يشمل حال قيام الحرب و بعده، قبل القتل و بعده، فعلوا بالمسلمين ذلك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لا يجوز الغدر بهم، بأن يقتلوا بعد الأمان، و في النص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و انّ الغدر و الفجور و الخيانة في النار</w:t>
      </w:r>
      <w:r>
        <w:rPr>
          <w:rFonts w:eastAsia="Amiri" w:cs="Amiri" w:ascii="Amiri" w:hAnsi="Amiri"/>
          <w:color w:val="111111"/>
          <w:sz w:val="28"/>
          <w:szCs w:val="28"/>
          <w:rtl w:val="true"/>
          <w:lang w:bidi="ar-SA"/>
        </w:rPr>
        <w:t xml:space="preserve">» </w:t>
      </w:r>
      <w:r>
        <w:rPr>
          <w:rStyle w:val="FootnoteAnchor"/>
          <w:rtl w:val="true"/>
        </w:rPr>
        <w:footnoteReference w:id="1132"/>
      </w:r>
      <w:r>
        <w:rPr>
          <w:rFonts w:ascii="Amiri" w:hAnsi="Amiri" w:eastAsia="Amiri" w:cs="Amiri"/>
          <w:color w:val="111111"/>
          <w:sz w:val="28"/>
          <w:sz w:val="28"/>
          <w:szCs w:val="28"/>
          <w:rtl w:val="true"/>
          <w:lang w:bidi="ar-SA"/>
        </w:rPr>
        <w:t>، نعم تجوز الخدعة في الحرب، لفعل علي عليه السلام بعمرو بن عبد ود، 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الحرب خدعة</w:t>
      </w:r>
      <w:r>
        <w:rPr>
          <w:rFonts w:eastAsia="Amiri" w:cs="Amiri" w:ascii="Amiri" w:hAnsi="Amiri"/>
          <w:color w:val="111111"/>
          <w:sz w:val="28"/>
          <w:szCs w:val="28"/>
          <w:rtl w:val="true"/>
          <w:lang w:bidi="ar-SA"/>
        </w:rPr>
        <w:t xml:space="preserve">» </w:t>
      </w:r>
      <w:r>
        <w:rPr>
          <w:rStyle w:val="FootnoteAnchor"/>
          <w:rtl w:val="true"/>
        </w:rPr>
        <w:footnoteReference w:id="1133"/>
      </w:r>
      <w:r>
        <w:rPr>
          <w:rFonts w:eastAsia="Times New Roman" w:cs="Times New Roman" w:ascii="Times New Roman" w:hAnsi="Times New Roman"/>
          <w:color w:val="111111"/>
          <w:sz w:val="28"/>
          <w:szCs w:val="28"/>
          <w:rtl w:val="true"/>
          <w:lang w:val="en-US" w:bidi="en-US"/>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يحرم الغلول،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سرقة أموالهم بعد الأمان، و إلّا فقبله فهي في‌ء للمسلمين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المحتمل قيام الإجماع على حرمة مطلق سرقة أموالهم، و لكنه</w:t>
      </w:r>
      <w:bookmarkStart w:id="540" w:name="pg19818_204271"/>
    </w:p>
    <w:p>
      <w:pPr>
        <w:pStyle w:val="BookText"/>
        <w:rPr/>
      </w:pPr>
      <w:bookmarkEnd w:id="540"/>
      <w:r>
        <w:rPr>
          <w:rFonts w:ascii="Amiri" w:hAnsi="Amiri" w:eastAsia="Amiri" w:cs="Amiri"/>
          <w:color w:val="111111"/>
          <w:sz w:val="28"/>
          <w:sz w:val="28"/>
          <w:szCs w:val="28"/>
          <w:rtl w:val="true"/>
          <w:lang w:bidi="ar-SA"/>
        </w:rPr>
        <w:t>مشكل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في 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السرقة من الغنيمة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الاحتمالات فالمتيقن هو الأول و الأخير</w:t>
      </w:r>
      <w:r>
        <w:rPr>
          <w:rFonts w:eastAsia="Amiri" w:cs="Amiri" w:ascii="Amiri" w:hAnsi="Amiri"/>
          <w:color w:val="111111"/>
          <w:sz w:val="28"/>
          <w:szCs w:val="28"/>
          <w:rtl w:val="true"/>
          <w:lang w:bidi="ar-SA"/>
        </w:rPr>
        <w:t>.</w:t>
      </w:r>
    </w:p>
    <w:p>
      <w:pPr>
        <w:pStyle w:val="Heading5"/>
        <w:numPr>
          <w:ilvl w:val="4"/>
          <w:numId w:val="1"/>
        </w:numPr>
        <w:rPr/>
      </w:pPr>
      <w:bookmarkStart w:id="541" w:name="__RefHeading___Toc3321084_2314609296"/>
      <w:bookmarkStart w:id="542" w:name="_Toc200"/>
      <w:bookmarkEnd w:id="541"/>
      <w:r>
        <w:rPr>
          <w:rtl w:val="true"/>
        </w:rPr>
        <w:t>فرع</w:t>
      </w:r>
      <w:bookmarkEnd w:id="54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طلب المشرك المبارزة و لم يشترط عدم الإعانة جاز اعانة المسلم، و إن شرط و قبلوا شرطه فهو بمنزلة أمانة من تلك الجهة، فتحرم اعانة المسلمين لمن بارزه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فر المسلم و طلبه الحربي، جاز لهم دفعه، لأنه خارج عن شرطه، فالمسلمون حينئذ يد على من سواهم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لم يطلبه الحربي لم يجز محاربته، لأنه بمقتضى شرطه في أمان حتى يرجع الى مأمنه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لعدم اقتضاء المبارزة مع الشرط أمانه مطلقا، و له وجه، لأنّ عدم إعانة المبارز غير الأمان من سائر الجهات، فما في الجواهر من كونه أمانا كذلك </w:t>
      </w:r>
      <w:r>
        <w:rPr>
          <w:rStyle w:val="FootnoteAnchor"/>
          <w:rtl w:val="true"/>
        </w:rPr>
        <w:footnoteReference w:id="1134"/>
      </w:r>
      <w:r>
        <w:rPr>
          <w:rFonts w:ascii="Amiri" w:hAnsi="Amiri" w:eastAsia="Amiri" w:cs="Amiri"/>
          <w:color w:val="111111"/>
          <w:sz w:val="28"/>
          <w:sz w:val="28"/>
          <w:szCs w:val="28"/>
          <w:rtl w:val="true"/>
          <w:lang w:bidi="ar-SA"/>
        </w:rPr>
        <w:t>، منظور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أسلم في دار الحرب حقن دمه و ولده الصغار من السبي، و ماله من الأخذ مما ينقل و يحول بلا اشكال فيه، لخبر حفص، قال</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سألت أبا عبد اللّٰه عن الرجل من أهل الحرب إذا أسلم في دار الحرب فظهر عليهم المسلمون بعد ذلك،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إسلامه إسلام لنفسه و لولده الصغار، و هم أحرار، و ولده و متاعه و رقيقه له، فأما الولد الكبار فهم في‌ء للمسلمين إلّا أن يكونوا أسلموا قبل ذلك، فأما الدور و الأرضون فهي في‌ء، و لا تكون له، لأن الأرض هي أرض جزية لم يجر فيها حكم الإسلام، و ليس بمنزلة ما ذكرناه،</w:t>
      </w:r>
      <w:bookmarkStart w:id="543" w:name="pg19818_204272"/>
    </w:p>
    <w:p>
      <w:pPr>
        <w:pStyle w:val="BookText"/>
        <w:rPr/>
      </w:pPr>
      <w:bookmarkEnd w:id="543"/>
      <w:r>
        <w:rPr>
          <w:rFonts w:ascii="Amiri" w:hAnsi="Amiri" w:eastAsia="Amiri" w:cs="Amiri"/>
          <w:color w:val="111111"/>
          <w:sz w:val="28"/>
          <w:sz w:val="28"/>
          <w:szCs w:val="28"/>
          <w:rtl w:val="true"/>
          <w:lang w:bidi="ar-SA"/>
        </w:rPr>
        <w:t xml:space="preserve">لأنّ ذلك يمكن احتيازه و إخراجه إلى دار الإسلام </w:t>
      </w:r>
      <w:r>
        <w:rPr>
          <w:rStyle w:val="FootnoteAnchor"/>
          <w:rtl w:val="true"/>
        </w:rPr>
        <w:footnoteReference w:id="1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هذا النص أيضا استفيد حكم ما أفاده المصنف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الأرضون و العقارات فمن الغنائم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أسلم العبد قبل مولاه و خرج من دار الحرب ملك نفسه بلا اشكال فيه، و في خبر السكوني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أيما عبد خرج إلينا قبل مولاه فهو حر، و أيما عبد خرج إلينا بعد مولاه فهو عبد </w:t>
      </w:r>
      <w:r>
        <w:rPr>
          <w:rStyle w:val="FootnoteAnchor"/>
          <w:rtl w:val="true"/>
        </w:rPr>
        <w:footnoteReference w:id="1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الظاهر انّ المنصرف منه خروجه إلينا مسلما، أو أسلم بعد خروجه، لا أنّ مجرد خروجه مع بقائه على الكفر يجعله حرا، بل هو حينئذ في‌ء للمسلمين كسائر أموالهم، و إطلاق النص يشمل الخروج قبل إسلامه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يشترط كون إسلامه بعد إسلام سيده، و إلّا فيبقى على ملك المسلم، خرج قبله أم لم يخرج، إذ هذه الصورة مما انصرفت عنها كلمات الأصحاب، لأنّ مال المسلم محترم، و النص أيضا منصرف عن هذه الصورة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صار مسلما قبل مولاه، و خرج بعد مولاه، فإنه يبقى على ملكه بمقتضى النص المزبور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ينافي ذلك ملكيته للكافر، لأنّ الكافر يصلح أن يبقى على تملك المسلم، غاية الأمر أنه يقهر على بيعه، كما هو الشأن في عبد الذمي إذا أسلم، و هذا المقدار من البقاء لا ينافي علو الإسلام، و لا يستلزم سبيل الكافر على المسلم، و سيأتي إن شاء اللّٰه شرح ذلك في كتاب البيع</w:t>
      </w:r>
      <w:r>
        <w:rPr>
          <w:rFonts w:eastAsia="Amiri" w:cs="Amiri" w:ascii="Amiri" w:hAnsi="Amiri"/>
          <w:color w:val="111111"/>
          <w:sz w:val="28"/>
          <w:szCs w:val="28"/>
          <w:rtl w:val="true"/>
          <w:lang w:bidi="ar-SA"/>
        </w:rPr>
        <w:t>.</w:t>
      </w:r>
    </w:p>
    <w:p>
      <w:pPr>
        <w:pStyle w:val="Heading5"/>
        <w:numPr>
          <w:ilvl w:val="4"/>
          <w:numId w:val="1"/>
        </w:numPr>
        <w:rPr/>
      </w:pPr>
      <w:bookmarkStart w:id="544" w:name="__RefHeading___Toc3321086_2314609296"/>
      <w:bookmarkStart w:id="545" w:name="_Toc201"/>
      <w:bookmarkEnd w:id="544"/>
      <w:r>
        <w:rPr>
          <w:rtl w:val="true"/>
        </w:rPr>
        <w:t>الثالث من الأصناف الذين يقاتلون</w:t>
      </w:r>
      <w:r>
        <w:rPr>
          <w:rtl w:val="true"/>
        </w:rPr>
        <w:t xml:space="preserve">: </w:t>
      </w:r>
      <w:r>
        <w:rPr>
          <w:rtl w:val="true"/>
        </w:rPr>
        <w:t>البغاة</w:t>
      </w:r>
      <w:bookmarkEnd w:id="545"/>
    </w:p>
    <w:p>
      <w:pPr>
        <w:pStyle w:val="Heading6"/>
        <w:numPr>
          <w:ilvl w:val="5"/>
          <w:numId w:val="1"/>
        </w:numPr>
        <w:rPr/>
      </w:pPr>
      <w:bookmarkStart w:id="546" w:name="__RefHeading___Toc3321088_2314609296"/>
      <w:bookmarkStart w:id="547" w:name="_Toc202"/>
      <w:bookmarkEnd w:id="546"/>
      <w:r>
        <w:rPr>
          <w:rtl w:val="true"/>
        </w:rPr>
        <w:t>اشارة</w:t>
      </w:r>
      <w:bookmarkEnd w:id="547"/>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 هم كل من</w:t>
      </w:r>
    </w:p>
    <w:p>
      <w:pPr>
        <w:pStyle w:val="BookText"/>
        <w:rPr/>
      </w:pPr>
      <w:r>
        <w:rPr>
          <w:rFonts w:ascii="Amiri" w:hAnsi="Amiri" w:eastAsia="Amiri" w:cs="Amiri"/>
          <w:color w:val="111111"/>
          <w:sz w:val="28"/>
          <w:sz w:val="28"/>
          <w:szCs w:val="28"/>
          <w:rtl w:val="true"/>
          <w:lang w:bidi="ar-SA"/>
        </w:rPr>
        <w:t>خرج على إمام عادل، كما هو المنسوب إلى عرف المتشرعة، و لا خلاف و لا إشكال في انه يجب قتاله مع دعاء الإمام أو من نصّبه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يدل عليه ما تقدّم في خبر حفص </w:t>
      </w:r>
      <w:r>
        <w:rPr>
          <w:rStyle w:val="FootnoteAnchor"/>
          <w:rtl w:val="true"/>
        </w:rPr>
        <w:footnoteReference w:id="1137"/>
      </w:r>
      <w:r>
        <w:rPr>
          <w:rFonts w:ascii="Amiri" w:hAnsi="Amiri" w:eastAsia="Amiri" w:cs="Amiri"/>
          <w:color w:val="111111"/>
          <w:sz w:val="28"/>
          <w:sz w:val="28"/>
          <w:szCs w:val="28"/>
          <w:rtl w:val="true"/>
          <w:lang w:bidi="ar-SA"/>
        </w:rPr>
        <w:t>بن غياث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أما السيف المكفوف فسيف على أهل البغي و التأويل قال اللّٰه عز و جل وَ إِنْ طٰائِفَتٰانِ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إلخ </w:t>
      </w:r>
      <w:r>
        <w:rPr>
          <w:rStyle w:val="FootnoteAnchor"/>
          <w:rtl w:val="true"/>
        </w:rPr>
        <w:footnoteReference w:id="11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بشّر أمير المؤمنين عليه السلام بقتال أهل البغي من المارقين و أهل الجمل و الخوارج أجمع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علي عليه السلام إنه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أمرت على قتال الناكثين و القاسطين و المارقين، ففعلت ما أمرت</w:t>
      </w:r>
      <w:r>
        <w:rPr>
          <w:rFonts w:eastAsia="Amiri" w:cs="Amiri" w:ascii="Amiri" w:hAnsi="Amiri"/>
          <w:color w:val="111111"/>
          <w:sz w:val="28"/>
          <w:szCs w:val="28"/>
          <w:rtl w:val="true"/>
          <w:lang w:bidi="ar-SA"/>
        </w:rPr>
        <w:t xml:space="preserve">» </w:t>
      </w:r>
      <w:r>
        <w:rPr>
          <w:rStyle w:val="FootnoteAnchor"/>
          <w:rtl w:val="true"/>
        </w:rPr>
        <w:footnoteReference w:id="1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إشكال في فوريته، و كون تأخيره كبيرة، و في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أعظم من الجهاد مع الرسول صلّى اللّٰه عليه و آله </w:t>
      </w:r>
      <w:r>
        <w:rPr>
          <w:rStyle w:val="FootnoteAnchor"/>
          <w:rtl w:val="true"/>
        </w:rPr>
        <w:footnoteReference w:id="1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لا إشكال في انّ وجوبه على الكفاية، إلّا مع تعيين الامام فيتعيّن، لوجوب اطاعته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قد كتب على المؤمنين الجهاد في الفتنة من بعدي كما كتب عليهم الجهاد مع المشركين معي</w:t>
      </w:r>
      <w:r>
        <w:rPr>
          <w:rFonts w:eastAsia="Amiri" w:cs="Amiri" w:ascii="Amiri" w:hAnsi="Amiri"/>
          <w:color w:val="111111"/>
          <w:sz w:val="28"/>
          <w:szCs w:val="28"/>
          <w:rtl w:val="true"/>
          <w:lang w:bidi="ar-SA"/>
        </w:rPr>
        <w:t xml:space="preserve">» </w:t>
      </w:r>
      <w:r>
        <w:rPr>
          <w:rStyle w:val="FootnoteAnchor"/>
          <w:rtl w:val="true"/>
        </w:rPr>
        <w:footnoteReference w:id="1141"/>
      </w:r>
      <w:r>
        <w:rPr>
          <w:rFonts w:ascii="Amiri" w:hAnsi="Amiri" w:eastAsia="Amiri" w:cs="Amiri"/>
          <w:color w:val="111111"/>
          <w:sz w:val="28"/>
          <w:sz w:val="28"/>
          <w:szCs w:val="28"/>
          <w:rtl w:val="true"/>
          <w:lang w:bidi="ar-SA"/>
        </w:rPr>
        <w:t>، و ظاهره كون كتابة الجهاد في الفتنة بعده مثل كتابة الجهاد في عهده بنحو الكفاية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المماثلة المزبورة يستفاد حرمة الفرار عن الزحف في القتال مع البغاة، كالفرار في القتال مع المشركين</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جواز قتل الوالد، مع الأمر بصحبته في الدنيا معروفا،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w:t>
      </w:r>
      <w:bookmarkStart w:id="548" w:name="pg19818_204274"/>
    </w:p>
    <w:p>
      <w:pPr>
        <w:pStyle w:val="BookText"/>
        <w:rPr/>
      </w:pPr>
      <w:bookmarkEnd w:id="548"/>
      <w:r>
        <w:rPr>
          <w:rFonts w:ascii="Amiri" w:hAnsi="Amiri" w:eastAsia="Amiri" w:cs="Amiri"/>
          <w:color w:val="111111"/>
          <w:sz w:val="28"/>
          <w:sz w:val="28"/>
          <w:szCs w:val="28"/>
          <w:rtl w:val="true"/>
          <w:lang w:bidi="ar-SA"/>
        </w:rPr>
        <w:t>دعوى أهمية القتال معهم و دفع شرهم عن الامام و حفظ بيضة الإسلام، من مصلحة الرفق بالأب، و أمر وجوب القتال مع سائر الأرحام أوضح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فيهما بالكراهة، و لعله من جهة إحراز أهمية مفسدة ترك الصحبة أو قطع الرحم عن مصلحة دفع شرهم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لازمة الحرمة لا الوجوب، لكون المقام من باب التزاحم بين العنوانين، و مع الترجيح يقدّم مصلحة الراجح في تأثيره، لو لا دعوى انّ ذلك في الوجودين لا وجود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مثله يكون اقتضاء الرجحان للحرمة فرع بلوغه مرتبة اللزوم، و مع الشك فيرجع إلى البراءة، فلا يستفاد منه إلّا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ذلك كله مبني على الترجيح المزبور، و فيه نظر، خصوصا مع اضرارهم بالإمام، فإنّ حفظ وجوده أهم من جميع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حد الجهاد معهم إلى أن يرجعوا، لأن المقدار الواجب دفعهم عن الامام، نظير وجوب الدفاع في زمان الغيبة</w:t>
      </w:r>
      <w:r>
        <w:rPr>
          <w:rFonts w:eastAsia="Amiri" w:cs="Amiri" w:ascii="Amiri" w:hAnsi="Amiri"/>
          <w:color w:val="111111"/>
          <w:sz w:val="28"/>
          <w:szCs w:val="28"/>
          <w:rtl w:val="true"/>
          <w:lang w:bidi="ar-SA"/>
        </w:rPr>
        <w:t>.</w:t>
      </w:r>
    </w:p>
    <w:p>
      <w:pPr>
        <w:pStyle w:val="Heading6"/>
        <w:numPr>
          <w:ilvl w:val="5"/>
          <w:numId w:val="1"/>
        </w:numPr>
        <w:rPr/>
      </w:pPr>
      <w:bookmarkStart w:id="549" w:name="__RefHeading___Toc3321090_2314609296"/>
      <w:bookmarkStart w:id="550" w:name="_Toc203"/>
      <w:bookmarkEnd w:id="549"/>
      <w:r>
        <w:rPr>
          <w:rtl w:val="true"/>
        </w:rPr>
        <w:t>و هم قسمان</w:t>
      </w:r>
      <w:bookmarkEnd w:id="550"/>
    </w:p>
    <w:p>
      <w:pPr>
        <w:pStyle w:val="Heading6"/>
        <w:numPr>
          <w:ilvl w:val="5"/>
          <w:numId w:val="1"/>
        </w:numPr>
        <w:rPr/>
      </w:pPr>
      <w:bookmarkStart w:id="551" w:name="__RefHeading___Toc3321092_2314609296"/>
      <w:bookmarkStart w:id="552" w:name="_Toc204"/>
      <w:bookmarkEnd w:id="551"/>
      <w:r>
        <w:rPr>
          <w:rtl w:val="true"/>
        </w:rPr>
        <w:t>اشارة</w:t>
      </w:r>
      <w:bookmarkEnd w:id="55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له فئة فيجهز على جريحهم، و يتبع مدبرهم، و يقتل أسيرهم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لا فئة له فلا يجهز على جريحهم، و لا يتبع مدبرهم، و لا يقتل أسيرهم بلا إشكال في ذلك نصا و فتوى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نص حفص بن غياث عين هذا التفصيل </w:t>
      </w:r>
      <w:r>
        <w:rPr>
          <w:rStyle w:val="FootnoteAnchor"/>
          <w:rtl w:val="true"/>
        </w:rPr>
        <w:footnoteReference w:id="1142"/>
      </w:r>
      <w:r>
        <w:rPr>
          <w:rFonts w:eastAsia="Times New Roman" w:cs="Times New Roman" w:ascii="Times New Roman" w:hAnsi="Times New Roman"/>
          <w:color w:val="111111"/>
          <w:sz w:val="28"/>
          <w:szCs w:val="28"/>
          <w:rtl w:val="true"/>
          <w:lang w:val="en-US" w:bidi="en-US"/>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خبر تحف العقول </w:t>
      </w:r>
      <w:r>
        <w:rPr>
          <w:rStyle w:val="FootnoteAnchor"/>
          <w:rtl w:val="true"/>
        </w:rPr>
        <w:footnoteReference w:id="1143"/>
      </w:r>
      <w:r>
        <w:rPr>
          <w:rFonts w:ascii="Amiri" w:hAnsi="Amiri" w:eastAsia="Amiri" w:cs="Amiri"/>
          <w:color w:val="111111"/>
          <w:sz w:val="28"/>
          <w:sz w:val="28"/>
          <w:szCs w:val="28"/>
          <w:rtl w:val="true"/>
          <w:lang w:bidi="ar-SA"/>
        </w:rPr>
        <w:t>أيضا بيان وجه افتراق معاملة الأمير في الجمل و صفين، حيث لم يتبع في الأول، و تبع في الأخير، بأنّ لهم في صفين فئة دون الجمل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شمول حكم البغاة غير الجماعة مثل الآحاد، نظر، لانصراف دليلها إلى الجماعة، نعم بملاحظة كونه شاهرا سيفه على الامام، يجب دفعه و لو بقتله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وجوب قتله مع التمكن من حفظ الامام عليه السلام بدونه، نظر، ما لم يكن كافرا، و لو لإنكاره ضروريا من ضروريات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يؤيده وصية الأمير في ابن ملجم و تخييره بين العفو و القصاص، و إلّا فيجب قتله، لكونه من البغاة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لو كانت الجماعة الباغية في قبضته، فعن ابن إدريس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ليسوا أهل بغي </w:t>
      </w:r>
      <w:r>
        <w:rPr>
          <w:rStyle w:val="FootnoteAnchor"/>
          <w:rtl w:val="true"/>
        </w:rPr>
        <w:footnoteReference w:id="1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توجيهه بأنّ حكم البغاة لم يعلم إلّا من فعل علي عليه السلام و مورده الجماعة المنفردة عنه، و الخارجة عن قبضته، فيقتصر على المتيقن </w:t>
      </w:r>
      <w:r>
        <w:rPr>
          <w:rStyle w:val="FootnoteAnchor"/>
          <w:rtl w:val="true"/>
        </w:rPr>
        <w:footnoteReference w:id="1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يومئ إليه ما في النص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دامت أيديكم معنا</w:t>
      </w:r>
      <w:r>
        <w:rPr>
          <w:rFonts w:eastAsia="Amiri" w:cs="Amiri" w:ascii="Amiri" w:hAnsi="Amiri"/>
          <w:color w:val="111111"/>
          <w:sz w:val="28"/>
          <w:szCs w:val="28"/>
          <w:rtl w:val="true"/>
          <w:lang w:bidi="ar-SA"/>
        </w:rPr>
        <w:t xml:space="preserve">» </w:t>
      </w:r>
      <w:r>
        <w:rPr>
          <w:rStyle w:val="FootnoteAnchor"/>
          <w:rtl w:val="true"/>
        </w:rPr>
        <w:footnoteReference w:id="1146"/>
      </w:r>
      <w:r>
        <w:rPr>
          <w:rFonts w:ascii="Amiri" w:hAnsi="Amiri" w:eastAsia="Amiri" w:cs="Amiri"/>
          <w:color w:val="111111"/>
          <w:sz w:val="28"/>
          <w:sz w:val="28"/>
          <w:szCs w:val="28"/>
          <w:rtl w:val="true"/>
          <w:lang w:bidi="ar-SA"/>
        </w:rPr>
        <w:t xml:space="preserve">، و لكن في الجواهر تضعيف سنده بالإرسال و عدم جابر له </w:t>
      </w:r>
      <w:r>
        <w:rPr>
          <w:rStyle w:val="FootnoteAnchor"/>
          <w:rtl w:val="true"/>
        </w:rPr>
        <w:footnoteReference w:id="1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أفيد أولا إنما يصح لو كانت مثل هذه الخصوصيات مما يلتفت إليها العرف، و إلّا فلا محيص عن التعدّي إلى كل من خرج على الامام عليه السلام و لو كان في قبضته</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لزوم كونهم على اعتقاد باطل في أمر الإمامة أو غيرها، منظور فيه، بشهادة أهل الجمل و صفين، و لذا لا يقتل هؤلاء ما لم يخرجوا على الامام، كما</w:t>
      </w:r>
      <w:bookmarkStart w:id="553" w:name="pg19818_204276"/>
    </w:p>
    <w:p>
      <w:pPr>
        <w:pStyle w:val="BookText"/>
        <w:rPr/>
      </w:pPr>
      <w:bookmarkEnd w:id="553"/>
      <w:r>
        <w:rPr>
          <w:rFonts w:ascii="Amiri" w:hAnsi="Amiri" w:eastAsia="Amiri" w:cs="Amiri"/>
          <w:color w:val="111111"/>
          <w:sz w:val="28"/>
          <w:sz w:val="28"/>
          <w:szCs w:val="28"/>
          <w:rtl w:val="true"/>
          <w:lang w:bidi="ar-SA"/>
        </w:rPr>
        <w:t>يومئ إليه وصية علي عليه السلام بعدم قتل أحد من أهل النهروان بعد انتهاء الحرب، نعم من كان ناصبا فهو كافر يجب قتله، لكونه منكرا لضروري الدين</w:t>
      </w:r>
      <w:r>
        <w:rPr>
          <w:rFonts w:eastAsia="Amiri" w:cs="Amiri" w:ascii="Amiri" w:hAnsi="Amiri"/>
          <w:color w:val="111111"/>
          <w:sz w:val="28"/>
          <w:szCs w:val="28"/>
          <w:rtl w:val="true"/>
          <w:lang w:bidi="ar-SA"/>
        </w:rPr>
        <w:t>.</w:t>
      </w:r>
    </w:p>
    <w:p>
      <w:pPr>
        <w:pStyle w:val="Heading6"/>
        <w:numPr>
          <w:ilvl w:val="5"/>
          <w:numId w:val="1"/>
        </w:numPr>
        <w:rPr/>
      </w:pPr>
      <w:bookmarkStart w:id="554" w:name="__RefHeading___Toc3321094_2314609296"/>
      <w:bookmarkStart w:id="555" w:name="_Toc205"/>
      <w:bookmarkEnd w:id="554"/>
      <w:r>
        <w:rPr>
          <w:rtl w:val="true"/>
        </w:rPr>
        <w:t>و لا يحل سبي ذراري الفريقين، و لا نسائهم، و لا أموالهم</w:t>
      </w:r>
      <w:bookmarkEnd w:id="555"/>
    </w:p>
    <w:p>
      <w:pPr>
        <w:pStyle w:val="BookText"/>
        <w:rPr/>
      </w:pPr>
      <w:r>
        <w:rPr>
          <w:rFonts w:ascii="Amiri" w:hAnsi="Amiri" w:eastAsia="Amiri" w:cs="Amiri"/>
          <w:color w:val="111111"/>
          <w:sz w:val="28"/>
          <w:sz w:val="28"/>
          <w:szCs w:val="28"/>
          <w:rtl w:val="true"/>
          <w:lang w:bidi="ar-SA"/>
        </w:rPr>
        <w:t>بلا اشكال ظاهرا نصا و فتوى، و في جملة من النصوص تعريض الأمير بالمقاتلين حين طلبوا الأسير منهم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أيكم يأخذ أم المؤمنين في سهمه</w:t>
      </w:r>
      <w:r>
        <w:rPr>
          <w:rFonts w:eastAsia="Amiri" w:cs="Amiri" w:ascii="Amiri" w:hAnsi="Amiri"/>
          <w:color w:val="111111"/>
          <w:sz w:val="28"/>
          <w:szCs w:val="28"/>
          <w:rtl w:val="true"/>
          <w:lang w:bidi="ar-SA"/>
        </w:rPr>
        <w:t xml:space="preserve">» </w:t>
      </w:r>
      <w:r>
        <w:rPr>
          <w:rStyle w:val="FootnoteAnchor"/>
          <w:rtl w:val="true"/>
        </w:rPr>
        <w:footnoteReference w:id="1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جملة اخرى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دار الشرك يحل ما فيها، و دار الإسلام لا يحل ما فيها</w:t>
      </w:r>
      <w:r>
        <w:rPr>
          <w:rFonts w:eastAsia="Amiri" w:cs="Amiri" w:ascii="Amiri" w:hAnsi="Amiri"/>
          <w:color w:val="111111"/>
          <w:sz w:val="28"/>
          <w:szCs w:val="28"/>
          <w:rtl w:val="true"/>
          <w:lang w:bidi="ar-SA"/>
        </w:rPr>
        <w:t xml:space="preserve">» </w:t>
      </w:r>
      <w:r>
        <w:rPr>
          <w:rStyle w:val="FootnoteAnchor"/>
          <w:rtl w:val="true"/>
        </w:rPr>
        <w:footnoteReference w:id="1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جملة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منّ عليهم بعدم أخذ أموالهم و عدم سبيهم مراعاة لشيعتهم المبتلين بدولتهم الآتية الباطلة </w:t>
      </w:r>
      <w:r>
        <w:rPr>
          <w:rStyle w:val="FootnoteAnchor"/>
          <w:rtl w:val="true"/>
        </w:rPr>
        <w:footnoteReference w:id="11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و في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التصريح بأن سيرة القائم عجل اللّٰه فرجه غير سيرة علي، لأنه كان يرى شيعته في أيديهم فراعاهم مقدمة لمراعاتهم، بخلاف القائم، فإنه لا مقتضى لمراعاته لهم لانحصار الدولة بالحق </w:t>
      </w:r>
      <w:r>
        <w:rPr>
          <w:rStyle w:val="FootnoteAnchor"/>
          <w:rtl w:val="true"/>
        </w:rPr>
        <w:footnoteReference w:id="1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المجموع يستفاد انّ حفظ أموالهم و عدم سبي نسائهم لحكمة التقية، لا لأنهم مستأهلون لذلك، و نرى أنصاف علي عليه السلام في حقهم، و مع ذلك فعلوا بذراريه ما فعلوا، ألا لعنة اللّٰه عليهم أجمعين</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مقتضى عموم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دار الإسلام لا يحل ما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الفرق في عدم جواز الأخذ بين ما يجدون من أموالهم بعد الحرب أو حينها، و بين ما حواه</w:t>
      </w:r>
    </w:p>
    <w:p>
      <w:pPr>
        <w:pStyle w:val="BookText"/>
        <w:rPr/>
      </w:pPr>
      <w:r>
        <w:rPr>
          <w:rFonts w:ascii="Amiri" w:hAnsi="Amiri" w:eastAsia="Amiri" w:cs="Amiri"/>
          <w:color w:val="111111"/>
          <w:sz w:val="28"/>
          <w:sz w:val="28"/>
          <w:szCs w:val="28"/>
          <w:rtl w:val="true"/>
          <w:lang w:bidi="ar-SA"/>
        </w:rPr>
        <w:t>العسكر و غيره، و بين تملك المقاتلين و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عن الشيخ في المبسوط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أصحابنا أنّ ما يحويه العسكر من الأموال يقسّم </w:t>
      </w:r>
      <w:r>
        <w:rPr>
          <w:rStyle w:val="FootnoteAnchor"/>
          <w:rtl w:val="true"/>
        </w:rPr>
        <w:footnoteReference w:id="1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في الشرائع ما مضمونه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سيرة علي على الأخذ، و هو الأظهر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في جملة 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زيادة على المضمون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نادى أن من وجد ماله فليأخذ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جمع في الجواهر بين الطائفتين بأنه عليه السلام أذن لهم بأخذ المال الذي عند العسكر، ثم بعد ذلك جبر ضررهم من بيت المال </w:t>
      </w:r>
      <w:r>
        <w:rPr>
          <w:rStyle w:val="FootnoteAnchor"/>
          <w:rtl w:val="true"/>
        </w:rPr>
        <w:footnoteReference w:id="1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مناف لنهيهم عن أخذ المال، و أمر البغاة بأخذ عين مالهم من يد العساكر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فإن تم سيرة علي عليه السلام فهو، و إلّا فالأخبار الناهية ترجح بموافقتها مع عمومات حرمة مال المسلم، بعد عموم دليل إسلام مظهر الشهادتين، إلّا منكري ضروري الدين كالغلاة و الخوارج، فإنهم شر من الكلاب و أسوأ خلق اللّٰه و أظهرهم كفرا، بل و كذلك النصّاب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النص عنه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سمع أحدا يذكرني فالواجب عليه أن يقتل من شتمني و لا يرفع إلى السلطان</w:t>
      </w:r>
      <w:r>
        <w:rPr>
          <w:rFonts w:eastAsia="Amiri" w:cs="Amiri" w:ascii="Amiri" w:hAnsi="Amiri"/>
          <w:color w:val="111111"/>
          <w:sz w:val="28"/>
          <w:szCs w:val="28"/>
          <w:rtl w:val="true"/>
          <w:lang w:bidi="ar-SA"/>
        </w:rPr>
        <w:t xml:space="preserve">» </w:t>
      </w:r>
      <w:r>
        <w:rPr>
          <w:rStyle w:val="FootnoteAnchor"/>
          <w:rtl w:val="true"/>
        </w:rPr>
        <w:footnoteReference w:id="1154"/>
      </w:r>
      <w:r>
        <w:rPr>
          <w:rFonts w:eastAsia="Times New Roman" w:cs="Times New Roman" w:ascii="Times New Roman" w:hAnsi="Times New Roman"/>
          <w:color w:val="111111"/>
          <w:sz w:val="28"/>
          <w:szCs w:val="28"/>
          <w:rtl w:val="true"/>
          <w:lang w:val="en-US" w:bidi="en-US"/>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مع الخوف على النفس جاز ترك قتلهم تقية، و في النص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لا إنّا نخاف عليكم أن يقتل رجل منكم برجل منهم، و رجل منكم خير من ألف رجل منهم، لأمرناكم بالقتل لهم</w:t>
      </w:r>
      <w:r>
        <w:rPr>
          <w:rFonts w:eastAsia="Amiri" w:cs="Amiri" w:ascii="Amiri" w:hAnsi="Amiri"/>
          <w:color w:val="111111"/>
          <w:sz w:val="28"/>
          <w:szCs w:val="28"/>
          <w:rtl w:val="true"/>
          <w:lang w:bidi="ar-SA"/>
        </w:rPr>
        <w:t xml:space="preserve">» </w:t>
      </w:r>
      <w:r>
        <w:rPr>
          <w:rStyle w:val="FootnoteAnchor"/>
          <w:rtl w:val="true"/>
        </w:rPr>
        <w:footnoteReference w:id="1155"/>
      </w:r>
      <w:r>
        <w:rPr>
          <w:rFonts w:eastAsia="Times New Roman" w:cs="Times New Roman" w:ascii="Times New Roman" w:hAnsi="Times New Roman"/>
          <w:color w:val="111111"/>
          <w:sz w:val="28"/>
          <w:szCs w:val="28"/>
          <w:rtl w:val="true"/>
          <w:lang w:val="en-US" w:bidi="en-US"/>
        </w:rPr>
        <w:t>.</w:t>
      </w:r>
      <w:bookmarkStart w:id="556" w:name="pg19818_204278"/>
    </w:p>
    <w:p>
      <w:pPr>
        <w:pStyle w:val="BookText"/>
        <w:rPr/>
      </w:pPr>
      <w:bookmarkEnd w:id="556"/>
      <w:r>
        <w:rPr>
          <w:rFonts w:ascii="Amiri" w:hAnsi="Amiri" w:eastAsia="Amiri" w:cs="Amiri"/>
          <w:color w:val="111111"/>
          <w:sz w:val="28"/>
          <w:sz w:val="28"/>
          <w:szCs w:val="28"/>
          <w:rtl w:val="true"/>
          <w:lang w:bidi="ar-SA"/>
        </w:rPr>
        <w:t>و عن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نهى ريان بن الصلت ثلاث مرات عن قتل العباسي الذي كان ينال منه عليه السلام </w:t>
      </w:r>
      <w:r>
        <w:rPr>
          <w:rStyle w:val="FootnoteAnchor"/>
          <w:rtl w:val="true"/>
        </w:rPr>
        <w:footnoteReference w:id="1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يلحق بالإمام في ذلك فاطمة الزهراء و الملائكة، بل و رؤساء الدين، احتراما للمذهب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يكون سابّهم بحكم الكافر الحربي، فماله في‌ء، و تسبى نساؤه إذا كنّ ناصبيات مثله، و إلّا فمع إسلامهن يفترقن عنه فورا، بل قيل بعدم قبول توبته في رفع قتله نظير المرتد فطريا و إن لم يكن منه، مع عدم استحلاله لذلك، للإطلاقات</w:t>
      </w:r>
      <w:r>
        <w:rPr>
          <w:rFonts w:eastAsia="Amiri" w:cs="Amiri" w:ascii="Amiri" w:hAnsi="Amiri"/>
          <w:color w:val="111111"/>
          <w:sz w:val="28"/>
          <w:szCs w:val="28"/>
          <w:rtl w:val="true"/>
          <w:lang w:bidi="ar-SA"/>
        </w:rPr>
        <w:t>.</w:t>
      </w:r>
    </w:p>
    <w:p>
      <w:pPr>
        <w:pStyle w:val="Heading4"/>
        <w:numPr>
          <w:ilvl w:val="3"/>
          <w:numId w:val="1"/>
        </w:numPr>
        <w:rPr/>
      </w:pPr>
      <w:bookmarkStart w:id="557" w:name="__RefHeading___Toc3321096_2314609296"/>
      <w:bookmarkStart w:id="558" w:name="_Toc206"/>
      <w:bookmarkEnd w:id="557"/>
      <w:r>
        <w:rPr>
          <w:rtl w:val="true"/>
        </w:rPr>
        <w:t>الفصل الثالث</w:t>
      </w:r>
      <w:r>
        <w:rPr>
          <w:rtl w:val="true"/>
        </w:rPr>
        <w:t xml:space="preserve">: </w:t>
      </w:r>
      <w:r>
        <w:rPr>
          <w:rtl w:val="true"/>
        </w:rPr>
        <w:t>في قسمة الغنائم</w:t>
      </w:r>
      <w:bookmarkEnd w:id="558"/>
    </w:p>
    <w:p>
      <w:pPr>
        <w:pStyle w:val="Heading5"/>
        <w:numPr>
          <w:ilvl w:val="4"/>
          <w:numId w:val="1"/>
        </w:numPr>
        <w:rPr/>
      </w:pPr>
      <w:bookmarkStart w:id="559" w:name="__RefHeading___Toc3321098_2314609296"/>
      <w:bookmarkStart w:id="560" w:name="_Toc207"/>
      <w:bookmarkEnd w:id="559"/>
      <w:r>
        <w:rPr>
          <w:rtl w:val="true"/>
        </w:rPr>
        <w:t>اشارة</w:t>
      </w:r>
      <w:bookmarkEnd w:id="560"/>
    </w:p>
    <w:p>
      <w:pPr>
        <w:pStyle w:val="BookText"/>
        <w:rPr/>
      </w:pPr>
      <w:r>
        <w:rPr>
          <w:rFonts w:ascii="Amiri" w:hAnsi="Amiri" w:eastAsia="Amiri" w:cs="Amiri"/>
          <w:color w:val="111111"/>
          <w:sz w:val="28"/>
          <w:sz w:val="28"/>
          <w:szCs w:val="28"/>
          <w:rtl w:val="true"/>
          <w:lang w:bidi="ar-SA"/>
        </w:rPr>
        <w:t>و هو جمع الغنيمة و المراد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 ما يغنم من أموال المشركين أو من بحكمهم، من دار الحرب، عند حواء العسكر لها بالقهر و الغلبة حين المقاتلة أو 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تنقسم إلى ثلاثة أنواع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المنقول، و الأراضي، و السبايا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يجوز لأحد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التصرف في شي‌ء منها قبل القسمة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المشهور جواز تناول ما لا بد منه، كعليق الدابة و أكل الطعام، لقوله تعالى فَكُلُوا مِمّٰا غَنِمْتُمْ حَلٰالًا طَيِّباً </w:t>
      </w:r>
      <w:r>
        <w:rPr>
          <w:rStyle w:val="FootnoteAnchor"/>
          <w:rtl w:val="true"/>
        </w:rPr>
        <w:footnoteReference w:id="1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نص مسعدة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النهي إلّا عما لا بد من أكله </w:t>
      </w:r>
      <w:r>
        <w:rPr>
          <w:rStyle w:val="FootnoteAnchor"/>
          <w:rtl w:val="true"/>
        </w:rPr>
        <w:footnoteReference w:id="1158"/>
      </w:r>
      <w:r>
        <w:rPr>
          <w:rFonts w:eastAsia="Times New Roman" w:cs="Times New Roman" w:ascii="Times New Roman" w:hAnsi="Times New Roman"/>
          <w:color w:val="111111"/>
          <w:sz w:val="28"/>
          <w:szCs w:val="28"/>
          <w:rtl w:val="true"/>
          <w:lang w:val="en-US" w:bidi="en-US"/>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يستفاد من فحواه جواز عليق الدابة، الظاهر منه ما كان محتاجا إليه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اعتبار الاعتياد في الاحتياج نظر، لعدم الاحتياج حال كونهم في بلادهم الممكن لهم شراء المأكول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يلحق به المشروب المحتاج إليه لا مطلقا، و منها العقاقير و الأدوية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ما ينقل إن كان مما يصح تملكه للمسلمين فيبقى عليه، و إلّا فيجوز إتلافه، لأنه لا يدخل في الغنيمة المملوكة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مع صلاحية الخمر للتخليل، يشكل إتلافه، لأنه يصلح لأن يصير مالا، فلهم حق اختصاص به، دون ما ليس كذلك، فيدخل الأول في الغنيمة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انّ الأشياء المباحة في دار الحرب كالطيور و الأشجار و نحوها لا يختص بها أحد و يتملكه من حازه من المسلمين، نعم لو كان فيه أثر ملك فهو غنيمة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وجد شي‌ء في دار الحرب و لم يعلم انه من المسلمين أو من الكفار، ففي دخوله في الغنيمة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يحل مال امرئ إلّا من حيث أحله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يدخله في اللقطة، خصوصا مع أصالة عدم يد الحربي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يكون غنيمة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تعارضها أصالة عدم جريان يد محترمة عليه، فيجوز تملكه، لأنّ مقتضى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حرمة المال إلّا من قبل الحيثيات المحللة، فأصالة عدمها تدخله في المحرم، فالحلية حينئذ من آثار كون المال ملك حربي، لا عدم كونه ملك مسلم</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حينئذ فلا محيص عن دعوى حرمة التصرف إلّا مع تحقق شرائط اللقطة، و ذلك هو نكتة اجراء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المحقق </w:t>
      </w:r>
      <w:r>
        <w:rPr>
          <w:rStyle w:val="FootnoteAnchor"/>
          <w:rtl w:val="true"/>
        </w:rPr>
        <w:footnoteReference w:id="1159"/>
      </w:r>
      <w:r>
        <w:rPr>
          <w:rFonts w:ascii="Amiri" w:hAnsi="Amiri" w:eastAsia="Amiri" w:cs="Amiri"/>
          <w:color w:val="111111"/>
          <w:sz w:val="28"/>
          <w:sz w:val="28"/>
          <w:szCs w:val="28"/>
          <w:rtl w:val="true"/>
          <w:lang w:bidi="ar-SA"/>
        </w:rPr>
        <w:t xml:space="preserve">، و العلّامة </w:t>
      </w:r>
      <w:r>
        <w:rPr>
          <w:rStyle w:val="FootnoteAnchor"/>
          <w:rtl w:val="true"/>
        </w:rPr>
        <w:footnoteReference w:id="1160"/>
      </w:r>
      <w:r>
        <w:rPr>
          <w:rFonts w:ascii="Amiri" w:hAnsi="Amiri" w:eastAsia="Amiri" w:cs="Amiri"/>
          <w:color w:val="111111"/>
          <w:sz w:val="28"/>
          <w:sz w:val="28"/>
          <w:szCs w:val="28"/>
          <w:rtl w:val="true"/>
          <w:lang w:bidi="ar-SA"/>
        </w:rPr>
        <w:t xml:space="preserve">، و ثاني الشهيدين </w:t>
      </w:r>
      <w:r>
        <w:rPr>
          <w:rStyle w:val="FootnoteAnchor"/>
          <w:rtl w:val="true"/>
        </w:rPr>
        <w:footnoteReference w:id="11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اللقطة في المقام، و قد ذكرنا نظير هذا الكلام في</w:t>
      </w:r>
    </w:p>
    <w:p>
      <w:pPr>
        <w:pStyle w:val="BookText"/>
        <w:rPr/>
      </w:pPr>
      <w:r>
        <w:rPr>
          <w:rFonts w:ascii="Amiri" w:hAnsi="Amiri" w:eastAsia="Amiri" w:cs="Amiri"/>
          <w:color w:val="111111"/>
          <w:sz w:val="28"/>
          <w:sz w:val="28"/>
          <w:szCs w:val="28"/>
          <w:rtl w:val="true"/>
          <w:lang w:bidi="ar-SA"/>
        </w:rPr>
        <w:t>الكنوز القديمة، في باب الخمس،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مقتضى إطلاقات ما دل على انّ ما حواه العسكر فهو للمجاهدين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 في بعض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التعبير بالشركة بينهم، كما في خبر حفص بن غياث </w:t>
      </w:r>
      <w:r>
        <w:rPr>
          <w:rStyle w:val="FootnoteAnchor"/>
          <w:rtl w:val="true"/>
        </w:rPr>
        <w:footnoteReference w:id="11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اختصاص أحد بما يتناوله، كي يكون تصرف الإمام في حصته، و إعطاء ما يتناوله أحد لغيره، من باب الولاية على نقل ماله، بل إنما هو ولي إجباري في تصرّف الافراز، و ممضى على الشركاء، قهرا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فلا يصح للمتناول بيع الغنيمة على غيره، لعدم إحراز الملكية التامة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له نحو استحقاق في المال بميزان عدد المجاهدين، فلو باع حصته من المال المزبور، مع علمه بمقداره، لا بأس به، و لا ينافي ذلك كون ملكيته في معرض الزوال، بقسمة الامام و إفراز حصته من الجميع في مال آخر، إذ هو نقل جديد غير مانع عن البيع الأول، غاية الأمر يصير المشتري حينئذ طرف هذه الشركة، فبقسمة الامام ينتقل المال من يد المشتري إلى الغير، و ينتقل إليه بمقدار ما اشتراه من حصة المقاتل في هذا المال، فيصير شريكا فيه لا أنّ القسمة موجبة لانفساخ البيع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قلنا بأنّ الغنيمة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للنوع لا الأفراد، و أن نتيجة قسمة الامام تعيين المالك، كما هو الشأن في غنيمة الأراضي، غاية الأمر هناك لا تعيين من قبل الامام، بل له أخذ خراجها و صرفها في مصالح النوع، كان لعدم جواز البيع، و لو بمقدار حصته المعلومة وجه وجيه، لعدم مالكية الأشخاص حينئذ قبل تطبيق الامام عليه السلام و تقسيمه</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ربما يكون نظر من التزم بعدم صحة البيع مطلقا، حتى بمقدار الحصة</w:t>
      </w:r>
      <w:bookmarkStart w:id="561" w:name="pg19818_204281"/>
    </w:p>
    <w:p>
      <w:pPr>
        <w:pStyle w:val="BookText"/>
        <w:rPr/>
      </w:pPr>
      <w:bookmarkEnd w:id="561"/>
      <w:r>
        <w:rPr>
          <w:rFonts w:ascii="Amiri" w:hAnsi="Amiri" w:eastAsia="Amiri" w:cs="Amiri"/>
          <w:color w:val="111111"/>
          <w:sz w:val="28"/>
          <w:sz w:val="28"/>
          <w:szCs w:val="28"/>
          <w:rtl w:val="true"/>
          <w:lang w:bidi="ar-SA"/>
        </w:rPr>
        <w:t>المعلومة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في الشرائع مال إلى الوجه الأول </w:t>
      </w:r>
      <w:r>
        <w:rPr>
          <w:rStyle w:val="FootnoteAnchor"/>
          <w:rtl w:val="true"/>
        </w:rPr>
        <w:footnoteReference w:id="1163"/>
      </w:r>
      <w:r>
        <w:rPr>
          <w:rFonts w:ascii="Amiri" w:hAnsi="Amiri" w:eastAsia="Amiri" w:cs="Amiri"/>
          <w:color w:val="111111"/>
          <w:sz w:val="28"/>
          <w:sz w:val="28"/>
          <w:szCs w:val="28"/>
          <w:rtl w:val="true"/>
          <w:lang w:bidi="ar-SA"/>
        </w:rPr>
        <w:t xml:space="preserve">، و قوّاه في الجواهر </w:t>
      </w:r>
      <w:r>
        <w:rPr>
          <w:rStyle w:val="FootnoteAnchor"/>
          <w:rtl w:val="true"/>
        </w:rPr>
        <w:footnoteReference w:id="11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تقويته نظر، لمساعدة الاعتبار على انّ اعتبار ملكية الغنيمة للمجاهدين، كاعتبار ملكية الزكاة للأصناف، على القول بالبسط، لا كاعتبار المال للأشخاص بنحو الشركة، و انّ إطلاق الشركة في المقام بلحاظ البسط عليهم، لا بلحاظ مالكية أشخاصهم، للأعيان مشاعا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الإنصاف انه مجرد احتمال لا يساعده ظواهر الأدلة، فما في الجواهر و الشرائع لا يخلو عن قوة، لو لا وهنه بندرة القول به،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يترتب على هذه الجهة مسألة انعتاق من ينعتق على الغانمين، فتدبّر في وجه طرفي الاحتمال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المال المنقول، و أما الأراضي فسيأتي الكلام عليها في طي كلام المصنف</w:t>
      </w:r>
      <w:r>
        <w:rPr>
          <w:rFonts w:eastAsia="Amiri" w:cs="Amiri" w:ascii="Amiri" w:hAnsi="Amiri"/>
          <w:color w:val="111111"/>
          <w:sz w:val="28"/>
          <w:szCs w:val="28"/>
          <w:rtl w:val="true"/>
          <w:lang w:bidi="ar-SA"/>
        </w:rPr>
        <w:t>.</w:t>
      </w:r>
    </w:p>
    <w:p>
      <w:pPr>
        <w:pStyle w:val="Heading5"/>
        <w:numPr>
          <w:ilvl w:val="4"/>
          <w:numId w:val="1"/>
        </w:numPr>
        <w:rPr/>
      </w:pPr>
      <w:bookmarkStart w:id="562" w:name="__RefHeading___Toc3321100_2314609296"/>
      <w:bookmarkStart w:id="563" w:name="_Toc208"/>
      <w:bookmarkEnd w:id="562"/>
      <w:r>
        <w:rPr>
          <w:rtl w:val="true"/>
        </w:rPr>
        <w:t>جميع ما يغنم من بلاد الشرك يخرج منه ما شرطه الإمام</w:t>
      </w:r>
      <w:bookmarkEnd w:id="563"/>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جهة كالجعائل بلا إشكال، لولاية الامام على مثل هذه التصرفات، و كونه أولى بالمؤمنين من أنفسهم، و من جملتها جعل السلب لقاتل أو لقاطع يد أو رجل تشويقا و تحريضا على القتال، فله تخصيص السلب بأي عنوان، و مع الانطباق على شخص دون آخر، فيكون استحقاق السلب تابعا لعنوان جعله، فكون السلب لمن قتل قتيلا ليس حكما إليها غير قابل للتغيير، كي يدور مدار صدق القاتل على أي شخص، بل إنما يتبع جعل الامام بنحو الجعالة لأحد العناوين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 الانطباق على شخص يكون هو المستحق، نعم يختص بمن كان</w:t>
      </w:r>
    </w:p>
    <w:p>
      <w:pPr>
        <w:pStyle w:val="BookText"/>
        <w:rPr/>
      </w:pPr>
      <w:r>
        <w:rPr>
          <w:rFonts w:ascii="Amiri" w:hAnsi="Amiri" w:eastAsia="Amiri" w:cs="Amiri"/>
          <w:color w:val="111111"/>
          <w:sz w:val="28"/>
          <w:sz w:val="28"/>
          <w:szCs w:val="28"/>
          <w:rtl w:val="true"/>
          <w:lang w:bidi="ar-SA"/>
        </w:rPr>
        <w:t>داخلا في المقاتلة، فلا يشمل الأجنبي إلّا مع تصريح الإمام لمصلحة يراها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و له التصرف في اشتراط كون المقتول ممن شرع قتله و لو لضرورة، و إلّا فلا يشمل قتل المرأة و الشيخ الفاني و الصبيان مع عدم 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ظهر أنه لو لم يشترط الامام كان السلب أيضا من جملة الغنائم، بلا اختصاص القاتل به، بلا اشكال فتوى و نصا، لعمومات الغنيمة، بعد الجزم بعدم مخصص شرعي، إذ ظاهر قول الرسول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قتل قتيلا فله سلبه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يوم خيبر، كونه بجعله لا لحكمه تعالى في الواقعة، كما هو الأصل في أمثال هذه البيانات الصادرة منه صلّى اللّٰه عليه و آله و يؤيده قرينة فهم النوع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المراد من السلب كلما كان مع المقتول في الحرب، من اللباس و آلات الحرب و المركب، و لو لم يكن حال ركوبه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يشمل الهميان و النقود التي عنده، حال الحرب و غيره، دون ما كان موضوعا في منزله، من العقار و الأسباب، إجماعا و انصرافا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يقدّم أيضا على القسمة على المجاهدين الرضخ للنساء، و العبيد، و الكفار، إنّ قاتلوا بإذن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النساء فلخبر سماعة المشتمل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 يسهم لهن من الفي‌ء شيئا و لكن نفلهن</w:t>
      </w:r>
      <w:r>
        <w:rPr>
          <w:rFonts w:eastAsia="Amiri" w:cs="Amiri" w:ascii="Amiri" w:hAnsi="Amiri"/>
          <w:color w:val="111111"/>
          <w:sz w:val="28"/>
          <w:szCs w:val="28"/>
          <w:rtl w:val="true"/>
          <w:lang w:bidi="ar-SA"/>
        </w:rPr>
        <w:t xml:space="preserve">» </w:t>
      </w:r>
      <w:r>
        <w:rPr>
          <w:rStyle w:val="FootnoteAnchor"/>
          <w:rtl w:val="true"/>
        </w:rPr>
        <w:footnoteReference w:id="1165"/>
      </w:r>
      <w:r>
        <w:rPr>
          <w:rFonts w:ascii="Amiri" w:hAnsi="Amiri" w:eastAsia="Amiri" w:cs="Amiri"/>
          <w:color w:val="111111"/>
          <w:sz w:val="28"/>
          <w:sz w:val="28"/>
          <w:szCs w:val="28"/>
          <w:rtl w:val="true"/>
          <w:lang w:bidi="ar-SA"/>
        </w:rPr>
        <w:t>، بعد طرح ما يوهم خلافه لضعفه</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العبد فمع كونه مأذونا من قبل المولى أو الإمام ولاية عنه، فقد حكي نفي الخلاف فيه إلّا ما عن الإسكافي، من كونه ذا سهم، و استدل بما اشتمل</w:t>
      </w:r>
    </w:p>
    <w:p>
      <w:pPr>
        <w:pStyle w:val="BookText"/>
        <w:rPr/>
      </w:pPr>
      <w:r>
        <w:rPr>
          <w:rFonts w:ascii="Amiri" w:hAnsi="Amiri" w:eastAsia="Amiri" w:cs="Amiri"/>
          <w:color w:val="111111"/>
          <w:sz w:val="28"/>
          <w:sz w:val="28"/>
          <w:szCs w:val="28"/>
          <w:rtl w:val="true"/>
          <w:lang w:bidi="ar-SA"/>
        </w:rPr>
        <w:t xml:space="preserve">على التسوية بين أهل الإسلام في خبر حفص </w:t>
      </w:r>
      <w:r>
        <w:rPr>
          <w:rStyle w:val="FootnoteAnchor"/>
          <w:rtl w:val="true"/>
        </w:rPr>
        <w:footnoteReference w:id="1166"/>
      </w:r>
      <w:r>
        <w:rPr>
          <w:rFonts w:ascii="Amiri" w:hAnsi="Amiri" w:eastAsia="Amiri" w:cs="Amiri"/>
          <w:color w:val="111111"/>
          <w:sz w:val="28"/>
          <w:sz w:val="28"/>
          <w:szCs w:val="28"/>
          <w:rtl w:val="true"/>
          <w:lang w:bidi="ar-SA"/>
        </w:rPr>
        <w:t>، و في نص عامي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 لهم سهامهم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هما ضعيفان موهونان بمخالفة المشهور، و في قبالهما ما في الدعائم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للعبد من الغنيمة شي‌ء و إن حضر و قاتل</w:t>
      </w:r>
      <w:r>
        <w:rPr>
          <w:rFonts w:eastAsia="Amiri" w:cs="Amiri" w:ascii="Amiri" w:hAnsi="Amiri"/>
          <w:color w:val="111111"/>
          <w:sz w:val="28"/>
          <w:szCs w:val="28"/>
          <w:rtl w:val="true"/>
          <w:lang w:bidi="ar-SA"/>
        </w:rPr>
        <w:t xml:space="preserve">» </w:t>
      </w:r>
      <w:r>
        <w:rPr>
          <w:rStyle w:val="FootnoteAnchor"/>
          <w:rtl w:val="true"/>
        </w:rPr>
        <w:footnoteReference w:id="1167"/>
      </w:r>
      <w:r>
        <w:rPr>
          <w:rFonts w:ascii="Amiri" w:hAnsi="Amiri" w:eastAsia="Amiri" w:cs="Amiri"/>
          <w:color w:val="111111"/>
          <w:sz w:val="28"/>
          <w:sz w:val="28"/>
          <w:szCs w:val="28"/>
          <w:rtl w:val="true"/>
          <w:lang w:bidi="ar-SA"/>
        </w:rPr>
        <w:t>، المنجبر بالشهرة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إطلاق النص يشمل المأذون و غيره، و لكن يمكن منع نظره إلى مثل هذه الجهة، بل إنما هو في مقام بيان جعل شي‌ء بدل السهم في ظرف مشروعية قتاله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يمكن دعوى انصرافه إليه، فلا يشمل صورة كون سفره و قتاله حراما، لعدم الاذن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حكى الإجماع في الجواهر أيضا على عدم كونه ذا سهم، بل عدم وضع رضخ له أيضا </w:t>
      </w:r>
      <w:r>
        <w:rPr>
          <w:rStyle w:val="FootnoteAnchor"/>
          <w:rtl w:val="true"/>
        </w:rPr>
        <w:footnoteReference w:id="1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فرق بين أنحاء العبودية، فلو تحرر منه شي‌ء قبل انقضاء الحرب أسهم له بنسبة حريته، و يرضخ له بقدر رقيته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الكافر فإنما يستحق من سهم المؤلفة و الرضخ إذا خرج و قاتل بإذن الإمام، فلو خرج بغير اذنه لم يسهم له و لا يرضخ له إجماعا في شقي المسألة، و في الجواهر أرسله إرسال المسلمات </w:t>
      </w:r>
      <w:r>
        <w:rPr>
          <w:rStyle w:val="FootnoteAnchor"/>
          <w:rtl w:val="true"/>
        </w:rPr>
        <w:footnoteReference w:id="1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انّ ظاهر جماعة تخصيص الرضخ بالمذكورين، و عن الشيخ إلحاق الأعراب بهم، لعدم كونهم ذوي سهم في الغنيمة </w:t>
      </w:r>
      <w:r>
        <w:rPr>
          <w:rStyle w:val="FootnoteAnchor"/>
          <w:rtl w:val="true"/>
        </w:rPr>
        <w:footnoteReference w:id="1170"/>
      </w:r>
      <w:r>
        <w:rPr>
          <w:rFonts w:ascii="IRNazanin" w:hAnsi="IRNazanin" w:eastAsia="IRNazanin"/>
          <w:color w:val="111111"/>
          <w:sz w:val="28"/>
          <w:sz w:val="28"/>
          <w:szCs w:val="28"/>
          <w:rtl w:val="true"/>
          <w:lang w:bidi="fa-IR"/>
        </w:rPr>
        <w:t>، و له وجه</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مما يقدّم على القسمة أيضا الأجرة المجعولة من قبل الإمام</w:t>
      </w:r>
    </w:p>
    <w:p>
      <w:pPr>
        <w:pStyle w:val="BookText"/>
        <w:rPr/>
      </w:pPr>
      <w:r>
        <w:rPr>
          <w:rFonts w:ascii="Amiri" w:hAnsi="Amiri" w:eastAsia="Amiri" w:cs="Amiri"/>
          <w:color w:val="111111"/>
          <w:sz w:val="28"/>
          <w:sz w:val="28"/>
          <w:szCs w:val="28"/>
          <w:rtl w:val="true"/>
          <w:lang w:bidi="ar-SA"/>
        </w:rPr>
        <w:t>للمستحفظين لبيت المال و غيرهم، لأنه من التصرفات الراجعة إلى مصلحة المسلمين، و لا بد أن تكون منها مئونة الاستئجار على الغنيمة، لأنها راجعة إلى حفظها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ما يصطفيه الامام لنفسه قبل كمال القسمة، و يدل عليه قضية خالد مع علي عليه السلام حين اصطفى جارية لنفسه </w:t>
      </w:r>
      <w:r>
        <w:rPr>
          <w:rStyle w:val="FootnoteAnchor"/>
          <w:rtl w:val="true"/>
        </w:rPr>
        <w:footnoteReference w:id="11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تصريح بولايته و خلافته عن رسول اللّٰه صلّى اللّٰه عليه و آله بلا فصل، و في نص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للإمام صفو المال</w:t>
      </w:r>
      <w:r>
        <w:rPr>
          <w:rFonts w:eastAsia="Amiri" w:cs="Amiri" w:ascii="Amiri" w:hAnsi="Amiri"/>
          <w:color w:val="111111"/>
          <w:sz w:val="28"/>
          <w:szCs w:val="28"/>
          <w:rtl w:val="true"/>
          <w:lang w:bidi="ar-SA"/>
        </w:rPr>
        <w:t xml:space="preserve">» </w:t>
      </w:r>
      <w:r>
        <w:rPr>
          <w:rStyle w:val="FootnoteAnchor"/>
          <w:rtl w:val="true"/>
        </w:rPr>
        <w:footnoteReference w:id="1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كونه قبل الخمس أو بعده كلام آخر، نظير الجعائل و الرضائخ، و تقدّم تفصيل ذلك في 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يظهر من المصنف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يخمّس الباقي انّ الخمس بعد الأمور المزبورة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الأربعة الأخماس الباقية إن كانت مما تنقل و تحوّل فللمقاتلة، و من حضر القتال و إن لم يقاتل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يلحق بالمقاتلين المولود بعد الحيازة و قبل القسمة، لما في النص من أنّ المولود في أرض الحرب قسّم له </w:t>
      </w:r>
      <w:r>
        <w:rPr>
          <w:rStyle w:val="FootnoteAnchor"/>
          <w:rtl w:val="true"/>
        </w:rPr>
        <w:footnoteReference w:id="1173"/>
      </w:r>
      <w:r>
        <w:rPr>
          <w:rFonts w:ascii="Amiri" w:hAnsi="Amiri" w:eastAsia="Amiri" w:cs="Amiri"/>
          <w:color w:val="111111"/>
          <w:sz w:val="28"/>
          <w:sz w:val="28"/>
          <w:szCs w:val="28"/>
          <w:rtl w:val="true"/>
          <w:lang w:bidi="ar-SA"/>
        </w:rPr>
        <w:t>، و في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أسهم له</w:t>
      </w:r>
      <w:r>
        <w:rPr>
          <w:rFonts w:eastAsia="Amiri" w:cs="Amiri" w:ascii="Amiri" w:hAnsi="Amiri"/>
          <w:color w:val="111111"/>
          <w:sz w:val="28"/>
          <w:szCs w:val="28"/>
          <w:rtl w:val="true"/>
          <w:lang w:bidi="ar-SA"/>
        </w:rPr>
        <w:t xml:space="preserve">» </w:t>
      </w:r>
      <w:r>
        <w:rPr>
          <w:rStyle w:val="FootnoteAnchor"/>
          <w:rtl w:val="true"/>
        </w:rPr>
        <w:footnoteReference w:id="1174"/>
      </w:r>
      <w:r>
        <w:rPr>
          <w:rFonts w:eastAsia="Times New Roman" w:cs="Times New Roman" w:ascii="Times New Roman" w:hAnsi="Times New Roman"/>
          <w:color w:val="111111"/>
          <w:sz w:val="28"/>
          <w:szCs w:val="28"/>
          <w:rtl w:val="true"/>
          <w:lang w:val="en-US" w:bidi="en-US"/>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انّ المستفاد من خبر حفص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شركة من اتصل بالمقاتلة من المدد، و لو بعد الحيازة و قبل القسمة </w:t>
      </w:r>
      <w:r>
        <w:rPr>
          <w:rStyle w:val="FootnoteAnchor"/>
          <w:rtl w:val="true"/>
        </w:rPr>
        <w:footnoteReference w:id="1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إطلاق النص و ان كان يشمل ما بعد القسمة أيضا، كما هو الشأن في نص المولود، إلّا انه يقيّد، بما قبل القسمة 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هذا النص يستفاد أيضا حكم الحاضرين في المعركة للقتال بالفحوى، نعم لا يشمل مطلق الحاضرين لغرض آخر، غير القتال، كما هو ظاهر الأصحاب، فلا سهم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صار أحد المقاتلين أسيرا أو بريدا فحضر قبل القسمة فله سهم و إن لم يكن حاضرا وقت القتال، خلافا لبعضهم حيث اعتبر عدم تقضي الحرب، و إطلاق نص حفص يؤيد الأول، نعم لو حضر بعد القسمة فلا سهم له 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كيفية القسمة في ما أشار إليه المصنف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للراجل سهم، و للفارس سهمان، و لذي الأفراس ثلاثة بلغ عدد أفراسه ما بلغ، بلا اشكال فتوى و نصا، و في خبر حفص التصريح به، و كذا في غيره </w:t>
      </w:r>
      <w:r>
        <w:rPr>
          <w:rStyle w:val="FootnoteAnchor"/>
          <w:rtl w:val="true"/>
        </w:rPr>
        <w:footnoteReference w:id="1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ما في بعض النصوص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للفارس ثلاثة أسهم</w:t>
      </w:r>
      <w:r>
        <w:rPr>
          <w:rFonts w:eastAsia="Amiri" w:cs="Amiri" w:ascii="Amiri" w:hAnsi="Amiri"/>
          <w:color w:val="111111"/>
          <w:sz w:val="28"/>
          <w:szCs w:val="28"/>
          <w:rtl w:val="true"/>
          <w:lang w:bidi="ar-SA"/>
        </w:rPr>
        <w:t xml:space="preserve">» </w:t>
      </w:r>
      <w:r>
        <w:rPr>
          <w:rStyle w:val="FootnoteAnchor"/>
          <w:rtl w:val="true"/>
        </w:rPr>
        <w:footnoteReference w:id="1177"/>
      </w:r>
      <w:r>
        <w:rPr>
          <w:rFonts w:ascii="Amiri" w:hAnsi="Amiri" w:eastAsia="Amiri" w:cs="Amiri"/>
          <w:color w:val="111111"/>
          <w:sz w:val="28"/>
          <w:sz w:val="28"/>
          <w:szCs w:val="28"/>
          <w:rtl w:val="true"/>
          <w:lang w:bidi="ar-SA"/>
        </w:rPr>
        <w:t>، كما ذهب إليه الإسكافي منا، وفاقا للجمهور، مطرح أو مؤول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انّ من خبر الحسين بن عبد اللّٰه عن أبيه عن جده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مع الرجل أفراس لم يسهم إلّا لفرسين منها</w:t>
      </w:r>
      <w:r>
        <w:rPr>
          <w:rFonts w:eastAsia="Amiri" w:cs="Amiri" w:ascii="Amiri" w:hAnsi="Amiri"/>
          <w:color w:val="111111"/>
          <w:sz w:val="28"/>
          <w:szCs w:val="28"/>
          <w:rtl w:val="true"/>
          <w:lang w:bidi="ar-SA"/>
        </w:rPr>
        <w:t xml:space="preserve">» </w:t>
      </w:r>
      <w:r>
        <w:rPr>
          <w:rStyle w:val="FootnoteAnchor"/>
          <w:rtl w:val="true"/>
        </w:rPr>
        <w:footnoteReference w:id="1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يستفاد حكم الفقرة الثانية، بل نفي عنه الخلاف</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أيضا يستفاد من نص آخر عن حفص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مثل هذا التقسيم جار في</w:t>
      </w:r>
      <w:bookmarkStart w:id="564" w:name="pg19818_204286"/>
    </w:p>
    <w:p>
      <w:pPr>
        <w:pStyle w:val="BookText"/>
        <w:rPr/>
      </w:pPr>
      <w:bookmarkEnd w:id="564"/>
      <w:r>
        <w:rPr>
          <w:rFonts w:ascii="Amiri" w:hAnsi="Amiri" w:eastAsia="Amiri" w:cs="Amiri"/>
          <w:color w:val="111111"/>
          <w:sz w:val="28"/>
          <w:sz w:val="28"/>
          <w:szCs w:val="28"/>
          <w:rtl w:val="true"/>
          <w:lang w:bidi="ar-SA"/>
        </w:rPr>
        <w:t xml:space="preserve">راكب السفن إذا كان فرسه معه و إن لم يحتج الى ركوبه </w:t>
      </w:r>
      <w:r>
        <w:rPr>
          <w:rStyle w:val="FootnoteAnchor"/>
          <w:rtl w:val="true"/>
        </w:rPr>
        <w:footnoteReference w:id="11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ربما يستفاد منه الحكم المزبور في غير السفن، و انّ المدار على حضور فرسه في المقاتلة لمحض القتال و إن لم يحتج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تقدّم انّ من ولد بعد الحيازة قبل القسمة أسهم له، و كذا من يلحقهم للمعونة قبل القسمة</w:t>
      </w:r>
      <w:r>
        <w:rPr>
          <w:rFonts w:eastAsia="Amiri" w:cs="Amiri" w:ascii="Amiri" w:hAnsi="Amiri"/>
          <w:color w:val="111111"/>
          <w:sz w:val="28"/>
          <w:szCs w:val="28"/>
          <w:rtl w:val="true"/>
          <w:lang w:bidi="ar-SA"/>
        </w:rPr>
        <w:t>.</w:t>
      </w:r>
    </w:p>
    <w:p>
      <w:pPr>
        <w:pStyle w:val="Heading5"/>
        <w:numPr>
          <w:ilvl w:val="4"/>
          <w:numId w:val="1"/>
        </w:numPr>
        <w:rPr/>
      </w:pPr>
      <w:bookmarkStart w:id="565" w:name="__RefHeading___Toc3321102_2314609296"/>
      <w:bookmarkStart w:id="566" w:name="_Toc209"/>
      <w:bookmarkEnd w:id="565"/>
      <w:r>
        <w:rPr>
          <w:rtl w:val="true"/>
        </w:rPr>
        <w:t>و لا يفضل أحد على غيره لشرفه أو لشدة بلائه</w:t>
      </w:r>
      <w:bookmarkEnd w:id="566"/>
    </w:p>
    <w:p>
      <w:pPr>
        <w:pStyle w:val="BookText"/>
        <w:rPr/>
      </w:pPr>
      <w:r>
        <w:rPr>
          <w:rFonts w:ascii="Amiri" w:hAnsi="Amiri" w:eastAsia="Amiri" w:cs="Amiri"/>
          <w:color w:val="111111"/>
          <w:sz w:val="28"/>
          <w:sz w:val="28"/>
          <w:szCs w:val="28"/>
          <w:rtl w:val="true"/>
          <w:lang w:bidi="ar-SA"/>
        </w:rPr>
        <w:t>، لما في النص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أجعلهم كبني رجل واحد، لا يفضل أحد منهم لفضله</w:t>
      </w:r>
      <w:r>
        <w:rPr>
          <w:rFonts w:eastAsia="Amiri" w:cs="Amiri" w:ascii="Amiri" w:hAnsi="Amiri"/>
          <w:color w:val="111111"/>
          <w:sz w:val="28"/>
          <w:szCs w:val="28"/>
          <w:rtl w:val="true"/>
          <w:lang w:bidi="ar-SA"/>
        </w:rPr>
        <w:t xml:space="preserve">» </w:t>
      </w:r>
      <w:r>
        <w:rPr>
          <w:rStyle w:val="FootnoteAnchor"/>
          <w:rtl w:val="true"/>
        </w:rPr>
        <w:footnoteReference w:id="1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تقدم أيضا وجه ما أفاده المصنف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يقسم ما يغنم في المراكب هذه القسمة مع حضور فرسه في القتال، لقصور النص عن الشمول لغيره، خصوصا مع ما في ذيل النص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هم الذين غنموا دون الفرسان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بمنزلة التعليل لحكمه بالقسمة المزبورة لراكب السفينة</w:t>
      </w:r>
      <w:r>
        <w:rPr>
          <w:rFonts w:eastAsia="Amiri" w:cs="Amiri" w:ascii="Amiri" w:hAnsi="Amiri"/>
          <w:color w:val="111111"/>
          <w:sz w:val="28"/>
          <w:szCs w:val="28"/>
          <w:rtl w:val="true"/>
          <w:lang w:bidi="ar-SA"/>
        </w:rPr>
        <w:t>.</w:t>
      </w:r>
    </w:p>
    <w:p>
      <w:pPr>
        <w:pStyle w:val="Heading5"/>
        <w:numPr>
          <w:ilvl w:val="4"/>
          <w:numId w:val="1"/>
        </w:numPr>
        <w:rPr/>
      </w:pPr>
      <w:bookmarkStart w:id="567" w:name="__RefHeading___Toc3321104_2314609296"/>
      <w:bookmarkStart w:id="568" w:name="_Toc210"/>
      <w:bookmarkEnd w:id="567"/>
      <w:r>
        <w:rPr>
          <w:rtl w:val="true"/>
        </w:rPr>
        <w:t>و لا سهم لغير الخيل</w:t>
      </w:r>
      <w:bookmarkEnd w:id="568"/>
    </w:p>
    <w:p>
      <w:pPr>
        <w:pStyle w:val="BookText"/>
        <w:rPr/>
      </w:pPr>
      <w:r>
        <w:rPr>
          <w:rFonts w:ascii="Amiri" w:hAnsi="Amiri" w:eastAsia="Amiri" w:cs="Amiri"/>
          <w:color w:val="111111"/>
          <w:sz w:val="28"/>
          <w:sz w:val="28"/>
          <w:szCs w:val="28"/>
          <w:rtl w:val="true"/>
          <w:lang w:bidi="ar-SA"/>
        </w:rPr>
        <w:t>نسب ذلك إلى عامة الفقهاء قديما و حديثا، و انه لم ينقل عن النبي صلّى اللّٰه عليه و آله سهم لغير الخيل، مع انه كان معه يوم بدر سبعون بعيرا، على المحكي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المقدار يكفي دليلا على العدم بلا احتياج إلى أصالة عدم استحقاق غير الخيل من الغنيمة، لأنها تعارض بأصالة عدم استحقاق البقية للزائد المشكوك فيه</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إلّا أنّ يجري حكم الوارث المشكوك في المقام، و قد تقدّم شطر من الكلام في شرح هذا الأصل في بعض المباحث السابقة في غير هذا الكتاب،</w:t>
      </w:r>
      <w:bookmarkStart w:id="569" w:name="pg19818_204287"/>
    </w:p>
    <w:p>
      <w:pPr>
        <w:pStyle w:val="BookText"/>
        <w:rPr/>
      </w:pPr>
      <w:bookmarkEnd w:id="569"/>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الاعتبار في زيادة السهم بكونه فارسا عند الحيازة لا بدخوله المعركة، بمعنى بقاء فرسه معه إلى حين الحيازة و إن لم يحتج إلى ركوبه، إذا كان معه معدا له للقتال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لو ذهب فرسه حين القتال و بقي بلا فرس، أو كان معه فرسه لا لجهة القتال، بل لغرض آخر، فلا سهم لفرسه، كما هو ظاهر النص السابق و الفتوى</w:t>
      </w:r>
      <w:r>
        <w:rPr>
          <w:rFonts w:eastAsia="Amiri" w:cs="Amiri" w:ascii="Amiri" w:hAnsi="Amiri"/>
          <w:color w:val="111111"/>
          <w:sz w:val="28"/>
          <w:szCs w:val="28"/>
          <w:rtl w:val="true"/>
          <w:lang w:bidi="ar-SA"/>
        </w:rPr>
        <w:t>.</w:t>
      </w:r>
    </w:p>
    <w:p>
      <w:pPr>
        <w:pStyle w:val="Heading5"/>
        <w:numPr>
          <w:ilvl w:val="4"/>
          <w:numId w:val="1"/>
        </w:numPr>
        <w:rPr/>
      </w:pPr>
      <w:bookmarkStart w:id="570" w:name="__RefHeading___Toc3321106_2314609296"/>
      <w:bookmarkStart w:id="571" w:name="_Toc211"/>
      <w:bookmarkEnd w:id="570"/>
      <w:r>
        <w:rPr>
          <w:rtl w:val="true"/>
        </w:rPr>
        <w:t>و لا نصيب من الغنيمة للأعراب و إن جاهدوا</w:t>
      </w:r>
      <w:bookmarkEnd w:id="571"/>
    </w:p>
    <w:p>
      <w:pPr>
        <w:pStyle w:val="BookText"/>
        <w:rPr/>
      </w:pPr>
      <w:r>
        <w:rPr>
          <w:rFonts w:ascii="Amiri" w:hAnsi="Amiri" w:eastAsia="Amiri" w:cs="Amiri"/>
          <w:color w:val="111111"/>
          <w:sz w:val="28"/>
          <w:sz w:val="28"/>
          <w:szCs w:val="28"/>
          <w:rtl w:val="true"/>
          <w:lang w:bidi="ar-SA"/>
        </w:rPr>
        <w:t xml:space="preserve">، و هو المشهور خلافا للحلّي في السرائر </w:t>
      </w:r>
      <w:r>
        <w:rPr>
          <w:rStyle w:val="FootnoteAnchor"/>
          <w:rtl w:val="true"/>
        </w:rPr>
        <w:footnoteReference w:id="11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الأصل فيه ما في ذيل الصحيح الطويل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لهم من الغنيمة شي‌ء</w:t>
      </w:r>
      <w:r>
        <w:rPr>
          <w:rFonts w:eastAsia="Amiri" w:cs="Amiri" w:ascii="Amiri" w:hAnsi="Amiri"/>
          <w:color w:val="111111"/>
          <w:sz w:val="28"/>
          <w:szCs w:val="28"/>
          <w:rtl w:val="true"/>
          <w:lang w:bidi="ar-SA"/>
        </w:rPr>
        <w:t xml:space="preserve">» </w:t>
      </w:r>
      <w:r>
        <w:rPr>
          <w:rStyle w:val="FootnoteAnchor"/>
          <w:rtl w:val="true"/>
        </w:rPr>
        <w:footnoteReference w:id="1182"/>
      </w:r>
      <w:r>
        <w:rPr>
          <w:rFonts w:ascii="IRNazanin" w:hAnsi="IRNazanin" w:eastAsia="IRNazanin"/>
          <w:color w:val="111111"/>
          <w:sz w:val="28"/>
          <w:sz w:val="28"/>
          <w:szCs w:val="28"/>
          <w:rtl w:val="true"/>
          <w:lang w:bidi="fa-IR"/>
        </w:rPr>
        <w:t xml:space="preserve">، و نحوه المرسل </w:t>
      </w:r>
      <w:r>
        <w:rPr>
          <w:rStyle w:val="FootnoteAnchor"/>
          <w:rtl w:val="true"/>
        </w:rPr>
        <w:footnoteReference w:id="1183"/>
      </w:r>
      <w:r>
        <w:rPr>
          <w:rFonts w:ascii="Amiri" w:hAnsi="Amiri" w:eastAsia="Amiri" w:cs="Amiri"/>
          <w:color w:val="111111"/>
          <w:sz w:val="28"/>
          <w:sz w:val="28"/>
          <w:szCs w:val="28"/>
          <w:rtl w:val="true"/>
          <w:lang w:bidi="ar-SA"/>
        </w:rPr>
        <w:t>المحتمل كونه مضمون النص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أي حال فهو مجبور بالعمل، و بذلك تخصيص الإطلاقات التي هي مدرك ابن إدريس، بعد عدم اعتنائه بالخبر الواحد بمقتضى أصله</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المراد من الأعراب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الذين أشار إليهم في قوله تعالى الْأَعْرٰابُ أَشَدُّ كُفْراً وَ نِفٰاقاً </w:t>
      </w:r>
      <w:r>
        <w:rPr>
          <w:rStyle w:val="FootnoteAnchor"/>
          <w:rtl w:val="true"/>
        </w:rPr>
        <w:footnoteReference w:id="1184"/>
      </w:r>
      <w:r>
        <w:rPr>
          <w:rFonts w:ascii="Amiri" w:hAnsi="Amiri" w:eastAsia="Amiri" w:cs="Amiri"/>
          <w:color w:val="111111"/>
          <w:sz w:val="28"/>
          <w:sz w:val="28"/>
          <w:szCs w:val="28"/>
          <w:rtl w:val="true"/>
          <w:lang w:bidi="ar-SA"/>
        </w:rPr>
        <w:t xml:space="preserve">، و هم الذين يقولون أسلمنا و لم يؤمنوا حقيقة، و هو كناية عن عدم ايمانهم، و إليه أشار المحقق في شرائه بأنهم من أظهر الإسلام و لم يصفه </w:t>
      </w:r>
      <w:r>
        <w:rPr>
          <w:rStyle w:val="FootnoteAnchor"/>
          <w:rtl w:val="true"/>
        </w:rPr>
        <w:footnoteReference w:id="1185"/>
      </w:r>
      <w:r>
        <w:rPr>
          <w:rFonts w:eastAsia="Times New Roman" w:cs="Times New Roman" w:ascii="Times New Roman" w:hAnsi="Times New Roman"/>
          <w:color w:val="111111"/>
          <w:sz w:val="28"/>
          <w:szCs w:val="28"/>
          <w:rtl w:val="true"/>
          <w:lang w:val="en-US" w:bidi="en-US"/>
        </w:rPr>
        <w:t>.</w:t>
      </w:r>
      <w:bookmarkStart w:id="572" w:name="pg19818_204288"/>
    </w:p>
    <w:p>
      <w:pPr>
        <w:pStyle w:val="Heading5"/>
        <w:numPr>
          <w:ilvl w:val="4"/>
          <w:numId w:val="1"/>
        </w:numPr>
        <w:rPr/>
      </w:pPr>
      <w:bookmarkStart w:id="573" w:name="__RefHeading___Toc3321108_2314609296"/>
      <w:bookmarkStart w:id="574" w:name="_Toc212"/>
      <w:bookmarkEnd w:id="572"/>
      <w:bookmarkEnd w:id="573"/>
      <w:r>
        <w:rPr>
          <w:rtl w:val="true"/>
        </w:rPr>
        <w:t>و الأسارى من الإناث و الأطفال يملكون بالسبي</w:t>
      </w:r>
      <w:bookmarkEnd w:id="574"/>
    </w:p>
    <w:p>
      <w:pPr>
        <w:pStyle w:val="BookText"/>
        <w:rPr/>
      </w:pPr>
      <w:r>
        <w:rPr>
          <w:rFonts w:ascii="Amiri" w:hAnsi="Amiri" w:eastAsia="Amiri" w:cs="Amiri"/>
          <w:color w:val="111111"/>
          <w:sz w:val="28"/>
          <w:sz w:val="28"/>
          <w:szCs w:val="28"/>
          <w:rtl w:val="true"/>
          <w:lang w:bidi="ar-SA"/>
        </w:rPr>
        <w:t xml:space="preserve">و لو كانت الحرب قائمة، لإجماع التذكرة </w:t>
      </w:r>
      <w:r>
        <w:rPr>
          <w:rStyle w:val="FootnoteAnchor"/>
          <w:rtl w:val="true"/>
        </w:rPr>
        <w:footnoteReference w:id="1186"/>
      </w:r>
      <w:r>
        <w:rPr>
          <w:rFonts w:ascii="Amiri" w:hAnsi="Amiri" w:eastAsia="Amiri" w:cs="Amiri"/>
          <w:color w:val="111111"/>
          <w:sz w:val="28"/>
          <w:sz w:val="28"/>
          <w:szCs w:val="28"/>
          <w:rtl w:val="true"/>
          <w:lang w:bidi="ar-SA"/>
        </w:rPr>
        <w:t xml:space="preserve">، و مرسلة المنتهى من انّ النبي صلّى اللّٰه عليه و آله كان يسترقهم إذا سباهم </w:t>
      </w:r>
      <w:r>
        <w:rPr>
          <w:rStyle w:val="FootnoteAnchor"/>
          <w:rtl w:val="true"/>
        </w:rPr>
        <w:footnoteReference w:id="11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بعد الاستيلاء عليهم بالسبي لا يزول الملك عنهم بالهرب، بل الظاهر كفاية قصد الحيازة كما في المباحات الأصلية، بلا احتياج إلى قصد التملك، لعموم دليل الحيازة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اشتبه بالبالغ امتحن بأمارات البلوغ، و مع فقد الامارة و بقاء الاشتباه يلحق بغير البالغ بالاستصحاب</w:t>
      </w:r>
      <w:r>
        <w:rPr>
          <w:rFonts w:eastAsia="Amiri" w:cs="Amiri" w:ascii="Amiri" w:hAnsi="Amiri"/>
          <w:color w:val="111111"/>
          <w:sz w:val="28"/>
          <w:szCs w:val="28"/>
          <w:rtl w:val="true"/>
          <w:lang w:bidi="ar-SA"/>
        </w:rPr>
        <w:t>.</w:t>
      </w:r>
    </w:p>
    <w:p>
      <w:pPr>
        <w:pStyle w:val="Heading5"/>
        <w:numPr>
          <w:ilvl w:val="4"/>
          <w:numId w:val="1"/>
        </w:numPr>
        <w:rPr/>
      </w:pPr>
      <w:bookmarkStart w:id="575" w:name="__RefHeading___Toc3321110_2314609296"/>
      <w:bookmarkStart w:id="576" w:name="_Toc213"/>
      <w:bookmarkEnd w:id="575"/>
      <w:r>
        <w:rPr>
          <w:rtl w:val="true"/>
        </w:rPr>
        <w:t>و الذكور البالغون إن أخذوا قبل أن تضع الحرب أوزارها أوجب قتلهم</w:t>
      </w:r>
      <w:bookmarkEnd w:id="576"/>
    </w:p>
    <w:p>
      <w:pPr>
        <w:pStyle w:val="Heading6"/>
        <w:numPr>
          <w:ilvl w:val="5"/>
          <w:numId w:val="1"/>
        </w:numPr>
        <w:rPr/>
      </w:pPr>
      <w:bookmarkStart w:id="577" w:name="__RefHeading___Toc3321112_2314609296"/>
      <w:bookmarkStart w:id="578" w:name="_Toc214"/>
      <w:bookmarkEnd w:id="577"/>
      <w:r>
        <w:rPr>
          <w:rtl w:val="true"/>
        </w:rPr>
        <w:t>اشارة</w:t>
      </w:r>
      <w:bookmarkEnd w:id="578"/>
    </w:p>
    <w:p>
      <w:pPr>
        <w:pStyle w:val="BookText"/>
        <w:rPr/>
      </w:pPr>
      <w:r>
        <w:rPr>
          <w:rFonts w:ascii="Amiri" w:hAnsi="Amiri" w:eastAsia="Amiri" w:cs="Amiri"/>
          <w:color w:val="111111"/>
          <w:sz w:val="28"/>
          <w:sz w:val="28"/>
          <w:szCs w:val="28"/>
          <w:rtl w:val="true"/>
          <w:lang w:bidi="ar-SA"/>
        </w:rPr>
        <w:t>ما لم يسلموا، و يتخيّر الامام بين ضرب أعناقهم و قطع أيديهم و أرجلهم من خلاف و يتركهم حتى ينزفوا و يموتوا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أخذوا بعد انقضاء الحرب لم يجز قتلهم، و يتخيّر الامام بين المن و الفداء و الاسترقاق على المشهور في الحكمين، خلافا للإسكافي في الأول حيث أطلق التخيير بين الثلاثة الأخيرة، و مقتضاه عدم القتل، و المحكي عن القاضي في الأخير من زيادة القتل في أطراف التخيير</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الأقوى ما هو المشهور، و الأصل فيه ما حكي في خبر طلحة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للحرب حكمين، إذا كان الحرب قائمة و لم يثخن أهلها فكل أسير أخذ في تلك الحال فإن الإمام فيه بالخيار، إن شاء ضرب عنقه، و إن شاء قطع يده و رجله من خلاف من غير حسم، ثم يتركه يتشحط في دمه حتى يموت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الحكم الآخر إذا وضعت الحرب</w:t>
      </w:r>
    </w:p>
    <w:p>
      <w:pPr>
        <w:pStyle w:val="BookText"/>
        <w:rPr/>
      </w:pPr>
      <w:r>
        <w:rPr>
          <w:rFonts w:ascii="Amiri" w:hAnsi="Amiri" w:eastAsia="Amiri" w:cs="Amiri"/>
          <w:color w:val="111111"/>
          <w:sz w:val="28"/>
          <w:sz w:val="28"/>
          <w:szCs w:val="28"/>
          <w:rtl w:val="true"/>
          <w:lang w:bidi="ar-SA"/>
        </w:rPr>
        <w:t>أوزارها و أثخن أهلها فكل أسير أخذ على تلك الحال فكان في أيديهم فالإمام فيه بالخيار، إن شاء منّ عليهم فأرسلهم، و إن شاء فاداهم أنفسهم، و إن شاء استعبدهم فصاروا عبيدا</w:t>
      </w:r>
      <w:r>
        <w:rPr>
          <w:rFonts w:eastAsia="Amiri" w:cs="Amiri" w:ascii="Amiri" w:hAnsi="Amiri"/>
          <w:color w:val="111111"/>
          <w:sz w:val="28"/>
          <w:szCs w:val="28"/>
          <w:rtl w:val="true"/>
          <w:lang w:bidi="ar-SA"/>
        </w:rPr>
        <w:t xml:space="preserve">» </w:t>
      </w:r>
      <w:r>
        <w:rPr>
          <w:rStyle w:val="FootnoteAnchor"/>
          <w:rtl w:val="true"/>
        </w:rPr>
        <w:footnoteReference w:id="1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بمثل هذا النص أيضا تشرح الآية الشريفة من قوله فَشُدُّوا الْوَثٰاقَ فَإِمّٰا مَنًّا بَعْدُ وَ إِمّٰا فِدٰاءً </w:t>
      </w:r>
      <w:r>
        <w:rPr>
          <w:rStyle w:val="FootnoteAnchor"/>
          <w:rtl w:val="true"/>
        </w:rPr>
        <w:footnoteReference w:id="1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إنه لا شبهة فيما أفاده المصنف من أنه بالإسلام يحقن الدم، و لقد 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أمرت أن أقاتل الناس حتى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Style w:val="FootnoteAnchor"/>
          <w:rtl w:val="true"/>
        </w:rPr>
        <w:footnoteReference w:id="11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خبر الزهري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الأسير إذا أسلم فقد حقن دمه و صار فيئا</w:t>
      </w:r>
      <w:r>
        <w:rPr>
          <w:rFonts w:eastAsia="Amiri" w:cs="Amiri" w:ascii="Amiri" w:hAnsi="Amiri"/>
          <w:color w:val="111111"/>
          <w:sz w:val="28"/>
          <w:szCs w:val="28"/>
          <w:rtl w:val="true"/>
          <w:lang w:bidi="ar-SA"/>
        </w:rPr>
        <w:t xml:space="preserve">» </w:t>
      </w:r>
      <w:r>
        <w:rPr>
          <w:rStyle w:val="FootnoteAnchor"/>
          <w:rtl w:val="true"/>
        </w:rPr>
        <w:footnoteReference w:id="1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ظاهره بقاء حق استرقاقهم، و النص ضعيف، و ثبوت مثل هذا الحق على مثل هذا الأسير من الأول مشكل، فلا استصحاب أيضا، فلا موجب لاسترقاقه بعد أصالة الحرية للمسلم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أسلم الأسير غير المحكوم عليه بالقتل، فمقتضى الأصل بقاء التخيير بين الثلاثة في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الظاهر تسلّم ذلك عندهم ما عدا المبسوط، حيث قال بسقوط الاسترقاق، استشهادا بقضية عقيل </w:t>
      </w:r>
      <w:r>
        <w:rPr>
          <w:rStyle w:val="FootnoteAnchor"/>
          <w:rtl w:val="true"/>
        </w:rPr>
        <w:footnoteReference w:id="11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يدل على تعميم الحكم، فهو قضية في واقعة، مع انّ الفداء أحد طرفي التخيير، فاختياره لذلك لا يدل على سقوط الاسترقاق رأسا</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عجز الأسير عن المشي، ففي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وفاقا للجماعة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يجب قتله،</w:t>
      </w:r>
    </w:p>
    <w:p>
      <w:pPr>
        <w:pStyle w:val="BookText"/>
        <w:rPr/>
      </w:pPr>
      <w:r>
        <w:rPr>
          <w:rFonts w:ascii="Amiri" w:hAnsi="Amiri" w:eastAsia="Amiri" w:cs="Amiri"/>
          <w:color w:val="111111"/>
          <w:sz w:val="28"/>
          <w:sz w:val="28"/>
          <w:szCs w:val="28"/>
          <w:rtl w:val="true"/>
          <w:lang w:bidi="ar-SA"/>
        </w:rPr>
        <w:t xml:space="preserve">لأنه لا يدري ما حكم الامام </w:t>
      </w:r>
      <w:r>
        <w:rPr>
          <w:rStyle w:val="FootnoteAnchor"/>
          <w:rtl w:val="true"/>
        </w:rPr>
        <w:footnoteReference w:id="11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التعليل في كلامه مأخوذ من خبر الزهري الناهي عن 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فلا بد من حمل كلام المحقق أيضا على نفي الوجوب بمعناه الأعم المناسب مع الحرمة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انّ مقتضى التعليل في الرواية بعدم العلم بحكمه عليه السلام صرف النهي إلى أسير، شرع أصل القتل فيه، غاية الأمر كان تخيير كيفيته بنظر الامام، و إلّا فلو كان أسيرا بعد انقضاء الحرب على وجه لا يشرع في حق مثله القتل، لا مجال لهذا التعليل، بل وجهه حينئذ عدم مشروعية أصل القتل في حقه، و كيف كان من مثل هذا النص، بل و من أدلة التخيير، يمكن استفادة كون ولاية قتله للإمام، و به يخرج الأسير عن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فَاقْتُلُوا الْمُشْرِكِينَ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مقتضى فحوى النص وجوب إيصاله إلى الامام بحمل أو غيره، و مع عدمه فيرسله لسقوط التكليف بما لا يطاق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ظاهر قول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قرب الاسناد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إطعام الأسير و الإحسان إليه حق واجب</w:t>
      </w:r>
      <w:r>
        <w:rPr>
          <w:rFonts w:eastAsia="Amiri" w:cs="Amiri" w:ascii="Amiri" w:hAnsi="Amiri"/>
          <w:color w:val="111111"/>
          <w:sz w:val="28"/>
          <w:szCs w:val="28"/>
          <w:rtl w:val="true"/>
          <w:lang w:bidi="ar-SA"/>
        </w:rPr>
        <w:t xml:space="preserve">» </w:t>
      </w:r>
      <w:r>
        <w:rPr>
          <w:rStyle w:val="FootnoteAnchor"/>
          <w:rtl w:val="true"/>
        </w:rPr>
        <w:footnoteReference w:id="1194"/>
      </w:r>
      <w:r>
        <w:rPr>
          <w:rFonts w:ascii="Amiri" w:hAnsi="Amiri" w:eastAsia="Amiri" w:cs="Amiri"/>
          <w:color w:val="111111"/>
          <w:sz w:val="28"/>
          <w:sz w:val="28"/>
          <w:szCs w:val="28"/>
          <w:rtl w:val="true"/>
          <w:lang w:bidi="ar-SA"/>
        </w:rPr>
        <w:t xml:space="preserve">وجوب إطعام الأسير و لو كان مستحقا للقتل، و به أفتى المحقق في شرائعه </w:t>
      </w:r>
      <w:r>
        <w:rPr>
          <w:rStyle w:val="FootnoteAnchor"/>
          <w:rtl w:val="true"/>
        </w:rPr>
        <w:footnoteReference w:id="1195"/>
      </w:r>
      <w:r>
        <w:rPr>
          <w:rFonts w:ascii="Amiri" w:hAnsi="Amiri" w:eastAsia="Amiri" w:cs="Amiri"/>
          <w:color w:val="111111"/>
          <w:sz w:val="28"/>
          <w:sz w:val="28"/>
          <w:szCs w:val="28"/>
          <w:rtl w:val="true"/>
          <w:lang w:bidi="ar-SA"/>
        </w:rPr>
        <w:t>، و تبعه جماعة أخرى، و عدم دلالة غيره على الوجوب غير ضائر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يجب مواراة الشهيد دون الحربي، و مع الاشتباه يوارى من كان صغير الذكر، لأمر الرسول صلّى اللّٰه عليه و آله في المرسل بذلك </w:t>
      </w:r>
      <w:r>
        <w:rPr>
          <w:rStyle w:val="FootnoteAnchor"/>
          <w:rtl w:val="true"/>
        </w:rPr>
        <w:footnoteReference w:id="1196"/>
      </w:r>
      <w:r>
        <w:rPr>
          <w:rFonts w:eastAsia="Times New Roman" w:cs="Times New Roman" w:ascii="Times New Roman" w:hAnsi="Times New Roman"/>
          <w:color w:val="111111"/>
          <w:sz w:val="28"/>
          <w:szCs w:val="28"/>
          <w:rtl w:val="true"/>
          <w:lang w:val="en-US" w:bidi="en-US"/>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استبعاد دخل الأمور الاعتقادية التي به قوام التدينات في كيفية الخلقة</w:t>
      </w:r>
    </w:p>
    <w:p>
      <w:pPr>
        <w:pStyle w:val="BookText"/>
        <w:rPr/>
      </w:pPr>
      <w:r>
        <w:rPr>
          <w:rFonts w:ascii="Amiri" w:hAnsi="Amiri" w:eastAsia="Amiri" w:cs="Amiri"/>
          <w:color w:val="111111"/>
          <w:sz w:val="28"/>
          <w:sz w:val="28"/>
          <w:szCs w:val="28"/>
          <w:rtl w:val="true"/>
          <w:lang w:bidi="ar-SA"/>
        </w:rPr>
        <w:t>و كميته، و انه من الممكن كون أمر الرسول بملاحظة كون المسلمين في ذلك الزمان من طوائف خاصة كانت كيفية خلقتهم ذلك، فجعل ذلك طريقا إلى كون المقتول من تلك الطائفة، التي اتفق إسلامهم، ربما دعي الى عدم التعدّي عن مورد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التزموا في غيره بالقرعة لأنها لكل أمر مشكل، و ذلك لا ينافي مقبولية النص بمضمونه لدى الأعاظم، بل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الانصاف عدم الاعتبار بهذا الاستبعاد، مع بناء الأعاظم على التعدّي عن مورده بإلغاء الخصوصية كسائر الموارد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فرضه لا مورد للقرعة في غير الماليات، فالمرجع في أمثال هذه التكاليف هو سائر الأصول، و في المورد فيرجع الأمر إلى العلم الإجمالي، و وجوب دفن الجميع مقدمة علمية، بعد عدم ثبوت حرمة دفن الكافر ذاتا، كما انّ الصلاة على الجميع بقصد الصلاة على المسلمين بينهم لا ضير فيها، ما لم تكن في البين شبهة فساد صلاة بعضهم لبعده عن المصلّى،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حكم الطفل حكم أبيه في الإسلام و الكفر بلا اشكال، و في النص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أطفال المؤمنين يلحقون بآبائهم، و أولاد المشركين يلحقون بآبائهم</w:t>
      </w:r>
      <w:r>
        <w:rPr>
          <w:rFonts w:eastAsia="Amiri" w:cs="Amiri" w:ascii="Amiri" w:hAnsi="Amiri"/>
          <w:color w:val="111111"/>
          <w:sz w:val="28"/>
          <w:szCs w:val="28"/>
          <w:rtl w:val="true"/>
          <w:lang w:bidi="ar-SA"/>
        </w:rPr>
        <w:t xml:space="preserve">» </w:t>
      </w:r>
      <w:r>
        <w:rPr>
          <w:rStyle w:val="FootnoteAnchor"/>
          <w:rtl w:val="true"/>
        </w:rPr>
        <w:footnoteReference w:id="11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إطلاقه يشمل جهة الكفر و الإسلام بالنسبة إلى الأحكام الدنيوية أيضا زائدة عن الشئون الأخروية، و عليه السيرة المستمرة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إلحاقهم بأمهاتهم المسلمات مع كفر آبائهم إشكال، بل إطلاق النص خلافه، لو لا اجراء حكم الإلحاق بالأشرف في باب الحرية في المقام بمناط الأشرفية من جهة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كانت امه كافرة فلا إشكال في الإلحاق بأبيه، لشمول الإطلاق له</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هنا ظهر وجه إلحاق الأطفال المسبية بكل واحد من الأبوين المسلمين، فيلحق بالأم المسلمة حتى مع كفر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عرفت أنه خلاف</w:t>
      </w:r>
      <w:bookmarkStart w:id="579" w:name="pg19818_204292"/>
    </w:p>
    <w:p>
      <w:pPr>
        <w:pStyle w:val="BookText"/>
        <w:rPr/>
      </w:pPr>
      <w:bookmarkEnd w:id="579"/>
      <w:r>
        <w:rPr>
          <w:rFonts w:ascii="Amiri" w:hAnsi="Amiri" w:eastAsia="Amiri" w:cs="Amiri"/>
          <w:color w:val="111111"/>
          <w:sz w:val="28"/>
          <w:sz w:val="28"/>
          <w:szCs w:val="28"/>
          <w:rtl w:val="true"/>
          <w:lang w:bidi="ar-SA"/>
        </w:rPr>
        <w:t>إطلاق الرواية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لا التسلم في كلماتهم كان للنظر فيه مجال،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فرق في ذلك بحسب كلماتهم بين كون أبويه مسبيين معه أم لا، و لو كان الأبوان كافرين فمع سبيهما معه أيضا فلا إشكال في إلحاق الطفل بهما، و كذا لو سبي معه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لو كان منفردا عنهما في السبي، فالمعروف بينهم إلحاقه بالسابي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يتمسك بعموم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مولود يولد على الفطرة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دلالته على المدعى نظر واضح، فالعمدة، في البين قيام الإجماع، فإن تم فهو و إلّا فإطلاق التبعية للوالد بمقتضى النص أو الأشرف منهما، بمقتضى الكلمات محكم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التشبث ببعض الأصول في المقام لإثبات طهارته، بعد فرض جريان استصحاب التبعية و النجاسة، كلام ظاهري، و لا يستأهل للتعرض له فراجع الجواهر، فقد طوّل في المقام بمثابة لا يناسب هذا المختصر المعد لمهام الأمور </w:t>
      </w:r>
      <w:r>
        <w:rPr>
          <w:rStyle w:val="FootnoteAnchor"/>
          <w:rtl w:val="true"/>
        </w:rPr>
        <w:footnoteReference w:id="1198"/>
      </w:r>
      <w:r>
        <w:rPr>
          <w:rFonts w:ascii="Amiri" w:hAnsi="Amiri" w:eastAsia="Amiri" w:cs="Amiri"/>
          <w:color w:val="111111"/>
          <w:sz w:val="28"/>
          <w:sz w:val="28"/>
          <w:szCs w:val="28"/>
          <w:rtl w:val="true"/>
          <w:lang w:bidi="ar-SA"/>
        </w:rPr>
        <w:t>، و اللّٰه العالم</w:t>
      </w:r>
      <w:r>
        <w:rPr>
          <w:rFonts w:eastAsia="Amiri" w:cs="Amiri" w:ascii="Amiri" w:hAnsi="Amiri"/>
          <w:color w:val="111111"/>
          <w:sz w:val="28"/>
          <w:szCs w:val="28"/>
          <w:rtl w:val="true"/>
          <w:lang w:bidi="ar-SA"/>
        </w:rPr>
        <w:t>.</w:t>
      </w:r>
    </w:p>
    <w:p>
      <w:pPr>
        <w:pStyle w:val="Heading6"/>
        <w:numPr>
          <w:ilvl w:val="5"/>
          <w:numId w:val="1"/>
        </w:numPr>
        <w:rPr/>
      </w:pPr>
      <w:bookmarkStart w:id="580" w:name="__RefHeading___Toc3321114_2314609296"/>
      <w:bookmarkStart w:id="581" w:name="_Toc215"/>
      <w:bookmarkEnd w:id="580"/>
      <w:r>
        <w:rPr>
          <w:rtl w:val="true"/>
        </w:rPr>
        <w:t>فرع</w:t>
      </w:r>
      <w:bookmarkEnd w:id="58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أسر الزوج البالغ فلا يملك بالأسر، لأنّ أمره بيد الامام، سواء كان مستحقا للقتل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اتفق استرقاقه لأحد غير الزوجة، ففي الشرائع</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انفسخ النكاح </w:t>
      </w:r>
      <w:r>
        <w:rPr>
          <w:rStyle w:val="FootnoteAnchor"/>
          <w:rtl w:val="true"/>
        </w:rPr>
        <w:footnoteReference w:id="1199"/>
      </w:r>
      <w:r>
        <w:rPr>
          <w:rFonts w:ascii="Amiri" w:hAnsi="Amiri" w:eastAsia="Amiri" w:cs="Amiri"/>
          <w:color w:val="111111"/>
          <w:sz w:val="28"/>
          <w:sz w:val="28"/>
          <w:szCs w:val="28"/>
          <w:rtl w:val="true"/>
          <w:lang w:bidi="ar-SA"/>
        </w:rPr>
        <w:t>، و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دعوى نفي الخلاف بل الإجماع </w:t>
      </w:r>
      <w:r>
        <w:rPr>
          <w:rStyle w:val="FootnoteAnchor"/>
          <w:rtl w:val="true"/>
        </w:rPr>
        <w:footnoteReference w:id="1200"/>
      </w:r>
      <w:r>
        <w:rPr>
          <w:rFonts w:ascii="Amiri" w:hAnsi="Amiri" w:eastAsia="Amiri" w:cs="Amiri"/>
          <w:color w:val="111111"/>
          <w:sz w:val="28"/>
          <w:sz w:val="28"/>
          <w:szCs w:val="28"/>
          <w:rtl w:val="true"/>
          <w:lang w:bidi="ar-SA"/>
        </w:rPr>
        <w:t>، و إلّا فلا تنافي بين المملوكية و النكاح، كما هو الشأن في حدوث النكاح حال رقيته</w:t>
      </w:r>
      <w:r>
        <w:rPr>
          <w:rFonts w:eastAsia="Amiri" w:cs="Amiri" w:ascii="Amiri" w:hAnsi="Amiri"/>
          <w:color w:val="111111"/>
          <w:sz w:val="28"/>
          <w:szCs w:val="28"/>
          <w:rtl w:val="true"/>
          <w:lang w:bidi="ar-SA"/>
        </w:rPr>
        <w:t>.</w:t>
      </w:r>
      <w:bookmarkStart w:id="582" w:name="pg19818_204293"/>
    </w:p>
    <w:p>
      <w:pPr>
        <w:pStyle w:val="BookText"/>
        <w:rPr/>
      </w:pPr>
      <w:bookmarkEnd w:id="582"/>
      <w:r>
        <w:rPr>
          <w:rFonts w:ascii="Amiri" w:hAnsi="Amiri" w:eastAsia="Amiri" w:cs="Amiri"/>
          <w:color w:val="111111"/>
          <w:sz w:val="28"/>
          <w:sz w:val="28"/>
          <w:szCs w:val="28"/>
          <w:rtl w:val="true"/>
          <w:lang w:bidi="ar-SA"/>
        </w:rPr>
        <w:t>و يدل عليه ما ورد عن النبي صلّى اللّٰه عليه و آله انه قال في سبي أو طاس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توطأ حامل حتى تضع حملها، و لا حائل حتى تحيض</w:t>
      </w:r>
      <w:r>
        <w:rPr>
          <w:rFonts w:eastAsia="Amiri" w:cs="Amiri" w:ascii="Amiri" w:hAnsi="Amiri"/>
          <w:color w:val="111111"/>
          <w:sz w:val="28"/>
          <w:szCs w:val="28"/>
          <w:rtl w:val="true"/>
          <w:lang w:bidi="ar-SA"/>
        </w:rPr>
        <w:t xml:space="preserve">» </w:t>
      </w:r>
      <w:r>
        <w:rPr>
          <w:rStyle w:val="FootnoteAnchor"/>
          <w:rtl w:val="true"/>
        </w:rPr>
        <w:footnoteReference w:id="1201"/>
      </w:r>
      <w:r>
        <w:rPr>
          <w:rFonts w:ascii="Amiri" w:hAnsi="Amiri" w:eastAsia="Amiri" w:cs="Amiri"/>
          <w:color w:val="111111"/>
          <w:sz w:val="28"/>
          <w:sz w:val="28"/>
          <w:szCs w:val="28"/>
          <w:rtl w:val="true"/>
          <w:lang w:bidi="ar-SA"/>
        </w:rPr>
        <w:t>، و ذلك ملازم مع انفساخ نكاحهما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ظاهر النص منصرف إلى صورة حدوث الرقية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الزوجان مملوكين لم ينفسخ نكاحهما بالأسر، لعدم حدوث الرقية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قيل بأنّ للمالك الجديد فسخ نكاحهما فله وجه، 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المسترق هي الزوجة و لو بتمليكها له فلا تجتمع العلقتان، فينفسخ النكاح حينئذ، و سيأتي توضيح المسألة في باب النكاح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ذكرنا ظهر انه لو كان الزوج المسبي طفلا، أو المسبية امرأة فإنهما يسترقان بالسبي فينفسخ النكاح حينئذ بنفس سبيهما</w:t>
      </w:r>
      <w:r>
        <w:rPr>
          <w:rFonts w:eastAsia="Amiri" w:cs="Amiri" w:ascii="Amiri" w:hAnsi="Amiri"/>
          <w:color w:val="111111"/>
          <w:sz w:val="28"/>
          <w:szCs w:val="28"/>
          <w:rtl w:val="true"/>
          <w:lang w:bidi="ar-SA"/>
        </w:rPr>
        <w:t>.</w:t>
      </w:r>
    </w:p>
    <w:p>
      <w:pPr>
        <w:pStyle w:val="Heading5"/>
        <w:numPr>
          <w:ilvl w:val="4"/>
          <w:numId w:val="1"/>
        </w:numPr>
        <w:rPr/>
      </w:pPr>
      <w:bookmarkStart w:id="583" w:name="__RefHeading___Toc3321116_2314609296"/>
      <w:bookmarkStart w:id="584" w:name="_Toc216"/>
      <w:bookmarkEnd w:id="583"/>
      <w:r>
        <w:rPr>
          <w:rtl w:val="true"/>
        </w:rPr>
        <w:t>و أما الأرضون فما كان حيا حال الفتح فللمسلمين كافة</w:t>
      </w:r>
      <w:bookmarkEnd w:id="584"/>
    </w:p>
    <w:p>
      <w:pPr>
        <w:pStyle w:val="Heading6"/>
        <w:numPr>
          <w:ilvl w:val="5"/>
          <w:numId w:val="1"/>
        </w:numPr>
        <w:rPr/>
      </w:pPr>
      <w:bookmarkStart w:id="585" w:name="__RefHeading___Toc3321118_2314609296"/>
      <w:bookmarkStart w:id="586" w:name="_Toc217"/>
      <w:bookmarkEnd w:id="585"/>
      <w:r>
        <w:rPr>
          <w:rtl w:val="true"/>
        </w:rPr>
        <w:t>اشارة</w:t>
      </w:r>
      <w:bookmarkEnd w:id="586"/>
    </w:p>
    <w:p>
      <w:pPr>
        <w:pStyle w:val="BookText"/>
        <w:rPr/>
      </w:pPr>
      <w:r>
        <w:rPr>
          <w:rFonts w:ascii="Amiri" w:hAnsi="Amiri" w:eastAsia="Amiri" w:cs="Amiri"/>
          <w:color w:val="111111"/>
          <w:sz w:val="28"/>
          <w:sz w:val="28"/>
          <w:szCs w:val="28"/>
          <w:rtl w:val="true"/>
          <w:lang w:bidi="ar-SA"/>
        </w:rPr>
        <w:t>لا يختص بها الغانمون، بل للمتجددين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ولادة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السواد ما منزلته؟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للمسلمين لمن هو اليوم، و لمن يدخل في الإسلام بعد اليوم، و من لم يخلق بعد</w:t>
      </w:r>
      <w:r>
        <w:rPr>
          <w:rFonts w:eastAsia="Amiri" w:cs="Amiri" w:ascii="Amiri" w:hAnsi="Amiri"/>
          <w:color w:val="111111"/>
          <w:sz w:val="28"/>
          <w:szCs w:val="28"/>
          <w:rtl w:val="true"/>
          <w:lang w:bidi="ar-SA"/>
        </w:rPr>
        <w:t xml:space="preserve">» </w:t>
      </w:r>
      <w:r>
        <w:rPr>
          <w:rStyle w:val="FootnoteAnchor"/>
          <w:rtl w:val="true"/>
        </w:rPr>
        <w:footnoteReference w:id="1202"/>
      </w:r>
      <w:r>
        <w:rPr>
          <w:rFonts w:eastAsia="Times New Roman" w:cs="Times New Roman" w:ascii="Times New Roman" w:hAnsi="Times New Roman"/>
          <w:color w:val="111111"/>
          <w:sz w:val="28"/>
          <w:szCs w:val="28"/>
          <w:rtl w:val="true"/>
          <w:lang w:val="en-US" w:bidi="en-US"/>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النظر فيه إلى الامام الذي هو ولي المسلمين و الأولى بهم من أنفسهم، خصوصا في مثل هذا المقام الذي هو ملك لنوع المسلمين لا لأشخاصهم، نظير ملكية العناوين الكلية في الوقف العام، بل للمقام</w:t>
      </w:r>
    </w:p>
    <w:p>
      <w:pPr>
        <w:pStyle w:val="BookText"/>
        <w:rPr/>
      </w:pPr>
      <w:r>
        <w:rPr>
          <w:rFonts w:ascii="Amiri" w:hAnsi="Amiri" w:eastAsia="Amiri" w:cs="Amiri"/>
          <w:color w:val="111111"/>
          <w:sz w:val="28"/>
          <w:sz w:val="28"/>
          <w:szCs w:val="28"/>
          <w:rtl w:val="true"/>
          <w:lang w:bidi="ar-SA"/>
        </w:rPr>
        <w:t>خصوصية أخرى يمتاز بها عن الوقوف على العناوين الكلية، بأنّ الملكية في المقام بمرتبة خاصة من الملكية التي لا يباح للنوع إلّا صرف حاصلها و خراجها في مصالح نوعهم لا في أشخاصهم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يصح من جهة ذلك بيعها، و لا وقفها، و لا هبتها، و لا تملكها على الخصوص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النص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تشتر من أرض الخراج شيئا</w:t>
      </w:r>
      <w:r>
        <w:rPr>
          <w:rFonts w:eastAsia="Amiri" w:cs="Amiri" w:ascii="Amiri" w:hAnsi="Amiri"/>
          <w:color w:val="111111"/>
          <w:sz w:val="28"/>
          <w:szCs w:val="28"/>
          <w:rtl w:val="true"/>
          <w:lang w:bidi="ar-SA"/>
        </w:rPr>
        <w:t xml:space="preserve">» </w:t>
      </w:r>
      <w:r>
        <w:rPr>
          <w:rStyle w:val="FootnoteAnchor"/>
          <w:rtl w:val="true"/>
        </w:rPr>
        <w:footnoteReference w:id="12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يبيع ذلك و هي أرض المسلمين</w:t>
      </w:r>
      <w:r>
        <w:rPr>
          <w:rFonts w:eastAsia="Amiri" w:cs="Amiri" w:ascii="Amiri" w:hAnsi="Amiri"/>
          <w:color w:val="111111"/>
          <w:sz w:val="28"/>
          <w:szCs w:val="28"/>
          <w:rtl w:val="true"/>
          <w:lang w:bidi="ar-SA"/>
        </w:rPr>
        <w:t xml:space="preserve">» </w:t>
      </w:r>
      <w:r>
        <w:rPr>
          <w:rStyle w:val="FootnoteAnchor"/>
          <w:rtl w:val="true"/>
        </w:rPr>
        <w:footnoteReference w:id="12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كره من شراء أرض الخراج،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أرض الخراج للمسلمين</w:t>
      </w:r>
      <w:r>
        <w:rPr>
          <w:rFonts w:eastAsia="Amiri" w:cs="Amiri" w:ascii="Amiri" w:hAnsi="Amiri"/>
          <w:color w:val="111111"/>
          <w:sz w:val="28"/>
          <w:szCs w:val="28"/>
          <w:rtl w:val="true"/>
          <w:lang w:bidi="ar-SA"/>
        </w:rPr>
        <w:t xml:space="preserve">» </w:t>
      </w:r>
      <w:r>
        <w:rPr>
          <w:rStyle w:val="FootnoteAnchor"/>
          <w:rtl w:val="true"/>
        </w:rPr>
        <w:footnoteReference w:id="12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بالجملة لا إشكال في عدم كون ملكية أرض الخراج للمسلمين بنحو يستحقون نمائها بأشخاصهم، بل يصرف الامام حاصلها في المصالح الراجعة إلى نوع المسلمين في زمان بسط 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مع عدم بسط اليد و كون الأراضي بيد الجائرين، فيمضي عملهم و صرفهم حاصلها فيما يرونه تقية، للجزم بوقوع التقرير في زمان الأئمة، بضم الاستصحاب، بالتقريب الجاري في أحكام الشرائع السابقة، و سيأتي تمام الكلام فيه في باب الخراج و المقاسمة، إن شاء اللّٰه</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مع قطع يدهم عن الأراضي المزبورة، لا دليل على لزوم الإيصال إليهم، و حينئذ ففي كونهم مراجع أو الفقيه في زمان الغيبة، كلام بين الاعلام و اشكال، و حيث إنّ الولاية العامة غير ثابتة للفقيه، و عدم إحراز كون أمثال هذه الأمور من شئون قضاة الجور، و المتيقن من المقبولة إثبات شئونهم للفقيه</w:t>
      </w:r>
    </w:p>
    <w:p>
      <w:pPr>
        <w:pStyle w:val="BookText"/>
        <w:rPr/>
      </w:pPr>
      <w:r>
        <w:rPr>
          <w:rFonts w:ascii="Amiri" w:hAnsi="Amiri" w:eastAsia="Amiri" w:cs="Amiri"/>
          <w:color w:val="111111"/>
          <w:sz w:val="28"/>
          <w:sz w:val="28"/>
          <w:szCs w:val="28"/>
          <w:rtl w:val="true"/>
          <w:lang w:bidi="ar-SA"/>
        </w:rPr>
        <w:t>فلا تكون دليلا على مرجعيته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مثل هذا الأمر ليس إلّا من وظائف الرئيس، و من المحتمل كون المرجع حينئذ من يكون متوليا لسد ثغور المسلمين، فلا يبعد لزوم إيصاله إليهم بإذن الفقيه، و لا اختصاص بذلك بالجائر، بعد عدم دليل على إمضائهم فيما ليس في أيديهم، بل ربما يكون الإيصال إلى ذي الشوكة من الشيعة، الحافظ لسد ثغورهم أهم بنظر امام الزمان 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فللفقيه مع عدم بسط يده، الأمر بإيصال الخراج المزبور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ربما يشكل الأمر في الأراضي التي كانت سابقا بيد سلاطين الجور، فإن استصحاب لزوم الإيصال إليهم، المحصل للبراءة اليقينية محكم، فيتعيّن الإيصال المزبور، بلا احتياج إلى إذن الفقيه حينئذ أصلا،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المقدار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بمقتضى أطباق الفتاوى أو النصوص أو التواريخ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من المفتوحة عنوة فهو، و إلّا فمع الشك فيه، ففي كفاية الظن بمقتضى الخبر الواحد أو غيره اشكال، لعدم اعتبار الخبر الواحد في الموضوعات، و كذا مطلق الظن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 احتمال كون حجية اليد أمارة على الملكية التامة الشخصية، يحكم بها، لو لا كونها طرفا للعلم الإجمالي في أمكنة يعلم إجمالا بوجود المفتوح عنوة فيها، فتسقط اليد حينئذ عن الاعتبار في جميعها</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إلّا أن يدعى انّ في حرمة التصرف في بعض الأطراف و لو من جهة عدم اذن من بيده الأرض، ينحل العلم الإجمالي، فلا يبقى لمثل هذا العلم 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لازمة حينئذ جواز الأخذ من ذي اليد عينا أو منفعة، بأصالة صحة تصرفه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قلنا بسقوط اليد عن الاعتبار، و لو لعدم اعتبار العقلاء كاشفية ما هو طرف لمعلوم المخالفة إجمالا، فضلا عما لو لم نعمل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وجه سقوط اليد عن أطراف العلم كالأصل لزم طرح تكليف عملي، فإنه حينئذ</w:t>
      </w:r>
    </w:p>
    <w:p>
      <w:pPr>
        <w:pStyle w:val="BookText"/>
        <w:rPr/>
      </w:pPr>
      <w:r>
        <w:rPr>
          <w:rFonts w:ascii="Amiri" w:hAnsi="Amiri" w:eastAsia="Amiri" w:cs="Amiri"/>
          <w:color w:val="111111"/>
          <w:sz w:val="28"/>
          <w:sz w:val="28"/>
          <w:szCs w:val="28"/>
          <w:rtl w:val="true"/>
          <w:lang w:bidi="ar-SA"/>
        </w:rPr>
        <w:t>بعد الانحلال المزبور لا قصور في أمارية اليد على الملكية في طرف الابتلاء بتصرفه المأذون فيه،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الموات من الأراضي وقت الفتح فهي للإمام لا يتصرّف فيها إلّا باذنه، و ذلك للنصوص المستفيضة المنقولة في الوسائل، الدالة على أنّ الموات من الأرض من الأنفال و هي للإمام </w:t>
      </w:r>
      <w:r>
        <w:rPr>
          <w:rStyle w:val="FootnoteAnchor"/>
          <w:rtl w:val="true"/>
        </w:rPr>
        <w:footnoteReference w:id="12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نص حماد بن عيسى جعل الأرض الخربة من الأنفال، و جعلها بعد الخمس للإمام </w:t>
      </w:r>
      <w:r>
        <w:rPr>
          <w:rStyle w:val="FootnoteAnchor"/>
          <w:rtl w:val="true"/>
        </w:rPr>
        <w:footnoteReference w:id="12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استشكل في الرياض بكون النسبة بين هذه الطائفة و بين ما دل على أنّ المفتوح عنوة للمسلمين، الشاملة لمواتها حال الفتح أيضا، عموما من وجه، فلا وجه للترجيح إلّا الإجماع المنقول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الجواهر أيضا التشبث في تقديم الطائفة الأولى بالإجماع </w:t>
      </w:r>
      <w:r>
        <w:rPr>
          <w:rStyle w:val="FootnoteAnchor"/>
          <w:rtl w:val="true"/>
        </w:rPr>
        <w:footnoteReference w:id="1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مجال لتطبيق الترجيح المزبور على القاعدة، بدعوى انّ قضية التعارض بينهما الرجوع الى أخبار العلاج، و الترجيح مع الاولى، بما دل على أنّ الأرض كلها للإمام، لإمكان منع كون مطلق العامين من وجه مشمولا لأخبار العلاج، لعدم مساعدة العرف على التبعيض في السند و عدم وجه لطرح الجميع، حتى موردي الافتراق، بل العرف يعاملون في المجمع معاملة المجمل، و يأخذون بدلالتهما في مورد الافتراق، و هو أيضا ديدن الأصحاب، كما لا يخفى</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انّ العام المزبور إنما يكون مرجحا إذا فرض مخالفة مضمونه لبعض</w:t>
      </w:r>
    </w:p>
    <w:p>
      <w:pPr>
        <w:pStyle w:val="BookText"/>
        <w:rPr/>
      </w:pPr>
      <w:r>
        <w:rPr>
          <w:rFonts w:ascii="Amiri" w:hAnsi="Amiri" w:eastAsia="Amiri" w:cs="Amiri"/>
          <w:color w:val="111111"/>
          <w:sz w:val="28"/>
          <w:sz w:val="28"/>
          <w:szCs w:val="28"/>
          <w:rtl w:val="true"/>
          <w:lang w:bidi="ar-SA"/>
        </w:rPr>
        <w:t>الطائفتين، و هو إنما يتم على فرض كون الملكية لها مرتبة خاصة، منطبقة على المتعارف بين الناس، و إلّا فلو قلنا بأنّ لها مراتب قابلة لاجتماع بعضها مع بعض، نظير ملكية السلاطين للأراضي مع ملكية الرعية لها، فلا مانع من اجتماع ملكية الإمام بمرتبة، مع ملكية نوع المسلمين بمرتبة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انّ ملكهم أيضا غير مناف مع ملكية الشخص المعمّر لها و لو تبعا لآثارها، بقرينة إطلاق الشراء لها و لو تبعا للآثار في بعض النصوص، بلا احتياج إلى تصرف في أحد من هذه الأدلة إلّا بحملها على اختلاف المراتب في الملكية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انه بمثل ذلك أيضا يجمع بين ما دل على إباحة الامام طسق هذه الأراضي لشيعته، و مع ذلك أمر بدفع خراج الأرض المفتوحة عنوة لأن يصرف في مصالح نوعهم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إنّ مقتضى السيرة أيضا إباحة ما ينقل منها من نمائها و ترابها على عامة الناس من دون خصوصية للشيعة في ذلك، و انّ اختصاصهم إنما هو في التصرف في الأراضي بنفسها بتعميرها لا في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انّ عمومات عدم جواز بيع الأرض المفتوحة عنوة، لا تشمل بيع ما أخذ منها، فضلا عما يحسب من نمائها، من خشبها و حشيشها و غير ذلك، لانصراف عنوان الأرض عن مثلها، بل الناس فيها شرع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ذلك للسيرة المستمرة على تملكهم الآجر و التربة من أرض كربلاء و الكيزان المعمولة و غيرها، و معاملة الناس معها معاملة الاملاك</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الممكن أيضا دعوى اختصاص إباحتها بجميع شئونها للشيعة، بعموم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الأرض كلها لنا، و ما كان لنا فهو لشيعتنا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بالنسبة إلى غيرهم يعامل معهم معاملة الملك في جواز الشراء منهم فيما يرونه ملكا لهم، كثمن الخمر و الخنزير من الذمي و إن كان تصرفهم فيها حراما محضا</w:t>
      </w:r>
      <w:r>
        <w:rPr>
          <w:rFonts w:eastAsia="Amiri" w:cs="Amiri" w:ascii="Amiri" w:hAnsi="Amiri"/>
          <w:color w:val="111111"/>
          <w:sz w:val="28"/>
          <w:szCs w:val="28"/>
          <w:rtl w:val="true"/>
          <w:lang w:bidi="ar-SA"/>
        </w:rPr>
        <w:t>.</w:t>
      </w:r>
      <w:bookmarkStart w:id="587" w:name="pg19818_204298"/>
    </w:p>
    <w:p>
      <w:pPr>
        <w:pStyle w:val="BookText"/>
        <w:rPr/>
      </w:pPr>
      <w:bookmarkEnd w:id="587"/>
      <w:r>
        <w:rPr>
          <w:rFonts w:ascii="Amiri" w:hAnsi="Amiri" w:eastAsia="Amiri" w:cs="Amiri"/>
          <w:color w:val="111111"/>
          <w:sz w:val="28"/>
          <w:sz w:val="28"/>
          <w:szCs w:val="28"/>
          <w:rtl w:val="true"/>
          <w:lang w:bidi="ar-SA"/>
        </w:rPr>
        <w:t>هذا كله حكم الأرض المفتوحة عنوة، سواء المحياة حال الفتح أو الموات</w:t>
      </w:r>
      <w:r>
        <w:rPr>
          <w:rFonts w:eastAsia="Amiri" w:cs="Amiri" w:ascii="Amiri" w:hAnsi="Amiri"/>
          <w:color w:val="111111"/>
          <w:sz w:val="28"/>
          <w:szCs w:val="28"/>
          <w:rtl w:val="true"/>
          <w:lang w:bidi="ar-SA"/>
        </w:rPr>
        <w:t>.</w:t>
      </w:r>
    </w:p>
    <w:p>
      <w:pPr>
        <w:pStyle w:val="Heading6"/>
        <w:numPr>
          <w:ilvl w:val="5"/>
          <w:numId w:val="1"/>
        </w:numPr>
        <w:rPr/>
      </w:pPr>
      <w:bookmarkStart w:id="588" w:name="__RefHeading___Toc3321120_2314609296"/>
      <w:bookmarkStart w:id="589" w:name="_Toc218"/>
      <w:bookmarkEnd w:id="588"/>
      <w:r>
        <w:rPr>
          <w:rtl w:val="true"/>
        </w:rPr>
        <w:t>و أما أرض الصلح فلأربابها</w:t>
      </w:r>
      <w:bookmarkEnd w:id="589"/>
    </w:p>
    <w:p>
      <w:pPr>
        <w:pStyle w:val="BookText"/>
        <w:rPr/>
      </w:pPr>
      <w:r>
        <w:rPr>
          <w:rFonts w:ascii="Amiri" w:hAnsi="Amiri" w:eastAsia="Amiri" w:cs="Amiri"/>
          <w:color w:val="111111"/>
          <w:sz w:val="28"/>
          <w:sz w:val="28"/>
          <w:szCs w:val="28"/>
          <w:rtl w:val="true"/>
          <w:lang w:bidi="ar-SA"/>
        </w:rPr>
        <w:t>مع اشتراط كون الأرض لهم حتى في مواتها، مع كونها أيضا مورد عقد الصلح، و إلّا فربما تشملها إطلاقات كون الموات من الأراضي من الأنفال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النص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ما فتحت صلحا تركت على يد أهلها و يؤخذ منها العشر و نصف العشر فيما عمروه منها، و ما لم يعمروه أخذه الامام و يقبله</w:t>
      </w:r>
      <w:r>
        <w:rPr>
          <w:rFonts w:eastAsia="Amiri" w:cs="Amiri" w:ascii="Amiri" w:hAnsi="Amiri"/>
          <w:color w:val="111111"/>
          <w:sz w:val="28"/>
          <w:szCs w:val="28"/>
          <w:rtl w:val="true"/>
          <w:lang w:bidi="ar-SA"/>
        </w:rPr>
        <w:t xml:space="preserve">» </w:t>
      </w:r>
      <w:r>
        <w:rPr>
          <w:rStyle w:val="FootnoteAnchor"/>
          <w:rtl w:val="true"/>
        </w:rPr>
        <w:footnoteReference w:id="12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يدل عليه أيضا ما ورد في أهل الذمة من وضع الجزية على رءوسهم أو أراضيهم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انصرافها إلى المعمر منها، القابل لوضع الجزية و الخراج عليها، و إلّا فلا يكون المرسوم وضع شي‌ء على الأراضي الخربة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أي حال فليس عليها إلّا ما صالحهم الامام عليه، من دون فرق بين كونهم كتابيين أم غيرهم، للزوم الوفاء بالصلح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يظهر من بعض الكلمات اختصاص مثل هذا الصلح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الجزية المعهودة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بأهل الذمة، و لذا سميّت أرض الصلح بأرض الجزية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عموم ولاية الإمام على الصلح لمصلحة المسلمين بعوض على الذميين أو أراضيهم مقتض لصحة صلحه المزبور، حتى مع أهل الحرب غير الكتابيين، فضلا عنهم، و لو عند عدم التزامهم بشرائط الذمة</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ربما تقتضي المصلحة الصلح معهم مجانا، كما انه ربما يقتضي الصلح كون الأراضي ملكا للمسلمين و لهم الانتفاع بها بعوض معيّن أو بلا عوض، حسب اقتضاء المصلحة في كل مقام نحوا من الصلح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قضية وضع الشي‌ء على الأراضي تارة بنحو يكون مرجعه إلى الإغماض عن الرقبة إلّا بمقدار حق استيفاء المال المعيّن من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اخرى بنحو الإغماض عن تمام الرقبة التي هي في‌ء للمسلمين، بإزاء شي‌ء في ذمتهم بشرط أدائها من حاصل العين ما دام ملكهم، ثلثا أم ربعا أو أقل أو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 بنحو الإغماض عن الرقبة و استثناء نمائها بالمقدار المخصوص للمسلمين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رابعة بنحو الصلح عن العين بإزاء تسليطه على أخذ مقدار مخصوص من حاصلها، ما دام ملكهم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خامسة بهذا النحو مع التسليط على الأخذ من ذات العين إذا انتقلت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المعلوم انّ كل واحد من هذه الفروض ينتج شيئا، فعلى الأول و الثالث و الأخير يستلزم بقاء حقهم على الأرض، مهما كانت العين، و لو انتقلت إلى 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عليه أيضا يترك ما في بعض النصوص من أنّ المشتري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يؤدي كما يؤدون</w:t>
      </w:r>
      <w:r>
        <w:rPr>
          <w:rFonts w:eastAsia="Amiri" w:cs="Amiri" w:ascii="Amiri" w:hAnsi="Amiri"/>
          <w:color w:val="111111"/>
          <w:sz w:val="28"/>
          <w:szCs w:val="28"/>
          <w:rtl w:val="true"/>
          <w:lang w:bidi="ar-SA"/>
        </w:rPr>
        <w:t xml:space="preserve">» </w:t>
      </w:r>
      <w:r>
        <w:rPr>
          <w:rStyle w:val="FootnoteAnchor"/>
          <w:rtl w:val="true"/>
        </w:rPr>
        <w:footnoteReference w:id="1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بمنزلتهم</w:t>
      </w:r>
      <w:r>
        <w:rPr>
          <w:rFonts w:eastAsia="Amiri" w:cs="Amiri" w:ascii="Amiri" w:hAnsi="Amiri"/>
          <w:color w:val="111111"/>
          <w:sz w:val="28"/>
          <w:szCs w:val="28"/>
          <w:rtl w:val="true"/>
          <w:lang w:bidi="ar-SA"/>
        </w:rPr>
        <w:t xml:space="preserve">» </w:t>
      </w:r>
      <w:r>
        <w:rPr>
          <w:rStyle w:val="FootnoteAnchor"/>
          <w:rtl w:val="true"/>
        </w:rPr>
        <w:footnoteReference w:id="1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عليه خراجها</w:t>
      </w:r>
      <w:r>
        <w:rPr>
          <w:rFonts w:eastAsia="Amiri" w:cs="Amiri" w:ascii="Amiri" w:hAnsi="Amiri"/>
          <w:color w:val="111111"/>
          <w:sz w:val="28"/>
          <w:szCs w:val="28"/>
          <w:rtl w:val="true"/>
          <w:lang w:bidi="ar-SA"/>
        </w:rPr>
        <w:t xml:space="preserve">» </w:t>
      </w:r>
      <w:r>
        <w:rPr>
          <w:rStyle w:val="FootnoteAnchor"/>
          <w:rtl w:val="true"/>
        </w:rPr>
        <w:footnoteReference w:id="1212"/>
      </w:r>
      <w:r>
        <w:rPr>
          <w:rFonts w:ascii="Amiri" w:hAnsi="Amiri" w:eastAsia="Amiri" w:cs="Amiri"/>
          <w:color w:val="111111"/>
          <w:sz w:val="28"/>
          <w:sz w:val="28"/>
          <w:szCs w:val="28"/>
          <w:rtl w:val="true"/>
          <w:lang w:bidi="ar-SA"/>
        </w:rPr>
        <w:t>، بناء على حملها على أرض صولح عليها، بقرينة ذيله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يستحق</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 الغرض من أرض الخراج للمسلمين كونها فيئا لهم، و ذلك أيضا يؤيد ما ذكرنا سابقا، من انّ مستحقها في زمن مشروعية الجهاد للمقاتلين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غيره لعامة المسلمين، لأنه بدل رقبتها التي هي في‌ء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انه على الثالث يسقط حقهم عن الأرض بمحض الانتقال و لو إلى ذمي أو حربي آخر، بلا اشتغال ذمة البائع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الثاني ينتقل حقهم إلى ذمة البائع لفوت محل الأداء بالشرط، فيجب أداؤه من مال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نسب هذا المعنى إلى المشهور كما انّ المعنى الأول نسب إلى الحلبي </w:t>
      </w:r>
      <w:r>
        <w:rPr>
          <w:rStyle w:val="FootnoteAnchor"/>
          <w:rtl w:val="true"/>
        </w:rPr>
        <w:footnoteReference w:id="12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فكان النزاع بينهم في الحقيقة في كيفية وقوع الصلح، و إلّا فمع العلم بالكيفية لا ينبغي مثل هذا النزاع بين الحلبي و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فمع وقوع الصلح و الشك في كيفيته، فالاستصحاب يقتضي بقاء حقهم على نماء الرقبة و سلطتهم على استيفائهم منها أيما وقعت، و حينئذ لا يخلو مذهب الحلبي عن 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التأمل فيما ذكرنا ظهر ما في عبارة المصنف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باعها المالك انتقل ما عليها من الجزية إلى رقبته يعني رقبة البائع، إذ ذلك إنما يصح على فرض كون الصلح من قبيل الفرض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تومئ عبارته إلى كون أرض الصلح مختصا بمن عليه الجزية من الكتابي، كما تقدّم حكايته عن بعض، و لقد عرفت ما في الأخير و كذا الأول، لعدم انحصار نحو الصلح بما ذكر، و مع الشك فالاستصحاب يقتضي خلافه، لو لا دعوى اقتضاء إطلاق الصلح كونه من قبيل الثاني، و إليه نظر المشهور</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انّ النصوص الحاكمة بأنّ الأرض تترك بيدهم أيضا منزلة على بيان اقتضاء طبع مثل هذا الصلح عند الإطلاق ذلك، و إلّا فليس ذلك من الأحكام المجعولة الشرعية، و إلّا فلا يصح الصلح معهم على أن تكون الأرض</w:t>
      </w:r>
    </w:p>
    <w:p>
      <w:pPr>
        <w:pStyle w:val="BookText"/>
        <w:rPr/>
      </w:pPr>
      <w:r>
        <w:rPr>
          <w:rFonts w:ascii="Amiri" w:hAnsi="Amiri" w:eastAsia="Amiri" w:cs="Amiri"/>
          <w:color w:val="111111"/>
          <w:sz w:val="28"/>
          <w:sz w:val="28"/>
          <w:szCs w:val="28"/>
          <w:rtl w:val="true"/>
          <w:lang w:bidi="ar-SA"/>
        </w:rPr>
        <w:t>للمسلمين، لأنه حينئذ خلاف السنة، و كلماتهم صريحة في صحة هذا الصلح، و ذلك يكشف عن عدم كونه مفاد السنة، بل هو من جهة أنه مفاد طبع الصلح المزبور في ارتكاز الأذهان عند الإطلاق، و لتكن مثل هذه الجهة أيضا مورد نظر المشهور، فإن تم ذلك حينئذ فهو، و إلّا فللنظر فيه مجال كما عرفت،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أسلم الكافر المزبور سقط ما على أرضه أيضا بلا اشكال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عمدة الوجه فيه، هو انّ ما يستحق على الأرض أو على رقابهم، هو الذي صولح عليه من أموالهم التي هي في‌ء للمسلمين، غاية الأمر تارة يكون ما استقر عليه في المصالحة مقدارا من العين، و اخرى من ماليته في ضمن الكلي على ذمهم و رقابهم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المعلوم انّ هذا المقدار المصالح عليه في عقد الصلح في الحقيقة باق بعنوان الفيئية، نظير ما يبقى بعد الصلح على المدعى به ببعضه عينا أو دينا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العنوان إنما يبقى ما داموا على كفرهم، و أما بعد دخولهم في الإسلام فلا تبقى جهة الفيئية، فيسقط المال المزبور قهرا عن أراضيهم و رقابهم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عرفت نظير هذه الجهة في ذيل تنقيح كيفية الجزية، و انها بالإسلام تسقط بالمرة</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بذلك ظهر أيضا انه لو شرطت في عقد المصالحة كون الأرض للمسلمين كانت كالمفتوحة عنوة لو كان الصلح على أن تكون الأرض لنوع المسلمين، بمرتبة خاصة من الملكية الثابتة في المفتوح عنوة، و إلّا فلو شرط في ضمن عقد الصلح بقاء الأرض على جهة الفيئية، التي يكون المسلمون فيها شرع سواء، فيكون المال حينئذ ملكا خاصا لشخص من سبق، بلا اقتضاء في</w:t>
      </w:r>
    </w:p>
    <w:p>
      <w:pPr>
        <w:pStyle w:val="BookText"/>
        <w:rPr/>
      </w:pPr>
      <w:r>
        <w:rPr>
          <w:rFonts w:ascii="Amiri" w:hAnsi="Amiri" w:eastAsia="Amiri" w:cs="Amiri"/>
          <w:color w:val="111111"/>
          <w:sz w:val="28"/>
          <w:sz w:val="28"/>
          <w:szCs w:val="28"/>
          <w:rtl w:val="true"/>
          <w:lang w:bidi="ar-SA"/>
        </w:rPr>
        <w:t>طبع الصلح المزبور لكون المال ملكا للمسلمين بالمرتبة المخصوصة، بل ربما يجي‌ء فيها احتمال تخصيص المجاهدين بها، بمناط تخصيصهم بالجزية عند حضور الامام و لو بملاحظة كون هذا المال مما غلب عليه المجاهدون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في صدق الغلبة المزبورة في المقام نظر، بخلاف باب التزامهم بالجزية بعد الغلبة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لا وجه لمثل هذا التخصيص بمقتضى الحكم الشرعي، نعم للإمام تخصيصهم بها في عقد الصلح، مع اقتضاء المصلحة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لا يبعد دعوى انّ إطلاق جعل الأرض للمسلمين، كون نمائها مصروفا في مصالحهم النوعية، و عينها تبقى لذلك، و لازمة بحسب ارتكاز الذهن في مثل هذا الصلح، يقتضي كونه على الوجه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إلى ذلك نظر جملة من الأعلام، بل ظاهر الجواهر من جعل ذلك المقدار بحسب التسلم، و إنما نقل قول بعض بكونها من الأنفال، و لا وجه له إلّا كون مفاد عقد الصلح ذلك، و هو خلاف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بأس بالالتزام به في الأراضي الخربة، لو لا جعل الإمام إياها أيضا في حيز عقد الصلح كما أشرنا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أرض من أسلم عليها طوعا و لو لإحياء سابق و إن تركوا تعميرها فعلا فلأربابها، و ليس عليهم سوى الزكاة مع الشرائط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الموات الفعلي بالأصالة، فإنه للإمام نصا و فتوى، و يتصرّفون في محياتها فعلا تصرف الملاك في أملاكهم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غيرها فهي بيد الامام يقبلها ولاية على من يحييها على مقدار تعلّق به نظره وفق مصلحة الوقت، من نمائها أو من مال آخر</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 ذلك لما في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الخراج و ما سار به أهل بيته،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العشر</w:t>
      </w:r>
    </w:p>
    <w:p>
      <w:pPr>
        <w:pStyle w:val="BookText"/>
        <w:rPr/>
      </w:pPr>
      <w:r>
        <w:rPr>
          <w:rFonts w:ascii="Amiri" w:hAnsi="Amiri" w:eastAsia="Amiri" w:cs="Amiri"/>
          <w:color w:val="111111"/>
          <w:sz w:val="28"/>
          <w:sz w:val="28"/>
          <w:szCs w:val="28"/>
          <w:rtl w:val="true"/>
          <w:lang w:bidi="ar-SA"/>
        </w:rPr>
        <w:t>و نصف العشر على من أسلم طوعا، تترك أرضه في يده، و أخذ منه العشر و نصف العشر مما عمر منها، و ما لم يعمر منها أخذه الوالي يقبله من يعمره، و كان للمسلمين، و ليس فيما كان أقل من خمسة أوسق شي‌ء</w:t>
      </w:r>
      <w:r>
        <w:rPr>
          <w:rFonts w:eastAsia="Amiri" w:cs="Amiri" w:ascii="Amiri" w:hAnsi="Amiri"/>
          <w:color w:val="111111"/>
          <w:sz w:val="28"/>
          <w:szCs w:val="28"/>
          <w:rtl w:val="true"/>
          <w:lang w:bidi="ar-SA"/>
        </w:rPr>
        <w:t xml:space="preserve">» </w:t>
      </w:r>
      <w:r>
        <w:rPr>
          <w:rStyle w:val="FootnoteAnchor"/>
          <w:rtl w:val="true"/>
        </w:rPr>
        <w:footnoteReference w:id="1214"/>
      </w:r>
      <w:r>
        <w:rPr>
          <w:rFonts w:ascii="IRNazanin" w:hAnsi="IRNazanin" w:eastAsia="IRNazanin"/>
          <w:color w:val="111111"/>
          <w:sz w:val="28"/>
          <w:sz w:val="28"/>
          <w:szCs w:val="28"/>
          <w:rtl w:val="true"/>
          <w:lang w:bidi="fa-IR"/>
        </w:rPr>
        <w:t xml:space="preserve">، و نحوه المضمر </w:t>
      </w:r>
      <w:r>
        <w:rPr>
          <w:rStyle w:val="FootnoteAnchor"/>
          <w:rtl w:val="true"/>
        </w:rPr>
        <w:footnoteReference w:id="12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ذيلهما يدل على أنّ العشر المأخوذ منهم هي الزكاة، كما انّ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لم يعمرها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بقرينة فهم الأصحاب مخصوص بما كان مسبوقا بالاحياء فتركوا تعميرها، لا مطلق ما لا يكون معمورا و لو بالأصالة، فإنها كما أشرنا للإمام نصا و فتوى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انّ الظاهر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كان للمسلمين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ما قبلها الامام للمسلمين طوعا بناء على جعل اللام للعهد، و إلّا فعلى الجنسية يظهر منه كونها لنوعهم، مثل المفتوحة عنوة، و لازمة صرف خراجها في مصالحهم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انّ المشهور من الأعاظم أيضا فهموا الأول، حيث جعلوا ما تركوا تعميرها لمن أسلم طوعا، بملاحظة كونها ملكا لهم باحيائهم السابق، كما يقتضيه الاستصحاب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ينافي ذلك كون تقبيلها بيد الإمام، لأنه أولى بهم من أنفسهم، و لازمة إيصال خراجها إلى أربابها</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حكي الاحتمال الثاني عن القاضي </w:t>
      </w:r>
      <w:r>
        <w:rPr>
          <w:rStyle w:val="FootnoteAnchor"/>
          <w:rtl w:val="true"/>
        </w:rPr>
        <w:footnoteReference w:id="1216"/>
      </w:r>
      <w:r>
        <w:rPr>
          <w:rFonts w:ascii="Amiri" w:hAnsi="Amiri" w:eastAsia="Amiri" w:cs="Amiri"/>
          <w:color w:val="111111"/>
          <w:sz w:val="28"/>
          <w:sz w:val="28"/>
          <w:szCs w:val="28"/>
          <w:rtl w:val="true"/>
          <w:lang w:bidi="ar-SA"/>
        </w:rPr>
        <w:t xml:space="preserve">و ابن حمزة </w:t>
      </w:r>
      <w:r>
        <w:rPr>
          <w:rStyle w:val="FootnoteAnchor"/>
          <w:rtl w:val="true"/>
        </w:rPr>
        <w:footnoteReference w:id="1217"/>
      </w:r>
      <w:r>
        <w:rPr>
          <w:rFonts w:ascii="Amiri" w:hAnsi="Amiri" w:eastAsia="Amiri" w:cs="Amiri"/>
          <w:color w:val="111111"/>
          <w:sz w:val="28"/>
          <w:sz w:val="28"/>
          <w:szCs w:val="28"/>
          <w:rtl w:val="true"/>
          <w:lang w:bidi="ar-SA"/>
        </w:rPr>
        <w:t xml:space="preserve">على المحكي في الجواهر </w:t>
      </w:r>
      <w:r>
        <w:rPr>
          <w:rStyle w:val="FootnoteAnchor"/>
          <w:rtl w:val="true"/>
        </w:rPr>
        <w:footnoteReference w:id="12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ضعف، لضعف دلالة اللام مع سبق العهد على الجنس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التعدّي عن المورد إلى كل أرض مسبوقة بإحياء ترك تعميرها فأخذها الإمام من يدهم قهرا، و تقبيلها عنهم ولاية،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قضية ولاية 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له ذلك، لا أنّ وظيفته لا بد أن يكون ذا، و ظاهر النص هو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فلا بد أن يرجع الى مقتضى القواعد، و هو بمقتضى الاستصحاب بقاؤها على ملك المحيي، و لا إطلاق لما دل على أنّ موات الأرض للإمام كي يشمل مثل ذلك، و لا يشمله أيضا مضمون أنّ الأرض كلها لنا، إذ هو منصرف عن الاملاك المخصوصة للآحاد، و ستأتي تتمة الكلام في باب احياء الموات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ظاهر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لم يعمر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شموله بإطلاقه لصورة بلوغها بعدم التعمير إلى حد الموات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لازمة كون الموات من هذه الأراضي بالعرض أيضا ملك من أسلم طوعا، كما انّ مقتضى الأصل السابق كما المحياة المنتهية إلى الموات بترك العمارة أيضا بقاءها على ملك المحيي، و سيأتي أيضا شرحه</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مما ذكرنا كلّه ظهر وجه ما أفاده المصنف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أرض ترك أهلها عمارتها فللإمام أن يقبلها و يدفع طسقها من المتقبل إلى أربابها بناء على حمله على ظاهره، من انّ للإمام عند قيام المصلحة مثل هذا التصرف ولاية، فإنه حينئذ غير مختص بأرض أسلم عليها أهلها طوعا، و إلّا فلو كان المراد أنّ وظيفة الإمام لا بد أن يكون ذلك، ففيه أنه لا دليل على هذه الكلية، بل غاية الأمر قيام النص على مثله في خصوص من أسلم عليها أهلها طوعا، لا مطلقا، بل في غيرها كان ملكا لأربابها، و ان كان للإمام تقبيلها أيضا قهرا عليهم ولاية، لكن ليس ذلك مما لا بد أن يفعله الامام، كما هو الشأن في تصرفه بالنسبة إلى سائر الأملاك، كما هو ظاهر</w:t>
      </w:r>
      <w:r>
        <w:rPr>
          <w:rFonts w:eastAsia="Amiri" w:cs="Amiri" w:ascii="Amiri" w:hAnsi="Amiri"/>
          <w:color w:val="111111"/>
          <w:sz w:val="28"/>
          <w:szCs w:val="28"/>
          <w:rtl w:val="true"/>
          <w:lang w:bidi="ar-SA"/>
        </w:rPr>
        <w:t>.</w:t>
      </w:r>
      <w:bookmarkStart w:id="590" w:name="pg19818_204305"/>
    </w:p>
    <w:p>
      <w:pPr>
        <w:pStyle w:val="BookText"/>
        <w:rPr/>
      </w:pPr>
      <w:bookmarkEnd w:id="590"/>
      <w:r>
        <w:rPr>
          <w:rFonts w:ascii="Amiri" w:hAnsi="Amiri" w:eastAsia="Amiri" w:cs="Amiri"/>
          <w:color w:val="111111"/>
          <w:sz w:val="28"/>
          <w:sz w:val="28"/>
          <w:szCs w:val="28"/>
          <w:rtl w:val="true"/>
          <w:lang w:bidi="ar-SA"/>
        </w:rPr>
        <w:t xml:space="preserve">و كل من أحيى أرضا بالأصالة أو بالعرض بإذن الإمام أو بإذن المالك السابق في الثاني فهو أحق بها، 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أحيى أرضا ميتة فهي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لها مالك كما في الموات بالعرض كان عليه يعني على المحيي طسقها له يعني لمالكه، و إلّا كما في الموات بالأصالة فللإمام طسقها لكونه خراج ملكه، و مع غيبته فهو أي المحيي أحق بها و مع ظهوره له رفع يده لكونها ملكه و كونه مسلطا عليها</w:t>
      </w:r>
      <w:r>
        <w:rPr>
          <w:rFonts w:eastAsia="Amiri" w:cs="Amiri" w:ascii="Amiri" w:hAnsi="Amiri"/>
          <w:color w:val="111111"/>
          <w:sz w:val="28"/>
          <w:szCs w:val="28"/>
          <w:rtl w:val="true"/>
          <w:lang w:bidi="ar-SA"/>
        </w:rPr>
        <w:t>.</w:t>
      </w:r>
    </w:p>
    <w:p>
      <w:pPr>
        <w:pStyle w:val="Heading6"/>
        <w:numPr>
          <w:ilvl w:val="5"/>
          <w:numId w:val="1"/>
        </w:numPr>
        <w:rPr/>
      </w:pPr>
      <w:bookmarkStart w:id="591" w:name="__RefHeading___Toc3321122_2314609296"/>
      <w:bookmarkStart w:id="592" w:name="_Toc219"/>
      <w:bookmarkEnd w:id="591"/>
      <w:r>
        <w:rPr>
          <w:rtl w:val="true"/>
        </w:rPr>
        <w:t>و شرط التملك بالإحياء</w:t>
      </w:r>
      <w:bookmarkEnd w:id="592"/>
    </w:p>
    <w:p>
      <w:pPr>
        <w:pStyle w:val="BookText"/>
        <w:rPr/>
      </w:pPr>
      <w:r>
        <w:rPr>
          <w:rFonts w:ascii="Amiri" w:hAnsi="Amiri" w:eastAsia="Amiri" w:cs="Amiri"/>
          <w:color w:val="111111"/>
          <w:sz w:val="28"/>
          <w:sz w:val="28"/>
          <w:szCs w:val="28"/>
          <w:rtl w:val="true"/>
          <w:lang w:bidi="ar-SA"/>
        </w:rPr>
        <w:t>أن لا يكون في يد مسلم، و لا حريما لعامر، و لا مشعرا للعبادة، و لا مقطعا، و لا محجرا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الاحياء بالعادة و التحجير لا يفيد التمليك، بل يفيد الأولوية، كل ذلك مما لا اشكال فيه، و سيأتي شرح الجميع و تفصيلها في كتاب احياء الموات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بقي في المقام شي‌ء لم يتعرّض له المصنف، و هو أنّه لو هاجمت الدول الإسلامية بعضها إلى </w:t>
      </w:r>
      <w:r>
        <w:rPr>
          <w:rStyle w:val="FootnoteAnchor"/>
          <w:rtl w:val="true"/>
        </w:rPr>
        <w:footnoteReference w:id="1219"/>
      </w:r>
      <w:r>
        <w:rPr>
          <w:rFonts w:ascii="Amiri" w:hAnsi="Amiri" w:eastAsia="Amiri" w:cs="Amiri"/>
          <w:color w:val="111111"/>
          <w:sz w:val="28"/>
          <w:sz w:val="28"/>
          <w:szCs w:val="28"/>
          <w:rtl w:val="true"/>
          <w:lang w:bidi="ar-SA"/>
        </w:rPr>
        <w:t>بعض في زمن الغيبة، فلا شبهة في أنّ حكم المهاجم حكم الشاهر بسيفه من آحاد المسلمين، و هو محسوب من جملة المحاربين المهدوري الدم، فيجب على غيرهم كفاية دفعهم، و يقدم الأقرب فالأقرب، بلا إشكال في ذلك فتوى و نصا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يجوز أخذ ماله غنيمة، لعدم جواز التصرف في أموال المسلمين، و تفصيل ذلك أيضا يجي‌ء في باب الحدود</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يترتب على مثل هذا الدفاع حكم دفاع المشركين بلا إشكال أيضا،</w:t>
      </w:r>
      <w:bookmarkStart w:id="593" w:name="pg19818_204306"/>
    </w:p>
    <w:p>
      <w:pPr>
        <w:pStyle w:val="BookText"/>
        <w:rPr/>
      </w:pPr>
      <w:bookmarkEnd w:id="593"/>
      <w:r>
        <w:rPr>
          <w:rFonts w:ascii="Amiri" w:hAnsi="Amiri" w:eastAsia="Amiri" w:cs="Amiri"/>
          <w:color w:val="111111"/>
          <w:sz w:val="28"/>
          <w:sz w:val="28"/>
          <w:szCs w:val="28"/>
          <w:rtl w:val="true"/>
          <w:lang w:bidi="ar-SA"/>
        </w:rPr>
        <w:t>فلا يترتب على مقتوله حكم الشهيد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قيل به في الجهاد بالمعنى الأعم، و لا قسمة الغنيمة، و لا حكم الأراضي المفتوحة عنوة، و لا حكم الفرار عن الزحف، بل يجب دفع النائرة و الفساد على كل متمكن مهما أمكن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كون هذا الدفع بإذن الرئيس في زمن الغيبة إشكال، إذ لا دليل عليه مع إطلاق وجوب دفع المفسدة، نعم لو توقف على كونهم تحت كلمة جامعة فيحب عليهم إطاعة ذي الشوكة منهم، خصوصا لو كان فقيها، مقدمة لدفع الفساد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هاجم كل طرف على غيره، فيجب على الثالث دفع نائرة الفساد، و كان الطرفان حينئذ من مصاديق من يريد في الأرض علوا و فسادا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 توقف دفعهم على المقاتلة مع الطرفين يجب، لهدر دم الطرفين و وجوب دفع الفساد، حيث انّ اللّٰه لا يحبه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إنه لو كان في دفعهما بالاتفاق مع أحد الطرفين محذور، يجب، و يراعى في تعيين ذلك أيضا أقل المحذورين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التساوي يتخيّر،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عجّل فرج ولينا صاحب الأمر و إمام العصر، ليخرجنا من غياهب الغيبة، و اجعلنا من أعوانه و أنصاره، آمين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الفراغ من مباحث الجهاد في الثاني عشر من جمادى الأولى سنة ألف و ثلاثمائة و واحدة و أربعين، على يد العبد المحتاج إلى ربه الباقي ضياء الدين محمد العراقي</w:t>
      </w:r>
      <w:r>
        <w:rPr>
          <w:rFonts w:eastAsia="Amiri" w:cs="Amiri" w:ascii="Amiri" w:hAnsi="Amiri"/>
          <w:color w:val="111111"/>
          <w:sz w:val="28"/>
          <w:szCs w:val="28"/>
          <w:rtl w:val="true"/>
          <w:lang w:bidi="ar-SA"/>
        </w:rPr>
        <w:t>.</w:t>
      </w:r>
    </w:p>
    <w:p>
      <w:pPr>
        <w:pStyle w:val="Heading4"/>
        <w:numPr>
          <w:ilvl w:val="3"/>
          <w:numId w:val="1"/>
        </w:numPr>
        <w:rPr/>
      </w:pPr>
      <w:bookmarkStart w:id="594" w:name="__RefHeading___Toc3321124_2314609296"/>
      <w:bookmarkStart w:id="595" w:name="_Toc220"/>
      <w:bookmarkEnd w:id="594"/>
      <w:r>
        <w:rPr>
          <w:rtl w:val="true"/>
        </w:rPr>
        <w:t>الفصل الرابع</w:t>
      </w:r>
      <w:r>
        <w:rPr>
          <w:rtl w:val="true"/>
        </w:rPr>
        <w:t xml:space="preserve">: </w:t>
      </w:r>
      <w:r>
        <w:rPr>
          <w:rtl w:val="true"/>
        </w:rPr>
        <w:t>في الأمر بالمعروف و النهي عن المنكر</w:t>
      </w:r>
      <w:bookmarkEnd w:id="595"/>
    </w:p>
    <w:p>
      <w:pPr>
        <w:pStyle w:val="Heading5"/>
        <w:numPr>
          <w:ilvl w:val="4"/>
          <w:numId w:val="1"/>
        </w:numPr>
        <w:rPr/>
      </w:pPr>
      <w:bookmarkStart w:id="596" w:name="__RefHeading___Toc3321126_2314609296"/>
      <w:bookmarkStart w:id="597" w:name="_Toc221"/>
      <w:bookmarkEnd w:id="596"/>
      <w:r>
        <w:rPr>
          <w:rtl w:val="true"/>
        </w:rPr>
        <w:t>اشارة</w:t>
      </w:r>
      <w:bookmarkEnd w:id="597"/>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هما يجبان عقلا بتوهم كونهما مقدمة لاستقامة الفرائض المعلوم</w:t>
      </w:r>
    </w:p>
    <w:p>
      <w:pPr>
        <w:pStyle w:val="BookText"/>
        <w:rPr/>
      </w:pPr>
      <w:r>
        <w:rPr>
          <w:rFonts w:ascii="Amiri" w:hAnsi="Amiri" w:eastAsia="Amiri" w:cs="Amiri"/>
          <w:color w:val="111111"/>
          <w:sz w:val="28"/>
          <w:sz w:val="28"/>
          <w:szCs w:val="28"/>
          <w:rtl w:val="true"/>
          <w:lang w:bidi="ar-SA"/>
        </w:rPr>
        <w:t>حسنها، إما بمناط حسن الإطاعة، و إما بمناط الحسن الذاتي الداعي إلى الأمر بها، بناء على التحقيق من كون الواجبات الشرعية ألطافا في الواجبات العقلية، و إما بملاحظة كونهما مقدمة لحفظ النظام و عدم اختلاله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صار ذلك أيضا منشأ زعمهم أنّ من وجوه وجوب القضاء الحافظ للنظام وجوب الأمر بالمعروف، فيكشف ذلك عن دخل الأمرين في شئون حفظ النظام، التي منها جعل القضاء و تشريعه بين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 جميع الوجوه المزبورة نظر، لمنع مقدمية الأمر بالمعروف لحفظ النظام، الحاكم بوجوبه العقل، بل و منع كون مستند وجوب القضاء و تشريع باب القضاء مثل هذه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يتضح في محله عدم صحة الاستناد في وجوب القضاء إلى وجوب الأمر بالمعروف، فلا يكون الأمر بالمعروف مقدمة لوجوب القضاء، فضلا عن كونه مقدمة لحفظ النظام، خصوصا البالغ مرتبة بحيث يدرك العقل معها قبح الإخلال به، و منع كشف الحسن الذاتي الداعي إلى الأمر به من الأدلة السمعية، في مدركية حكم العقل للمدعى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و لازمة إرجاع جميع الأدلة السمعية، في كل تكليف إلى الدليل العقلي، و منع حكم العقل بحسن الأمر المزبور، لمحض كونه مقدمة لا طاعة الأوامر، إذ ذلك إنما يتم لو أحرز من الخارج مطلوبية العمل و لو تسبيبا، بأنّ الأمر بالمعروف يصير حسنا بمناط حسن الإطاعة، و إحراز هذا المعنى في غاية الاشكال</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حينئذ لا طريق لإثبات هذه المرتبة من المطلوبية إلّا من الأدلة السمعية، القائمة على وجوبها، فينحصر الدليل عندئذ بالسمعي، من إجماع أو كتاب و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المقدار يكفي للمدّعى، و قيامهما هنا من الواضحات، كما لا يخفى على من راجع كلمات الأصحاب و النصوص الواردة في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المستفاد من المجموع أيضا الوجوب في الجملة، لعدم سوقها في أزيد من ذلك، و يكفي لذلك ما ورد في الكتاب وَ لْتَكُنْ مِنْكُمْ أُمَّةٌ يَدْعُونَ إِلَى الْخَيْرِ وَ يَأْمُرُونَ بِالْمَعْرُوفِ وَ يَنْهَوْنَ عَنِ الْمُنْكَرِ </w:t>
      </w:r>
      <w:r>
        <w:rPr>
          <w:rStyle w:val="FootnoteAnchor"/>
          <w:rtl w:val="true"/>
        </w:rPr>
        <w:footnoteReference w:id="1220"/>
      </w:r>
      <w:r>
        <w:rPr>
          <w:rFonts w:ascii="Amiri" w:hAnsi="Amiri" w:eastAsia="Amiri" w:cs="Amiri"/>
          <w:color w:val="111111"/>
          <w:sz w:val="28"/>
          <w:sz w:val="28"/>
          <w:szCs w:val="28"/>
          <w:rtl w:val="true"/>
          <w:lang w:bidi="ar-SA"/>
        </w:rPr>
        <w:t>، و ما ورد في السنة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الأمر بالمعروف و النهي عن المنكر فريضة عظيمة بها تقام الفرائض</w:t>
      </w:r>
      <w:r>
        <w:rPr>
          <w:rFonts w:eastAsia="Amiri" w:cs="Amiri" w:ascii="Amiri" w:hAnsi="Amiri"/>
          <w:color w:val="111111"/>
          <w:sz w:val="28"/>
          <w:szCs w:val="28"/>
          <w:rtl w:val="true"/>
          <w:lang w:bidi="ar-SA"/>
        </w:rPr>
        <w:t xml:space="preserve">» </w:t>
      </w:r>
      <w:r>
        <w:rPr>
          <w:rStyle w:val="FootnoteAnchor"/>
          <w:rtl w:val="true"/>
        </w:rPr>
        <w:footnoteReference w:id="1221"/>
      </w:r>
      <w:r>
        <w:rPr>
          <w:rFonts w:ascii="Amiri" w:hAnsi="Amiri" w:eastAsia="Amiri" w:cs="Amiri"/>
          <w:color w:val="111111"/>
          <w:sz w:val="28"/>
          <w:sz w:val="28"/>
          <w:szCs w:val="28"/>
          <w:rtl w:val="true"/>
          <w:lang w:bidi="ar-SA"/>
        </w:rPr>
        <w:t xml:space="preserve">، إلى غير ذلك من النصوص المتقاربة مضمونا </w:t>
      </w:r>
      <w:r>
        <w:rPr>
          <w:rStyle w:val="FootnoteAnchor"/>
          <w:rtl w:val="true"/>
        </w:rPr>
        <w:footnoteReference w:id="12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حينئذ فلو شك في مشروعية مرتبة من الأمر بالمعروف بالغة حد الجرح أو الشتم، بل الضرب و الهتك الزائد عن مقدار اقتضاء طبع الأمر بالمعروف، لا يبقى مجال للتشبث بمثل هذه الإطلاقات، بل لا بد من التماس نص آخر، و إلّا فأصالة عدم المشروعية محكمة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قصور في دلالة السنة على وجوب الأمر بالمعروف فعلا و تركا، بالنسبة إلى كل فريضة، لاقتضاء التعليل بإقامة الفرائض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توهم الاستفادة من هذه العلّة مشروعية ما يكون مقدمة لإقامة الفرائض بأي مرتبة من المراتب، مدفوع بمنع بلوغ الإطلاق في العلة المسطورة إلى هذه الدرجة، كيف و مقتضى المقدمية لإقامة الفرائض، ملاحظة أهمية مصلحة الفريضة من المفاسد المترتبة على المراتب المذكورة، و إلّا فلا معنى للإغماض عن الأهم حفظا للمهم، فلا محيص عن 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كونها مما تقام به الفرائض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كونها كذلك غالبا بالنسبة إلى أول مرتبة الردع عن المنكر و البعث على المعروف</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طبع الأمر يقتضي مرتبة من العقوبة على مخالفته، فإذا فرض جعل</w:t>
      </w:r>
      <w:bookmarkStart w:id="598" w:name="pg19818_204309"/>
    </w:p>
    <w:p>
      <w:pPr>
        <w:pStyle w:val="BookText"/>
        <w:rPr/>
      </w:pPr>
      <w:bookmarkEnd w:id="598"/>
      <w:r>
        <w:rPr>
          <w:rFonts w:ascii="Amiri" w:hAnsi="Amiri" w:eastAsia="Amiri" w:cs="Amiri"/>
          <w:color w:val="111111"/>
          <w:sz w:val="28"/>
          <w:sz w:val="28"/>
          <w:szCs w:val="28"/>
          <w:rtl w:val="true"/>
          <w:lang w:bidi="ar-SA"/>
        </w:rPr>
        <w:t>صفة الأمر به لشخص بالإضافة إلى شخص آخر، يقتضي ذلك بفحواه إنّ له السلطنة على عقوبة المأمور بمخالفته، و لازمة صحة توعيده على المخالفة بمرتبة من العقوبة، و المتيقن منه هتكه بأول مرتبة منه، و أما بلوغه حد الضرب أو سائر مراتب الهتك فلا، و لازمة صيرورة خوف مثل هذا الضرر داعيا له على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ذلك أيضا غير كون هتكه مقدمة لإيجاده خارجا، كما هو الشأن في بلوغ مرتبة الزجر إلى هذه الدرجة، و ذلك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الغرض من الأمر بالمعروف، بعد ما كانت إقامة الفرائض، فمع ترتب الغرض بقيام البعض يجب على الكفاية، و إلّا فلا بد أن يجب على الآحاد عينا، و ذلك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عليه فيمكن إرجاع النزاع في العينية و الكفائية إلى جهة صغروية، و إن كان يوهم كلام الجواهر </w:t>
      </w:r>
      <w:r>
        <w:rPr>
          <w:rStyle w:val="FootnoteAnchor"/>
          <w:rtl w:val="true"/>
        </w:rPr>
        <w:footnoteReference w:id="1223"/>
      </w:r>
      <w:r>
        <w:rPr>
          <w:rFonts w:ascii="IRNazanin" w:hAnsi="IRNazanin" w:eastAsia="IRNazanin"/>
          <w:color w:val="111111"/>
          <w:sz w:val="28"/>
          <w:sz w:val="28"/>
          <w:szCs w:val="28"/>
          <w:rtl w:val="true"/>
          <w:lang w:bidi="fa-IR"/>
        </w:rPr>
        <w:t>خلافه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لكن عند التأمل يمكن إرجاع نظره في اختياره الكفاية إلى صورة فرض الكفائية، كما انّ كلام المحقق في العينية </w:t>
      </w:r>
      <w:r>
        <w:rPr>
          <w:rStyle w:val="FootnoteAnchor"/>
          <w:rtl w:val="true"/>
        </w:rPr>
        <w:footnoteReference w:id="1224"/>
      </w:r>
      <w:r>
        <w:rPr>
          <w:rFonts w:ascii="Amiri" w:hAnsi="Amiri" w:eastAsia="Amiri" w:cs="Amiri"/>
          <w:color w:val="111111"/>
          <w:sz w:val="28"/>
          <w:sz w:val="28"/>
          <w:szCs w:val="28"/>
          <w:rtl w:val="true"/>
          <w:lang w:bidi="ar-SA"/>
        </w:rPr>
        <w:t>أيضا محمول جزما على فرض عدم قيام الفرائض بإقدام كل أحد بالأمر بالمعروف، بحيث لو حصل مثلا هذا الغرض من فعل طائفة خاصة لا يبقى مجال وجوبه على غيرهم حتى عنده، فلا تغني حينئذ صغروية النزاع إلّا ذلك، فراجع كلماتهم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إنّ وجوب الأمر بالمعروف مشروط</w:t>
      </w:r>
    </w:p>
    <w:p>
      <w:pPr>
        <w:pStyle w:val="Heading5"/>
        <w:numPr>
          <w:ilvl w:val="4"/>
          <w:numId w:val="1"/>
        </w:numPr>
        <w:rPr/>
      </w:pPr>
      <w:bookmarkStart w:id="599" w:name="__RefHeading___Toc3321128_2314609296"/>
      <w:bookmarkStart w:id="600" w:name="_Toc222"/>
      <w:bookmarkEnd w:id="599"/>
      <w:r>
        <w:rPr>
          <w:rtl w:val="true"/>
        </w:rPr>
        <w:t>بشروط أربعة</w:t>
      </w:r>
      <w:r>
        <w:rPr>
          <w:rtl w:val="true"/>
        </w:rPr>
        <w:t>:</w:t>
      </w:r>
      <w:bookmarkEnd w:id="600"/>
    </w:p>
    <w:p>
      <w:pPr>
        <w:pStyle w:val="Heading6"/>
        <w:numPr>
          <w:ilvl w:val="5"/>
          <w:numId w:val="1"/>
        </w:numPr>
        <w:rPr/>
      </w:pPr>
      <w:bookmarkStart w:id="601" w:name="__RefHeading___Toc3321130_2314609296"/>
      <w:bookmarkStart w:id="602" w:name="_Toc223"/>
      <w:bookmarkEnd w:id="601"/>
      <w:r>
        <w:rPr>
          <w:rtl w:val="true"/>
        </w:rPr>
        <w:t>اشارة</w:t>
      </w:r>
      <w:bookmarkEnd w:id="602"/>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p>
    <w:p>
      <w:pPr>
        <w:pStyle w:val="Heading6"/>
        <w:numPr>
          <w:ilvl w:val="5"/>
          <w:numId w:val="1"/>
        </w:numPr>
        <w:rPr/>
      </w:pPr>
      <w:bookmarkStart w:id="603" w:name="__RefHeading___Toc3321132_2314609296"/>
      <w:bookmarkStart w:id="604" w:name="_Toc224"/>
      <w:bookmarkEnd w:id="603"/>
      <w:r>
        <w:rPr>
          <w:rtl w:val="true"/>
        </w:rPr>
        <w:t>أن يعرف المعروف و المنكر</w:t>
      </w:r>
      <w:bookmarkEnd w:id="604"/>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المشهور، بل في الجواهر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دعوى موافقته لكلمات الأصحاب </w:t>
      </w:r>
      <w:r>
        <w:rPr>
          <w:rStyle w:val="FootnoteAnchor"/>
          <w:rtl w:val="true"/>
        </w:rPr>
        <w:footnoteReference w:id="1225"/>
      </w:r>
      <w:r>
        <w:rPr>
          <w:rFonts w:ascii="Amiri" w:hAnsi="Amiri" w:eastAsia="Amiri" w:cs="Amiri"/>
          <w:color w:val="111111"/>
          <w:sz w:val="28"/>
          <w:sz w:val="28"/>
          <w:szCs w:val="28"/>
          <w:rtl w:val="true"/>
          <w:lang w:bidi="ar-SA"/>
        </w:rPr>
        <w:t xml:space="preserve">، خلافا للمحقق الثاني </w:t>
      </w:r>
      <w:r>
        <w:rPr>
          <w:rStyle w:val="FootnoteAnchor"/>
          <w:rtl w:val="true"/>
        </w:rPr>
        <w:footnoteReference w:id="1226"/>
      </w:r>
      <w:r>
        <w:rPr>
          <w:rFonts w:ascii="Amiri" w:hAnsi="Amiri" w:eastAsia="Amiri" w:cs="Amiri"/>
          <w:color w:val="111111"/>
          <w:sz w:val="28"/>
          <w:sz w:val="28"/>
          <w:szCs w:val="28"/>
          <w:rtl w:val="true"/>
          <w:lang w:bidi="ar-SA"/>
        </w:rPr>
        <w:t xml:space="preserve">و المسالك </w:t>
      </w:r>
      <w:r>
        <w:rPr>
          <w:rStyle w:val="FootnoteAnchor"/>
          <w:rtl w:val="true"/>
        </w:rPr>
        <w:footnoteReference w:id="1227"/>
      </w:r>
      <w:r>
        <w:rPr>
          <w:rFonts w:ascii="Amiri" w:hAnsi="Amiri" w:eastAsia="Amiri" w:cs="Amiri"/>
          <w:color w:val="111111"/>
          <w:sz w:val="28"/>
          <w:sz w:val="28"/>
          <w:szCs w:val="28"/>
          <w:rtl w:val="true"/>
          <w:lang w:bidi="ar-SA"/>
        </w:rPr>
        <w:t>، حيث ذهبا إلى إطلاق وجوبه، المستلزم لوجوب تحصيل مقدمته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استدل للأول بظهور خبر مسعدة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هو على القوي المطاع العالم بالمعروف عن المنكر</w:t>
      </w:r>
      <w:r>
        <w:rPr>
          <w:rFonts w:eastAsia="Amiri" w:cs="Amiri" w:ascii="Amiri" w:hAnsi="Amiri"/>
          <w:color w:val="111111"/>
          <w:sz w:val="28"/>
          <w:szCs w:val="28"/>
          <w:rtl w:val="true"/>
          <w:lang w:bidi="ar-SA"/>
        </w:rPr>
        <w:t xml:space="preserve">» </w:t>
      </w:r>
      <w:r>
        <w:rPr>
          <w:rStyle w:val="FootnoteAnchor"/>
          <w:rtl w:val="true"/>
        </w:rPr>
        <w:footnoteReference w:id="1228"/>
      </w:r>
      <w:r>
        <w:rPr>
          <w:rFonts w:ascii="Amiri" w:hAnsi="Amiri" w:eastAsia="Amiri" w:cs="Amiri"/>
          <w:color w:val="111111"/>
          <w:sz w:val="28"/>
          <w:sz w:val="28"/>
          <w:szCs w:val="28"/>
          <w:rtl w:val="true"/>
          <w:lang w:bidi="ar-SA"/>
        </w:rPr>
        <w:t>، حيث أخذ العلم المزبور في موضوع الوجوب، الكاشف ذلك عن إناطته بوجوده كاناطة وجوب الحج بموضوع الاستطاعة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لازم ذلك إناطة الوجوب بعنوان المطاعية أيضا، و لازمة عدم وجوبه مع احتمال عدم إطاعة أمره، فضلا عن الظن به، و هذا المقدار خلاف ما تقتضيه كلماتهم الآتية، بل ظاهر التزامهم بوجوب الأمر مع احتمال التأثير، كون تأثير أمره في الدعوة من قبيل شرائط الواجب، التي شأن المكلف وجوب الاقدام فيه بمحض الشك في قدرته على القيد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مع القطع بعدمه لا يبقى مجال للوجوب، للجزم بأنّ الغرض من الأمر هو تأثيره في إقامة الفرائض، و مع الجزم بعدم ترتبه عليه لا يبقى مجال الأمر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وجه اناطة الوجوب بالقوي أيضا من هذا الباب، بملاحظة قدرته غالبا على إحداث الداعي بأمره، في قبال الضعيف الذي لا يجدي أمره سوى الاستهزاء به و بكلامه</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بعد ذلك لا يبقى مجال للأخذ بظهور النص المزبور، في شرطية العلم بالمعروف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ظرف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الوجوب، خصوصا مع ارتكاز الذهن بأنّ ذلك</w:t>
      </w:r>
    </w:p>
    <w:p>
      <w:pPr>
        <w:pStyle w:val="BookText"/>
        <w:rPr/>
      </w:pPr>
      <w:r>
        <w:rPr>
          <w:rFonts w:ascii="Amiri" w:hAnsi="Amiri" w:eastAsia="Amiri" w:cs="Amiri"/>
          <w:color w:val="111111"/>
          <w:sz w:val="28"/>
          <w:sz w:val="28"/>
          <w:szCs w:val="28"/>
          <w:rtl w:val="true"/>
          <w:lang w:bidi="ar-SA"/>
        </w:rPr>
        <w:t>من جهة دخل العلم في تشخيص ما يأمر به و ينهى عنه، كي لا يقع في الغلط و الاشتباه، فيكون مغريا بالجهل، و موقعا في خلاف المقصود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المعلوم انّ أمثال هذه الجهات، هي من شئون القدرة على الشي‌ء، التي ينوط بها جميع الواجبات عقلا، المستتبع لوجوب الاقدام عليها عند احتمالها، و مثل ذلك أجنبي عن شرط الوجوب شرعا، الذي لا يكاد يتحقق الوجوب إلّا في ظرف العلم بوجوده، و إلّا فمع احتمال العدم فالأصل يقتضي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شبهة في دخل مثل هذه العناوين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أشرنا في القدرة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إيجاد الواجب غالبا، التي هي من الشرائط العقلية للوجوب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مثل هذا المقدار غير منكر لدى المحقق </w:t>
      </w:r>
      <w:r>
        <w:rPr>
          <w:rStyle w:val="FootnoteAnchor"/>
          <w:rtl w:val="true"/>
        </w:rPr>
        <w:footnoteReference w:id="1229"/>
      </w:r>
      <w:r>
        <w:rPr>
          <w:rFonts w:ascii="Amiri" w:hAnsi="Amiri" w:eastAsia="Amiri" w:cs="Amiri"/>
          <w:color w:val="111111"/>
          <w:sz w:val="28"/>
          <w:sz w:val="28"/>
          <w:szCs w:val="28"/>
          <w:rtl w:val="true"/>
          <w:lang w:bidi="ar-SA"/>
        </w:rPr>
        <w:t xml:space="preserve">و الشهيد الثاني </w:t>
      </w:r>
      <w:r>
        <w:rPr>
          <w:rStyle w:val="FootnoteAnchor"/>
          <w:rtl w:val="true"/>
        </w:rPr>
        <w:footnoteReference w:id="1230"/>
      </w:r>
      <w:r>
        <w:rPr>
          <w:rFonts w:ascii="Amiri" w:hAnsi="Amiri" w:eastAsia="Amiri" w:cs="Amiri"/>
          <w:color w:val="111111"/>
          <w:sz w:val="28"/>
          <w:sz w:val="28"/>
          <w:szCs w:val="28"/>
          <w:rtl w:val="true"/>
          <w:lang w:bidi="ar-SA"/>
        </w:rPr>
        <w:t>أيضا، بل لا يبعد حمل كلمات القوم أيضا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يؤيده كلام المحقق في الشرائع عند تعليله لشرطية العلم بعدم الغلط و الاشتباه، المناسب لدخلهما في القدرة على الأمر بالمعروف و النهي عن المنكر، إذ الأمر الصادر منه بهذا العنوان، لا يكاد يتحقق إلّا مع علمه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يكفي في الأمر بالمعروف بنحو الإجمال، مجرد علمه بوجود معروف في أحد الطرفين لتاركهما، ففي مثله لا حاجة إلى العلم به تفصيلا، بل يكفيه علمه الإجمالي المزبور</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في النص السابق من دخل العلم في الوجوب أيضا منصرف إلى صورة أمره بالمعروف تفصيلا لا مطلقا، كما انّ كلمات الأصحاب مثل كلام المحقق أيضا منصرفة عن هذه الصورة</w:t>
      </w:r>
      <w:r>
        <w:rPr>
          <w:rFonts w:eastAsia="Amiri" w:cs="Amiri" w:ascii="Amiri" w:hAnsi="Amiri"/>
          <w:color w:val="111111"/>
          <w:sz w:val="28"/>
          <w:szCs w:val="28"/>
          <w:rtl w:val="true"/>
          <w:lang w:bidi="ar-SA"/>
        </w:rPr>
        <w:t>.</w:t>
      </w:r>
      <w:bookmarkStart w:id="605" w:name="pg19818_204312"/>
    </w:p>
    <w:p>
      <w:pPr>
        <w:pStyle w:val="BookText"/>
        <w:rPr/>
      </w:pPr>
      <w:bookmarkEnd w:id="605"/>
      <w:r>
        <w:rPr>
          <w:rFonts w:ascii="Amiri" w:hAnsi="Amiri" w:eastAsia="Amiri" w:cs="Amiri"/>
          <w:color w:val="111111"/>
          <w:sz w:val="28"/>
          <w:sz w:val="28"/>
          <w:szCs w:val="28"/>
          <w:rtl w:val="true"/>
          <w:lang w:bidi="ar-SA"/>
        </w:rPr>
        <w:t>و حينئذ لا وجه لتعليق الوجوب شرعا على مثل هذا العلم، خصوصا بعد إطلاق أدلة وجوب الأمر بالمعروف من هذه الجهات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يدّعى أنّ التعليل فيها بإقامة الفرائض، ربما يوهن إطلاق وجوبها، إذ هو فرع العلم بإطلاق مطلوبيتها من كل أحد و لو تسبيبا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 هذا الإطلاق لا يستفاد من أدلتها و لا من إطلاق أدلة وجوب الأمر بالمعروف بعد اقترانها بمثل هذه العلة المهملة المبهمة، إذ مثل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بملاحظة اتصالها باللام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يصلح للقرينية في نفي الإطلاق في دليل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لكن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التعليل بإقامة الفرائض لا يكون في بيان مطلوبيتها، في قبال مطلوبية الأمر المزبور، كي يستتبع إهماله من جهة إهمال وجوب مقدمته من تلك الجهة، بل مقتضى التعليل المذكور ليس إلّا ترتب الإقامة على الأمر بالمعروف، و لا يستفاد مطلوبيته إلّا من قبل مطلوبية مقدمته، و من المعلوم انه في مثل هذا المورد تتبع كيفية مطلوبيته لأصل المطلوبية، إطلاقا و اشتراطا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فيستفاد ذلك من إطلاق مطلوبية الأمر المزبور و إهماله، فلا تصلح أمثال هذه التعليلات لقلب ما عليه ذو العلة عما هو عليه من الظهور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فلا بد أن يلحظ بدوا ظهور الأمر في إطلاق وجوبه أم لا، و بعد ذلك لا يبعد دعوى سوقه لبيان الإطلاق، بلا صلاحية دليل آخر لتقيد وجوبه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ربما لا يجب تحصيل مقدمته، من العلم أو القوة و المطاعية، للحرج فيسقط عنه وجوبه، كسقوط وجوبه بعلمه بعدم القدرة على إحداث الداعي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الشرط الثاني هو أن يجوز الآمر و يحتمل</w:t>
      </w:r>
    </w:p>
    <w:p>
      <w:pPr>
        <w:pStyle w:val="Heading6"/>
        <w:numPr>
          <w:ilvl w:val="5"/>
          <w:numId w:val="1"/>
        </w:numPr>
        <w:rPr/>
      </w:pPr>
      <w:bookmarkStart w:id="606" w:name="__RefHeading___Toc3321134_2314609296"/>
      <w:bookmarkStart w:id="607" w:name="_Toc225"/>
      <w:bookmarkEnd w:id="606"/>
      <w:r>
        <w:rPr>
          <w:rtl w:val="true"/>
        </w:rPr>
        <w:t>تأثير الإنكار</w:t>
      </w:r>
      <w:bookmarkEnd w:id="607"/>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لأنّ الغرض من الإنكار لا يكاد يترتب على أمر لا يؤثر في احداث الداعي، فمع</w:t>
      </w:r>
      <w:bookmarkStart w:id="608" w:name="pg19818_204313"/>
    </w:p>
    <w:p>
      <w:pPr>
        <w:pStyle w:val="BookText"/>
        <w:rPr/>
      </w:pPr>
      <w:bookmarkEnd w:id="608"/>
      <w:r>
        <w:rPr>
          <w:rFonts w:ascii="Amiri" w:hAnsi="Amiri" w:eastAsia="Amiri" w:cs="Amiri"/>
          <w:color w:val="111111"/>
          <w:sz w:val="28"/>
          <w:sz w:val="28"/>
          <w:szCs w:val="28"/>
          <w:rtl w:val="true"/>
          <w:lang w:bidi="ar-SA"/>
        </w:rPr>
        <w:t>الجزم بعدم التأثير يكون لغوا محضا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مع احتماله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بملاحظة احتمال القدرة على التوصل إلى الغرض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الاقدام، كما هو الشأن في جميع الواجبات المشكوك القدرة على امتثالها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عرفت أنّ ما في النص السابق من اشتماله على اناطة الوجوب على القوي المطاع، ليس إلّا بلحاظ أنّ للقوة و لعنوان المطاعية دخلا في القدرة على إيجاد المقصود، من احداث الداعي على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هذا الارتكاز يكون المورد من قبيل دفع توهم الحظر في باب الأوامر، المانع عن انعقاد ظهور اناطة الوجوب بالمطاعية حتى بمرتبة الاقتضاء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أضعف مما ذكرنا في استفادة الشرطية المذكورة، ما دل على أنّ الأمر بالمعروف إنما هو عند ما يقبل منه، و انه انّما يؤمر بالمعروف و ينهى عن المنكر مؤمن فيتعظ، أو جاهل فيتعلم، و أما صاحب سوط أو سيف فلا </w:t>
      </w:r>
      <w:r>
        <w:rPr>
          <w:rStyle w:val="FootnoteAnchor"/>
          <w:rtl w:val="true"/>
        </w:rPr>
        <w:footnoteReference w:id="12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غير ذلك مما يقرّب هذا اللسان، إذ مثل هذه الألسنة لا تقتضي إناطة الوجوب بالتأثير و لو بنحو الشرط المتأخر، كيف و لازمة عدم وجوبه حتى مع الظن بالتأثير، فضلا عن احتماله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خلاف بناء الأصحاب، و ظواهر كلماتهم، فلا محيص عن كون الغرض من إناطة الوجوب بذلك في أمثال ذلك، هي الإناطة العقلية الناشئة عن دخل القدرة على التوصل إلى الغرض في الوجوب حتى مع الاحتمال فضلا عن الظن به كما هو ظاهر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الشرط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w:t>
      </w:r>
    </w:p>
    <w:p>
      <w:pPr>
        <w:pStyle w:val="Heading6"/>
        <w:numPr>
          <w:ilvl w:val="5"/>
          <w:numId w:val="1"/>
        </w:numPr>
        <w:rPr/>
      </w:pPr>
      <w:bookmarkStart w:id="609" w:name="__RefHeading___Toc3321136_2314609296"/>
      <w:bookmarkStart w:id="610" w:name="_Toc226"/>
      <w:bookmarkEnd w:id="609"/>
      <w:r>
        <w:rPr>
          <w:rtl w:val="true"/>
        </w:rPr>
        <w:t>لا تظهر أمارة الإقلاع</w:t>
      </w:r>
      <w:bookmarkEnd w:id="610"/>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أي الندم و الامتناع في المأمور، بأن لا يكون مصرا على ارتكاب المنكر أو ترك المعروف، و إلّا فمع قيام الامارة المزبورة كان في نفسه داع إلى العمل</w:t>
      </w:r>
      <w:bookmarkStart w:id="611" w:name="pg19818_204314"/>
    </w:p>
    <w:p>
      <w:pPr>
        <w:pStyle w:val="BookText"/>
        <w:rPr/>
      </w:pPr>
      <w:bookmarkEnd w:id="611"/>
      <w:r>
        <w:rPr>
          <w:rFonts w:ascii="Amiri" w:hAnsi="Amiri" w:eastAsia="Amiri" w:cs="Amiri"/>
          <w:color w:val="111111"/>
          <w:sz w:val="28"/>
          <w:sz w:val="28"/>
          <w:szCs w:val="28"/>
          <w:rtl w:val="true"/>
          <w:lang w:bidi="ar-SA"/>
        </w:rPr>
        <w:t>بالمعروف و الاقتلاع عن المنكر، فيكون الأمر المزبور أيضا غير صالح لإحداث الداعي، و بعد ذلك لا يبقى موضوع للأمر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إشكال في هذا المقدار مع القطع به، كما انه لو بلغت أمر الامارة مرتبة ظهور الحال، التي هي مورد اتكال العقلاء كظواهر الألفاظ، فلا إشكال في ذلك، و إلّا فيشكل سقوط الأمر المزبور، و لو من جهة احتمال التأثير، خصوصا مع سبق الإصرار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مع الاقدام على الطاعات و الاجتناب عن المعاصي، كان نهيه عن المنكر توهينا في حقه، و الأصل في مثله الحرمة، لاحترام عرض المسلمين كدمه و ماله إلّا ما خرج، و هو ليس إلّا من كان بصدد ترك الطاعات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مع الشك فيه فأصالة عدم كونه من العاصين تقتضي عدم جواز مثل هذا الهتك المحتمل في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لم يحرز في حقه كونه من العصاة لا يكاد يجوز نهيه و هتكه، و لازمة اناطة جواز الإنكار عليه بالأمارة على كونه عاصيا، لا أنّ عدم وجوب أمره و نهيه منوط بأمارة الندم و الإقلاع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ما أفيد صحيح بالنسبة إلى من كان مسبوقا بالإصرار على الارتكاب، و لا يبعد حمل كلماتهم أيضا على ذلك، إذ مقتضى الأصل وجوب الأمر بالمعروف في حقه إلى أن يثبت خلافه، و في مثله لا يكفي مجرد الظن بالخلاف، ما لم يكن حجة شرعية، من كونه مستندا إلى ظهور أو بينة عادلة، و إلّا فلا يغني الظن عن الحق شيئا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الشرط الرابع</w:t>
      </w:r>
      <w:r>
        <w:rPr>
          <w:rFonts w:eastAsia="IRNazanin" w:cs="IRNazanin"/>
          <w:color w:val="111111"/>
          <w:sz w:val="28"/>
          <w:szCs w:val="28"/>
          <w:rtl w:val="true"/>
          <w:lang w:bidi="fa-IR"/>
        </w:rPr>
        <w:t>:</w:t>
      </w:r>
    </w:p>
    <w:p>
      <w:pPr>
        <w:pStyle w:val="Heading6"/>
        <w:numPr>
          <w:ilvl w:val="5"/>
          <w:numId w:val="1"/>
        </w:numPr>
        <w:rPr/>
      </w:pPr>
      <w:bookmarkStart w:id="612" w:name="__RefHeading___Toc3321138_2314609296"/>
      <w:bookmarkStart w:id="613" w:name="_Toc227"/>
      <w:bookmarkEnd w:id="612"/>
      <w:r>
        <w:rPr>
          <w:rtl w:val="true"/>
        </w:rPr>
        <w:t>انتفاء المفسدة</w:t>
      </w:r>
      <w:bookmarkEnd w:id="613"/>
    </w:p>
    <w:p>
      <w:pPr>
        <w:pStyle w:val="BookText"/>
        <w:rPr/>
      </w:pPr>
      <w:r>
        <w:rPr>
          <w:rFonts w:ascii="Amiri" w:hAnsi="Amiri" w:eastAsia="Amiri" w:cs="Amiri"/>
          <w:color w:val="111111"/>
          <w:sz w:val="28"/>
          <w:sz w:val="28"/>
          <w:szCs w:val="28"/>
          <w:rtl w:val="true"/>
          <w:lang w:bidi="ar-SA"/>
        </w:rPr>
        <w:t>في إنكاره على غيره، من دون فرق بين رجوع مفسدة عمله إليه أو إلى غيره من إخوانه المؤمنين</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حينئذ فمع ترتب المفسدة المزبورة، لا يجب الإنكار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يدل عليه عموم نفي الحرج فيما لا يتحمل، بل و ما في بعض النصوص من تعليقه على الإمكان و عدم الخوف على النفس </w:t>
      </w:r>
      <w:r>
        <w:rPr>
          <w:rStyle w:val="FootnoteAnchor"/>
          <w:rtl w:val="true"/>
        </w:rPr>
        <w:footnoteReference w:id="1232"/>
      </w:r>
      <w:r>
        <w:rPr>
          <w:rFonts w:ascii="Amiri" w:hAnsi="Amiri" w:eastAsia="Amiri" w:cs="Amiri"/>
          <w:color w:val="111111"/>
          <w:sz w:val="28"/>
          <w:sz w:val="28"/>
          <w:szCs w:val="28"/>
          <w:rtl w:val="true"/>
          <w:lang w:bidi="ar-SA"/>
        </w:rPr>
        <w:t>، و في آخر مع زيادة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على أصحابه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الظاهر من الخوف على النفس خوفه من الضرر الوارد عليه أو على أصحابه أعم من المال و غيره لا انّ المراد خصوص خوف الضرر النفسي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فالنفس في المقام مأخوذ في قبال الغير من الأصحاب، لا في قبال العرض و المال و يؤيده ما في نص آخر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تعرض لسلطان جائر فأصابته بلية لم يؤجر عليها</w:t>
      </w:r>
      <w:r>
        <w:rPr>
          <w:rFonts w:eastAsia="Amiri" w:cs="Amiri" w:ascii="Amiri" w:hAnsi="Amiri"/>
          <w:color w:val="111111"/>
          <w:sz w:val="28"/>
          <w:szCs w:val="28"/>
          <w:rtl w:val="true"/>
          <w:lang w:bidi="ar-SA"/>
        </w:rPr>
        <w:t xml:space="preserve">» </w:t>
      </w:r>
      <w:r>
        <w:rPr>
          <w:rStyle w:val="FootnoteAnchor"/>
          <w:rtl w:val="true"/>
        </w:rPr>
        <w:footnoteReference w:id="12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المعلوم أنّ الغرض من البلية مطلق الضرر الوارد من قبله و لو مالا، فلا قصور في الروايات في شمولها للضرر المالي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بذلك لا يختص مثل هذا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ارتفاعه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بالضرر المالي الكثير، بل يعم الضرر المالي و لو يسيرا ما لم ينته إلى حد الندرة الملحقة بالعدم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يحتاج في نفيه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للضرر المالي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التشبث بعموم لا ضرر، كي يدعى عدم جبر عموم نفي الضرر المالي في نفي التكاليف، كيف و لازمة جواز ارتكاب كل محرم بمحض العلم بترتب ضرر مالي يتحمل عادة، بنحو لا مشقة و لا حرج في ارتكابه، و لا أظن التزامه من أحد</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العناوين المأخوذة في النصوص السابقة آبية عن الشمول للضرر المالي غير البالغ حد الحرج في ارتكابه، فلا تبقى في البين إلّا دعوى جبر فتاويهم لعموم نفي الضرر، حتى المالي منه في خصوص المقام، و إن لم يلتزموا به في غير 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يؤيده أيضا ما في بعض النصوص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يوجبون أمرا بمعروف و لا نهيا عن منكر إلّا إذا آمنوا الضرر</w:t>
      </w:r>
      <w:r>
        <w:rPr>
          <w:rFonts w:eastAsia="Amiri" w:cs="Amiri" w:ascii="Amiri" w:hAnsi="Amiri"/>
          <w:color w:val="111111"/>
          <w:sz w:val="28"/>
          <w:szCs w:val="28"/>
          <w:rtl w:val="true"/>
          <w:lang w:bidi="ar-SA"/>
        </w:rPr>
        <w:t xml:space="preserve">» </w:t>
      </w:r>
      <w:r>
        <w:rPr>
          <w:rStyle w:val="FootnoteAnchor"/>
          <w:rtl w:val="true"/>
        </w:rPr>
        <w:footnoteReference w:id="1234"/>
      </w:r>
      <w:r>
        <w:rPr>
          <w:rFonts w:ascii="Amiri" w:hAnsi="Amiri" w:eastAsia="Amiri" w:cs="Amiri"/>
          <w:color w:val="111111"/>
          <w:sz w:val="28"/>
          <w:sz w:val="28"/>
          <w:szCs w:val="28"/>
          <w:rtl w:val="true"/>
          <w:lang w:bidi="ar-SA"/>
        </w:rPr>
        <w:t>، و إطلاقه غير قاصر الشمول للضرر المالي و لو يسيرا، ما لم ينته إلى حد يلحق بالعدم عرفا، كما 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في إلحاق خوف الضرر بصورة اليقين به، حتى في المال اشكال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يبعد الإلحاق في النفسي و العرضي، لأنه يجب حفظ نفسه عن المضار المزبورة، و مع الشك فيه فقاعدة الاشتغال تقتضي وجوب الحفظ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قلنا بأنّ الهتك حرام، لا يبعد المصير إلى البراءة، و لكن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ظاهر الأصحاب إلحاق الظن بالضرر باليقين، و قوّي إلحاق مطلق الخوف و استبعد عدم مساعدة العقل عليه كما توهم </w:t>
      </w:r>
      <w:r>
        <w:rPr>
          <w:rStyle w:val="FootnoteAnchor"/>
          <w:rtl w:val="true"/>
        </w:rPr>
        <w:footnoteReference w:id="12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عليه فيحتاج إثباته إلى دليل متيقن، فإن كان في البين 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بتسرية مناط خوف الضرر من باب الوضوء و الصوم و أمثالهما إلى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و إلّا فللنظر فيه مجال،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ظاهر حصرهم الشرائط في الأربعة المذكورة عدم شرطية غيرها، فما عن البهائي من اشتراط كون الآمر غير تارك للمعروف لقوله تعالى أَ تَأْمُرُونَ النّٰاسَ بِالْبِرِّ وَ تَنْسَوْنَ أَنْفُسَكُمْ </w:t>
      </w:r>
      <w:r>
        <w:rPr>
          <w:rStyle w:val="FootnoteAnchor"/>
          <w:rtl w:val="true"/>
        </w:rPr>
        <w:footnoteReference w:id="1236"/>
      </w:r>
      <w:r>
        <w:rPr>
          <w:rFonts w:eastAsia="Times New Roman" w:cs="Times New Roman" w:ascii="Times New Roman" w:hAnsi="Times New Roman"/>
          <w:color w:val="111111"/>
          <w:sz w:val="28"/>
          <w:szCs w:val="28"/>
          <w:rtl w:val="true"/>
          <w:lang w:val="en-US" w:bidi="en-US"/>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المروي عن الخصال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يأمر بالمعروف و ينهى عن المنكر من كان فيه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عامل بما يأمر به، و تارك لما ينهى عنه</w:t>
      </w:r>
      <w:r>
        <w:rPr>
          <w:rFonts w:eastAsia="Amiri" w:cs="Amiri" w:ascii="Amiri" w:hAnsi="Amiri"/>
          <w:color w:val="111111"/>
          <w:sz w:val="28"/>
          <w:szCs w:val="28"/>
          <w:rtl w:val="true"/>
          <w:lang w:bidi="ar-SA"/>
        </w:rPr>
        <w:t xml:space="preserve">» </w:t>
      </w:r>
      <w:r>
        <w:rPr>
          <w:rStyle w:val="FootnoteAnchor"/>
          <w:rtl w:val="true"/>
        </w:rPr>
        <w:footnoteReference w:id="1237"/>
      </w:r>
      <w:r>
        <w:rPr>
          <w:rFonts w:ascii="Amiri" w:hAnsi="Amiri" w:eastAsia="Amiri" w:cs="Amiri"/>
          <w:color w:val="111111"/>
          <w:sz w:val="28"/>
          <w:sz w:val="28"/>
          <w:szCs w:val="28"/>
          <w:rtl w:val="true"/>
          <w:lang w:bidi="ar-SA"/>
        </w:rPr>
        <w:t>، و أمثال ذلك و هي كثيرة</w:t>
      </w:r>
      <w:r>
        <w:rPr>
          <w:rFonts w:eastAsia="Amiri" w:cs="Amiri" w:ascii="Amiri" w:hAnsi="Amiri"/>
          <w:color w:val="111111"/>
          <w:sz w:val="28"/>
          <w:szCs w:val="28"/>
          <w:rtl w:val="true"/>
          <w:lang w:bidi="ar-SA"/>
        </w:rPr>
        <w:t>.</w:t>
      </w:r>
      <w:bookmarkStart w:id="614" w:name="pg19818_204317"/>
    </w:p>
    <w:p>
      <w:pPr>
        <w:pStyle w:val="BookText"/>
        <w:rPr/>
      </w:pPr>
      <w:bookmarkEnd w:id="614"/>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الآية في مقام الذم على تركه المعروف، لا على أمره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النص فإنما هو في مقام التعريض بأئمة الجور المتلبسين بلباس العدل، و انّ الغرض منه بيان أنّ من شأن الآمر بالمعروف أن يكون هكذا، كي يؤثر أمره في القلوب، و إلّا ففي غيره لا يكاد يؤثر غالبا، فالحصر المزبور منزّل على الغالب، من العلم بعدم تأثير أمره، لا أنه لا يجب على الفاسق الأمر بالمعروف حتى مع علمه بالتأثير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لئن أغمض عن هذا التوجيه، فلا أقل من طرح هذا الظهور بإعراض الأصحاب حسب إطلاق كلماتهم، فالمرجع حينئذ إطلاقات الأمر بالمعروف، بعد ضعف شبهة كونها في مقام الإهمال من هذه الجهات، و اللّٰه العالم</w:t>
      </w:r>
      <w:r>
        <w:rPr>
          <w:rFonts w:eastAsia="Amiri" w:cs="Amiri" w:ascii="Amiri" w:hAnsi="Amiri"/>
          <w:color w:val="111111"/>
          <w:sz w:val="28"/>
          <w:szCs w:val="28"/>
          <w:rtl w:val="true"/>
          <w:lang w:bidi="ar-SA"/>
        </w:rPr>
        <w:t>.</w:t>
      </w:r>
    </w:p>
    <w:p>
      <w:pPr>
        <w:pStyle w:val="Heading5"/>
        <w:numPr>
          <w:ilvl w:val="4"/>
          <w:numId w:val="1"/>
        </w:numPr>
        <w:rPr/>
      </w:pPr>
      <w:bookmarkStart w:id="615" w:name="__RefHeading___Toc3321140_2314609296"/>
      <w:bookmarkStart w:id="616" w:name="_Toc228"/>
      <w:bookmarkEnd w:id="615"/>
      <w:r>
        <w:rPr>
          <w:rtl w:val="true"/>
        </w:rPr>
        <w:t>و المعروف قسمان</w:t>
      </w:r>
      <w:bookmarkEnd w:id="61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واجب و ندب، فالأمر بالواجب واجب، و الأمر بالمندوب مندوب بلا اشكال فيه، لعدم زيادة الفرع على الأصل، و لما في النص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الدال على الخير كفاعله</w:t>
      </w:r>
      <w:r>
        <w:rPr>
          <w:rFonts w:eastAsia="Amiri" w:cs="Amiri" w:ascii="Amiri" w:hAnsi="Amiri"/>
          <w:color w:val="111111"/>
          <w:sz w:val="28"/>
          <w:szCs w:val="28"/>
          <w:rtl w:val="true"/>
          <w:lang w:bidi="ar-SA"/>
        </w:rPr>
        <w:t xml:space="preserve">» </w:t>
      </w:r>
      <w:r>
        <w:rPr>
          <w:rStyle w:val="FootnoteAnchor"/>
          <w:rtl w:val="true"/>
        </w:rPr>
        <w:footnoteReference w:id="12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فهو شريك</w:t>
      </w:r>
      <w:r>
        <w:rPr>
          <w:rFonts w:eastAsia="Amiri" w:cs="Amiri" w:ascii="Amiri" w:hAnsi="Amiri"/>
          <w:color w:val="111111"/>
          <w:sz w:val="28"/>
          <w:szCs w:val="28"/>
          <w:rtl w:val="true"/>
          <w:lang w:bidi="ar-SA"/>
        </w:rPr>
        <w:t xml:space="preserve">» </w:t>
      </w:r>
      <w:r>
        <w:rPr>
          <w:rStyle w:val="FootnoteAnchor"/>
          <w:rtl w:val="true"/>
        </w:rPr>
        <w:footnoteReference w:id="12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يتكلم الرجل بكلمة حق يؤخذ بها، إلّا كان له مثل أجر من أخذ بها</w:t>
      </w:r>
      <w:r>
        <w:rPr>
          <w:rFonts w:eastAsia="Amiri" w:cs="Amiri" w:ascii="Amiri" w:hAnsi="Amiri"/>
          <w:color w:val="111111"/>
          <w:sz w:val="28"/>
          <w:szCs w:val="28"/>
          <w:rtl w:val="true"/>
          <w:lang w:bidi="ar-SA"/>
        </w:rPr>
        <w:t xml:space="preserve">» </w:t>
      </w:r>
      <w:r>
        <w:rPr>
          <w:rStyle w:val="FootnoteAnchor"/>
          <w:rtl w:val="true"/>
        </w:rPr>
        <w:footnoteReference w:id="1240"/>
      </w:r>
      <w:r>
        <w:rPr>
          <w:rFonts w:eastAsia="Times New Roman" w:cs="Times New Roman" w:ascii="Times New Roman" w:hAnsi="Times New Roman"/>
          <w:color w:val="111111"/>
          <w:sz w:val="28"/>
          <w:szCs w:val="28"/>
          <w:rtl w:val="true"/>
          <w:lang w:val="en-US" w:bidi="en-US"/>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بمثل ذلك ترفع اليد عن وجوب الأمر بمطلق المعروف، فيبقى على ظهوره في غيره، من دون اقتضاء ذلك قلب الأوامر المزبورة، إلى الظهور في مطلق الرجحان، أو في اختصاصها بخصوص الواجب منها، كي يلزم سقوط حجيتها</w:t>
      </w:r>
    </w:p>
    <w:p>
      <w:pPr>
        <w:pStyle w:val="BookText"/>
        <w:rPr/>
      </w:pPr>
      <w:r>
        <w:rPr>
          <w:rFonts w:ascii="Amiri" w:hAnsi="Amiri" w:eastAsia="Amiri" w:cs="Amiri"/>
          <w:color w:val="111111"/>
          <w:sz w:val="28"/>
          <w:sz w:val="28"/>
          <w:szCs w:val="28"/>
          <w:rtl w:val="true"/>
          <w:lang w:bidi="ar-SA"/>
        </w:rPr>
        <w:t>في الوجوب في الواجبات على الأول، أو سقوط حجيتها عن أصل الرجحان في المندوب على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عمدة النكتة فيه انّ القرائن المنفصلة لا تقتضي صرف الظواهر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موردها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عليها من الظهور، و إنما شأنها رفع اليد عن حجيتها بمقدار قيام الدليل على الخلاف، كما لا شبهة في أنّ ظهور الإطلاقات يقتضي وجوب الأمر بمطلق 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الأمر قامت القرينة على عدم اللزوم في خصوص المندوبات، فيبقى ظهورها في البقية حجة بلا معارض، فتكون مثل هذه المطلقات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بنفس حجيتها على الوجوب في الواجبات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على رجحانها في المستحبات بلا لزوم محذور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ذلك كلّه على فرض إطلاقها في الوجوب بالنسبة إلى مطلق المعروف، و إلّا فمع قيام الارتكاز على عدم صلاحية الأمر بالمندوب أن يكون زائدا على المندوب، فربما يكون ذلك من القرائن الحافة بالكلام، المانعة عن انعقاد ظهورها في الوجوب في مطلق المعروف، بل لا بد إما من صرف ظهورها عن إطلاقها، أو صرف ظهورها في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التزاحم يطرأ الإجمال، فتخرج المطلقات عن دلالتها على الوجوب، حتى في الواجبات، لو لم نقل بأنّ دلالة الأوامر على الوجوب بالوضع، أو لاقترانها ببعض القرائن، و إلّا فيكون مقدّما على الإطلاق، لعدم مزاحمة المقتضي التعليقي مع التنجيزي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فتخرج المطلقات عن الدلالة على الرجحان في المستحبات، فلا بد من التشبث بالنصوص السابقة، في إثبات الرجحان في الأمر بالمندوبات</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الذي يسهّل الخطب، منع بلوغ الارتكاز بمثابة تمنع عن انعقاد أصل الظهور، و لو من جهة احتمال كون مصلحة الإيجاب في المندوبات، مجرد</w:t>
      </w:r>
      <w:bookmarkStart w:id="617" w:name="pg19818_204319"/>
    </w:p>
    <w:p>
      <w:pPr>
        <w:pStyle w:val="BookText"/>
        <w:rPr/>
      </w:pPr>
      <w:bookmarkEnd w:id="617"/>
      <w:r>
        <w:rPr>
          <w:rFonts w:ascii="Amiri" w:hAnsi="Amiri" w:eastAsia="Amiri" w:cs="Amiri"/>
          <w:color w:val="111111"/>
          <w:sz w:val="28"/>
          <w:sz w:val="28"/>
          <w:szCs w:val="28"/>
          <w:rtl w:val="true"/>
          <w:lang w:bidi="ar-SA"/>
        </w:rPr>
        <w:t>إعطاء الحجة توطئة للأخذ به في الزائد عن مقدار القرينة على الخلاف،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الأمر في المندوبات ينبغي أن يكون بنحو الرفق، بحيث لا يوجب اشمئزازا و كلالا عن العمل، فضلا عن أصل الشريعة رأسا بشهادة ضرب الامام المثل المعروف المشتمل على استنكاف جديد الإسلام عن بقائه على إسلامه، اعتذارا بمشقة دين المسلمين، فراجع الرواية بطولها في الجواهر </w:t>
      </w:r>
      <w:r>
        <w:rPr>
          <w:rStyle w:val="FootnoteAnchor"/>
          <w:rtl w:val="true"/>
        </w:rPr>
        <w:footnoteReference w:id="124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18" w:name="__RefHeading___Toc3321142_2314609296"/>
      <w:bookmarkStart w:id="619" w:name="_Toc229"/>
      <w:bookmarkEnd w:id="618"/>
      <w:r>
        <w:rPr>
          <w:rtl w:val="true"/>
        </w:rPr>
        <w:t>و أما المنكر فكله قبيح</w:t>
      </w:r>
      <w:bookmarkEnd w:id="619"/>
    </w:p>
    <w:p>
      <w:pPr>
        <w:pStyle w:val="BookText"/>
        <w:rPr/>
      </w:pPr>
      <w:r>
        <w:rPr>
          <w:rFonts w:ascii="Amiri" w:hAnsi="Amiri" w:eastAsia="Amiri" w:cs="Amiri"/>
          <w:color w:val="111111"/>
          <w:sz w:val="28"/>
          <w:sz w:val="28"/>
          <w:szCs w:val="28"/>
          <w:rtl w:val="true"/>
          <w:lang w:bidi="ar-SA"/>
        </w:rPr>
        <w:t>بمقتضى ما جرى عليه اصطلاحهم في اختصاصه بالمحرّم، و جعلهم المكروه بلحاظ معروفية تركه في المعروف، و إلّا فبناء على ملاحظة مراتب الإنكار فيه كان حكمه حكم المعروف، في إنّ ما يبلغ مرتبة اللزوم فالنهي عنه واجب، و ما لا يبلغ بهذه المرتبة فالنهي عنه غير لازم</w:t>
      </w:r>
      <w:r>
        <w:rPr>
          <w:rFonts w:eastAsia="Amiri" w:cs="Amiri" w:ascii="Amiri" w:hAnsi="Amiri"/>
          <w:color w:val="111111"/>
          <w:sz w:val="28"/>
          <w:szCs w:val="28"/>
          <w:rtl w:val="true"/>
          <w:lang w:bidi="ar-SA"/>
        </w:rPr>
        <w:t>.</w:t>
      </w:r>
    </w:p>
    <w:p>
      <w:pPr>
        <w:pStyle w:val="Heading5"/>
        <w:numPr>
          <w:ilvl w:val="4"/>
          <w:numId w:val="1"/>
        </w:numPr>
        <w:rPr/>
      </w:pPr>
      <w:bookmarkStart w:id="620" w:name="__RefHeading___Toc3321144_2314609296"/>
      <w:bookmarkStart w:id="621" w:name="_Toc230"/>
      <w:bookmarkEnd w:id="620"/>
      <w:r>
        <w:rPr>
          <w:rtl w:val="true"/>
        </w:rPr>
        <w:t>و ينكر أولا بالقلب</w:t>
      </w:r>
      <w:bookmarkEnd w:id="621"/>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لأنه من تبعات التدين و الالتزام بأحكام الدين، و ربما لا ترتبط هذه المرحلة بباب الأمر بالمعروف، الواجب على الكفاية، بل ربما يجب ذلك على عامة المتدينين، لأنه من مراتب الاعتقاد و التدين بالدين، و لا ينوط ذلك بإقامة الفرائض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ما لم يظهر مثل هذا الإنكار لا يكاد يحصل لغيره الداعي على العمل، فنفس هذه العلة شاهدة على أنّ ما هو الواجب في المقام كفاية غير هذه المرتبة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ينصرف عنوان الأمر و النهي عن مثله و إن كان هو روحهما</w:t>
      </w:r>
      <w:r>
        <w:rPr>
          <w:rFonts w:eastAsia="Amiri" w:cs="Amiri" w:ascii="Amiri" w:hAnsi="Amiri"/>
          <w:color w:val="111111"/>
          <w:sz w:val="28"/>
          <w:szCs w:val="28"/>
          <w:rtl w:val="true"/>
          <w:lang w:bidi="ar-SA"/>
        </w:rPr>
        <w:t>.</w:t>
      </w:r>
      <w:bookmarkStart w:id="622" w:name="pg19818_204320"/>
    </w:p>
    <w:p>
      <w:pPr>
        <w:pStyle w:val="BookText"/>
        <w:rPr/>
      </w:pPr>
      <w:bookmarkEnd w:id="622"/>
      <w:r>
        <w:rPr>
          <w:rFonts w:ascii="Amiri" w:hAnsi="Amiri" w:eastAsia="Amiri" w:cs="Amiri"/>
          <w:color w:val="111111"/>
          <w:sz w:val="28"/>
          <w:sz w:val="28"/>
          <w:szCs w:val="28"/>
          <w:rtl w:val="true"/>
          <w:lang w:bidi="ar-SA"/>
        </w:rPr>
        <w:t>و يدل على وجوبه ما في النص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فأنكروا بقلوبكم و ألفظوا بألسنتكم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أبغضوهم بقلوبكم</w:t>
      </w:r>
      <w:r>
        <w:rPr>
          <w:rFonts w:eastAsia="Amiri" w:cs="Amiri" w:ascii="Amiri" w:hAnsi="Amiri"/>
          <w:color w:val="111111"/>
          <w:sz w:val="28"/>
          <w:szCs w:val="28"/>
          <w:rtl w:val="true"/>
          <w:lang w:bidi="ar-SA"/>
        </w:rPr>
        <w:t xml:space="preserve">» </w:t>
      </w:r>
      <w:r>
        <w:rPr>
          <w:rStyle w:val="FootnoteAnchor"/>
          <w:rtl w:val="true"/>
        </w:rPr>
        <w:footnoteReference w:id="12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رأى منكرا فلينكر بيده إن استطاع،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لم يستطع فبلسانه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يستطع فبقلبه</w:t>
      </w:r>
      <w:r>
        <w:rPr>
          <w:rFonts w:eastAsia="Amiri" w:cs="Amiri" w:ascii="Amiri" w:hAnsi="Amiri"/>
          <w:color w:val="111111"/>
          <w:sz w:val="28"/>
          <w:szCs w:val="28"/>
          <w:rtl w:val="true"/>
          <w:lang w:bidi="ar-SA"/>
        </w:rPr>
        <w:t xml:space="preserve">» </w:t>
      </w:r>
      <w:r>
        <w:rPr>
          <w:rStyle w:val="FootnoteAnchor"/>
          <w:rtl w:val="true"/>
        </w:rPr>
        <w:footnoteReference w:id="12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ظاهر هذه الرواية التنزّل من اليد إلى القلب بلا توسط اللسان </w:t>
      </w:r>
      <w:r>
        <w:rPr>
          <w:rStyle w:val="FootnoteAnchor"/>
          <w:rtl w:val="true"/>
        </w:rPr>
        <w:footnoteReference w:id="12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منزل على الغالب من عدم استطاعته على الإظهار باللسان، و إلّا فينتهي الأمر إليه مع التمكن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إليه أشار المصنف بقوله</w:t>
      </w:r>
      <w:r>
        <w:rPr>
          <w:rFonts w:eastAsia="Amiri" w:cs="Amiri" w:ascii="Amiri" w:hAnsi="Amiri"/>
          <w:color w:val="111111"/>
          <w:sz w:val="28"/>
          <w:szCs w:val="28"/>
          <w:rtl w:val="true"/>
          <w:lang w:bidi="ar-SA"/>
        </w:rPr>
        <w:t>:</w:t>
      </w:r>
    </w:p>
    <w:p>
      <w:pPr>
        <w:pStyle w:val="Heading5"/>
        <w:numPr>
          <w:ilvl w:val="4"/>
          <w:numId w:val="1"/>
        </w:numPr>
        <w:rPr/>
      </w:pPr>
      <w:bookmarkStart w:id="623" w:name="__RefHeading___Toc3321146_2314609296"/>
      <w:bookmarkStart w:id="624" w:name="_Toc231"/>
      <w:bookmarkEnd w:id="623"/>
      <w:r>
        <w:rPr>
          <w:rtl w:val="true"/>
        </w:rPr>
        <w:t>ثم باللسان ثم باليد</w:t>
      </w:r>
      <w:bookmarkEnd w:id="624"/>
    </w:p>
    <w:p>
      <w:pPr>
        <w:pStyle w:val="BookText"/>
        <w:rPr/>
      </w:pPr>
      <w:r>
        <w:rPr>
          <w:rFonts w:ascii="Amiri" w:hAnsi="Amiri" w:eastAsia="Amiri" w:cs="Amiri"/>
          <w:color w:val="111111"/>
          <w:sz w:val="28"/>
          <w:sz w:val="28"/>
          <w:szCs w:val="28"/>
          <w:rtl w:val="true"/>
          <w:lang w:bidi="ar-SA"/>
        </w:rPr>
        <w:t>، و يدل عليه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الجهاد بأبدانكم، ثم بألسنتكم، ثم بقلوبكم</w:t>
      </w:r>
      <w:r>
        <w:rPr>
          <w:rFonts w:eastAsia="Amiri" w:cs="Amiri" w:ascii="Amiri" w:hAnsi="Amiri"/>
          <w:color w:val="111111"/>
          <w:sz w:val="28"/>
          <w:szCs w:val="28"/>
          <w:rtl w:val="true"/>
          <w:lang w:bidi="ar-SA"/>
        </w:rPr>
        <w:t xml:space="preserve">» </w:t>
      </w:r>
      <w:r>
        <w:rPr>
          <w:rStyle w:val="FootnoteAnchor"/>
          <w:rtl w:val="true"/>
        </w:rPr>
        <w:footnoteReference w:id="1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النص السابق أيضا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الفظوا بألسنتكم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 بعد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فجاهدوهم بأبدانكم</w:t>
      </w:r>
      <w:r>
        <w:rPr>
          <w:rFonts w:eastAsia="Amiri" w:cs="Amiri" w:ascii="Amiri" w:hAnsi="Amiri"/>
          <w:color w:val="111111"/>
          <w:sz w:val="28"/>
          <w:szCs w:val="28"/>
          <w:rtl w:val="true"/>
          <w:lang w:bidi="ar-SA"/>
        </w:rPr>
        <w:t xml:space="preserve">» </w:t>
      </w:r>
      <w:r>
        <w:rPr>
          <w:rStyle w:val="FootnoteAnchor"/>
          <w:rtl w:val="true"/>
        </w:rPr>
        <w:footnoteReference w:id="1246"/>
      </w:r>
      <w:r>
        <w:rPr>
          <w:rFonts w:ascii="Amiri" w:hAnsi="Amiri" w:eastAsia="Amiri" w:cs="Amiri"/>
          <w:color w:val="111111"/>
          <w:sz w:val="28"/>
          <w:sz w:val="28"/>
          <w:szCs w:val="28"/>
          <w:rtl w:val="true"/>
          <w:lang w:bidi="ar-SA"/>
        </w:rPr>
        <w:t>و حينئذ فيجب الإنكار بمثل هذه المراتب على الترتيب حسب الاستطاعة</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ذلك أيضا إذا لم يرتدع إلّا ببلوغ الإنكار الدرجة العالية من الإنكار باليد، و إلّا فربما يجب مراعاة الأسهل فالأسهل و لما هو أقل هتكا على المسلم، فلو كفى مجرد إبراز الانزجار القلبي، و لو ببعض الحركات و تغيير الوجه، أو تقليل المراودة، أو تركها، فليتقدم ذلك، و إلّا فيظهر بلسانه أمرا و نهيا، بلين ثم</w:t>
      </w:r>
    </w:p>
    <w:p>
      <w:pPr>
        <w:pStyle w:val="BookText"/>
        <w:rPr/>
      </w:pPr>
      <w:r>
        <w:rPr>
          <w:rFonts w:ascii="Amiri" w:hAnsi="Amiri" w:eastAsia="Amiri" w:cs="Amiri"/>
          <w:color w:val="111111"/>
          <w:sz w:val="28"/>
          <w:sz w:val="28"/>
          <w:szCs w:val="28"/>
          <w:rtl w:val="true"/>
          <w:lang w:bidi="ar-SA"/>
        </w:rPr>
        <w:t>بخشونة، إلى أن يبلغ الأمر إلى الإنكار باليد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من جهة حرمة هتك الغير إلّا بمقدار لازم في البعث على ارتكاب الطاعات و الاجتناب عن المعاصي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ربما يؤيد ما ذكرنا من الترتيب ما في قوله تعالى فَأَصْلِحُوا بَيْنَهُمٰا فَإِنْ بَغَتْ إِحْدٰاهُمٰا عَلَى الْأُخْرىٰ فَقٰاتِلُوا الَّتِي تَبْغِي حَتّٰى تَفِي‌ءَ </w:t>
      </w:r>
      <w:r>
        <w:rPr>
          <w:rStyle w:val="FootnoteAnchor"/>
          <w:rtl w:val="true"/>
        </w:rPr>
        <w:footnoteReference w:id="1247"/>
      </w:r>
      <w:r>
        <w:rPr>
          <w:rFonts w:ascii="Amiri" w:hAnsi="Amiri" w:eastAsia="Amiri" w:cs="Amiri"/>
          <w:color w:val="111111"/>
          <w:sz w:val="28"/>
          <w:sz w:val="28"/>
          <w:szCs w:val="28"/>
          <w:rtl w:val="true"/>
          <w:lang w:bidi="ar-SA"/>
        </w:rPr>
        <w:t>حيث قدّم الإصلاح بأي وجه على القتال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وجوه الإصلاح التشبث إليه بالانزجار عنه ظاهرا عن بغي إحداهما، ثم بالإظهار باللسان بأمرهما و نهيهما، ثم باليد، إلى أن ينتهي إلى القتال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المعنى و ان لم نقل بمشروعيته في غير مورد البغي، لكن هذا المقدار لا ينافي الاستشهاد به على تقديم مراتب الأسهل على الأشد، فيلاحظ مثل هذه المراتب في جميع المقامات، المتعلّقة بزجر الغير و ردعه عن المنكر بالفحوى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انّ الإطلاقات من هذه الحيثية بعد ما لم تكن في مقام البيان، فينتهي الأمر حينئذ إلى التعيين و التخيير، و الأصل في مثله التعيين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المراد من الجهاد باليد في مثل هذه النصوص، هو الردع باليد، التي هي كناية عن التحريك إلى العمل بيده و لو بتوسط الضرب، و هو المتيقن المستفاد منه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توهم انّ المراد به فعل نفسه، مقدمة لتأسي الناس به خلاف الظاهر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فجاهدوهم بأبدانكم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المنساق منه نحو إيذائهم بالبدن، لا مجرد ارتكابه المعروف الداعي على تأسيهم بكمال المرافقة و الرحمة</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في التعدّي من الضرب إلى الشتم وجه، لثبوت الفحوى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في التعدّي منه الى مرتبة أشد بالغة حد الجرح اشكال، لعدم استفادته من الجهاد باليد، و لا دلالة للإطلاقات أيضا على مثل هذه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في الرواية السابقة وارد مورد البغي و الفساد، غير المقتضي للتعدّي إلى مثل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 ما في بعض النصوص التحريض على الإنكار بالسيف، منزل على غاصبيهم و منكري فضائلهم، نظير أهل الشام، الذين هم مورد النص، فلا يشمل الفسقة من محبيهم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فدليل حرمة الدم يقتضي تحريم هذه الدرجة من الإنكار، بل لو لا الإجماعات في الكلمات كان يشكل ثبوت أصل مشروعية هذه الدرجة من الإنكار في أمر فروع الدين، بالنسبة إلى المسلمين، المستتبع لعدم إقدام الإمام أيضا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مجرد مشروعية الحدود لهم و الجهاد في أمر الدين و العقائد في حقهم، لا يقتضي التعدّي إلى هكذا إنكار شديد لمحرم فرعي، خصوصا مع 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 أو تركا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أضعف المحرمات، لا سيما إذا بلغ أمر الجرح إلى القتل، المعلوم عدم مقاومة مصلحته مع مفسدة القتل، بل و مطلق الدم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الانصاف تسلّم ثبوت هذه المرتبة للإمام في كلماتهم، و كذا المأذون من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إلى ذلك أشار المصنف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افتقر إلى الجراح لم يفعله إلّا بإذن 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ثبوت الإذن لنائبه في الغيبة حينئذ، بمقتضى عمومات الولاية إشكال، و أشكل منه إثبات ذلك لهم بمقتضى المقبولة الدالة على ثبوت وظائف قضاة الجور لهم، إذ ذلك فرع إحراز كون ذلك من وظائفهم، و إلّا فلو احتمل كونه من وظائف ولاتهم، فلا يكاد يثبت ذلك من المقبولة</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أضعف من الجميع إثبات ذلك بمقدمات الحسبة، إذ مطلوبية وجود هذه الدرجة من الإنكار، قابل لأشد الإنكار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مقتضى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بعض النصوص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الحكم و الجمعة و الحد للإمام العادل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الحدود لا يقيمها إلّا بأمره أي إلّا بأمر الامام و اذنه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المشهور انه يجوز للرجل اقامة الحد على عبده بلا احتياج إلى إذن شخصي في كل واقعة، و الأصل في ذلك خبر علي بن جعفر، المشتمل على ضربه بقدر ذنبه، و إن زنى جلده، و إن كان غير ذلك فعلى قدر ذنبه </w:t>
      </w:r>
      <w:r>
        <w:rPr>
          <w:rStyle w:val="FootnoteAnchor"/>
          <w:rtl w:val="true"/>
        </w:rPr>
        <w:footnoteReference w:id="1248"/>
      </w:r>
      <w:r>
        <w:rPr>
          <w:rFonts w:ascii="Amiri" w:hAnsi="Amiri" w:eastAsia="Amiri" w:cs="Amiri"/>
          <w:color w:val="111111"/>
          <w:sz w:val="28"/>
          <w:sz w:val="28"/>
          <w:szCs w:val="28"/>
          <w:rtl w:val="true"/>
          <w:lang w:bidi="ar-SA"/>
        </w:rPr>
        <w:t xml:space="preserve">مؤيدا ذلك أيضا بخبر عنبسة المشتمل على اذنه بإقامة الحد على جاريته سرا </w:t>
      </w:r>
      <w:r>
        <w:rPr>
          <w:rStyle w:val="FootnoteAnchor"/>
          <w:rtl w:val="true"/>
        </w:rPr>
        <w:footnoteReference w:id="12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احتمال كون ما في هذه الرواية من باب اذنه عليه السلام يسقطه عن صلاحية الاستدلال به، فيكفي لنا خبر علي بن جعفر، الظاهر في بيان الحكم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انه على فرض كونه من باب الاذن، فهو اذن عام لكل مولى بالنسبة إلى مملوكه، و هو المدرك للمشهور أيضا، خلافا للمفيد </w:t>
      </w:r>
      <w:r>
        <w:rPr>
          <w:rStyle w:val="FootnoteAnchor"/>
          <w:rtl w:val="true"/>
        </w:rPr>
        <w:footnoteReference w:id="1250"/>
      </w:r>
      <w:r>
        <w:rPr>
          <w:rFonts w:ascii="Amiri" w:hAnsi="Amiri" w:eastAsia="Amiri" w:cs="Amiri"/>
          <w:color w:val="111111"/>
          <w:sz w:val="28"/>
          <w:sz w:val="28"/>
          <w:szCs w:val="28"/>
          <w:rtl w:val="true"/>
          <w:lang w:bidi="ar-SA"/>
        </w:rPr>
        <w:t xml:space="preserve">و الديلمي </w:t>
      </w:r>
      <w:r>
        <w:rPr>
          <w:rStyle w:val="FootnoteAnchor"/>
          <w:rtl w:val="true"/>
        </w:rPr>
        <w:footnoteReference w:id="1251"/>
      </w:r>
      <w:r>
        <w:rPr>
          <w:rFonts w:ascii="Amiri" w:hAnsi="Amiri" w:eastAsia="Amiri" w:cs="Amiri"/>
          <w:color w:val="111111"/>
          <w:sz w:val="28"/>
          <w:sz w:val="28"/>
          <w:szCs w:val="28"/>
          <w:rtl w:val="true"/>
          <w:lang w:bidi="ar-SA"/>
        </w:rPr>
        <w:t>على المحكي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إطلاق النص يشمل مطلق المملوك و مطلق المولى و لو كان فاسقا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شموله للمبعض اشكال، كشموله للنساء بالنسبة إلى رقيقهن، لو لا قاعدة الاشتراك، المغروسة في الأذهان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انّ المنصرف إلى الذهن كون المقتضي لمثل هذا الحكم علقة الملكية، بلا دخل للرجولية و الأنوثية</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اشترك موليان اشتركا في الاستيفاء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فرق بين أنحاء الحد حتى البالغ إلى القتل، لإلغاء الخصوصية عن الضرب، بقرينة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غيره على قدر ذنبه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المنساق منه أنّ عقوبة كل ذنب بمقداره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بإلحاق ولده و زوجته بمملوكه في جواز اقامة الحد أو التعزير عليه بمقدار ذنبه، إذا أمن الوالد و كذا الزوج من الضرر، خلافا للمشهور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عمدة الوجه في ذلك دعوى السيرة على تعزير الآباء و الأزواج لأولادهم و زوجاتهم، علاوة عما ورد في الزوج من أدلة جواز الضرب مع تقصير الزوجة في حقوق الزوجية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 يخفى أنّ مجرد قيام السيرة على تأديب الأولاد بمثل الضرب و الشتم تأديبا، لا يقتضي جواز اقامة الحد الشرعي عليهم، خصوصا لو انتهى إلى حد الجرح غير المعلوم قيام السيرة على هذه المرتبة من التأديب أيضا، فضلا عن الحدود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ضرب الزوجة في مقام امتناعها عن أداء الحق، فهو أيضا غير مرتبط بباب اقامة الحد، كيف و هذا المقدار بل و أزيد منه شأن كل ذي حق في مقام استيفاء حقه، لأنّ لي الواجد يحل عقوبته و عرضه، و أين هذه الجهة من اقامة الحدود، فعموم ما دل على أنّ الحد وظيفة الإمام باق على حاله، و إلى ما ذكرنا ذهب في الجواهر أيضا </w:t>
      </w:r>
      <w:r>
        <w:rPr>
          <w:rStyle w:val="FootnoteAnchor"/>
          <w:rtl w:val="true"/>
        </w:rPr>
        <w:footnoteReference w:id="1252"/>
      </w:r>
      <w:r>
        <w:rPr>
          <w:rFonts w:ascii="Amiri" w:hAnsi="Amiri" w:eastAsia="Amiri" w:cs="Amiri"/>
          <w:color w:val="111111"/>
          <w:sz w:val="28"/>
          <w:sz w:val="28"/>
          <w:szCs w:val="28"/>
          <w:rtl w:val="true"/>
          <w:lang w:bidi="ar-SA"/>
        </w:rPr>
        <w:t>، و لقد أجاد فيما أفاد</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المصنف انّ للفقهاء إقامتها حال الغيبة مع الأمن من الضرر، و يجب على الناس أيضا مساعدتهم وفاقا لجمع من الأعاظم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المشهور </w:t>
      </w:r>
      <w:r>
        <w:rPr>
          <w:rStyle w:val="FootnoteAnchor"/>
          <w:rtl w:val="true"/>
        </w:rPr>
        <w:footnoteReference w:id="12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الشرائع نسب هذا القول الى القيل الظاهر في توقفه فيه </w:t>
      </w:r>
      <w:r>
        <w:rPr>
          <w:rStyle w:val="FootnoteAnchor"/>
          <w:rtl w:val="true"/>
        </w:rPr>
        <w:footnoteReference w:id="12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مكاسب شيخنا العلّامة أيضا استشكاله في ثبوته، و في ثبوت بعض مراتب الأمر بالمعروف أيضا </w:t>
      </w:r>
      <w:r>
        <w:rPr>
          <w:rStyle w:val="FootnoteAnchor"/>
          <w:rtl w:val="true"/>
        </w:rPr>
        <w:footnoteReference w:id="12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عمدة وجه الاشكال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اختصاص الحد بالإمام، بمقتضى النص السابق، المخصص لإطلاق وجوب قطع يد السارق و جلد الزاني، الموهمين لثبوتهما لكل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وفاء دليل على إذنهم عليهم السلام للفقيه، نظرا إلى عدم تمامية أدلة الولاية العامة، من مثل جعلهم خلفاء و ورثة و حجة، لإمكان صرف ذلك كله إلى الجهة الظاهرة من تبليغ الأحكام و بيان الحلال و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انّ المستفاد من جعلهم حكّاما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المقبولة </w:t>
      </w:r>
      <w:r>
        <w:rPr>
          <w:rStyle w:val="FootnoteAnchor"/>
          <w:rtl w:val="true"/>
        </w:rPr>
        <w:footnoteReference w:id="12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بأزيد من الاذن في الحكم و الفصل بين الخصومات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فحوى المقبولة و إن اقتضى إثبات شئون قضاة الجور لقضاتنا، لكن كون الحد من شئون قضاتهم أول الدعوى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انّ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الحوادث الواقعة</w:t>
      </w:r>
      <w:r>
        <w:rPr>
          <w:rFonts w:eastAsia="Amiri" w:cs="Amiri" w:ascii="Amiri" w:hAnsi="Amiri"/>
          <w:color w:val="111111"/>
          <w:sz w:val="28"/>
          <w:szCs w:val="28"/>
          <w:rtl w:val="true"/>
          <w:lang w:bidi="ar-SA"/>
        </w:rPr>
        <w:t xml:space="preserve">» </w:t>
      </w:r>
      <w:r>
        <w:rPr>
          <w:rStyle w:val="FootnoteAnchor"/>
          <w:rtl w:val="true"/>
        </w:rPr>
        <w:footnoteReference w:id="1257"/>
      </w:r>
      <w:r>
        <w:rPr>
          <w:rFonts w:ascii="Amiri" w:hAnsi="Amiri" w:eastAsia="Amiri" w:cs="Amiri"/>
          <w:color w:val="111111"/>
          <w:sz w:val="28"/>
          <w:sz w:val="28"/>
          <w:szCs w:val="28"/>
          <w:rtl w:val="true"/>
          <w:lang w:bidi="ar-SA"/>
        </w:rPr>
        <w:t>مجمل، لاحتمال عهدية اللام، مع انّ التوصيف بالواقعة ربما يشعر بلا بدية وقوعها، و كون الحد من هذا القسم أول الدعوى</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انّ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مجاري الأمور بيد العلماء 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ربما ينصرف إلى الامام،</w:t>
      </w:r>
    </w:p>
    <w:p>
      <w:pPr>
        <w:pStyle w:val="BookText"/>
        <w:rPr/>
      </w:pPr>
      <w:r>
        <w:rPr>
          <w:rFonts w:ascii="Amiri" w:hAnsi="Amiri" w:eastAsia="Amiri" w:cs="Amiri"/>
          <w:color w:val="111111"/>
          <w:sz w:val="28"/>
          <w:sz w:val="28"/>
          <w:szCs w:val="28"/>
          <w:rtl w:val="true"/>
          <w:lang w:bidi="ar-SA"/>
        </w:rPr>
        <w:t>فلا إطلاق فيه على وجه يشمل كل 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لكن مقتضى الإنصاف إمكان كون الحد الذي يقوم به الفقيه داخلا في الحكم، و إجراؤه في حقوق اللّٰه، خصوصا في حد القذف الثابت عنده بالترافع إليه، و إبداء الخصومة عنده، فيكفي حينئذ ذلك في مشروعية جعله حاكما، الذي من شأنه إجراء الحكم الإلهي في الواقعة الشخصية، مضافا إلى إطلاق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اقامة الحدود الى من إليه الحكم</w:t>
      </w:r>
      <w:r>
        <w:rPr>
          <w:rFonts w:eastAsia="Amiri" w:cs="Amiri" w:ascii="Amiri" w:hAnsi="Amiri"/>
          <w:color w:val="111111"/>
          <w:sz w:val="28"/>
          <w:szCs w:val="28"/>
          <w:rtl w:val="true"/>
          <w:lang w:bidi="ar-SA"/>
        </w:rPr>
        <w:t xml:space="preserve">» </w:t>
      </w:r>
      <w:r>
        <w:rPr>
          <w:rStyle w:val="FootnoteAnchor"/>
          <w:rtl w:val="true"/>
        </w:rPr>
        <w:footnoteReference w:id="1258"/>
      </w:r>
      <w:r>
        <w:rPr>
          <w:rFonts w:ascii="Amiri" w:hAnsi="Amiri" w:eastAsia="Amiri" w:cs="Amiri"/>
          <w:color w:val="111111"/>
          <w:sz w:val="28"/>
          <w:sz w:val="28"/>
          <w:szCs w:val="28"/>
          <w:rtl w:val="true"/>
          <w:lang w:bidi="ar-SA"/>
        </w:rPr>
        <w:t>و لو بتفويض الامام الحكم إليه، فلا وجه للاختصاص بمن إليه الحكم أولا و بالذات، لا بجعل الامام و بأمره، فلا قصور في شمول النصين لمثل هذا الحد و إثباته للفقيه الذي إليه الحكم، و لو بنصب الامام،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فمذهب المشهور هو المنصور، و لو لم نقل بثبوت الولاية العامة للفقيه، لعدم مساعدة العمومات السابقة،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مشروعية اجراء الحد للفقيه، لا اشكال ظاهرا في وجوبه، لظهور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عطّل حدا من حدودي فقد، عاندني</w:t>
      </w:r>
      <w:r>
        <w:rPr>
          <w:rFonts w:eastAsia="Amiri" w:cs="Amiri" w:ascii="Amiri" w:hAnsi="Amiri"/>
          <w:color w:val="111111"/>
          <w:sz w:val="28"/>
          <w:szCs w:val="28"/>
          <w:rtl w:val="true"/>
          <w:lang w:bidi="ar-SA"/>
        </w:rPr>
        <w:t xml:space="preserve">» </w:t>
      </w:r>
      <w:r>
        <w:rPr>
          <w:rStyle w:val="FootnoteAnchor"/>
          <w:rtl w:val="true"/>
        </w:rPr>
        <w:footnoteReference w:id="1259"/>
      </w:r>
      <w:r>
        <w:rPr>
          <w:rFonts w:ascii="Amiri" w:hAnsi="Amiri" w:eastAsia="Amiri" w:cs="Amiri"/>
          <w:color w:val="111111"/>
          <w:sz w:val="28"/>
          <w:sz w:val="28"/>
          <w:szCs w:val="28"/>
          <w:rtl w:val="true"/>
          <w:lang w:bidi="ar-SA"/>
        </w:rPr>
        <w:t>في حرمة تعطيل الحد في حق من شرع ذلك في شأنه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انه بعد اقدام الفقيه في مورد على اقامة الحد، يجب على الناس إعانته، لأنه من البر و التقوى المأمور بالإعانة عليهما، مع انّ في ترك الإعانة شوب رد لحكم الحاكم، و هو في حد الشرك باللّه، و فيه أيضا نوع استخفاف بحكمه فيحرم، و اللّٰه العالم</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أيضا لهم أي للفقهاء الفتوى و الحكم بين الناس في زمن</w:t>
      </w:r>
    </w:p>
    <w:p>
      <w:pPr>
        <w:pStyle w:val="BookText"/>
        <w:rPr/>
      </w:pPr>
      <w:r>
        <w:rPr>
          <w:rFonts w:ascii="Amiri" w:hAnsi="Amiri" w:eastAsia="Amiri" w:cs="Amiri"/>
          <w:color w:val="111111"/>
          <w:sz w:val="28"/>
          <w:sz w:val="28"/>
          <w:szCs w:val="28"/>
          <w:rtl w:val="true"/>
          <w:lang w:bidi="ar-SA"/>
        </w:rPr>
        <w:t>الغيبة، بل في زمان الحضور أيضا، بقرينة إرجاع العوام الى بعض رواتهم، في أخذ معالم الدين عنهم و جعلهم حكّاما في المقبولة، من دون اختصاص بزمان دون 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انّ حكم العقل برجوع الجاهل الى العالم أيضا غير مختص بزمان الغيبة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ربما يختص زمان الحضور باشتراط عدم إمكان التوصل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جنابه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انّ دلالة جواز التقليد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آية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بهذا الإطلاق، و لذا أوجبنا تقليد الأعلم، بل المرجع الأول في تعيين أصل الوظيفة للعامي، لا بد أن يكون مجمع الوصفين، حذرا من لزوم الدور، و تفصيل ذلك موكول إلى مباحث التقليد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انّ الفتوى و الحكم أيضا لا بد أن يكون مع الشرائط المبيحة للفتيا، و سيأتي البحث عن ذلك في كتاب القضاء و في مباحث التقليد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مقتضى آيتي النفر و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الواردين في مقام وجوب، الجواب و الإنذار، من جهة ما فهموا و علموا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الإفتاء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انّ على الحاكم أيضا الحكم عند المطالبة، بل وجوب تهيئة نفسه للقضاء مقدمة لذلك، إما بنحو الكفاية مع وجود من يقوم به، أو بنحو العينية مع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هذه الجهات التزمنا بوجوب الإرشاد في الأحكام الكلية، التي يكون تكليف العامي الرجوع فيها إلى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في غير ذلك من الشبهات الموضوعية، التي لا تكون للعالم مزية في فهمها على الجاهل، بل ربما يكون العامي هو من أهل الخبرة دون العالم، فلا دليل على رجوعه إلى العالم، و لا يجب على العالم أيضا إرشاده</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انّ عمومات الأمر بالمعروف أيضا لا تكاد تشمل إلّا ما كان</w:t>
      </w:r>
    </w:p>
    <w:p>
      <w:pPr>
        <w:pStyle w:val="BookText"/>
        <w:rPr/>
      </w:pPr>
      <w:r>
        <w:rPr>
          <w:rFonts w:ascii="Amiri" w:hAnsi="Amiri" w:eastAsia="Amiri" w:cs="Amiri"/>
          <w:color w:val="111111"/>
          <w:sz w:val="28"/>
          <w:sz w:val="28"/>
          <w:szCs w:val="28"/>
          <w:rtl w:val="true"/>
          <w:lang w:bidi="ar-SA"/>
        </w:rPr>
        <w:t>المعروف معلوما للفاعل و واصلا إليه، و إلّا فمع عدم الوصول لا يكون في حقه معروفا، على وجه يشمل مرتبة الجهل به، و لذا يشمل مثله عمومات الإباحة، فيصدق عليه انه في ظرف الجهل به لا يكون معروفا في حقه، و إن كان معروفا في المرتبة السابقة على الجهل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هذا المقدار من المعروفية لا يقتضي جواز الأمر به، بعد ظهور الأوامر في المعروفية المطلقة، الملازمة مع الفعلية بجميع المراتب، حتى في ظرف الجهل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يرشد إليه قضية اللمعة في الغسل، حيث ردعه الإمام في إرشاده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ربما يكون الغرض في بعض المقامات بالغا مرتبة يصير الشارع بصدد حفظها، حتى في مرتبة الجهل بها، فيوجب الاحتياط، حتى مع كون الشبهة موضوعية، فيصير العمل بحسب الظاهر معروفا و واجبا، فيجب الأمر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ربما يكون الغرض بمثابة يراد حفظه من قبل المكلفين، و إن لم يكن الفاعل مكلفا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هذا الباب حرمة تمكين المجانين و الصبيان من قتل نفس محترمة أو عرض كذلك، بل في السكوت على إتلاف مال الغير في فرض لم يصدق على سكوته الإتلاف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كون التمكين على شرب النجاسة و أكلها تأمل، نعم لا يبعد إدخال تلويث المساجد، المستلزم لهتكها، في الموضوع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الشك في كونه من أي القسمين يلحق بالثاني، للأصل، كما هو ظاهر</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يجوز الحكم بمذهب أهل الخلاف بلا خلاف، مع التمكن من المشي على وفق الحق و الصواب، لعمومات حرمة الحكم بغير ما أنزل اللّٰه، و في</w:t>
      </w:r>
    </w:p>
    <w:p>
      <w:pPr>
        <w:pStyle w:val="BookText"/>
        <w:rPr/>
      </w:pPr>
      <w:r>
        <w:rPr>
          <w:rFonts w:ascii="Amiri" w:hAnsi="Amiri" w:eastAsia="Amiri" w:cs="Amiri"/>
          <w:color w:val="111111"/>
          <w:sz w:val="28"/>
          <w:sz w:val="28"/>
          <w:szCs w:val="28"/>
          <w:rtl w:val="true"/>
          <w:lang w:bidi="ar-SA"/>
        </w:rPr>
        <w:t>النص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فهو كافر باللّه العظيم</w:t>
      </w:r>
      <w:r>
        <w:rPr>
          <w:rFonts w:eastAsia="Amiri" w:cs="Amiri" w:ascii="Amiri" w:hAnsi="Amiri"/>
          <w:color w:val="111111"/>
          <w:sz w:val="28"/>
          <w:szCs w:val="28"/>
          <w:rtl w:val="true"/>
          <w:lang w:bidi="ar-SA"/>
        </w:rPr>
        <w:t xml:space="preserve">» </w:t>
      </w:r>
      <w:r>
        <w:rPr>
          <w:rStyle w:val="FootnoteAnchor"/>
          <w:rtl w:val="true"/>
        </w:rPr>
        <w:footnoteReference w:id="1260"/>
      </w:r>
      <w:r>
        <w:rPr>
          <w:rFonts w:ascii="Amiri" w:hAnsi="Amiri" w:eastAsia="Amiri" w:cs="Amiri"/>
          <w:color w:val="111111"/>
          <w:sz w:val="28"/>
          <w:sz w:val="28"/>
          <w:szCs w:val="28"/>
          <w:rtl w:val="true"/>
          <w:lang w:bidi="ar-SA"/>
        </w:rPr>
        <w:t xml:space="preserve">، و في آخر تفسير الفاجر بالحكام الجائرين </w:t>
      </w:r>
      <w:r>
        <w:rPr>
          <w:rStyle w:val="FootnoteAnchor"/>
          <w:rtl w:val="true"/>
        </w:rPr>
        <w:footnoteReference w:id="12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اضطر عمل بالتقية بلا إشكال أيضا، لعمومات التقية، و في النص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كنتم في أئمة جور فامضوا أحكامهم و لا تشهروا أنفسكم فتقتلوا</w:t>
      </w:r>
      <w:r>
        <w:rPr>
          <w:rFonts w:eastAsia="Amiri" w:cs="Amiri" w:ascii="Amiri" w:hAnsi="Amiri"/>
          <w:color w:val="111111"/>
          <w:sz w:val="28"/>
          <w:szCs w:val="28"/>
          <w:rtl w:val="true"/>
          <w:lang w:bidi="ar-SA"/>
        </w:rPr>
        <w:t xml:space="preserve">» </w:t>
      </w:r>
      <w:r>
        <w:rPr>
          <w:rStyle w:val="FootnoteAnchor"/>
          <w:rtl w:val="true"/>
        </w:rPr>
        <w:footnoteReference w:id="1262"/>
      </w:r>
      <w:r>
        <w:rPr>
          <w:rFonts w:ascii="Amiri" w:hAnsi="Amiri" w:eastAsia="Amiri" w:cs="Amiri"/>
          <w:color w:val="111111"/>
          <w:sz w:val="28"/>
          <w:sz w:val="28"/>
          <w:szCs w:val="28"/>
          <w:rtl w:val="true"/>
          <w:lang w:bidi="ar-SA"/>
        </w:rPr>
        <w:t>، و قضية أخذ الاضطرار في موضوع التقية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كل شي‌ء اضطر اليه ابن آدم فقد أحله اللّٰه</w:t>
      </w:r>
      <w:r>
        <w:rPr>
          <w:rFonts w:eastAsia="Amiri" w:cs="Amiri" w:ascii="Amiri" w:hAnsi="Amiri"/>
          <w:color w:val="111111"/>
          <w:sz w:val="28"/>
          <w:szCs w:val="28"/>
          <w:rtl w:val="true"/>
          <w:lang w:bidi="ar-SA"/>
        </w:rPr>
        <w:t xml:space="preserve">» </w:t>
      </w:r>
      <w:r>
        <w:rPr>
          <w:rStyle w:val="FootnoteAnchor"/>
          <w:rtl w:val="true"/>
        </w:rPr>
        <w:footnoteReference w:id="1263"/>
      </w:r>
      <w:r>
        <w:rPr>
          <w:rFonts w:ascii="Amiri" w:hAnsi="Amiri" w:eastAsia="Amiri" w:cs="Amiri"/>
          <w:color w:val="111111"/>
          <w:sz w:val="28"/>
          <w:sz w:val="28"/>
          <w:szCs w:val="28"/>
          <w:rtl w:val="true"/>
          <w:lang w:bidi="ar-SA"/>
        </w:rPr>
        <w:t>، ليس إلّا عدم وجود المندوحة في ارتكابه، لو لا دعوى انّ الغالب في موارد الابتلاء إمكان التخلص، و لو بتغيير ظرف الابتلاء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لو خرجت هذه عن تحت العمومات، يلزم تنزيلها على الموارد النادرة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يدعى انّ عمومات التقية واردة في مقام المنة على العباد، و من المعلوم انّ شأن مثل ذلك رفع ما في وضعه خلاف الامتنان في حقه، و لا يكون خلاف منة في حق الغير، فلا يصلح جواز تفويت حقوق الغير و أمواله بحكمه بالخلاف تقية، لأنه خلاف المنة في حق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اضطر إليه، فمقتضى النص المزبور جوازه</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توهم انّ ذلك أيضا من الأحكام الامتنانية غير الشاملة لما يكون خلاف المنة في حق سائر الناس، مدفوع بأنّ جعل التقية في الحكم المزبور، و إمضائهم المستتبع لخلاف المنة في حق الغير، يقتضي عدم مراعاة الشارع في شخص هذا الحكم منة على غيره، و لو من جهة كون الشخص بترك التقية في معرض القتل، الكافي في صدق الاضطرار بهذا المقدار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يشمل ذلك صورة إمكان تخلصه من التقية و لو بتغير موضوع الابتلاء، فيختص الترخيص المزبور بمثل هذه الصورة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أين ذلك من عمومات التقية الواردة في مورد الامتنان غير الشامل لصورة خلاف امتنان على غيره و إن كانت شاملة لصورة تمكنه من تغيير موضوع الابتلاء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فلا بأس بتصدية للحكم على وفقهم تقية ما لم يكن قتلا، و في النص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جعلت التقية ليحقن بها الدم، فإذا بلغ الدم فلا تقية</w:t>
      </w:r>
      <w:r>
        <w:rPr>
          <w:rFonts w:eastAsia="Amiri" w:cs="Amiri" w:ascii="Amiri" w:hAnsi="Amiri"/>
          <w:color w:val="111111"/>
          <w:sz w:val="28"/>
          <w:szCs w:val="28"/>
          <w:rtl w:val="true"/>
          <w:lang w:bidi="ar-SA"/>
        </w:rPr>
        <w:t xml:space="preserve">» </w:t>
      </w:r>
      <w:r>
        <w:rPr>
          <w:rStyle w:val="FootnoteAnchor"/>
          <w:rtl w:val="true"/>
        </w:rPr>
        <w:footnoteReference w:id="12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المرسلة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يخاف في ذلك على نفسه، فإنه يجوز له حينئذ أن يفعل في حال التقية ما لم يبلغ قتل النفوس، فلا تجوز فيه التقية</w:t>
      </w:r>
      <w:r>
        <w:rPr>
          <w:rFonts w:eastAsia="Amiri" w:cs="Amiri" w:ascii="Amiri" w:hAnsi="Amiri"/>
          <w:color w:val="111111"/>
          <w:sz w:val="28"/>
          <w:szCs w:val="28"/>
          <w:rtl w:val="true"/>
          <w:lang w:bidi="ar-SA"/>
        </w:rPr>
        <w:t xml:space="preserve">» </w:t>
      </w:r>
      <w:r>
        <w:rPr>
          <w:rStyle w:val="FootnoteAnchor"/>
          <w:rtl w:val="true"/>
        </w:rPr>
        <w:footnoteReference w:id="12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ظاهر المرسلة تخصيص حرمة التقية بصورة البلوغ حد قتل النفس، كما هو أيضا ظاهر المصنف و جماعة مثل المحقق في الشرائع </w:t>
      </w:r>
      <w:r>
        <w:rPr>
          <w:rStyle w:val="FootnoteAnchor"/>
          <w:rtl w:val="true"/>
        </w:rPr>
        <w:footnoteReference w:id="1266"/>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ربما يوهم من الأول شمول نفي التقية البالغة إلى مطلق الجرح، و يمكن دعوى انصرافه أيضا إلى القتل، لأنّ المراد من الدم في الفقرة السابقة غالبا هو ذلك كما يشعر به أيضا ما في النص السابق،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فتشهروا أنفسكم فتقتلوا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يصلح للقرينة على حمل الدم في الفقرة الأخيرة أيضا على القتل لا مطلق الجرح، و حينئذ تبقى عمومات التقية بالنسبة إلى الجرح باقية بحالها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أكره على جرح غيره بتوعيد ضرب، فقد يتوهم ترجيح تحمل ضرر نفسه على ضرر الغير، لأنه أعظم</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انه لا دليل على نفي الضرر المتوجه إلى الغير بتحمله الضرر، كما</w:t>
      </w:r>
      <w:bookmarkStart w:id="625" w:name="pg19818_204331"/>
    </w:p>
    <w:p>
      <w:pPr>
        <w:pStyle w:val="BookText"/>
        <w:rPr/>
      </w:pPr>
      <w:bookmarkEnd w:id="625"/>
      <w:r>
        <w:rPr>
          <w:rFonts w:ascii="Amiri" w:hAnsi="Amiri" w:eastAsia="Amiri" w:cs="Amiri"/>
          <w:color w:val="111111"/>
          <w:sz w:val="28"/>
          <w:sz w:val="28"/>
          <w:szCs w:val="28"/>
          <w:rtl w:val="true"/>
          <w:lang w:bidi="ar-SA"/>
        </w:rPr>
        <w:t>لا يكون عكسه في عكسه، من صرف الضرر المتوجه إليه بإضرار غيره، إذ عموم نفي الضرر و الضرار لا يقتضي نفي الضرر عمن توجه إليه الضرر، لأنه خلاف الامتنان في حق الغير، أو في حق نفسه، كما هو ظاهر</w:t>
      </w:r>
      <w:r>
        <w:rPr>
          <w:rFonts w:eastAsia="Amiri" w:cs="Amiri" w:ascii="Amiri" w:hAnsi="Amiri"/>
          <w:color w:val="111111"/>
          <w:sz w:val="28"/>
          <w:szCs w:val="28"/>
          <w:rtl w:val="true"/>
          <w:lang w:bidi="ar-SA"/>
        </w:rPr>
        <w:t>.</w:t>
      </w:r>
    </w:p>
    <w:p>
      <w:pPr>
        <w:pStyle w:val="Heading5"/>
        <w:numPr>
          <w:ilvl w:val="4"/>
          <w:numId w:val="1"/>
        </w:numPr>
        <w:rPr/>
      </w:pPr>
      <w:bookmarkStart w:id="626" w:name="__RefHeading___Toc3321148_2314609296"/>
      <w:bookmarkStart w:id="627" w:name="_Toc232"/>
      <w:bookmarkEnd w:id="626"/>
      <w:r>
        <w:rPr>
          <w:rtl w:val="true"/>
        </w:rPr>
        <w:t>و تجوز الولاية</w:t>
      </w:r>
      <w:bookmarkEnd w:id="627"/>
    </w:p>
    <w:p>
      <w:pPr>
        <w:pStyle w:val="BookText"/>
        <w:rPr/>
      </w:pPr>
      <w:r>
        <w:rPr>
          <w:rFonts w:ascii="Amiri" w:hAnsi="Amiri" w:eastAsia="Amiri" w:cs="Amiri"/>
          <w:color w:val="111111"/>
          <w:sz w:val="28"/>
          <w:sz w:val="28"/>
          <w:szCs w:val="28"/>
          <w:rtl w:val="true"/>
          <w:lang w:bidi="ar-SA"/>
        </w:rPr>
        <w:t>من قبل الامام العادل، بل الفقيه المنصوب من قبله، بعد تمامية أدلة النصب و لو في الحسبيات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ألزمه الإمام عليها وجبت لوجوب إطاعة أمره، و انه ليس لأحد الخيرة في قبال اختياره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ثبوت هذا الشأن للفقيه، فرع إحراز عموم النيابة و الخلافة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يحرم عند المصنف الولاية من الجائر ما لم يعلم تمكنه من الأمر بالمعروف و النهي عن المنكر و لو أكره بدونه جاز، و ظاهره كون المقام من باب تقديم الواجب على الحرام، بمناط المزاحمة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أيضا مؤيد ما قربناه سابقا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 قويا مطاعا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مأخوذ في موضوعهما، بمناط دخلهما في القدرة، المستلزم لكون وجوبه وجوبا مطلقا، على وجه يجب مع التمكن تحصيل مقدمته، فيقدّم على حرمة التولي من قبل الجائر، و لذا قيل بأنه بدون التمكن من إقامتهما لا يجوز التولي إلّا باكراهه عليها أو اضطراره في القبول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لا يخفى انّ ذلك بإطلاقه يقتضي حرمة الولاية من قبلهم، كما ربما يشعر به ما في كلمات شيخنا العلّامة في مكاسبه، حيث التزم بحرمة جعل الشخص نفسه من عمّال الظلمة، على وجه يدخل في مناصبهم، و يكتب اسمه في دواوينهم </w:t>
      </w:r>
      <w:r>
        <w:rPr>
          <w:rStyle w:val="FootnoteAnchor"/>
          <w:rtl w:val="true"/>
        </w:rPr>
        <w:footnoteReference w:id="1267"/>
      </w:r>
      <w:r>
        <w:rPr>
          <w:rFonts w:eastAsia="Times New Roman" w:cs="Times New Roman" w:ascii="Times New Roman" w:hAnsi="Times New Roman"/>
          <w:color w:val="111111"/>
          <w:sz w:val="28"/>
          <w:szCs w:val="28"/>
          <w:rtl w:val="true"/>
          <w:lang w:val="en-US" w:bidi="en-US"/>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يؤيده أيضا ما في رواية تحف العقول من جعل ولاية الشخص من قبل</w:t>
      </w:r>
    </w:p>
    <w:p>
      <w:pPr>
        <w:pStyle w:val="BookText"/>
        <w:rPr/>
      </w:pPr>
      <w:r>
        <w:rPr>
          <w:rFonts w:ascii="Amiri" w:hAnsi="Amiri" w:eastAsia="Amiri" w:cs="Amiri"/>
          <w:color w:val="111111"/>
          <w:sz w:val="28"/>
          <w:sz w:val="28"/>
          <w:szCs w:val="28"/>
          <w:rtl w:val="true"/>
          <w:lang w:bidi="ar-SA"/>
        </w:rPr>
        <w:t xml:space="preserve">الجائر من المكاسب المحرمة، بعنوانه الخاص، مع قطع النظر من حيث عنوان الإعانة على الإثم و معونة الظالم </w:t>
      </w:r>
      <w:r>
        <w:rPr>
          <w:rStyle w:val="FootnoteAnchor"/>
          <w:rtl w:val="true"/>
        </w:rPr>
        <w:footnoteReference w:id="12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يرد النقض بولاية علي بن يقطين و ابن بزيع، لإمكان اقتضاء مصالح كانت أهم من مفسدة الولاية عن قبلهم، بحسب أمر الإمام لهم بذلك، و وعدهم بالثواب الجزيل حتى في بعضها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بيوت هؤلاء تضي‌ء لأهل السماء كما تضي‌ء النجوم لأهل الأرض، فكن يا محمد أنت منهم</w:t>
      </w:r>
      <w:r>
        <w:rPr>
          <w:rFonts w:eastAsia="Amiri" w:cs="Amiri" w:ascii="Amiri" w:hAnsi="Amiri"/>
          <w:color w:val="111111"/>
          <w:sz w:val="28"/>
          <w:szCs w:val="28"/>
          <w:rtl w:val="true"/>
          <w:lang w:bidi="ar-SA"/>
        </w:rPr>
        <w:t xml:space="preserve">» </w:t>
      </w:r>
      <w:r>
        <w:rPr>
          <w:rStyle w:val="FootnoteAnchor"/>
          <w:rtl w:val="true"/>
        </w:rPr>
        <w:footnoteReference w:id="12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حينئذ فما لم يعلم تمكنه من اجراء المعروف مهما أمكن بتوسط الولاية المذكورة، فمقتضى قاعدة التزاحم عدم جواز الاقدام لقبولها، لأنّ العقل مستقل بعدم جواز تفويت المصلحة المتيقنة باحتمال وجود المزاحم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يمتاز عن باب التعارض و التخصيص، فإنّ المرجع في الشبهة المصداقية، مع عدم العلم بالحالة السابقة، هي البراءة كما 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إلى ذلك نظر في المنتهى حيث أفاد بأنه لا يجوز التولي المزبور إلّا مع العلم بالتمكن بسببه من اقامة المعروف </w:t>
      </w:r>
      <w:r>
        <w:rPr>
          <w:rStyle w:val="FootnoteAnchor"/>
          <w:rtl w:val="true"/>
        </w:rPr>
        <w:footnoteReference w:id="12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لو أكره على الولاية المحرّمة جاز، ما لم يستلزم ذلك ضررا على الغير، لان عمدة المدرك فيه عموم رفع الإكراه و الاضطرار، غير الجاري في مورد يستتبع خلاف الامتنان في حق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بتنقيح المناط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إجراء أخبار التقية في غير الدم، و كذا إجراؤها في مطلق الإكراه عن قبل الغير</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إثبات ذلك في غير مورد إلزام الجائر، المستتبع للتقية عنهم، في غاية الإشكال، فالمتيقن ثبوته هو في مورد التقية عنهم للنصوص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في غيره فلا بد أن تجري فيه قواعد الإكراه و نفي الضرر، و ربما يختلف ذلك بكيفية توجه 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أو الى غيره، حيث التزموا بجواز الارتكاب في الثاني دون الأول، نظرا إلى عدم لزوم صرف الضرر عن نفسه بتوجهه إلى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عمدة النكتة فيه عدم لزوم خلاف امتنان على الغير من قبل ارتكابه في الأول، لأنّ المفروض انّ الضرر من الغير متوجه إليه، فلا يكون عمله إضرارا له من قبله، كي لا يشمل مثله العمومات الامتنانية، بخلافه في الفرض الثاني، و 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مشروعية عمله بالإكراه عليه يجتهد مهما أمكن في إنفاذ الحكم بالحق و اقامة المعروف، للزوم الفرار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مهما أمكن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الحكم بغير ما أنزل اللّٰه، و عن ترك اقامة المعروف، و الزجر عن المنكر، و وجه الجمع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في المقام 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خاتمة للمرام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انّ الظاهر من إطلاق النصوص و الكلمات وجوب الأمر بالمعروف بالنسبة إلى المعاملات و العبادات، و حينئذ فربما تجي‌ء الشبهة في الثاني، بأن صحة الأمر من الآمر إنما هي في صورة صلاحيته للدعوة، و به يشهد أيضا ما في النصوص من التعليل باستقامة الفرائض، و لازم دعوة هذا الآمر في العبادة كونها مأتية بداعي أمر غيره تعالى، فلا يكون مخلصا في عمله، فتبطل، فيستحيل حينئذ الأمر المزبور، لاستحالة دعوته إلى المعروف</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ربما أوردوا مثل هذه الشبهة في النيابة في العبادة، بتقريب أنّ متعلّق الإجارة لا بد أن يكون قابلا لأن يؤتى به بعنوان الوفاء بعقد إجارته، و مثل العبادات يستحيل أن يؤتى بها بمثل هذا العنوان، المستتبع لعدم الخلوص في</w:t>
      </w:r>
    </w:p>
    <w:p>
      <w:pPr>
        <w:pStyle w:val="BookText"/>
        <w:rPr/>
      </w:pPr>
      <w:r>
        <w:rPr>
          <w:rFonts w:ascii="Amiri" w:hAnsi="Amiri" w:eastAsia="Amiri" w:cs="Amiri"/>
          <w:color w:val="111111"/>
          <w:sz w:val="28"/>
          <w:sz w:val="28"/>
          <w:szCs w:val="28"/>
          <w:rtl w:val="true"/>
          <w:lang w:bidi="ar-SA"/>
        </w:rPr>
        <w:t>العبادة، بل و لانغراس مثل هذه الشبهة في الأذهان، صار منشأ التزامهم بإضرار الرياء بالخلوص، و لو بنحو الداعي على الداعي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توهم الاكتفاء في المقام بهذا المقدار من العبادة الصورية، كالاكتفاء في باب الزكاة أيضا بصرف الأخذ من الممتنع بلا قربة، مدفوع بمنع صحة المقايسة، لإمكان دعوى أنّ في الزكاة جهة حق الناس، فلا يسقط بمحض عدم القربة من الممتنع، بخلاف غيرها، الذي لا يكون في البين إلّا حق الباري تعالى، المتعلق بعبوديته، المنوط بقربية عمله، مع إمكان دعوى انّ الحاكم ولي الممتنع، فهو يتولّى القربة، لأنها شأن من يعيّن الزكاة في مال عزلا أو أداء، و هذا الشأن في صورة الامتناع يكون للحكام أو السعاة، فهم المتولون للنية أيضا، و هذا بخلاف ما في سائر العبادات، حيث لا تكون في البين جهة مالية، و تعيين حق، لتكون ولاية للغير، فلا يكون المتكفل للقربة إلّا العامل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فلا محيص في دفع الشبهة في المقام إلّا عن الالتزام بعدم إضرار الدواعي الطولية في الخلوص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المعتبر منه عدم دعوة شي‌ء غير أمر اللّٰه في عرضه لا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يؤيده انتهاء أمر الداعي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غالب العبادات بنحو الطولية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داعي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توهم انّ الآثار المترتبة من قبله تعالى و داعويتها على العمل، غير مضرة بالخلوص مدفوع بأنّ لازمة عدم الإضرار و لو كانت داعوية الآثار في عرض داعوية الأمر، و لا أظن التزامه من أحد، فيكشف ذلك عن أنّ ما هو مضر من غير دواعي القربة عرضا، غير مضر بالعبادة طولا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بمثل هذا البيان يمكن التخلص عن شبهة عدم الخلوص في النيابة في العبادة</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إمكان دعوى اخرى فيها، بأن المعتبر في صحة العبادة صدورها عمن</w:t>
      </w:r>
    </w:p>
    <w:p>
      <w:pPr>
        <w:pStyle w:val="BookText"/>
        <w:rPr/>
      </w:pPr>
      <w:r>
        <w:rPr>
          <w:rFonts w:ascii="Amiri" w:hAnsi="Amiri" w:eastAsia="Amiri" w:cs="Amiri"/>
          <w:color w:val="111111"/>
          <w:sz w:val="28"/>
          <w:sz w:val="28"/>
          <w:szCs w:val="28"/>
          <w:rtl w:val="true"/>
          <w:lang w:bidi="ar-SA"/>
        </w:rPr>
        <w:t>له العبادة خالصا، و في المقام يصدق عليه الخلوص من تلك الجهة، و إن كان من حيث إضافته إلى النائب غير خالص، و كان بداعي الوفاء بالإجارة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الحقيقة منشأ حل الإشكال في باب النيابة هو التفكيك بين الفعل، من حيث إضافته إلى المنوب عنه و إلى النائب، لا التفكيك بين المصدر و اسم المصدر، على ما قرع سمعي من بعض المعاصرين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هنا اشكال آخر في أصل قربية العمل للمنوب عنه بفعل النائب، بأنّ منشأها أي جهة؟ و هي جهة أخرى من الإشكال كالإشكال في جهة أخذ الأجرة على ذلك و دفع كل منهما موكول إلى محله، و المناسب للمقام هو اشكال الخلوص بالتقريب المزبور، و دفعه ليس إلّا بأحد الوجهين المذكورين، فتفكر فيهما و تدبّر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الحمد للّٰه أولا و آخرا، و ظاهرا و باطنا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حرره الأحقر ضياء الدين محمد العراقي</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حصل الفراغ من الكتابة على الأوراق التي زينها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بعبارات لطيفة و فوائد جليلة، قل من اطلع عليها ممن له أهلية النظر في تمييز لآليها الدرر، يوم الأربعاء، الحادي عشر من شهر رجب، سنة احدى و أربعين بعد الألف و ثلاثمائة في الغرية على مشرفها آلاف التحية، بيد أقل المشتغلين، ابن محمد حسن، عبد اللّٰه التبريزي غفر لهما</w:t>
      </w:r>
      <w:r>
        <w:rPr>
          <w:rFonts w:eastAsia="Amiri" w:cs="Amiri" w:ascii="Amiri" w:hAnsi="Amiri"/>
          <w:color w:val="111111"/>
          <w:sz w:val="28"/>
          <w:szCs w:val="28"/>
          <w:rtl w:val="true"/>
          <w:lang w:bidi="ar-SA"/>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7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7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شرائع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كفارات الصيد</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كفارات الصيد</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كفارات الصيد</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كفارات الصيد</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المنسوب للإمام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كفارات الصيد</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أعثر على هذه الرواية، انظر جواهر الكلام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بقية كفارات الإحرام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المختصر النافع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كفارات الصيد</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الأعضاء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بقية كفارات الإحرام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بقية كفارات الإحرام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بقية كفارات الإحرام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بقية كفارات الإحرام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بقية كفارات الإحرام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1257</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كفارات الصيد</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كفارات الصيد</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كفارات الصيد</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كفارة الاستمتاعات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كفارة الاستمتاعات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كفارة الاستمتاعات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كفارة الاستمتاعات 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كفارة الاستمتاعات 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كفارة الاستمتاعات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كفارة الاستمتاعات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كفارة الاستمتاعات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كفارة الاستمتاعات 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كفارة الاستمتاعات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كفارة الاستمتاعات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كفارة الاستمتاع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كفارة الاستمتاع 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كفارة الاستمتاعات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كفارة الاستمتاعات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كفارة الاستمتاعات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كفارة الاستمتاع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كفارة الاستمتاع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كفارة الاستمتاع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كفارة الاستمتاع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كفارة الاستمتاعات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كفارة الاستمتاعات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كفارة الاستمتاعات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كفارة الاستمتاعات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كفارة الاستمتاعات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كفارة الاستمتاعات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كفارة الاستمتاعات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كفارة الاستمتاعات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كفارة الاستمتاعات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كفارة الاستمتاعات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كفارة الاستمتاعات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كفارة الاستمتاعات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كفارة الاستمتاعات، شرائع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كفارة الاستمتاعات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كفارة الاستمتاعات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كفارة الاستمتاعات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كفارة الاستمتاعات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كفارة الاستمتاعات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كفارة الاستمتاعات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بقية كفارات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الإحرام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بقية الكفارات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بقية الكفارات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بقية الكفارات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بقية الكفارات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بقية كفارات الإحرام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بقية الكفارات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بقية الكفارات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بقية الكفارات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بقية الكفارات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بقية الكفارات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بقية الكفارات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بقية الكفارات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بقية الكفارات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بقية الكفارات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بقية الكفارات 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بقية الكفارات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بقية الكفارات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بقية الكفارات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بقية الكفارات 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بقية الكفارات</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بقية الكفارات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بقية الكفارات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بقية الكفارات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المنسوب للإمام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بقية الكفارات 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بقية الكفارات 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بقية الكفارات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بقية الكفارات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بقية الكفارات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بقية الكفارات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بقية الكفارات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جواهر الكلام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بقية الكفارات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بقية الكفارات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بقية الكفارات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بقية الكفارات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بقية الكفارات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بقية الكفارات</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بقية الكفارات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بقية الكفارات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الحلق و التقصير</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الحلق و التقصير</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مسند أحمد بن حنبل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الطواف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الطواف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الطواف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وجدنا على هامش النسخة الثانية المصححة بخط المؤلف هذا الاحتمال التالي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يحتمل قراءة العربان بالباء الموحدة جمع الأعراب، أي أعراب البادية الذين هم أشد كفرا و نفاقا، و يؤيده اقتران العربان بالمشركين في الرواية</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الافهام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حديث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حديث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حديث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زيارة البيت 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زيارة البيت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زيارة البيت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زيارة البيت 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الطواف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الطواف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الطواف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الطواف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الطواف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الطواف</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الطواف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في صحيحة معاوية بن عمار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لم تستطع أن تقبله فاستلمه بيدك، فان لم تستطع أن تستلمه بيدك فأشر إليه و 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أمانتي أديتها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إلخ، 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زيارة البيت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الحج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الحج 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السعي</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السعي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السعي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السعي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السعي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السعي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السعي 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السعي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السعي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السعي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السعي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السعي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السعي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السعي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السعي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السعي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السعي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السعي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السعي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السعي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السعي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السعي</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السعي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السعي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التقصير</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التقصير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التقصير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التقصير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التقصير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الحلق و التقصير 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التقصير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التقصير في العمرة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التقصير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التقصير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الحلق و التقصير 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التقصير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التقصير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 إلى نيل الفضيلة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إحرام الحج</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إحرام الحج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إحرام الحج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إحرام الحج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إحرام الحج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إحرام الحج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إحرام الحج 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الوقوف بالمشعر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الوقوف بالمشعر</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الوقوف بالمشعر</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الوقوف بالمشعر 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إحرام الحج 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عوالي اللئالي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الوقوف بالمشعر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الوقوف بالمشعر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إحرام الحج 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الوقوف بالمشعر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إحرام الحج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إحرام الحج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الوقوف بالمشعر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إحرام الحج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إحرام الحج</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إحرام الحج</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إحرام الحج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الوقوف بالمشعر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الوقوف بالمشعر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الوقوف بالمشعر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إحرام الحج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إحرام الحج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إحرام الحج</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الوقوف بالمشعر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الوقوف بالمشعر</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إحرام الحج</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إحرام الحج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إحرام الحج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إحرام الحج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إحرام الحج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إحرام الحج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الإحرام بالحج</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بالحج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بالحج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الوقوف بالمشعر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الوقوف بالمشعر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الوقوف بالمشعر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الوقوف بالمشعر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الوقوف بالمشعر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الوقوف بالمشعر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الوقوف بالمشعر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الوقوف بالمشعر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الوقوف بالمشعر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الوقوف بالمشعر 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الوقوف بالمشعر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الوقوف بالمشعر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الوقوف بالمشعر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الوقوف بالمشعر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الوقوف بالمشعر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الوقوف بالمشعر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الغنية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الوقوف بالمشعر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جواهر الكلام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الوقوف بالمشعر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الوقوف بالمشعر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الوقوف بالمشعر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الوقوف بالمشعر</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رمي جمرة العقبة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رمي جمرة العقبة</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العود إلى منى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الوقوف بالمشعر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رمي جمرة العقبة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الوقوف بالمشعر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الوقوف بالمشعر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رمي جمرة العقبة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رمي جمرة العقبة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رمي جمرة العقبة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رمي جمرة العقبة</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رمي جمرة العقبة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رمي جمرة العقبة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رمي جمرة العقبة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رمي جمرة العقبة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رمي جمرة العقبة 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الوقوف بالمشعر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الوقوف بالمشعر 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رمي جمرة العقبة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الحلق و التقصير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الحلق و التقصير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حديث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حديث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بقيد الصوم الواجب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حديث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1472</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الحلق و التقصير 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الحلق و التقصير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الحلق و التقصير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الحلق و التقصير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الحلق و التقصير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الحلق و التقصير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الحلق و التقصير 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الحلق و التقصير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الحلق و التقصير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الحلق و التقصير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الحلق و التقصير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الحلق و التقصير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الحلق و التقصير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الحلق و التقصير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الشرائع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الحلق و التقصير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الحلق و التقصير 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الحلق و التقصير 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الحلق و التقصير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الحلق و التقصير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الفقه المنسوب للإمام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الحلق و التقصير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الحلق و التقصير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الحلق و التقصير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زيارة البيت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زيارة البيت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زيارة البيت 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زيارة البيت 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زيارة البيت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زيارة البيت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العود إلى منى 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العود إلى منى 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العود إلى منى حديث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العود إلى منى حديث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العود إلى منى 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العود إلى منى 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العود إلى منى 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العود إلى منى حديث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العود إلى منى 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العود إلى منى حديث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العود إلى منى 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العود إلى منى حديث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العود إلى منى حديث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العود إلى منى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رمي جمرة العقبة</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رمي جمرة العقبة</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رمي جمرة العقبة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رمي جمرة العقبة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رمي جمرة العقبة</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رمي جمرة العقبة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رمي جمرة العقبة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المنسوب للإمام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رمي جمرة العقبة 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العود إلى منى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العود إلى منى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العود إلى منى 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العود إلى منى 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العود إلى منى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العود إلى منى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العود إلى منى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العود إلى منى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رمي جمرة العقبة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رمي جمرة العقبة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العود إلى منى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العود إلى منى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العود إلى منى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العود إلى منى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رمي جمرة العقبة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رمي جمرة العقبة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رمي جمرة العقبة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رمي جمرة العقبة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العود إلى منى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الطواف</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العود إلى منى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الطواف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الطواف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الطواف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الطواف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العود إلى منى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العود إلى منى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المنسوب للإمام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العود إلى منى</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العود إلى منى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العود إلى منى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العود إلى منى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العود إلى منى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العود إلى منى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الطواف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الطواف 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الطواف 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الطواف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الطواف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المزار حديث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المزار</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المزار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المزار 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المزار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المزار 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المزار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العمرة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العمرة 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العمرة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العمرة 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العمرة</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العمرة 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العمرة 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العمرة 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العمرة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العمرة</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العمرة</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العمرة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العمرة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الناصريات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العمرة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العمرة</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الإحصار و الصد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الإحصار و الصدّ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الإحصار و الصد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الإحصار و الصد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الإحصار و الصد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المنسوب للإمام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الإحصار و الصد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الإحصار و الصد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الإحصار و الصد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الإحصار و الصد</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الإحصار و الصد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الإحصار و الصد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الإحصار و الصد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الإحصار و الصد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الإحصار و الصد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الإحصار و الصد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الإحصار و الصد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الإحصار و الصد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الإحصار و الصد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الإحصار و الصد</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العدو</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العدو</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العدو</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حديث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900</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899</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لدينا كتابه</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الجهاد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العدو</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وسائل الشيعة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الأولاد</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اللّمعة الدمشقية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التنقيح الرائع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كنز العمال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كنز العمال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تيسير الوصول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الرائع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كنز العمال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حديث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نصب الرواية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كتاب الأموال لأبي القاسم بن 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كتاب الخراج لأبي يوسف بن 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العدو</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913</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الممتحنة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المرتد</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المرتد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قصاص النفس</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نعهد اشتراط البلوغ في صحة قبول الإسلام، و انما الثابت في صحة إسلام الطفل مع غض النظر عن التبعية لأشرف الأبوين كونه مميزا فقط، نعم كان البلوغ شرطا في أصل التكليف فقط لا في صحة عباداته و معاملاته أيضا</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أغرب من سابقه، إذ شهرة القول بسلب عبارة الطفل المميز من الشهرات التي لا أصل لها، بل الثابت خلافها نصا و فتوى فراجع</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العدو</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العدو</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العدو</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القصاص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العدو</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حديث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العدو</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العدو</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القذوف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الافهام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الأنفال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العدو</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928</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البيع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البيع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البيع 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الأنفال</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الأنفال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البيع 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البيع 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البيع 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 إلى نيل الفضيلة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النسخة الخطية</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الأمر بالمعروف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الأمر بالمعروف</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الافهام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الأمر بالمعروف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الافهام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الأمر بالمعروف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الأمر بالمعروف 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الأمر بالمعروف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الأمر بالمعروف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الأمر بالمعروف حديث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الأمر بالمعروف حديث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الأمر بالمعروف 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الأمر بالمعروف 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الأمر بالمعروف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الأمر بالمعروف 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بما انّ الشارح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حسب عادته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 الى الرواية و هي مذكورة في الجواهر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نقلها عنه بلا مراجعة الأصل، زعم عدم ذكر الإنكار باللسان فيها، و إلّا فهي في الأصل مذكورة حسب المراتب الثلاث في الإنكار بالقلب و اللسان و اليد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الأمر بالمعروف حديث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 نحن قد صححنا الرواية وفق الأصل رغم إسقاط الشارح لفقرة الإنكار باللسان طبق نصها في الجواهر، و قد جعلناها بين المعقوفتين</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الأمر بالمعروف 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الأمر بالمعروف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الحدود 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الحدود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الحدود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الحدود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الأمر بالمعروف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الأمر بالمعروف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الأمر بالمعروف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920</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image" Target="media/image2.jpeg"/><Relationship Id="rId478" Type="http://schemas.openxmlformats.org/officeDocument/2006/relationships/image" Target="media/image2.jpeg"/><Relationship Id="rId479" Type="http://schemas.openxmlformats.org/officeDocument/2006/relationships/footer" Target="footer472.xml"/><Relationship Id="rId480" Type="http://schemas.openxmlformats.org/officeDocument/2006/relationships/footnotes" Target="footnotes.xml"/><Relationship Id="rId481" Type="http://schemas.openxmlformats.org/officeDocument/2006/relationships/numbering" Target="numbering.xml"/><Relationship Id="rId482" Type="http://schemas.openxmlformats.org/officeDocument/2006/relationships/fontTable" Target="fontTable.xml"/><Relationship Id="rId483" Type="http://schemas.openxmlformats.org/officeDocument/2006/relationships/settings" Target="settings.xml"/><Relationship Id="rId48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479</Pages>
  <Words>86073</Words>
  <Characters>350254</Characters>
  <CharactersWithSpaces>433549</CharactersWithSpaces>
  <Paragraphs>2779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2026-08-26T01:40:35Z</dcterms:created>
  <dc:creator>ghaemiyeh.com</dc:creator>
  <dc:description/>
  <dc:language>en-US</dc:language>
  <cp:lastModifiedBy/>
  <dcterms:modified xsi:type="dcterms:W3CDTF">2026-08-26T05:11:15Z</dcterms:modified>
  <cp:revision>1</cp:revision>
  <dc:subject/>
  <dc:title>شرح تبصره المتعلمین جلد 4</dc:title>
</cp:coreProperties>
</file>

<file path=docProps/custom.xml><?xml version="1.0" encoding="utf-8"?>
<Properties xmlns="http://schemas.openxmlformats.org/officeDocument/2006/custom-properties" xmlns:vt="http://schemas.openxmlformats.org/officeDocument/2006/docPropsVTypes"/>
</file>