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منجزات المریض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46342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46344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246346_2314609296">
            <w:r>
              <w:rPr>
                <w:webHidden/>
                <w:rStyle w:val="IndexLink"/>
                <w:rtl w:val="true"/>
              </w:rPr>
              <w:t>مقدمة الناشر</w:t>
            </w:r>
            <w:r>
              <w:rPr>
                <w:rStyle w:val="IndexLink"/>
                <w:rtl w:val="true"/>
              </w:rPr>
              <w:tab/>
            </w:r>
            <w:r>
              <w:rPr>
                <w:rStyle w:val="IndexLink"/>
              </w:rPr>
              <w:t>5</w:t>
            </w:r>
          </w:hyperlink>
        </w:p>
        <w:p>
          <w:pPr>
            <w:pStyle w:val="Contents2"/>
            <w:tabs>
              <w:tab w:val="clear" w:pos="8743"/>
              <w:tab w:val="right" w:pos="9026" w:leader="dot"/>
            </w:tabs>
            <w:rPr/>
          </w:pPr>
          <w:hyperlink w:anchor="__RefHeading___Toc2246348_2314609296">
            <w:r>
              <w:rPr>
                <w:webHidden/>
                <w:rStyle w:val="IndexLink"/>
                <w:rtl w:val="true"/>
              </w:rPr>
              <w:t>مقدّمة التحقيق</w:t>
            </w:r>
            <w:r>
              <w:rPr>
                <w:rStyle w:val="IndexLink"/>
                <w:rtl w:val="true"/>
              </w:rPr>
              <w:tab/>
            </w:r>
            <w:r>
              <w:rPr>
                <w:rStyle w:val="IndexLink"/>
              </w:rPr>
              <w:t>7</w:t>
            </w:r>
          </w:hyperlink>
        </w:p>
        <w:p>
          <w:pPr>
            <w:pStyle w:val="Contents3"/>
            <w:tabs>
              <w:tab w:val="clear" w:pos="8459"/>
              <w:tab w:val="right" w:pos="9026" w:leader="dot"/>
            </w:tabs>
            <w:rPr/>
          </w:pPr>
          <w:hyperlink w:anchor="__RefHeading___Toc2246350_2314609296">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246352_2314609296">
            <w:r>
              <w:rPr>
                <w:webHidden/>
                <w:rStyle w:val="IndexLink"/>
                <w:rtl w:val="true"/>
              </w:rPr>
              <w:t>ماهيّة الرسالة</w:t>
            </w:r>
            <w:r>
              <w:rPr>
                <w:rStyle w:val="IndexLink"/>
                <w:rtl w:val="true"/>
              </w:rPr>
              <w:tab/>
            </w:r>
            <w:r>
              <w:rPr>
                <w:rStyle w:val="IndexLink"/>
              </w:rPr>
              <w:t>10</w:t>
            </w:r>
          </w:hyperlink>
        </w:p>
        <w:p>
          <w:pPr>
            <w:pStyle w:val="Contents3"/>
            <w:tabs>
              <w:tab w:val="clear" w:pos="8459"/>
              <w:tab w:val="right" w:pos="9026" w:leader="dot"/>
            </w:tabs>
            <w:rPr/>
          </w:pPr>
          <w:hyperlink w:anchor="__RefHeading___Toc2246354_2314609296">
            <w:r>
              <w:rPr>
                <w:webHidden/>
                <w:rStyle w:val="IndexLink"/>
                <w:rtl w:val="true"/>
              </w:rPr>
              <w:t>نبذة من حياة المؤلّف</w:t>
            </w:r>
            <w:r>
              <w:rPr>
                <w:rStyle w:val="IndexLink"/>
                <w:rtl w:val="true"/>
              </w:rPr>
              <w:tab/>
            </w:r>
            <w:r>
              <w:rPr>
                <w:rStyle w:val="IndexLink"/>
              </w:rPr>
              <w:t>13</w:t>
            </w:r>
          </w:hyperlink>
        </w:p>
        <w:p>
          <w:pPr>
            <w:pStyle w:val="Contents4"/>
            <w:tabs>
              <w:tab w:val="clear" w:pos="8176"/>
              <w:tab w:val="right" w:pos="9026" w:leader="dot"/>
            </w:tabs>
            <w:rPr/>
          </w:pPr>
          <w:hyperlink w:anchor="__RefHeading___Toc2246356_2314609296">
            <w:r>
              <w:rPr>
                <w:webHidden/>
                <w:rStyle w:val="IndexLink"/>
                <w:rtl w:val="true"/>
              </w:rPr>
              <w:t>اسمه و نسبه و نشأته</w:t>
            </w:r>
            <w:r>
              <w:rPr>
                <w:rStyle w:val="IndexLink"/>
                <w:rtl w:val="true"/>
              </w:rPr>
              <w:t>:</w:t>
              <w:tab/>
            </w:r>
            <w:r>
              <w:rPr>
                <w:rStyle w:val="IndexLink"/>
              </w:rPr>
              <w:t>13</w:t>
            </w:r>
          </w:hyperlink>
        </w:p>
        <w:p>
          <w:pPr>
            <w:pStyle w:val="Contents4"/>
            <w:tabs>
              <w:tab w:val="clear" w:pos="8176"/>
              <w:tab w:val="right" w:pos="9026" w:leader="dot"/>
            </w:tabs>
            <w:rPr/>
          </w:pPr>
          <w:hyperlink w:anchor="__RefHeading___Toc2246358_2314609296">
            <w:r>
              <w:rPr>
                <w:webHidden/>
                <w:rStyle w:val="IndexLink"/>
                <w:rtl w:val="true"/>
              </w:rPr>
              <w:t>أساتذته و شيوخه</w:t>
            </w:r>
            <w:r>
              <w:rPr>
                <w:rStyle w:val="IndexLink"/>
                <w:rtl w:val="true"/>
              </w:rPr>
              <w:t>:</w:t>
              <w:tab/>
            </w:r>
            <w:r>
              <w:rPr>
                <w:rStyle w:val="IndexLink"/>
              </w:rPr>
              <w:t>15</w:t>
            </w:r>
          </w:hyperlink>
        </w:p>
        <w:p>
          <w:pPr>
            <w:pStyle w:val="Contents4"/>
            <w:tabs>
              <w:tab w:val="clear" w:pos="8176"/>
              <w:tab w:val="right" w:pos="9026" w:leader="dot"/>
            </w:tabs>
            <w:rPr/>
          </w:pPr>
          <w:hyperlink w:anchor="__RefHeading___Toc2246360_2314609296">
            <w:r>
              <w:rPr>
                <w:webHidden/>
                <w:rStyle w:val="IndexLink"/>
                <w:rtl w:val="true"/>
              </w:rPr>
              <w:t>تلامذته و الراوون عنه</w:t>
            </w:r>
            <w:r>
              <w:rPr>
                <w:rStyle w:val="IndexLink"/>
                <w:rtl w:val="true"/>
              </w:rPr>
              <w:t>:</w:t>
              <w:tab/>
            </w:r>
            <w:r>
              <w:rPr>
                <w:rStyle w:val="IndexLink"/>
              </w:rPr>
              <w:t>15</w:t>
            </w:r>
          </w:hyperlink>
        </w:p>
        <w:p>
          <w:pPr>
            <w:pStyle w:val="Contents4"/>
            <w:tabs>
              <w:tab w:val="clear" w:pos="8176"/>
              <w:tab w:val="right" w:pos="9026" w:leader="dot"/>
            </w:tabs>
            <w:rPr/>
          </w:pPr>
          <w:hyperlink w:anchor="__RefHeading___Toc2246362_2314609296">
            <w:r>
              <w:rPr>
                <w:webHidden/>
                <w:rStyle w:val="IndexLink"/>
                <w:rtl w:val="true"/>
              </w:rPr>
              <w:t>مؤلّفاته</w:t>
            </w:r>
            <w:r>
              <w:rPr>
                <w:rStyle w:val="IndexLink"/>
                <w:rtl w:val="true"/>
              </w:rPr>
              <w:t>:</w:t>
              <w:tab/>
            </w:r>
            <w:r>
              <w:rPr>
                <w:rStyle w:val="IndexLink"/>
              </w:rPr>
              <w:t>17</w:t>
            </w:r>
          </w:hyperlink>
        </w:p>
        <w:p>
          <w:pPr>
            <w:pStyle w:val="Contents4"/>
            <w:tabs>
              <w:tab w:val="clear" w:pos="8176"/>
              <w:tab w:val="right" w:pos="9026" w:leader="dot"/>
            </w:tabs>
            <w:rPr/>
          </w:pPr>
          <w:hyperlink w:anchor="__RefHeading___Toc2246364_2314609296">
            <w:r>
              <w:rPr>
                <w:webHidden/>
                <w:rStyle w:val="IndexLink"/>
                <w:rtl w:val="true"/>
              </w:rPr>
              <w:t>إطراء العلماء له</w:t>
            </w:r>
            <w:r>
              <w:rPr>
                <w:rStyle w:val="IndexLink"/>
                <w:rtl w:val="true"/>
              </w:rPr>
              <w:t>:</w:t>
              <w:tab/>
            </w:r>
            <w:r>
              <w:rPr>
                <w:rStyle w:val="IndexLink"/>
              </w:rPr>
              <w:t>18</w:t>
            </w:r>
          </w:hyperlink>
        </w:p>
        <w:p>
          <w:pPr>
            <w:pStyle w:val="Contents4"/>
            <w:tabs>
              <w:tab w:val="clear" w:pos="8176"/>
              <w:tab w:val="right" w:pos="9026" w:leader="dot"/>
            </w:tabs>
            <w:rPr/>
          </w:pPr>
          <w:hyperlink w:anchor="__RefHeading___Toc2246366_2314609296">
            <w:r>
              <w:rPr>
                <w:webHidden/>
                <w:rStyle w:val="IndexLink"/>
                <w:rtl w:val="true"/>
              </w:rPr>
              <w:t>وفاته و مدفنه</w:t>
            </w:r>
            <w:r>
              <w:rPr>
                <w:rStyle w:val="IndexLink"/>
                <w:rtl w:val="true"/>
              </w:rPr>
              <w:t>:</w:t>
              <w:tab/>
            </w:r>
            <w:r>
              <w:rPr>
                <w:rStyle w:val="IndexLink"/>
              </w:rPr>
              <w:t>19</w:t>
            </w:r>
          </w:hyperlink>
        </w:p>
        <w:p>
          <w:pPr>
            <w:pStyle w:val="Contents4"/>
            <w:tabs>
              <w:tab w:val="clear" w:pos="8176"/>
              <w:tab w:val="right" w:pos="9026" w:leader="dot"/>
            </w:tabs>
            <w:rPr/>
          </w:pPr>
          <w:hyperlink w:anchor="__RefHeading___Toc2246368_2314609296">
            <w:r>
              <w:rPr>
                <w:webHidden/>
                <w:rStyle w:val="IndexLink"/>
                <w:rtl w:val="true"/>
              </w:rPr>
              <w:t>أولاده و أحفاده</w:t>
            </w:r>
            <w:r>
              <w:rPr>
                <w:rStyle w:val="IndexLink"/>
                <w:rtl w:val="true"/>
              </w:rPr>
              <w:t>:</w:t>
              <w:tab/>
            </w:r>
            <w:r>
              <w:rPr>
                <w:rStyle w:val="IndexLink"/>
              </w:rPr>
              <w:t>20</w:t>
            </w:r>
          </w:hyperlink>
        </w:p>
        <w:p>
          <w:pPr>
            <w:pStyle w:val="Contents3"/>
            <w:tabs>
              <w:tab w:val="clear" w:pos="8459"/>
              <w:tab w:val="right" w:pos="9026" w:leader="dot"/>
            </w:tabs>
            <w:rPr/>
          </w:pPr>
          <w:hyperlink w:anchor="__RefHeading___Toc2246370_2314609296">
            <w:r>
              <w:rPr>
                <w:webHidden/>
                <w:rStyle w:val="IndexLink"/>
                <w:rtl w:val="true"/>
              </w:rPr>
              <w:t>النسخ المعتمدة في التحقيق</w:t>
            </w:r>
            <w:r>
              <w:rPr>
                <w:rStyle w:val="IndexLink"/>
                <w:rtl w:val="true"/>
              </w:rPr>
              <w:t>:</w:t>
              <w:tab/>
            </w:r>
            <w:r>
              <w:rPr>
                <w:rStyle w:val="IndexLink"/>
              </w:rPr>
              <w:t>30</w:t>
            </w:r>
          </w:hyperlink>
        </w:p>
        <w:p>
          <w:pPr>
            <w:pStyle w:val="Contents3"/>
            <w:tabs>
              <w:tab w:val="clear" w:pos="8459"/>
              <w:tab w:val="right" w:pos="9026" w:leader="dot"/>
            </w:tabs>
            <w:rPr/>
          </w:pPr>
          <w:hyperlink w:anchor="__RefHeading___Toc2246372_2314609296">
            <w:r>
              <w:rPr>
                <w:webHidden/>
                <w:rStyle w:val="IndexLink"/>
                <w:rtl w:val="true"/>
              </w:rPr>
              <w:t>منهجيّة التحقيق</w:t>
            </w:r>
            <w:r>
              <w:rPr>
                <w:rStyle w:val="IndexLink"/>
                <w:rtl w:val="true"/>
              </w:rPr>
              <w:t>:</w:t>
              <w:tab/>
            </w:r>
            <w:r>
              <w:rPr>
                <w:rStyle w:val="IndexLink"/>
              </w:rPr>
              <w:t>32</w:t>
            </w:r>
          </w:hyperlink>
        </w:p>
        <w:p>
          <w:pPr>
            <w:pStyle w:val="Contents2"/>
            <w:tabs>
              <w:tab w:val="clear" w:pos="8743"/>
              <w:tab w:val="right" w:pos="9026" w:leader="dot"/>
            </w:tabs>
            <w:rPr/>
          </w:pPr>
          <w:hyperlink w:anchor="__RefHeading___Toc2246374_2314609296">
            <w:r>
              <w:rPr>
                <w:webHidden/>
                <w:rStyle w:val="IndexLink"/>
                <w:rtl w:val="true"/>
              </w:rPr>
              <w:t>أمّا المقام الأوّل</w:t>
            </w:r>
            <w:r>
              <w:rPr>
                <w:rStyle w:val="IndexLink"/>
                <w:rtl w:val="true"/>
              </w:rPr>
              <w:tab/>
            </w:r>
            <w:r>
              <w:rPr>
                <w:rStyle w:val="IndexLink"/>
              </w:rPr>
              <w:t>41</w:t>
            </w:r>
          </w:hyperlink>
        </w:p>
        <w:p>
          <w:pPr>
            <w:pStyle w:val="Contents2"/>
            <w:tabs>
              <w:tab w:val="clear" w:pos="8743"/>
              <w:tab w:val="right" w:pos="9026" w:leader="dot"/>
            </w:tabs>
            <w:rPr/>
          </w:pPr>
          <w:hyperlink w:anchor="__RefHeading___Toc2246376_2314609296">
            <w:r>
              <w:rPr>
                <w:webHidden/>
                <w:rStyle w:val="IndexLink"/>
                <w:rtl w:val="true"/>
              </w:rPr>
              <w:t>و أمّا المقام الثاني</w:t>
            </w:r>
            <w:r>
              <w:rPr>
                <w:rStyle w:val="IndexLink"/>
                <w:rtl w:val="true"/>
              </w:rPr>
              <w:tab/>
            </w:r>
            <w:r>
              <w:rPr>
                <w:rStyle w:val="IndexLink"/>
              </w:rPr>
              <w:t>42</w:t>
            </w:r>
          </w:hyperlink>
        </w:p>
        <w:p>
          <w:pPr>
            <w:pStyle w:val="Contents2"/>
            <w:tabs>
              <w:tab w:val="clear" w:pos="8743"/>
              <w:tab w:val="right" w:pos="9026" w:leader="dot"/>
            </w:tabs>
            <w:rPr/>
          </w:pPr>
          <w:hyperlink w:anchor="__RefHeading___Toc2246378_2314609296">
            <w:r>
              <w:rPr>
                <w:webHidden/>
                <w:rStyle w:val="IndexLink"/>
                <w:rtl w:val="true"/>
              </w:rPr>
              <w:t>و أمّا المقام الثالث</w:t>
            </w:r>
            <w:r>
              <w:rPr>
                <w:rStyle w:val="IndexLink"/>
                <w:rtl w:val="true"/>
              </w:rPr>
              <w:tab/>
            </w:r>
            <w:r>
              <w:rPr>
                <w:rStyle w:val="IndexLink"/>
              </w:rPr>
              <w:t>52</w:t>
            </w:r>
          </w:hyperlink>
        </w:p>
        <w:p>
          <w:pPr>
            <w:pStyle w:val="Contents3"/>
            <w:tabs>
              <w:tab w:val="clear" w:pos="8459"/>
              <w:tab w:val="right" w:pos="9026" w:leader="dot"/>
            </w:tabs>
            <w:rPr/>
          </w:pPr>
          <w:hyperlink w:anchor="__RefHeading___Toc2246380_2314609296">
            <w:r>
              <w:rPr>
                <w:webHidden/>
                <w:rStyle w:val="IndexLink"/>
                <w:rtl w:val="true"/>
              </w:rPr>
              <w:t>اشارة</w:t>
            </w:r>
            <w:r>
              <w:rPr>
                <w:rStyle w:val="IndexLink"/>
                <w:rtl w:val="true"/>
              </w:rPr>
              <w:tab/>
            </w:r>
            <w:r>
              <w:rPr>
                <w:rStyle w:val="IndexLink"/>
              </w:rPr>
              <w:t>52</w:t>
            </w:r>
          </w:hyperlink>
        </w:p>
        <w:p>
          <w:pPr>
            <w:pStyle w:val="Contents3"/>
            <w:tabs>
              <w:tab w:val="clear" w:pos="8459"/>
              <w:tab w:val="right" w:pos="9026" w:leader="dot"/>
            </w:tabs>
            <w:rPr/>
          </w:pPr>
          <w:hyperlink w:anchor="__RefHeading___Toc2246382_2314609296">
            <w:r>
              <w:rPr>
                <w:webHidden/>
                <w:rStyle w:val="IndexLink"/>
                <w:rtl w:val="true"/>
              </w:rPr>
              <w:t>احتجّ أهل القول الثاني بأقسام من الأخبار</w:t>
            </w:r>
            <w:r>
              <w:rPr>
                <w:rStyle w:val="IndexLink"/>
                <w:rtl w:val="true"/>
              </w:rPr>
              <w:t>:</w:t>
              <w:tab/>
            </w:r>
            <w:r>
              <w:rPr>
                <w:rStyle w:val="IndexLink"/>
              </w:rPr>
              <w:t>58</w:t>
            </w:r>
          </w:hyperlink>
        </w:p>
        <w:p>
          <w:pPr>
            <w:pStyle w:val="Contents4"/>
            <w:tabs>
              <w:tab w:val="clear" w:pos="8176"/>
              <w:tab w:val="right" w:pos="9026" w:leader="dot"/>
            </w:tabs>
            <w:rPr/>
          </w:pPr>
          <w:hyperlink w:anchor="__RefHeading___Toc2246384_2314609296">
            <w:r>
              <w:rPr>
                <w:webHidden/>
                <w:rStyle w:val="IndexLink"/>
                <w:rtl w:val="true"/>
              </w:rPr>
              <w:t>القسم الأول</w:t>
            </w:r>
            <w:r>
              <w:rPr>
                <w:rStyle w:val="IndexLink"/>
                <w:rtl w:val="true"/>
              </w:rPr>
              <w:tab/>
            </w:r>
            <w:r>
              <w:rPr>
                <w:rStyle w:val="IndexLink"/>
              </w:rPr>
              <w:t>58</w:t>
            </w:r>
          </w:hyperlink>
        </w:p>
        <w:p>
          <w:pPr>
            <w:pStyle w:val="Contents4"/>
            <w:tabs>
              <w:tab w:val="clear" w:pos="8176"/>
              <w:tab w:val="right" w:pos="9026" w:leader="dot"/>
            </w:tabs>
            <w:rPr/>
          </w:pPr>
          <w:hyperlink w:anchor="__RefHeading___Toc2246386_2314609296">
            <w:r>
              <w:rPr>
                <w:webHidden/>
                <w:rStyle w:val="IndexLink"/>
                <w:rtl w:val="true"/>
              </w:rPr>
              <w:t>القسم الثاني</w:t>
            </w:r>
            <w:r>
              <w:rPr>
                <w:rStyle w:val="IndexLink"/>
                <w:rtl w:val="true"/>
              </w:rPr>
              <w:tab/>
            </w:r>
            <w:r>
              <w:rPr>
                <w:rStyle w:val="IndexLink"/>
              </w:rPr>
              <w:t>61</w:t>
            </w:r>
          </w:hyperlink>
        </w:p>
        <w:p>
          <w:pPr>
            <w:pStyle w:val="Contents4"/>
            <w:tabs>
              <w:tab w:val="clear" w:pos="8176"/>
              <w:tab w:val="right" w:pos="9026" w:leader="dot"/>
            </w:tabs>
            <w:rPr/>
          </w:pPr>
          <w:hyperlink w:anchor="__RefHeading___Toc2246388_2314609296">
            <w:r>
              <w:rPr>
                <w:webHidden/>
                <w:rStyle w:val="IndexLink"/>
                <w:rtl w:val="true"/>
              </w:rPr>
              <w:t>القسم الثالث</w:t>
            </w:r>
            <w:r>
              <w:rPr>
                <w:rStyle w:val="IndexLink"/>
                <w:rtl w:val="true"/>
              </w:rPr>
              <w:tab/>
            </w:r>
            <w:r>
              <w:rPr>
                <w:rStyle w:val="IndexLink"/>
              </w:rPr>
              <w:t>69</w:t>
            </w:r>
          </w:hyperlink>
        </w:p>
        <w:p>
          <w:pPr>
            <w:pStyle w:val="Contents4"/>
            <w:tabs>
              <w:tab w:val="clear" w:pos="8176"/>
              <w:tab w:val="right" w:pos="9026" w:leader="dot"/>
            </w:tabs>
            <w:rPr/>
          </w:pPr>
          <w:hyperlink w:anchor="__RefHeading___Toc2246390_2314609296">
            <w:r>
              <w:rPr>
                <w:webHidden/>
                <w:rStyle w:val="IndexLink"/>
                <w:rtl w:val="true"/>
              </w:rPr>
              <w:t>القسم الرابع</w:t>
            </w:r>
            <w:r>
              <w:rPr>
                <w:rStyle w:val="IndexLink"/>
                <w:rtl w:val="true"/>
              </w:rPr>
              <w:tab/>
            </w:r>
            <w:r>
              <w:rPr>
                <w:rStyle w:val="IndexLink"/>
              </w:rPr>
              <w:t>77</w:t>
            </w:r>
          </w:hyperlink>
        </w:p>
        <w:p>
          <w:pPr>
            <w:pStyle w:val="Contents4"/>
            <w:tabs>
              <w:tab w:val="clear" w:pos="8176"/>
              <w:tab w:val="right" w:pos="9026" w:leader="dot"/>
            </w:tabs>
            <w:rPr/>
          </w:pPr>
          <w:hyperlink w:anchor="__RefHeading___Toc2246392_2314609296">
            <w:r>
              <w:rPr>
                <w:webHidden/>
                <w:rStyle w:val="IndexLink"/>
                <w:rtl w:val="true"/>
              </w:rPr>
              <w:t>القسم الخامس</w:t>
            </w:r>
            <w:r>
              <w:rPr>
                <w:rStyle w:val="IndexLink"/>
                <w:rtl w:val="true"/>
              </w:rPr>
              <w:tab/>
            </w:r>
            <w:r>
              <w:rPr>
                <w:rStyle w:val="IndexLink"/>
              </w:rPr>
              <w:t>80</w:t>
            </w:r>
          </w:hyperlink>
        </w:p>
        <w:p>
          <w:pPr>
            <w:pStyle w:val="Contents4"/>
            <w:tabs>
              <w:tab w:val="clear" w:pos="8176"/>
              <w:tab w:val="right" w:pos="9026" w:leader="dot"/>
            </w:tabs>
            <w:rPr/>
          </w:pPr>
          <w:hyperlink w:anchor="__RefHeading___Toc2246394_2314609296">
            <w:r>
              <w:rPr>
                <w:webHidden/>
                <w:rStyle w:val="IndexLink"/>
                <w:rtl w:val="true"/>
              </w:rPr>
              <w:t>القسم السادس</w:t>
            </w:r>
            <w:r>
              <w:rPr>
                <w:rStyle w:val="IndexLink"/>
                <w:rtl w:val="true"/>
              </w:rPr>
              <w:tab/>
            </w:r>
            <w:r>
              <w:rPr>
                <w:rStyle w:val="IndexLink"/>
              </w:rPr>
              <w:t>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817_220523"/>
      <w:bookmarkStart w:id="1" w:name="pg19817_220523"/>
      <w:bookmarkEnd w:id="1"/>
    </w:p>
    <w:p>
      <w:pPr>
        <w:pStyle w:val="Heading2"/>
        <w:numPr>
          <w:ilvl w:val="1"/>
          <w:numId w:val="1"/>
        </w:numPr>
        <w:rPr/>
      </w:pPr>
      <w:bookmarkStart w:id="2" w:name="pg19817_220523"/>
      <w:bookmarkStart w:id="3" w:name="__RefHeading___Toc2246342_2314609296"/>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مشكور حولاوي، مشكوربن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ascii="Amiri" w:hAnsi="Amiri" w:eastAsia="Amiri" w:cs="Amiri"/>
          <w:color w:val="111111"/>
          <w:sz w:val="28"/>
          <w:sz w:val="28"/>
          <w:szCs w:val="28"/>
          <w:lang w:bidi="ar-SA"/>
        </w:rPr>
        <w:t>‌۱۲۷۳</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منجزات المريض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مشكور الحولاوي النجفي؛ تحقيق ام‌علي مشكور</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جماعه المدرسين بقم، موسسه النشر الاسلامي، </w:t>
      </w:r>
      <w:r>
        <w:rPr>
          <w:rFonts w:ascii="Amiri" w:hAnsi="Amiri" w:eastAsia="Amiri" w:cs="Amiri"/>
          <w:color w:val="111111"/>
          <w:sz w:val="28"/>
          <w:sz w:val="28"/>
          <w:szCs w:val="28"/>
          <w:lang w:bidi="ar-SA"/>
        </w:rPr>
        <w:t>۱۴۱۵</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۱۳۱</w:t>
      </w:r>
    </w:p>
    <w:p>
      <w:pPr>
        <w:pStyle w:val="BookText"/>
        <w:rPr/>
      </w:pPr>
      <w:r>
        <w:rPr>
          <w:rFonts w:ascii="Amiri" w:hAnsi="Amiri" w:eastAsia="Amiri" w:cs="Amiri"/>
          <w:color w:val="111111"/>
          <w:sz w:val="28"/>
          <w:sz w:val="28"/>
          <w:szCs w:val="28"/>
          <w:rtl w:val="true"/>
          <w:lang w:bidi="ar-SA"/>
        </w:rPr>
        <w:t>فروست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موسسه النشر الاسلامي التابعه الجماعه المدرسين بقم</w:t>
      </w:r>
      <w:r>
        <w:rPr>
          <w:rFonts w:ascii="Amiri" w:hAnsi="Amiri" w:eastAsia="Amiri" w:cs="Amiri"/>
          <w:color w:val="111111"/>
          <w:sz w:val="28"/>
          <w:sz w:val="28"/>
          <w:szCs w:val="28"/>
          <w:lang w:bidi="ar-SA"/>
        </w:rPr>
        <w:t>‌۷۳۰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۱۳۰۰</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منجزات مريض</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ام‌علي مشكور، مصحح</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جامعه مدرسين حوزه علميه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p>
    <w:p>
      <w:pPr>
        <w:pStyle w:val="BookText"/>
        <w:rPr/>
      </w:pPr>
      <w:r>
        <w:rPr>
          <w:rFonts w:ascii="IRNazanin" w:hAnsi="IRNazanin" w:eastAsia="IRNazanin"/>
          <w:color w:val="111111"/>
          <w:sz w:val="28"/>
          <w:sz w:val="28"/>
          <w:szCs w:val="28"/>
          <w:rtl w:val="true"/>
          <w:lang w:bidi="fa-IR"/>
        </w:rPr>
        <w:t>رده بندي كنگره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۱۹۲</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۱۳۷۳</w:t>
      </w:r>
    </w:p>
    <w:p>
      <w:pPr>
        <w:pStyle w:val="BookText"/>
        <w:rPr/>
      </w:pPr>
      <w:r>
        <w:rPr>
          <w:rFonts w:ascii="Amiri" w:hAnsi="Amiri" w:eastAsia="Amiri" w:cs="Amiri"/>
          <w:color w:val="111111"/>
          <w:sz w:val="28"/>
          <w:sz w:val="28"/>
          <w:szCs w:val="28"/>
          <w:rtl w:val="true"/>
          <w:lang w:bidi="ar-SA"/>
        </w:rPr>
        <w:t>رده بندي ديويي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۳۷۲</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‌۷۴</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۱۳۴۴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46344_2314609296"/>
      <w:bookmarkStart w:id="6" w:name="_Toc2"/>
      <w:bookmarkEnd w:id="5"/>
      <w:r>
        <w:rPr>
          <w:rtl w:val="true"/>
        </w:rPr>
        <w:t>اشارة</w:t>
      </w:r>
      <w:bookmarkStart w:id="7" w:name="pg19817_220527"/>
      <w:bookmarkEnd w:id="6"/>
    </w:p>
    <w:p>
      <w:pPr>
        <w:pStyle w:val="Heading2"/>
        <w:numPr>
          <w:ilvl w:val="1"/>
          <w:numId w:val="1"/>
        </w:numPr>
        <w:rPr/>
      </w:pPr>
      <w:bookmarkStart w:id="8" w:name="__RefHeading___Toc2246346_2314609296"/>
      <w:bookmarkStart w:id="9" w:name="_Toc3"/>
      <w:bookmarkEnd w:id="7"/>
      <w:bookmarkEnd w:id="8"/>
      <w:r>
        <w:rPr>
          <w:rtl w:val="true"/>
        </w:rPr>
        <w:t>مقدمة الناشر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أشرف الأنبياء و المرسلين ابي القاسم محمد المصطفى و على أهل بيته الطيبين الطاهرين و اللعن الدائم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فمن دواعي الفخر و الاعتزاز ان تقوم مؤسّستنا بإحياء ما درس من علوم أهل البيت عليهم السلام و ما كتبه فقهاء الطائفة الإمامية و رجالاتها في شتى فنون العلم و تقديمه للأجيال المعاصرة و الآتية ليطّلعوا على مقدار الجهود و الاتعاب التي بذلها الأوائل من علمائنا و مفكّرينا في سبيل حفظ العلوم و تحقيق المطالب و تنقيح الآراء في مختلف الموضوعات العلمية الأمر الذي يبعث روح النشاط و يزيد الرغبة في نفوس طلبة العلم و بغاة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يحمّلهم في نفس الوقت مسؤولية المحافظة و الرعاية لمشعل العلم و تأديته إلى الأجيال الآتية كما تسلّموه من أسلافهم الصالحين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الماثل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عطاء فاضت به أنامل علم من أعلام الطائفة و مرجع من مراجعها الفقيه الورع آية اللّه الشيخ مشكور الحولاوي النجفي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 مضجعه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فيه البحث حول موضوع منجّزات المريض و هو من الأبحاث الفقهية الهامّة الذي طالما تعرّض له مشايخنا و فقهائنا</w:t>
      </w:r>
    </w:p>
    <w:p>
      <w:pPr>
        <w:pStyle w:val="BookText"/>
        <w:rPr/>
      </w:pPr>
      <w:r>
        <w:rPr>
          <w:rFonts w:ascii="Amiri" w:hAnsi="Amiri" w:eastAsia="Amiri" w:cs="Amiri"/>
          <w:color w:val="111111"/>
          <w:sz w:val="28"/>
          <w:sz w:val="28"/>
          <w:szCs w:val="28"/>
          <w:rtl w:val="true"/>
          <w:lang w:bidi="ar-SA"/>
        </w:rPr>
        <w:t>الأعاظم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و التحقيق و تفاوتت آراؤهم الفقهية فيها، و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هذا أشار بالتفصيل الى جميع الأنظار المطروحة في هذه المسألة مختارا للصحيح منها و مبينا لسقم الضعيف، فجاء بحثا عليما جامعا و مفيدا نفع اللّه به مصنّفه يوم لا ينفع مال و لا 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قامت بتحقيقه و تخريجه و تقويم متونه و نصوصه حفيدة المؤلّف الأخت الفاضلة أم علي مشكور بعد أن قدّمت للكتاب مقدّمة نافعة حول حياة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مشايخه و تلامذته و مؤلّفاته جزاها اللّه عن جدّها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وفّقنا اللّه و جميع العاملين في سبيل إحياء تراث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الخالد للمزيد في خدمة العلم و أهله انه خير موفق و معين</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مؤسّسة النشر الإسلامي التابعة لجماعة المدرّسين بقم المشرّفة</w:t>
      </w:r>
      <w:bookmarkStart w:id="10" w:name="pg19817_220529"/>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2246348_2314609296"/>
      <w:bookmarkStart w:id="12" w:name="_Toc4"/>
      <w:bookmarkEnd w:id="11"/>
      <w:r>
        <w:rPr>
          <w:rtl w:val="true"/>
        </w:rPr>
        <w:t>مقدّمة التحقيق</w:t>
      </w:r>
      <w:bookmarkEnd w:id="12"/>
    </w:p>
    <w:p>
      <w:pPr>
        <w:pStyle w:val="Heading3"/>
        <w:numPr>
          <w:ilvl w:val="2"/>
          <w:numId w:val="1"/>
        </w:numPr>
        <w:rPr/>
      </w:pPr>
      <w:bookmarkStart w:id="13" w:name="__RefHeading___Toc2246350_231460929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الحمد للّه ذي النعم السابغة، و الآلاء الوازعة، و الفضائل الجسيمة، و المنن العظيمة، و الصلاة و السلام على علم الهدى، و العروة الوثقى، سراج الدجى، و من داست أقدامه بساط العلى، أحمد الخضراء، و محمّد الغبراء، صلوات اللّه و سلامه عليه و آله، غادية رائحة، لا معدودة و لا ممنوعة، دائمة غير مقطوعة، و على صحبه محيي الشريعة، الحافظين للوديعة، و من شايعه و تابعة و اقتفى أثره و أئتمّ بعترته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اللعنة الدائمة المتواصلة المترادفة على أعدائهم و مخالفيهم و غاصبي حقوقهم، و الناصبين لهم الحرب، حتى قيام القيامة، و ملامة النفس اللوّامة حيث لٰا يَنْفَعُ نَفْساً إِيمٰانُهٰا لَمْ تَكُنْ آمَنَتْ مِنْ قَبْلُ أَوْ كَسَبَتْ فِي إِيمٰانِهٰا خَيْراً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بعد، لا يخفى عليك أيها المؤمن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الناس أنفع الناس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باقون ما بقي الدهر، أعيانهم مفقودة، و أمثالهم في القلوب موجودة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مداد العلماء خير من دماء الشهداء</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فخير تركة خلّفها لنا العلماء الأعلام آثارهم العظيمة، و كتبهم القيّمة، التي</w:t>
      </w:r>
    </w:p>
    <w:p>
      <w:pPr>
        <w:pStyle w:val="BookText"/>
        <w:rPr/>
      </w:pPr>
      <w:r>
        <w:rPr>
          <w:rFonts w:ascii="Amiri" w:hAnsi="Amiri" w:eastAsia="Amiri" w:cs="Amiri"/>
          <w:color w:val="111111"/>
          <w:sz w:val="28"/>
          <w:sz w:val="28"/>
          <w:szCs w:val="28"/>
          <w:rtl w:val="true"/>
          <w:lang w:bidi="ar-SA"/>
        </w:rPr>
        <w:t>هدت الضالّين إلى الطريق المستقيم، و عبّدت ما كان صعب المسلك، و ذلك بجدّ الأنفس و اجتهادها في سبيل العلم المنير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فأحيوا ما اخفي من سيرة أهل البيت عليهم السّلام، و فقههم، و نثروا دررهم على أجيال فصلت بينها و بينهم القرون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لنا كلامهم عليهم السّلام، و شرحوا ما استصعب، و أوضحوا ما خفي بالتأليف و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فولدت المآثر و الأحاديث و السير من جديد بعد أن قضت عمرا مديدا في ظلمات المكتبات، و صار بعضها مأكلا لصغائر المخلوقات، فجزاهم اللّه عن الإسلام و نبيّه و آله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ألقيت مسؤولية كبرى على عاتق كل مؤمن و مؤمنة، ألا و هي أحياء أمر أهل بيت العصمة عليهم الصلاة و السّلام، فقد كشف لنا النقاب عن هذه الحقيقة قول الإمام الصادق عليه السّلام لخيثمة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عبدا أحيى أمرنا</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فكفى فخرا لمن أحيى أمرهم عليهم السّلام أن يدعو له الإمام الصادق عليه السّلام بالرحمة من الرؤوف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فتأدية لهذه المهمّة المقدّسة، و احياء لآثار أهل البيت عليهم السّلام، و العلماء الذين ساروا على نهجهم النيّر، بذل المحققون قصارى جهودهم في هذا الطريق المملوء بالأشواك، و جازوه بتوكّلهم على الحيّ القيّوم، و بذلهم الطاقات، و اللّه حسب لمن توكّل عليه</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 ما نظرت بصيرتي إلى آثار أجدادي رحمهم اللّه تعالى تقرح شكواها القلوب، فبعضها مفقود، و البعض الآخر لا زال مخطوطا لم ير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اهتمام حفدتهم بهذا الشأن العظيم، و بعدهم عن هذا الطريق المضي‌ء،</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اهتمامهم بشؤون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توكّلت على الكافي القدير، و شرعت في تحقيق هذه الرسالة القيّمة المعنوية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منجّزات المريض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هي شرح لإحدى عبارات شرائع الإسلام، و هي أثر من آثار جدّي فقيه أهل البيت عليهم السّلام، العالم الجليل، و العامل النبيل، التقيّ الورع الشيخ مشكور الحولاوي النجفي، طيّب اللّه ثراه، و جعل روضة الفردوس مثواه، راجية الانتباه من هذه الغفلة لكل من غفل عن هذا الطريق، و خصوصا حفدة المصنّف حفظهم اللّه تعالى و رعاهم، و ما توفيقي إلّا باللّه العلي العظيم</w:t>
      </w:r>
      <w:r>
        <w:rPr>
          <w:rFonts w:eastAsia="Amiri" w:cs="Amiri" w:ascii="Amiri" w:hAnsi="Amiri"/>
          <w:color w:val="111111"/>
          <w:sz w:val="28"/>
          <w:szCs w:val="28"/>
          <w:rtl w:val="true"/>
          <w:lang w:bidi="ar-SA"/>
        </w:rPr>
        <w:t>.</w:t>
      </w:r>
      <w:bookmarkStart w:id="15" w:name="pg19817_220532"/>
    </w:p>
    <w:p>
      <w:pPr>
        <w:pStyle w:val="Heading3"/>
        <w:numPr>
          <w:ilvl w:val="2"/>
          <w:numId w:val="1"/>
        </w:numPr>
        <w:rPr/>
      </w:pPr>
      <w:bookmarkStart w:id="16" w:name="__RefHeading___Toc2246352_2314609296"/>
      <w:bookmarkStart w:id="17" w:name="_Toc6"/>
      <w:bookmarkEnd w:id="15"/>
      <w:bookmarkEnd w:id="16"/>
      <w:r>
        <w:rPr>
          <w:rtl w:val="true"/>
        </w:rPr>
        <w:t>ماهيّة الرسالة</w:t>
      </w:r>
      <w:bookmarkEnd w:id="17"/>
    </w:p>
    <w:p>
      <w:pPr>
        <w:pStyle w:val="BookText"/>
        <w:rPr/>
      </w:pPr>
      <w:r>
        <w:rPr>
          <w:rFonts w:ascii="Amiri" w:hAnsi="Amiri" w:eastAsia="Amiri" w:cs="Amiri"/>
          <w:color w:val="111111"/>
          <w:sz w:val="28"/>
          <w:sz w:val="28"/>
          <w:szCs w:val="28"/>
          <w:rtl w:val="true"/>
          <w:lang w:bidi="ar-SA"/>
        </w:rPr>
        <w:t>لا يخفى على العاقل اللبيب أنّ الشريعة الإسلامية السمحاء باعتبارها نظاما كاملا للحياة تعرّضت لكل الجوانب، و وضعت حلولا لكل المشاكل التي تواجه الفرد و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يخطئ من يعتقد بأنّ الإسلام لم يعط أي أهمية للشؤون المادية، و لم يعالج مشاكل المجتمع بشكل دقيق و 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المراجعة السريعة لمصدري التشريع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جليّا زيف هذا الاعتقاد، و يتبيّن لنا مدى اهتمام الشريعة الإسلامية بحقوق الفرد بشكل خاص، و المجتمع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الأمور التي عالجها التشريع الإسلامي المقدّس هي مسألة منجّزات المريض بقسميها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التبرعيّة، و غير التبرعيّة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فتصرّفات المريض غير التبرعيّة الواقعة في مرض موته تحسب من أصل المال لا الثلث، و ليس للورثة أي دخل فيها، و هذا ما اتفق عليه علماؤنا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تصرفاته التبرعيّة الواقعة في مرض موته، فقد اختلف علماؤنا فيها على رأيين</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احتسابها من أصل المال كالمنجّزات غير التبرعيّة، و ذهب إليه جمع من علمائنا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الكليني، و الشيخ الصدوق، و الشيخ المفيد، و الشيخ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إلى احتسابها من الثلث، إلّا مع رضي الورثة فتحسب من أصل المال، و ذهب إليه جمع من علمائنا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الجنيد، و المحقق الحلّي، و الشهيد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المصنّف رحمه اللّه يتعرّض لهذه المسألة بشكل مفصّل، حيث يبيّن أدلة القولين و يختار القول الأول و يقيم عليه الأدلة و البراهين، و يرد أدلة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فيبدأ رحمه اللّه تعالى باستعراض الأدلة التي تؤيّد رأيه بشكل موجز من الكتاب و السنة و الأصول العملية و القواعد الفقهيّة، ثم يشرع بتفصيل هذه الأدلة بشكل واسع خصوصا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العمدة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يذكر كل رواية بشكل مستقل مبيّنا كيفية الاستدلال بمتنها، مع مناقشة سندها و ردّ ضعف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ذلك في ثلاثة 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سند الروايات بشكل مجمل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الأخبار المزبورة من قسم الصحيح أو الحسن أو الموثّق، التي لا ينبغي الريب في حجية كل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المتن من الروايات بشكل مفصّل حيث بيّن كيفية دلالتها على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ببيان أدلة القائلين بالقول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عمدتها الأخبار المروية عن الأئمة عليهم السّلام، و قسم هذه الأخبار إلى ستة أقسام، و بدأ بذكر كل قسم بشكل مستقل، و الردّ عليها سندا و متنا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لأهميّة هذا الموضوع فقد ألّف عدد كبير من علمائنا رسائل مستقلّة منهم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 نجفي الأصفهاني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أبو القاسم ابن الميرزا زين العابدين الحسيني الخاتون‌آبادي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أحمد ابن السيد محمّد باقر الموسوي البهبهاني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جعفر ابن الميرزا علي نقي الطباطبائي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البلاغي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حسن كبّة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حسين الخاتون‌آبادي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الكوازي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صالح المازندراني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الحسين شرف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اللّه بن إسحاق الرضوي 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كاظم اليزدي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بن عبد علي آل عبد الجبّار القطيفي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بحر العلوم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ابن الميرزا حسين الخليلي الطهراني النجفي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الدرازي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محمّد الكرمنشاهي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مرتضى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مصطفى الكاشاني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القميّ</w:t>
      </w:r>
      <w:r>
        <w:rPr>
          <w:rFonts w:eastAsia="Amiri" w:cs="Amiri" w:ascii="Amiri" w:hAnsi="Amiri"/>
          <w:color w:val="111111"/>
          <w:sz w:val="28"/>
          <w:szCs w:val="28"/>
          <w:rtl w:val="true"/>
          <w:lang w:bidi="ar-SA"/>
        </w:rPr>
        <w:t>.</w:t>
      </w:r>
      <w:bookmarkStart w:id="18" w:name="pg19817_220535"/>
    </w:p>
    <w:p>
      <w:pPr>
        <w:pStyle w:val="Heading3"/>
        <w:numPr>
          <w:ilvl w:val="2"/>
          <w:numId w:val="1"/>
        </w:numPr>
        <w:rPr/>
      </w:pPr>
      <w:bookmarkStart w:id="19" w:name="__RefHeading___Toc2246354_2314609296"/>
      <w:bookmarkStart w:id="20" w:name="_Toc7"/>
      <w:bookmarkEnd w:id="18"/>
      <w:bookmarkEnd w:id="19"/>
      <w:r>
        <w:rPr>
          <w:rtl w:val="true"/>
        </w:rPr>
        <w:t>نبذة من حياة المؤلّف</w:t>
      </w:r>
      <w:bookmarkEnd w:id="20"/>
    </w:p>
    <w:p>
      <w:pPr>
        <w:pStyle w:val="Heading4"/>
        <w:numPr>
          <w:ilvl w:val="3"/>
          <w:numId w:val="1"/>
        </w:numPr>
        <w:rPr/>
      </w:pPr>
      <w:bookmarkStart w:id="21" w:name="__RefHeading___Toc2246356_2314609296"/>
      <w:bookmarkStart w:id="22" w:name="_Toc8"/>
      <w:bookmarkEnd w:id="21"/>
      <w:r>
        <w:rPr>
          <w:rtl w:val="true"/>
        </w:rPr>
        <w:t>اسمه و نسبه و نشأته</w:t>
      </w:r>
      <w:r>
        <w:rPr>
          <w:rtl w:val="true"/>
        </w:rPr>
        <w:t>:</w:t>
      </w:r>
      <w:bookmarkEnd w:id="22"/>
    </w:p>
    <w:p>
      <w:pPr>
        <w:pStyle w:val="BookText"/>
        <w:rPr/>
      </w:pPr>
      <w:r>
        <w:rPr>
          <w:rFonts w:ascii="Amiri" w:hAnsi="Amiri" w:eastAsia="Amiri" w:cs="Amiri"/>
          <w:color w:val="111111"/>
          <w:sz w:val="28"/>
          <w:sz w:val="28"/>
          <w:szCs w:val="28"/>
          <w:rtl w:val="true"/>
          <w:lang w:bidi="ar-SA"/>
        </w:rPr>
        <w:t>هو الشيخ مشكور بن محمّد بن صقر الحولاوي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آل 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الحاء المهملة </w:t>
      </w:r>
      <w:r>
        <w:rPr>
          <w:rStyle w:val="FootnoteAnchor"/>
          <w:rtl w:val="true"/>
        </w:rPr>
        <w:footnoteReference w:id="5"/>
      </w:r>
      <w:r>
        <w:rPr>
          <w:rFonts w:ascii="Amiri" w:hAnsi="Amiri" w:eastAsia="Amiri" w:cs="Amiri"/>
          <w:color w:val="111111"/>
          <w:sz w:val="28"/>
          <w:sz w:val="28"/>
          <w:szCs w:val="28"/>
          <w:rtl w:val="true"/>
          <w:lang w:bidi="ar-SA"/>
        </w:rPr>
        <w:t xml:space="preserve">، و قيل بكسرها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قبيلة من العرب في العراق تسكن الحمّار بين سوق الشيوخ و القرنة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بداية القرن الثالث عشر، و هاجر إلى مدينة النجف الأشرف صغيرا، و أدرك حصار الوهابين لها سنة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 تحت رعاية و عناية الشيخ جعفر صاحب كشف الغطاء، و صار بعده من العلماء الأعلام و الفقهاء المنظورين في النجف الأشرف، و رجع إليه في التقليد جماعة من أهل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رحمه اللّه يعدّ من طبقة الشيخ محسن خنفر، و الشيخ محمّد حسن صاحب الجواهر، و الشيخ مرتضى الأنصاري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في عهد السلطان ناصر الدين شاه سافر إلى مدينة مشهد المقدّسة لزيارة الإمام الرضا عليه السّلام، فأكرم</w:t>
      </w:r>
    </w:p>
    <w:p>
      <w:pPr>
        <w:pStyle w:val="BookText"/>
        <w:rPr/>
      </w:pPr>
      <w:r>
        <w:rPr>
          <w:rFonts w:ascii="Amiri" w:hAnsi="Amiri" w:eastAsia="Amiri" w:cs="Amiri"/>
          <w:color w:val="111111"/>
          <w:sz w:val="28"/>
          <w:sz w:val="28"/>
          <w:szCs w:val="28"/>
          <w:rtl w:val="true"/>
          <w:lang w:bidi="ar-SA"/>
        </w:rPr>
        <w:t>الايرانيون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ناصر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وفادته و بجّل أكمل تبجيل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ينقل السيد محسن الأمين عن ولد المصنف الشيخ محمّد جواد هذا السفر و ما جرى فيه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ولده الشيخ محمّد جواد ابن الشيخ مشكور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بصحبته لمّا زار المشهد المقدّس الرضوي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ورد طهران زاره السفير العثماني فيها، فلم يردّ الزيارة للسفير، فاستاء السفير من ذلك، و كتب إلى وزارة الخارجية في الأستانة بذلك، فجاء الأمر إلى والي بغداد بأخذه إلى بغداد إذا وصل الحدود، فأرسلت الحكومة إلى الحدود من أحضره إلى بغداد محفوظا، و عاتبه الوالي على ما جرى في حق السفير، و أراد إبقاءه في بغداد تحت النظارة، فتوسط وجوه بغداد من الشيعة عند الوالي فخلّى سبيله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المترجم له رحمه اللّه يتصف بالأخلاق العالية، و الورع و التقوى، و حسن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محمّد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الناس في النجف تقتدي بزهده و ورعه و تقواه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الميرزا محمّد مهدي اللكهنوي الكشميري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التقدّس و التقوى من المشاهير الفائقين في عصره، و في أوائل الدولة أتى إلى طهران و ذهبت لزيارته، و قد شرع ببيان المواعظ و الدقائق اللطيفة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سفره إلى إيران اجتمع بالسلطان ناصر الدين، و أخذ في وعظه حتى بكى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23" w:name="pg19817_220537"/>
    </w:p>
    <w:p>
      <w:pPr>
        <w:pStyle w:val="Heading4"/>
        <w:numPr>
          <w:ilvl w:val="3"/>
          <w:numId w:val="1"/>
        </w:numPr>
        <w:rPr/>
      </w:pPr>
      <w:bookmarkStart w:id="24" w:name="__RefHeading___Toc2246358_2314609296"/>
      <w:bookmarkStart w:id="25" w:name="_Toc9"/>
      <w:bookmarkEnd w:id="23"/>
      <w:bookmarkEnd w:id="24"/>
      <w:r>
        <w:rPr>
          <w:rtl w:val="true"/>
        </w:rPr>
        <w:t>أساتذته و شيوخه</w:t>
      </w:r>
      <w:r>
        <w:rPr>
          <w:rtl w:val="true"/>
        </w:rPr>
        <w:t>:</w:t>
      </w:r>
      <w:bookmarkEnd w:id="25"/>
    </w:p>
    <w:p>
      <w:pPr>
        <w:pStyle w:val="BookText"/>
        <w:rPr/>
      </w:pPr>
      <w:r>
        <w:rPr>
          <w:rFonts w:ascii="Amiri" w:hAnsi="Amiri" w:eastAsia="Amiri" w:cs="Amiri"/>
          <w:color w:val="111111"/>
          <w:sz w:val="28"/>
          <w:sz w:val="28"/>
          <w:szCs w:val="28"/>
          <w:rtl w:val="true"/>
          <w:lang w:bidi="ar-SA"/>
        </w:rPr>
        <w:t>تتلمذ المصنّف رحمه اللّه تعالى على كبار علماء عصره،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الأعسم، صاحب كشف الظلام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ابن الشيخ جعفر كاشف الغطاء، صاحب الخيارات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ابن الشيخ جعفر كاشف الغطاء، صاحب أنوار الفقاهة، و له إجازة رواية منه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2246360_2314609296"/>
      <w:bookmarkStart w:id="27" w:name="_Toc10"/>
      <w:bookmarkEnd w:id="26"/>
      <w:r>
        <w:rPr>
          <w:rtl w:val="true"/>
        </w:rPr>
        <w:t>تلامذته و الراوون عنه</w:t>
      </w:r>
      <w:r>
        <w:rPr>
          <w:rtl w:val="true"/>
        </w:rPr>
        <w:t>:</w:t>
      </w:r>
      <w:bookmarkEnd w:id="27"/>
    </w:p>
    <w:p>
      <w:pPr>
        <w:pStyle w:val="BookText"/>
        <w:rPr/>
      </w:pPr>
      <w:r>
        <w:rPr>
          <w:rFonts w:ascii="Amiri" w:hAnsi="Amiri" w:eastAsia="Amiri" w:cs="Amiri"/>
          <w:color w:val="111111"/>
          <w:sz w:val="28"/>
          <w:sz w:val="28"/>
          <w:szCs w:val="28"/>
          <w:rtl w:val="true"/>
          <w:lang w:bidi="ar-SA"/>
        </w:rPr>
        <w:t>حضر على المصنف رحمه اللّه تعالى جماعة من أهل الفضل و التحقيق، و صار بعضهم من مراجع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تتضح المكانة العلمية المرموقة له، حيث كان يعدّ من طبقة المدرس الأكبر الشيخ محسن خنفر، و الشيخ محمّد حسن صاحب الجواهر، و الشيخ مرتضى الأنصاري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تلامذته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حسين الشيرازي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ملا علي الكني الطهراني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إبراهيم السبزواري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حسين ابن الميرزا خليل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الهندي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الحسين بن علي الطهراني، و له منه إجازة في الرواية أيضا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حسن شريعتمدار الأسترآبادي الطهراني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bookmarkStart w:id="28" w:name="pg19817_220539"/>
    </w:p>
    <w:p>
      <w:pPr>
        <w:pStyle w:val="Heading4"/>
        <w:numPr>
          <w:ilvl w:val="3"/>
          <w:numId w:val="1"/>
        </w:numPr>
        <w:rPr/>
      </w:pPr>
      <w:bookmarkStart w:id="29" w:name="__RefHeading___Toc2246362_2314609296"/>
      <w:bookmarkStart w:id="30" w:name="_Toc11"/>
      <w:bookmarkEnd w:id="28"/>
      <w:bookmarkEnd w:id="29"/>
      <w:r>
        <w:rPr>
          <w:rtl w:val="true"/>
        </w:rPr>
        <w:t>مؤلّفاته</w:t>
      </w:r>
      <w:r>
        <w:rPr>
          <w:rtl w:val="true"/>
        </w:rPr>
        <w:t>:</w:t>
      </w:r>
      <w:bookmarkEnd w:id="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منجّزات المريض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هي الرسالة التي بين يديك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الطالبين لأحكام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رسالة عملية كتبها لمقلّديه، مرتبة على ثلاثة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الطهارة، و الصلاة، و الصوم، و خاتمة في الاعتكاف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كرّم امة محمّد بالإسلام و أرشدهم إلى مناهج الحق و شرائع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نسخة منها في خزانة الشيخ محمّد حسن كبة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هداية السالكين من الأنام إلى حج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في مناسك الحج،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ما طاف طائف بالمسجد الحرام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توجد نسخة خطبة اخرى عليها خط المؤلّف و خاتمة و شهادة مقابلتها مع الأصل و تأريخ الفراغ منها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مكتبة سبط المؤلف الشيخ علي بن إبراهيم القمي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31" w:name="pg19817_220540"/>
    </w:p>
    <w:p>
      <w:pPr>
        <w:pStyle w:val="Heading4"/>
        <w:numPr>
          <w:ilvl w:val="3"/>
          <w:numId w:val="1"/>
        </w:numPr>
        <w:rPr/>
      </w:pPr>
      <w:bookmarkStart w:id="32" w:name="__RefHeading___Toc2246364_2314609296"/>
      <w:bookmarkStart w:id="33" w:name="_Toc12"/>
      <w:bookmarkEnd w:id="31"/>
      <w:bookmarkEnd w:id="32"/>
      <w:r>
        <w:rPr>
          <w:rtl w:val="true"/>
        </w:rPr>
        <w:t>إطراء العلماء له</w:t>
      </w:r>
      <w:r>
        <w:rPr>
          <w:rtl w:val="true"/>
        </w:rPr>
        <w:t>:</w:t>
      </w:r>
      <w:bookmarkEnd w:id="33"/>
    </w:p>
    <w:p>
      <w:pPr>
        <w:pStyle w:val="BookText"/>
        <w:rPr/>
      </w:pPr>
      <w:r>
        <w:rPr>
          <w:rFonts w:ascii="Amiri" w:hAnsi="Amiri" w:eastAsia="Amiri" w:cs="Amiri"/>
          <w:color w:val="111111"/>
          <w:sz w:val="28"/>
          <w:sz w:val="28"/>
          <w:szCs w:val="28"/>
          <w:rtl w:val="true"/>
          <w:lang w:bidi="ar-SA"/>
        </w:rPr>
        <w:t>مدحه و أطراه كل من ذكره من أصحاب السير و التراجم،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أجلّاء فقهاء عصره، فقيها استاذا أخذ عنه جماعة من الفحول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مهدي اللكهنوي الكشميري،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الشيخ مشكور من العلماء العظام و الفقهاء الفخام، و في التقديس و التقوى من المشاهير الفائقين في عصره، و هو مجتهد العرب، و من أجلّة فقهاء أهل البيت عليهم السّلام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الأعلام و الفقهاء المنظورين في النجف الأشرف، رجع إليه في التقليد بعض أهل العراق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أعاظم العلماء و مراجع التقليد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bookmarkStart w:id="34" w:name="pg19817_220541"/>
    </w:p>
    <w:p>
      <w:pPr>
        <w:pStyle w:val="Heading4"/>
        <w:numPr>
          <w:ilvl w:val="3"/>
          <w:numId w:val="1"/>
        </w:numPr>
        <w:rPr/>
      </w:pPr>
      <w:bookmarkStart w:id="35" w:name="__RefHeading___Toc2246366_2314609296"/>
      <w:bookmarkStart w:id="36" w:name="_Toc13"/>
      <w:bookmarkEnd w:id="34"/>
      <w:bookmarkEnd w:id="35"/>
      <w:r>
        <w:rPr>
          <w:rtl w:val="true"/>
        </w:rPr>
        <w:t>وفاته و مدفنه</w:t>
      </w:r>
      <w:r>
        <w:rPr>
          <w:rtl w:val="true"/>
        </w:rPr>
        <w:t>:</w:t>
      </w:r>
      <w:bookmarkEnd w:id="36"/>
    </w:p>
    <w:p>
      <w:pPr>
        <w:pStyle w:val="BookText"/>
        <w:rPr/>
      </w:pPr>
      <w:r>
        <w:rPr>
          <w:rFonts w:ascii="Amiri" w:hAnsi="Amiri" w:eastAsia="Amiri" w:cs="Amiri"/>
          <w:color w:val="111111"/>
          <w:sz w:val="28"/>
          <w:sz w:val="28"/>
          <w:szCs w:val="28"/>
          <w:rtl w:val="true"/>
          <w:lang w:bidi="ar-SA"/>
        </w:rPr>
        <w:t>قال السيد محسن الأمين في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عام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الشيخ آقا بزرگ الطهراني في موضعين من الذريعة و في طبقات أعلام الشيعة، و الميرزا محمّد مهدي اللكهنوي الكشميري في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في عام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الصحيح أنه توفي في عام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عمر جاوز السبعين بقليل، و دفن في مدينة النجف الأشرف في الحجرة الثانية من جهة الشرق من الحجرات القبلية من الصحن، كما أخبرنا بذلك عمّنا سماحة الشيخ نور الدين مشكور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محمّد حرز الدين في 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سنة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السنة الثانية لسفره إلى إيران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أنّ السنة الثانية لسفره هي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لا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لأنه سافر إلى إيران سنة </w:t>
      </w:r>
      <w:r>
        <w:rPr>
          <w:rFonts w:eastAsia="Amiri" w:cs="Amiri" w:ascii="Amiri" w:hAnsi="Amiri"/>
          <w:color w:val="111111"/>
          <w:sz w:val="28"/>
          <w:szCs w:val="28"/>
          <w:lang w:bidi="ar-SA"/>
        </w:rPr>
        <w:t>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37" w:name="pg19817_220542"/>
    </w:p>
    <w:p>
      <w:pPr>
        <w:pStyle w:val="Heading4"/>
        <w:numPr>
          <w:ilvl w:val="3"/>
          <w:numId w:val="1"/>
        </w:numPr>
        <w:rPr/>
      </w:pPr>
      <w:bookmarkStart w:id="38" w:name="__RefHeading___Toc2246368_2314609296"/>
      <w:bookmarkStart w:id="39" w:name="_Toc14"/>
      <w:bookmarkEnd w:id="37"/>
      <w:bookmarkEnd w:id="38"/>
      <w:r>
        <w:rPr>
          <w:rtl w:val="true"/>
        </w:rPr>
        <w:t>أولاده و أحفاده</w:t>
      </w:r>
      <w:r>
        <w:rPr>
          <w:rtl w:val="true"/>
        </w:rPr>
        <w:t>:</w:t>
      </w:r>
      <w:bookmarkEnd w:id="39"/>
    </w:p>
    <w:p>
      <w:pPr>
        <w:pStyle w:val="BookText"/>
        <w:rPr/>
      </w:pPr>
      <w:r>
        <w:rPr>
          <w:rFonts w:ascii="Amiri" w:hAnsi="Amiri" w:eastAsia="Amiri" w:cs="Amiri"/>
          <w:color w:val="111111"/>
          <w:sz w:val="28"/>
          <w:sz w:val="28"/>
          <w:szCs w:val="28"/>
          <w:rtl w:val="true"/>
          <w:lang w:bidi="ar-SA"/>
        </w:rPr>
        <w:t>للمصنّف رحمه اللّه تعالى أربعة أولاد،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و هو ابنه الأكبر الذي توفي في حياة والده، و خلّف ولده الفاضل العالم الفقيه الشيخ محمّد 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الحسين، الذي توفي في حياة والده مسموعا على يد بعض تلامذة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و هو أجلهم علما و ورعا و 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لذريّة الشيخ مشكور الحولاوي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بارزا في الحوزة العلمية، حيث أنجب رحمه اللّه تعالى أولادا و أحفادا علماء و فضلاء و أساتذة بارزين</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نذكر هنا ترجمة مختصرة لأهم و أبرز أفراد هذه الأسرة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جواد مشكور الحولاوي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الشيخ محمّد جواد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ابن الشيخ مشكور بن محمّد بن صقر الحولاوي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النجف الأشرف في سنة </w:t>
      </w: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نشأ و تعلّم فيها حتّى صار عالما فقيها أصوليا، له نوادر علميّة و أدبيّة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وفاة والده قام مقامه في أداء الواجبات الشرعية و إقامة الصلاة جماعة في الصحن العلوي الشريف، و قد نال رتبة الاجتهاد، و رجع إليه في التقليد جماعة من أهل العراق خصوصا العشائر الشرقيّة في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عنه معاصره الشيخ محمّد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به في النجف الأشرف كثيرا، و استفدنا منه بعض آداب المجرّبين، و أجازنا أن نروي عنه، و كانت رئاسته دائرة 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النجف الأشرف فطاحل العلماء و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ممانعة بعض المعاصرين لرئاسته، لأسباب لا ينبغي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الذي وقع بينه و بين أفقه معاصريه الشيخ محمّد حسين الكاظمي في مسألة إرث بينه و بين أخته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من معارف الرجال قال الشيخ محمّد حرز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سئلت عنه، فشهدت باجتهاده و قوّة علمه و تقاة و صلاحه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عنه معاصره الآخر السيد محسن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في النجف،</w:t>
      </w:r>
    </w:p>
    <w:p>
      <w:pPr>
        <w:pStyle w:val="BookText"/>
        <w:rPr/>
      </w:pPr>
      <w:r>
        <w:rPr>
          <w:rFonts w:ascii="Amiri" w:hAnsi="Amiri" w:eastAsia="Amiri" w:cs="Amiri"/>
          <w:color w:val="111111"/>
          <w:sz w:val="28"/>
          <w:sz w:val="28"/>
          <w:szCs w:val="28"/>
          <w:rtl w:val="true"/>
          <w:lang w:bidi="ar-SA"/>
        </w:rPr>
        <w:t>و عاشرناه، و كان سافر مع والده إلى بلاد إيران لزيارة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ظريف ما يحكى عنه أنه كان مسافرا مع بعض أولاد العلماء الذي لا يصل في العلم إلى درجة المترجم له، و هو الشيخ محمّد جواد ابن الشيخ محمّد حسين الكاظمي، فكان المترجم له يقوم إلى نافلة الليل و رفيقه نائم، فإذا فرغ من النافلة رفع رفيقه رأسه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العالم خير من عبادة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تظرفا و تلطفا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تتلمذ الشيخ محمّد جواد مشكور على فقهاء عصره، و حصل على إجازات في الرواية من بعضهم،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 الشيخ مشكور الحولاوي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مرتضى الأنصاري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المجدد الشيرازي، تتلمذ عليه قبل سفره إلى سامراء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حبيب اللّه الرشتي، حيث لازم بحثه كثيرا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علي الخليلي، و له منه إجازة في الرواية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تتلمذ عليه جمع من الفقهاء و الفضلاء، و خصوصا العرب، و أجاز البعض منهم في الرواية عنه، منهم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حرز الدين، و له منه إجازة في الرواية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علي ابن الشيخ حسين آل عبد الرسول العبسي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رضا الغراوي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موسى آل عبد الرسول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مؤلفاته، فالذي عرفناه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عمليّة فتوائيّة لمقلّديه، طبعت في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طبعت مع الأصل في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أطراه و مدحه كل من ذكره من أصحاب السير و التراجم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جليل، و فقيه فاضل، من أجلّاء العلماء القائمين بالوظائف الشرعية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الأمين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فقهاء النجف و أئمة الجماعة فيها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حرز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فقيها أصوليا، و قد سئلت عنه فشهدت باجتهاده و قوة علمه و تقواه و صلاحه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توفي الشيخ محمّد جواد مشكور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مدينة النجف الأشرف عن عمر ناهز التسعين، و شيّع بأحسن تشييع و تبجيل، و أقيمت له الفاتحة، حضرها العلماء و الوجوه، و دفن في الحجرة التي دفن فيها والده، في الصحن العلوي الشريف، و خلّف ثلاثة 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مشكور الحولاوي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الحولاوي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حسن الحولاوي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رضا مشكور الحولاوي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الشيخ محمّد رضا ابن الشيخ محمّد ابن الشيخ مشكور بن محمّد بن صقر الحولاوي النجفي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آقا بزرگ الطهراني في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فقيه، كان من أجلّاء هذا البيت و أفاضل رجاله المبرزين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تشرّف إلى زيارة الإمام الرضا عليه السّلام بخراسان، و بعد عودته مكث في طهران عدة سنين، فزرته هناك و أنا شاب، فرأيت آثار العلم و التقى ساطعة في جبينه بيّنة عليه، و كان بهيّ الطلعة، حسن الخلقة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 إلى العراق فتوفي في الطريق في سلطان‌آباد، و كان ذلك في ربيع الثاني ليلة الجمعة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نقل جثمانه إلى النجف الأشرف، و دفن في الحجرة القبليّة الثانية من جهة الشرق، و دفن بها بعده الأعلام من أسرته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ولدان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تقي مشكور الحولاوي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ابنه الأرشد، و كان عالما فاضلا، درس في النجف الأشرف و كان من تلاميذ خاله العلّامة التقي الشيخ علي بن إبراهيم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إيران فصار إمام الجماعة في مدرسة المعيّر بطهران مدة، ثم سكن قم مدة أيضا، ثم سافر إلى مشهد الإمام الرضا عليه السّلام، فجاوره إلى أن توفي في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علي نقي مشكور الحولاوي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توفي غريقا في شريعة الكوفة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مشكور الحولاوي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الشيخ مشكور ابن الشيخ محمّد جواد ابن الشيخ مشكور بن محمّد بن صقر الحولاوي النجفي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مدينة النجف الأشرف، و نشأ و تعلّم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عالما فاضلا، اشتهر بالتقوى و الصلاح و الورع و القداسة و الأخلاق الفاضلة، و صار إمام جماعة في الصحن الغروي الأقدس، يأتمّ به جماعة من سكان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تتلمذ على بعض علماء عصره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الشيخ محمّد جواد مشكور الحولاوي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ميرزا حسين الخليلي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آقا رضا الهمداني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تتلمذ عليه عدد من طلاب مدينة النجف الأشرف،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الشيخ حسين، و السيد محمّد آقا نجفي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تعرّفنا عليه من مؤلّفاته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في صلاة المسافر، طبعت في صيدا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نحمدك اللهم يا ذا الرحمة دلّ على وجوب شكر النعمة</w:t>
      </w:r>
    </w:p>
    <w:p>
      <w:pPr>
        <w:pStyle w:val="BookText"/>
        <w:rPr/>
      </w:pPr>
      <w:r>
        <w:rPr>
          <w:rStyle w:val="FootnoteAnchor"/>
        </w:rPr>
        <w:footnoteReference w:id="5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ارجوزة في الصيد و الذباحة، فرغ من نظمها سنة </w:t>
      </w:r>
      <w:r>
        <w:rPr>
          <w:rFonts w:eastAsia="Amiri" w:cs="Amiri" w:ascii="Amiri" w:hAnsi="Amiri"/>
          <w:color w:val="111111"/>
          <w:sz w:val="28"/>
          <w:szCs w:val="28"/>
          <w:lang w:bidi="ar-SA"/>
        </w:rPr>
        <w:t>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طبعت مع سابقتها في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سمي جده المشكور نجل الجواد العليم النحرير</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الشرائع، رأي الشيخ آقا بزرگ الطهراني منه مبحث صلاتي الآيات و المسافر و مقدارا من الزكاة، فرغ منه سنة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توفي الشيخ مشكور في مدينة النجف الأشرف في ليلة الجمعة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في مقبرة الأسرة مع والده و جده في حجرة من حجر الصحن الغروي الشريف، و خلّف ولدين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مشكور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مشكور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حسين مشكور الحولاوي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جدّي الشيخ حسين ابن الشيخ مشكور ابن الشيخ محمّد جواد ابن الشيخ مشكور بن محمّد بن صقر الحولاوي النجفي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عنه معاصره الشيخ آقا بزرگ الطهراني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أديب، و تقي صالح، ولد في مدينة النجف الأشرف سنة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نشأ على يد أبيه الجليل و غيره من الأجلّاء بعد إكمال الأوليّات و المقدّمات، و حضر في الفقه و الأصول على الشيخ ضياء الدين العراقي، و السيد الميرزا عبد الهادي الشيرازي، و 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لمّا توفي والده قام مقامه في إمامة الجماعة في الصحن الشريف، و هو معروف بالورع و الصلاح، يأتمّ به جمع من أهل النسك و الدين، و هو من أهل الأخلاق أيضا، له سيرة محمودة، صحبناه منذ عشرات السنين، و جاورناه منذ عشر سنين فحمدنا صحبته و جواره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عنه معاصره الآخر الشيخ محمّد حسين حرز الدين في هامش معارف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في بيت العلم و الفضيلة و القداسة، يعدّ من العلماء الأبدال و الفقهاء الأجلّاء الثقات، حليف الورع و الصلاح، على جانب عظيم من حسن الخلق و لين الجانب و الاستقامة في الرأي في سيره و سلوكه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إمام الصلاة يقيمها في الصحن الغروي من الجهة الجنوبيّة الشرقيّة بالمكان الذي كان يقيمها جماعة الشيخ مشكور والده، و قد ينوب عنه في إمامة الجماعة نجله الأكبر الفاضل التقي الشيخ نور الدين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تتلمذ الشيخ حسين مشكور رحمه اللّه على علماء عصره و فقهائهم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تتلمذ عليه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آقا ضياء الدين العراقي، تتلمذ عليه في الفقيه و الأصول، و في الأصول 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الميرزا عبد الهادي الشيرازي، قرأ عليه الكفاية و تقريرات بحث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علي الدمشقي، قرأ عليه المطوّل، و المغني اللبيب، و الشمسيّة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محسن الحكيم، قرأ عليه مكاسب الشيخ الأنصاري و رسائله الأصولية، و كذلك حضر بحثه الخارج في الفقه في شرح العروة الوثقى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حسين الحمّامي، قرأ عليه مكاسب الشيخ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 الرسول الجواهري، قرأ عليه كتاب المعالم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الميرزا محمّد حسين النائيني، و له إجازة منه في الرواية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الحسن الموسوي الأصفهاني، قرأ عليه في الفقه، و له منه إجازة في الرواية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مؤلّفات جدّنا الشيخ حسين مشكور التي تعرّفنا عليها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في الفقه في الصوم، و الزكاة، و النكاح، و الطلاق، و العدد، تزيد على ألفين 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أراجيز في الخمسة المعصومين عليهم السّلام، و في الحجة المهدي عجّل اللّه تعالى فرجه الشريف، و علائم ظهوره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تقريرات أساتذته في الأصول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كتاب رياض المسائل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تعليقة على كتاب اللمعة الدمشقية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توفي الشيخ حسين في ليلة السبت من شهر ربيع الأول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خلّف تسعة أولاد أكبرهم سماحة الشيخ نور الدين مشكور حفظه اللّه تعالى</w:t>
      </w:r>
      <w:r>
        <w:rPr>
          <w:rFonts w:eastAsia="Amiri" w:cs="Amiri" w:ascii="Amiri" w:hAnsi="Amiri"/>
          <w:color w:val="111111"/>
          <w:sz w:val="28"/>
          <w:szCs w:val="28"/>
          <w:rtl w:val="true"/>
          <w:lang w:bidi="ar-SA"/>
        </w:rPr>
        <w:t>.</w:t>
      </w:r>
      <w:bookmarkStart w:id="40" w:name="pg19817_220552"/>
    </w:p>
    <w:p>
      <w:pPr>
        <w:pStyle w:val="Heading3"/>
        <w:numPr>
          <w:ilvl w:val="2"/>
          <w:numId w:val="1"/>
        </w:numPr>
        <w:rPr/>
      </w:pPr>
      <w:bookmarkStart w:id="41" w:name="__RefHeading___Toc2246370_2314609296"/>
      <w:bookmarkStart w:id="42" w:name="_Toc15"/>
      <w:bookmarkEnd w:id="40"/>
      <w:bookmarkEnd w:id="41"/>
      <w:r>
        <w:rPr>
          <w:rtl w:val="true"/>
        </w:rPr>
        <w:t>النسخ المعتمدة في التحقيق</w:t>
      </w:r>
      <w:r>
        <w:rPr>
          <w:rtl w:val="true"/>
        </w:rPr>
        <w:t>:</w:t>
      </w:r>
      <w:bookmarkEnd w:id="42"/>
    </w:p>
    <w:p>
      <w:pPr>
        <w:pStyle w:val="BookText"/>
        <w:rPr/>
      </w:pPr>
      <w:r>
        <w:rPr>
          <w:rFonts w:ascii="Amiri" w:hAnsi="Amiri" w:eastAsia="Amiri" w:cs="Amiri"/>
          <w:color w:val="111111"/>
          <w:sz w:val="28"/>
          <w:sz w:val="28"/>
          <w:szCs w:val="28"/>
          <w:rtl w:val="true"/>
          <w:lang w:bidi="ar-SA"/>
        </w:rPr>
        <w:t>اعتمدت في عملي هذا على نسختين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خطّية، و الأخرى حجرية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الخطيّة المحفوظة في مكتبة جامع گوهرشاد في مدينة مشهد المقدسة، ضمن المجموعة المرقّمة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و هي الرسالة الثانية منها حيث تحتل الأوراق من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مذكورة في فهرست المكتبة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802</w:t>
      </w:r>
      <w:r>
        <w:rPr>
          <w:rFonts w:ascii="IRNazanin" w:hAnsi="IRNazanin" w:eastAsia="IRNazanin"/>
          <w:color w:val="111111"/>
          <w:sz w:val="28"/>
          <w:sz w:val="28"/>
          <w:szCs w:val="28"/>
          <w:rtl w:val="true"/>
          <w:lang w:bidi="fa-IR"/>
        </w:rPr>
        <w:t xml:space="preserve">، تأريخ كتابتها في القرن الثالث عشر، و هي بخط النستعليق، و قد رمزنا لها بالحرف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الحجرية المطبوعة في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طهران في مطبعة السيد مرتضى الطهراني، و قد تصدّى لطبعها صدر الدين القمي الشهير بصدر العلماء، و صحّحها سميّ المؤلّف و حفيده الشيخ مشكور ابن الشيخ محمّد جواد ابن المصنّف الشيخ مشكور الحولاوي النجفي، و تقع هذه النسخة في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 قد رمزنا لها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أول هذه النسخة ما يلي</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تعالى شأنه العزيز الحمد للّه الذي اختص بالأزليّة و البقاء، و قهر عباده بالموت و الفناء، و الصلاة و السّلام على من استنقذنا من الضلالة و العمى، و أرشدنا إلى سبيل الرحمة و الهدى محمّد صلّى اللّه عليه و آله و سلّم، و عترته اولي الفضل و النهى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فهذه رسالة وجيزة و مختصرة منيفة في ما ينجّزه المريض في مرض موته، صنّفها شيخ العلماء و المحققين، و وسطة قلادة الفقهاء و المدقّقين، كاشف معضلات المسائل الفقهيّة، حلّال مشكلات الوسائل الدينيّة، أصوليّة و فروعيّة، مولى الأنام، علّامة العلماء الأعلام، حجة الإسلام، المرضيّ قولا، و المقبول رأيا، و المشكور سعيا، الشيخ مشكور النجفي قدّس اللّه سرّه الزكي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إشاعتها بين العلماء المحققين من اللازم الواجب، و اذاعتها بين الفقهاء ضربة لازب، أحببت طبعها و تكثير نسخها طلبا لمرضاة الواحد الأحد و قضاء لبعض ما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في آخرها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حق الوالد على الولد، و إخلادا لذكر المصنّف في كل عصر و بلد، قد تصدّى لطبعه كهف العلماء الأعلام، و قدوة الفقهاء العظام، طائف البيت و المقام، باب الأحكام، و ثقة الإسلام، المنهمك في القربات، و المتصدي لجميع الخيرات، منبع السعادات، و مرجع ذوي الحاجات، ملاذ الفقهاء و المجتهدين، غوث الفقراء و المساكين محمّد المدعوّ بصدر الدين القمي، الشهير بصدر العلماء الروانجي أدام اللّه على رءوس الأنام ظلّه السامي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أقلّ خدمة طلبة العلم و العمل، تابع الهوى و الأمل سميّ المصنّف و أردأ خلفه، مصحّح هذا المؤلّف و أغلب صحفه، مشكور بن محمّد جواد مشكور، شكر اللّه مساعيه، و جعل باقي أيامه خيرا من ماضيه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المرجوّ من الاخوان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طلب 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عن زلّات النظر، و الغمض عن هفوات البصر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طبع في دار الخلافة طهران، صانها اللّه عن الحدثان، في مطبعة السيد الأجلّ آقا سيد مرتضى الطهراني في شهر جمادى الثاني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43" w:name="pg19817_220554"/>
    </w:p>
    <w:p>
      <w:pPr>
        <w:pStyle w:val="Heading3"/>
        <w:numPr>
          <w:ilvl w:val="2"/>
          <w:numId w:val="1"/>
        </w:numPr>
        <w:rPr/>
      </w:pPr>
      <w:bookmarkStart w:id="44" w:name="__RefHeading___Toc2246372_2314609296"/>
      <w:bookmarkStart w:id="45" w:name="_Toc16"/>
      <w:bookmarkEnd w:id="43"/>
      <w:bookmarkEnd w:id="44"/>
      <w:r>
        <w:rPr>
          <w:rtl w:val="true"/>
        </w:rPr>
        <w:t>منهجيّة التحقيق</w:t>
      </w:r>
      <w:r>
        <w:rPr>
          <w:rtl w:val="true"/>
        </w:rPr>
        <w:t>:</w:t>
      </w:r>
      <w:bookmarkEnd w:id="45"/>
    </w:p>
    <w:p>
      <w:pPr>
        <w:pStyle w:val="BookText"/>
        <w:rPr/>
      </w:pPr>
      <w:r>
        <w:rPr>
          <w:rFonts w:ascii="Amiri" w:hAnsi="Amiri" w:eastAsia="Amiri" w:cs="Amiri"/>
          <w:color w:val="111111"/>
          <w:sz w:val="28"/>
          <w:sz w:val="28"/>
          <w:szCs w:val="28"/>
          <w:rtl w:val="true"/>
          <w:lang w:bidi="ar-SA"/>
        </w:rPr>
        <w:t>اعتمدت في تحقيقي لهذه الرسالة طريقة التلفيق بين النسختين اللتين مرّ وصفهما، و كان عملي فيها كالآتي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قابلت النسخة الخطيّة على النسخة الحجريّة، و أثبتّ الصحيح أو الأصحّ في المتن و ما قابلهما في الهامش، و بهذا العمل نكون قد حصلنا على متن صحيح عار عن الخطأ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ما يحتاج إلى 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القواعد الحديثة للتحقيق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آيات قرآنيّة مباركة، و روايات شريفة، و أقوال من مصادرها الرئيسيّة، إلّا تلك المصادر المفقودة أو التي يعسر الحصول عليها فنقلت عنها بالواسطة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و أوضحت الكلمات اللغوية الصعبة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فهارس فنيّة كاملة، ليسهل على القارئ الحصول على مطلبه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ختاما، فإني أحمد اللّه و أشكره على هذه النعمة العظيمة التي حباني بها، حيث وفّقني لإكمال تحقيق هذه الرسالة و إخراجها بهذا الشكل، و إني عازمة بحول اللّه و قوته على تحقيق ما أستطيع تحقيقه، و بالخصوص آثار أجدادي العلماء رحمهم اللّه تعالى، و آخر دعواي أن الحمد للّه ربّ العالمين، و الصلاة و السلام على أشرف الأنبياء و المرسلين و قدوة المهتدين سيّدنا و مولانا محمّد و على آله المعصومين المنتجبين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علي مشكور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 صلّى اللّه على محمّد و آله الطاهرين، و رحم اللّه علماءنا و مشايخنا أجمعين و الحمد للّه ربّ العالمين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قدّس اللّه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منجّزات المريض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الواقعة في وقت </w:t>
      </w:r>
      <w:r>
        <w:rPr>
          <w:rStyle w:val="FootnoteAnchor"/>
          <w:rtl w:val="true"/>
        </w:rPr>
        <w:footnoteReference w:id="63"/>
      </w:r>
      <w:r>
        <w:rPr>
          <w:rFonts w:ascii="Amiri" w:hAnsi="Amiri" w:eastAsia="Amiri" w:cs="Amiri"/>
          <w:color w:val="111111"/>
          <w:sz w:val="28"/>
          <w:sz w:val="28"/>
          <w:szCs w:val="28"/>
          <w:rtl w:val="true"/>
          <w:lang w:bidi="ar-SA"/>
        </w:rPr>
        <w:t>مرضه الذي لم يتخلّل بينه و بين موته برء منه، مرضا بالمعنى الذي سيجي‌ء بيانه، فلا خلاف في صحتها و نفوذها من أصل المال بعد الموت و إن لم يجز الورثة إذا لم تكن تبرعا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تبرعا بالمعنى الذي يأتي بيانه إن شاء اللّه، كالمحاباة في المعاوضات، و الهبة، و الوقف، و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خلاف أيضا في صحتها بالمعنى الأعم من الصحة في الفضولي و نحوه، و إنما الخلاف فيها بالنسبة إلى</w:t>
      </w:r>
    </w:p>
    <w:p>
      <w:pPr>
        <w:pStyle w:val="BookText"/>
        <w:rPr/>
      </w:pPr>
      <w:r>
        <w:rPr>
          <w:rFonts w:ascii="Amiri" w:hAnsi="Amiri" w:eastAsia="Amiri" w:cs="Amiri"/>
          <w:color w:val="111111"/>
          <w:sz w:val="28"/>
          <w:sz w:val="28"/>
          <w:szCs w:val="28"/>
          <w:rtl w:val="true"/>
          <w:lang w:bidi="ar-SA"/>
        </w:rPr>
        <w:t>نفوذها من أصل المال مطلقا، أو نفوذها من الثلث لا غير إلّا مع الإجازة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قد قيل بأنها تنفذ من أصل المال مطلقا كالمنجّزات الغير التبرعية، و هو المحكي عن الكليني في الكافي </w:t>
      </w:r>
      <w:r>
        <w:rPr>
          <w:rStyle w:val="FootnoteAnchor"/>
          <w:rtl w:val="true"/>
        </w:rPr>
        <w:footnoteReference w:id="64"/>
      </w:r>
      <w:r>
        <w:rPr>
          <w:rFonts w:ascii="Amiri" w:hAnsi="Amiri" w:eastAsia="Amiri" w:cs="Amiri"/>
          <w:color w:val="111111"/>
          <w:sz w:val="28"/>
          <w:sz w:val="28"/>
          <w:szCs w:val="28"/>
          <w:rtl w:val="true"/>
          <w:lang w:bidi="ar-SA"/>
        </w:rPr>
        <w:t xml:space="preserve">، و الصدوق في الفقيه </w:t>
      </w:r>
      <w:r>
        <w:rPr>
          <w:rStyle w:val="FootnoteAnchor"/>
          <w:rtl w:val="true"/>
        </w:rPr>
        <w:footnoteReference w:id="65"/>
      </w:r>
      <w:r>
        <w:rPr>
          <w:rFonts w:ascii="Amiri" w:hAnsi="Amiri" w:eastAsia="Amiri" w:cs="Amiri"/>
          <w:color w:val="111111"/>
          <w:sz w:val="28"/>
          <w:sz w:val="28"/>
          <w:szCs w:val="28"/>
          <w:rtl w:val="true"/>
          <w:lang w:bidi="ar-SA"/>
        </w:rPr>
        <w:t xml:space="preserve">، و الشيخ المفيد في المقنعة </w:t>
      </w:r>
      <w:r>
        <w:rPr>
          <w:rStyle w:val="FootnoteAnchor"/>
          <w:rtl w:val="true"/>
        </w:rPr>
        <w:footnoteReference w:id="66"/>
      </w:r>
      <w:r>
        <w:rPr>
          <w:rFonts w:ascii="Amiri" w:hAnsi="Amiri" w:eastAsia="Amiri" w:cs="Amiri"/>
          <w:color w:val="111111"/>
          <w:sz w:val="28"/>
          <w:sz w:val="28"/>
          <w:szCs w:val="28"/>
          <w:rtl w:val="true"/>
          <w:lang w:bidi="ar-SA"/>
        </w:rPr>
        <w:t xml:space="preserve">، و الشيخ في النهاية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ظاهر التهذيب </w:t>
      </w:r>
      <w:r>
        <w:rPr>
          <w:rStyle w:val="FootnoteAnchor"/>
          <w:rtl w:val="true"/>
        </w:rPr>
        <w:footnoteReference w:id="68"/>
      </w:r>
      <w:r>
        <w:rPr>
          <w:rFonts w:ascii="IRNazanin" w:hAnsi="IRNazanin" w:eastAsia="IRNazanin"/>
          <w:color w:val="111111"/>
          <w:sz w:val="28"/>
          <w:sz w:val="28"/>
          <w:szCs w:val="28"/>
          <w:rtl w:val="true"/>
          <w:lang w:bidi="fa-IR"/>
        </w:rPr>
        <w:t xml:space="preserve">، و المرتضى </w:t>
      </w:r>
      <w:r>
        <w:rPr>
          <w:rStyle w:val="FootnoteAnchor"/>
          <w:rtl w:val="true"/>
        </w:rPr>
        <w:footnoteReference w:id="69"/>
      </w:r>
      <w:r>
        <w:rPr>
          <w:rFonts w:ascii="IRNazanin" w:hAnsi="IRNazanin" w:eastAsia="IRNazanin"/>
          <w:color w:val="111111"/>
          <w:sz w:val="28"/>
          <w:sz w:val="28"/>
          <w:szCs w:val="28"/>
          <w:rtl w:val="true"/>
          <w:lang w:bidi="fa-IR"/>
        </w:rPr>
        <w:t xml:space="preserve">، و ابن البراج </w:t>
      </w:r>
      <w:r>
        <w:rPr>
          <w:rStyle w:val="FootnoteAnchor"/>
          <w:rtl w:val="true"/>
        </w:rPr>
        <w:footnoteReference w:id="70"/>
      </w:r>
      <w:r>
        <w:rPr>
          <w:rFonts w:ascii="Amiri" w:hAnsi="Amiri" w:eastAsia="Amiri" w:cs="Amiri"/>
          <w:color w:val="111111"/>
          <w:sz w:val="28"/>
          <w:sz w:val="28"/>
          <w:szCs w:val="28"/>
          <w:rtl w:val="true"/>
          <w:lang w:bidi="ar-SA"/>
        </w:rPr>
        <w:t xml:space="preserve">، و ابن زهرة </w:t>
      </w:r>
      <w:r>
        <w:rPr>
          <w:rStyle w:val="FootnoteAnchor"/>
          <w:rtl w:val="true"/>
        </w:rPr>
        <w:footnoteReference w:id="71"/>
      </w:r>
      <w:r>
        <w:rPr>
          <w:rFonts w:ascii="Amiri" w:hAnsi="Amiri" w:eastAsia="Amiri" w:cs="Amiri"/>
          <w:color w:val="111111"/>
          <w:sz w:val="28"/>
          <w:sz w:val="28"/>
          <w:szCs w:val="28"/>
          <w:rtl w:val="true"/>
          <w:lang w:bidi="ar-SA"/>
        </w:rPr>
        <w:t xml:space="preserve">، و ابن إدريس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حكي أيضا عن ابن حمزة </w:t>
      </w:r>
      <w:r>
        <w:rPr>
          <w:rStyle w:val="FootnoteAnchor"/>
          <w:rtl w:val="true"/>
        </w:rPr>
        <w:footnoteReference w:id="73"/>
      </w:r>
      <w:r>
        <w:rPr>
          <w:rFonts w:ascii="Amiri" w:hAnsi="Amiri" w:eastAsia="Amiri" w:cs="Amiri"/>
          <w:color w:val="111111"/>
          <w:sz w:val="28"/>
          <w:sz w:val="28"/>
          <w:szCs w:val="28"/>
          <w:rtl w:val="true"/>
          <w:lang w:bidi="ar-SA"/>
        </w:rPr>
        <w:t xml:space="preserve">، و تبعهم في ذلك جماعة من المتأخرين </w:t>
      </w:r>
      <w:r>
        <w:rPr>
          <w:rStyle w:val="FootnoteAnchor"/>
          <w:rtl w:val="true"/>
        </w:rPr>
        <w:footnoteReference w:id="74"/>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w:t>
      </w:r>
      <w:r>
        <w:rPr>
          <w:rStyle w:val="FootnoteAnchor"/>
          <w:rtl w:val="true"/>
        </w:rPr>
        <w:footnoteReference w:id="75"/>
      </w:r>
      <w:r>
        <w:rPr>
          <w:rFonts w:ascii="Amiri" w:hAnsi="Amiri" w:eastAsia="Amiri" w:cs="Amiri"/>
          <w:color w:val="111111"/>
          <w:sz w:val="28"/>
          <w:sz w:val="28"/>
          <w:szCs w:val="28"/>
          <w:rtl w:val="true"/>
          <w:lang w:bidi="ar-SA"/>
        </w:rPr>
        <w:t xml:space="preserve">، و الآبي </w:t>
      </w:r>
      <w:r>
        <w:rPr>
          <w:rStyle w:val="FootnoteAnchor"/>
          <w:rtl w:val="true"/>
        </w:rPr>
        <w:footnoteReference w:id="76"/>
      </w:r>
      <w:r>
        <w:rPr>
          <w:rFonts w:ascii="Amiri" w:hAnsi="Amiri" w:eastAsia="Amiri" w:cs="Amiri"/>
          <w:color w:val="111111"/>
          <w:sz w:val="28"/>
          <w:sz w:val="28"/>
          <w:szCs w:val="28"/>
          <w:rtl w:val="true"/>
          <w:lang w:bidi="ar-SA"/>
        </w:rPr>
        <w:t xml:space="preserve">، و المحقق الأردبيلي </w:t>
      </w:r>
      <w:r>
        <w:rPr>
          <w:rStyle w:val="FootnoteAnchor"/>
          <w:rtl w:val="true"/>
        </w:rPr>
        <w:footnoteReference w:id="77"/>
      </w:r>
      <w:r>
        <w:rPr>
          <w:rFonts w:ascii="Amiri" w:hAnsi="Amiri" w:eastAsia="Amiri" w:cs="Amiri"/>
          <w:color w:val="111111"/>
          <w:sz w:val="28"/>
          <w:sz w:val="28"/>
          <w:szCs w:val="28"/>
          <w:rtl w:val="true"/>
          <w:lang w:bidi="ar-SA"/>
        </w:rPr>
        <w:t xml:space="preserve">، و الحر العاملي </w:t>
      </w:r>
      <w:r>
        <w:rPr>
          <w:rStyle w:val="FootnoteAnchor"/>
          <w:rtl w:val="true"/>
        </w:rPr>
        <w:footnoteReference w:id="78"/>
      </w:r>
      <w:r>
        <w:rPr>
          <w:rFonts w:ascii="Amiri" w:hAnsi="Amiri" w:eastAsia="Amiri" w:cs="Amiri"/>
          <w:color w:val="111111"/>
          <w:sz w:val="28"/>
          <w:sz w:val="28"/>
          <w:szCs w:val="28"/>
          <w:rtl w:val="true"/>
          <w:lang w:bidi="ar-SA"/>
        </w:rPr>
        <w:t xml:space="preserve">، و الخراساني في الكفاية </w:t>
      </w:r>
      <w:r>
        <w:rPr>
          <w:rStyle w:val="FootnoteAnchor"/>
          <w:rtl w:val="true"/>
        </w:rPr>
        <w:footnoteReference w:id="79"/>
      </w:r>
      <w:r>
        <w:rPr>
          <w:rFonts w:ascii="Amiri" w:hAnsi="Amiri" w:eastAsia="Amiri" w:cs="Amiri"/>
          <w:color w:val="111111"/>
          <w:sz w:val="28"/>
          <w:sz w:val="28"/>
          <w:szCs w:val="28"/>
          <w:rtl w:val="true"/>
          <w:lang w:bidi="ar-SA"/>
        </w:rPr>
        <w:t xml:space="preserve">، و الفاضل البحراني في الحدائق </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السيد الطباطبائي في الرياض </w:t>
      </w:r>
      <w:r>
        <w:rPr>
          <w:rStyle w:val="FootnoteAnchor"/>
          <w:rtl w:val="true"/>
        </w:rPr>
        <w:footnoteReference w:id="81"/>
      </w:r>
      <w:r>
        <w:rPr>
          <w:rFonts w:ascii="Amiri" w:hAnsi="Amiri" w:eastAsia="Amiri" w:cs="Amiri"/>
          <w:color w:val="111111"/>
          <w:sz w:val="28"/>
          <w:sz w:val="28"/>
          <w:szCs w:val="28"/>
          <w:rtl w:val="true"/>
          <w:lang w:bidi="ar-SA"/>
        </w:rPr>
        <w:t>على ما حكي عن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عن كشف الرموز نسبته إلى الأكثر </w:t>
      </w:r>
      <w:r>
        <w:rPr>
          <w:rStyle w:val="FootnoteAnchor"/>
          <w:rtl w:val="true"/>
        </w:rPr>
        <w:footnoteReference w:id="82"/>
      </w:r>
      <w:r>
        <w:rPr>
          <w:rFonts w:ascii="Amiri" w:hAnsi="Amiri" w:eastAsia="Amiri" w:cs="Amiri"/>
          <w:color w:val="111111"/>
          <w:sz w:val="28"/>
          <w:sz w:val="28"/>
          <w:szCs w:val="28"/>
          <w:rtl w:val="true"/>
          <w:lang w:bidi="ar-SA"/>
        </w:rPr>
        <w:t xml:space="preserve">، و في الرياض نسبته إلى الشهرة بين القدماء ظاهرا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الأمر كذلك حيث لم يحك الخلاف في الحكم المزبور إلّا عن نادر منهم، كما ستعرفه إن شاء اللّه، بل عن الانتصار </w:t>
      </w:r>
      <w:r>
        <w:rPr>
          <w:rStyle w:val="FootnoteAnchor"/>
          <w:rtl w:val="true"/>
        </w:rPr>
        <w:footnoteReference w:id="84"/>
      </w:r>
      <w:r>
        <w:rPr>
          <w:rFonts w:ascii="Amiri" w:hAnsi="Amiri" w:eastAsia="Amiri" w:cs="Amiri"/>
          <w:color w:val="111111"/>
          <w:sz w:val="28"/>
          <w:sz w:val="28"/>
          <w:szCs w:val="28"/>
          <w:rtl w:val="true"/>
          <w:lang w:bidi="ar-SA"/>
        </w:rPr>
        <w:t xml:space="preserve">و الغنية </w:t>
      </w:r>
      <w:r>
        <w:rPr>
          <w:rStyle w:val="FootnoteAnchor"/>
          <w:rtl w:val="true"/>
        </w:rPr>
        <w:footnoteReference w:id="85"/>
      </w:r>
      <w:r>
        <w:rPr>
          <w:rFonts w:ascii="Amiri" w:hAnsi="Amiri" w:eastAsia="Amiri" w:cs="Amiri"/>
          <w:color w:val="111111"/>
          <w:sz w:val="28"/>
          <w:sz w:val="28"/>
          <w:szCs w:val="28"/>
          <w:rtl w:val="true"/>
          <w:lang w:bidi="ar-SA"/>
        </w:rPr>
        <w:t>دعوى الإجماع عليه بالنسبة إلى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إنما تنفذ من الثلث، إلّا مع اجازة الورثة فتنفذ من الأصل كالوصية، و هو المحكي عن ابن الجنيد </w:t>
      </w:r>
      <w:r>
        <w:rPr>
          <w:rStyle w:val="FootnoteAnchor"/>
          <w:rtl w:val="true"/>
        </w:rPr>
        <w:footnoteReference w:id="86"/>
      </w:r>
      <w:r>
        <w:rPr>
          <w:rFonts w:ascii="Amiri" w:hAnsi="Amiri" w:eastAsia="Amiri" w:cs="Amiri"/>
          <w:color w:val="111111"/>
          <w:sz w:val="28"/>
          <w:sz w:val="28"/>
          <w:szCs w:val="28"/>
          <w:rtl w:val="true"/>
          <w:lang w:bidi="ar-SA"/>
        </w:rPr>
        <w:t xml:space="preserve">، و الشيخ في المبسوط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حكي عن الصدوق، و لعلّه في غير الفقيه، و إلّا فهو في الفقيه </w:t>
      </w:r>
      <w:r>
        <w:rPr>
          <w:rStyle w:val="FootnoteAnchor"/>
          <w:rtl w:val="true"/>
        </w:rPr>
        <w:footnoteReference w:id="88"/>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تبعهم في ذلك المصنف </w:t>
      </w:r>
      <w:r>
        <w:rPr>
          <w:rStyle w:val="FootnoteAnchor"/>
          <w:rtl w:val="true"/>
        </w:rPr>
        <w:footnoteReference w:id="89"/>
      </w:r>
      <w:r>
        <w:rPr>
          <w:rFonts w:ascii="Amiri" w:hAnsi="Amiri" w:eastAsia="Amiri" w:cs="Amiri"/>
          <w:color w:val="111111"/>
          <w:sz w:val="28"/>
          <w:sz w:val="28"/>
          <w:szCs w:val="28"/>
          <w:rtl w:val="true"/>
          <w:lang w:bidi="ar-SA"/>
        </w:rPr>
        <w:t xml:space="preserve">، و العلّامة </w:t>
      </w:r>
      <w:r>
        <w:rPr>
          <w:rStyle w:val="FootnoteAnchor"/>
          <w:rtl w:val="true"/>
        </w:rPr>
        <w:footnoteReference w:id="90"/>
      </w:r>
      <w:r>
        <w:rPr>
          <w:rFonts w:ascii="Amiri" w:hAnsi="Amiri" w:eastAsia="Amiri" w:cs="Amiri"/>
          <w:color w:val="111111"/>
          <w:sz w:val="28"/>
          <w:sz w:val="28"/>
          <w:szCs w:val="28"/>
          <w:rtl w:val="true"/>
          <w:lang w:bidi="ar-SA"/>
        </w:rPr>
        <w:t xml:space="preserve">، و الشهيد </w:t>
      </w:r>
      <w:r>
        <w:rPr>
          <w:rStyle w:val="FootnoteAnchor"/>
          <w:rtl w:val="true"/>
        </w:rPr>
        <w:footnoteReference w:id="91"/>
      </w:r>
      <w:r>
        <w:rPr>
          <w:rFonts w:ascii="Amiri" w:hAnsi="Amiri" w:eastAsia="Amiri" w:cs="Amiri"/>
          <w:color w:val="111111"/>
          <w:sz w:val="28"/>
          <w:sz w:val="28"/>
          <w:szCs w:val="28"/>
          <w:rtl w:val="true"/>
          <w:lang w:bidi="ar-SA"/>
        </w:rPr>
        <w:t xml:space="preserve">، و المحقق الثاني </w:t>
      </w:r>
      <w:r>
        <w:rPr>
          <w:rStyle w:val="FootnoteAnchor"/>
          <w:rtl w:val="true"/>
        </w:rPr>
        <w:footnoteReference w:id="92"/>
      </w:r>
      <w:r>
        <w:rPr>
          <w:rFonts w:ascii="Amiri" w:hAnsi="Amiri" w:eastAsia="Amiri" w:cs="Amiri"/>
          <w:color w:val="111111"/>
          <w:sz w:val="28"/>
          <w:sz w:val="28"/>
          <w:szCs w:val="28"/>
          <w:rtl w:val="true"/>
          <w:lang w:bidi="ar-SA"/>
        </w:rPr>
        <w:t xml:space="preserve">، و الشهيد الثاني </w:t>
      </w:r>
      <w:r>
        <w:rPr>
          <w:rStyle w:val="FootnoteAnchor"/>
          <w:rtl w:val="true"/>
        </w:rPr>
        <w:footnoteReference w:id="93"/>
      </w:r>
      <w:r>
        <w:rPr>
          <w:rFonts w:ascii="Amiri" w:hAnsi="Amiri" w:eastAsia="Amiri" w:cs="Amiri"/>
          <w:color w:val="111111"/>
          <w:sz w:val="28"/>
          <w:sz w:val="28"/>
          <w:szCs w:val="28"/>
          <w:rtl w:val="true"/>
          <w:lang w:bidi="ar-SA"/>
        </w:rPr>
        <w:t xml:space="preserve">، و المقداد في التنقيح </w:t>
      </w:r>
      <w:r>
        <w:rPr>
          <w:rStyle w:val="FootnoteAnchor"/>
          <w:rtl w:val="true"/>
        </w:rPr>
        <w:footnoteReference w:id="94"/>
      </w:r>
      <w:r>
        <w:rPr>
          <w:rFonts w:ascii="Amiri" w:hAnsi="Amiri" w:eastAsia="Amiri" w:cs="Amiri"/>
          <w:color w:val="111111"/>
          <w:sz w:val="28"/>
          <w:sz w:val="28"/>
          <w:szCs w:val="28"/>
          <w:rtl w:val="true"/>
          <w:lang w:bidi="ar-SA"/>
        </w:rPr>
        <w:t xml:space="preserve">، و ابن فهد في المهذّب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اختاره شيخنا رحمه اللّه في الجواهر </w:t>
      </w:r>
      <w:r>
        <w:rPr>
          <w:rStyle w:val="FootnoteAnchor"/>
          <w:rtl w:val="true"/>
        </w:rPr>
        <w:footnoteReference w:id="96"/>
      </w:r>
      <w:r>
        <w:rPr>
          <w:rFonts w:ascii="Amiri" w:hAnsi="Amiri" w:eastAsia="Amiri" w:cs="Amiri"/>
          <w:color w:val="111111"/>
          <w:sz w:val="28"/>
          <w:sz w:val="28"/>
          <w:szCs w:val="28"/>
          <w:rtl w:val="true"/>
          <w:lang w:bidi="ar-SA"/>
        </w:rPr>
        <w:t xml:space="preserve">، و قد حكي عن غير واحد نسبته إلى عامة المتأخرين، بل في المسالك نسبته إلى الأكثر </w:t>
      </w:r>
      <w:r>
        <w:rPr>
          <w:rStyle w:val="FootnoteAnchor"/>
          <w:rtl w:val="true"/>
        </w:rPr>
        <w:footnoteReference w:id="97"/>
      </w:r>
      <w:r>
        <w:rPr>
          <w:rFonts w:ascii="Amiri" w:hAnsi="Amiri" w:eastAsia="Amiri" w:cs="Amiri"/>
          <w:color w:val="111111"/>
          <w:sz w:val="28"/>
          <w:sz w:val="28"/>
          <w:szCs w:val="28"/>
          <w:rtl w:val="true"/>
          <w:lang w:bidi="ar-SA"/>
        </w:rPr>
        <w:t>، و منهم سائر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الخلاف المزبور بين الفريقين جار في جميع المنجّزات التبرعية بالنسبة إلى مزاحمة إرث الورثة حتى الإمام عليه السّلام، خلافا لظاهر الشيخ من حيث إنه حكم بنفوذ الوصية من الأصل مع فقدان الورثة غير الإمام عليه السّلام </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أنّ ثبوت ذلك في الوصية يوجب إجراءه في المنجّز تبرعا إذ هو لا ينقص عنها،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بالنسبة إلى مزاحمة الدين، فيختص بما عدا العتق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العتق مع فرض مزاحمته للدين خاصة، أوله مع إرث الورثة، باعتبار اختلافه باستيعابه للتركة 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لهم فيه خلافا آخر، ستأتي الإشارة إليه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فالذي يقوى في النظر في محل الخلاف المزبور هو القول الأول، و ذلك للأصل بقسميه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أصل عدم كون المرض سببا للحجر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استصحاب حكم الحالة السابقة على المرض من نفوذ التصرّف من المالك من غير حجر عليه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للقاعدة المسلّمة الثابتة بالعقل و النقل من نحو قوله صلّى اللّه عليه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 xml:space="preserve">» </w:t>
      </w:r>
      <w:r>
        <w:rPr>
          <w:rStyle w:val="FootnoteAnchor"/>
          <w:rtl w:val="true"/>
        </w:rPr>
        <w:footnoteReference w:id="99"/>
      </w:r>
      <w:r>
        <w:rPr>
          <w:rFonts w:ascii="Amiri" w:hAnsi="Amiri" w:eastAsia="Amiri" w:cs="Amiri"/>
          <w:color w:val="111111"/>
          <w:sz w:val="28"/>
          <w:sz w:val="28"/>
          <w:szCs w:val="28"/>
          <w:rtl w:val="true"/>
          <w:lang w:bidi="ar-SA"/>
        </w:rPr>
        <w:t>، ضرورة أن مقتضاها نفوذ التصرف من المالك و إن كان مريضا، إذ لا خلاف في عدم خروج المال عن ملك المريض ما دام حيا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لعموم أو إطلاق أدلة صحة نوع كل واحدة من وجوه منجّزاته التبرعيّة، كالعتق و الصدقة و الهبة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لعموم آية الوفاء بالعقود </w:t>
      </w:r>
      <w:r>
        <w:rPr>
          <w:rStyle w:val="FootnoteAnchor"/>
          <w:rtl w:val="true"/>
        </w:rPr>
        <w:footnoteReference w:id="100"/>
      </w:r>
      <w:r>
        <w:rPr>
          <w:rFonts w:ascii="Amiri" w:hAnsi="Amiri" w:eastAsia="Amiri" w:cs="Amiri"/>
          <w:color w:val="111111"/>
          <w:sz w:val="28"/>
          <w:sz w:val="28"/>
          <w:szCs w:val="28"/>
          <w:rtl w:val="true"/>
          <w:lang w:bidi="ar-SA"/>
        </w:rPr>
        <w:t xml:space="preserve">بالنسبة إلى ما كان منها من العقود، و يتعدّى إلى ما كان من غيرها من محل النزاع بضميمة عدم القول بالفصل، مضافا إلى ما سمعت من حكاية السيدين </w:t>
      </w:r>
      <w:r>
        <w:rPr>
          <w:rStyle w:val="FootnoteAnchor"/>
          <w:rtl w:val="true"/>
        </w:rPr>
        <w:footnoteReference w:id="101"/>
      </w:r>
      <w:r>
        <w:rPr>
          <w:rFonts w:ascii="Amiri" w:hAnsi="Amiri" w:eastAsia="Amiri" w:cs="Amiri"/>
          <w:color w:val="111111"/>
          <w:sz w:val="28"/>
          <w:sz w:val="28"/>
          <w:szCs w:val="28"/>
          <w:rtl w:val="true"/>
          <w:lang w:bidi="ar-SA"/>
        </w:rPr>
        <w:t xml:space="preserve">الإجماع عليه بالنسبة إلى بعض موارده، المؤيدة بما في الرياض من استظهار شهرة الفتوى به بين القدماء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لظاهر قوله تعالى فَإِنْ طِبْنَ لَكُمْ عَنْ شَيْ‌ءٍ مِنْهُ نَفْساً فَكُلُوهُ هَنِيئاً مَرِيئاً </w:t>
      </w:r>
      <w:r>
        <w:rPr>
          <w:rStyle w:val="FootnoteAnchor"/>
          <w:rtl w:val="true"/>
        </w:rPr>
        <w:footnoteReference w:id="103"/>
      </w:r>
      <w:r>
        <w:rPr>
          <w:rFonts w:ascii="Amiri" w:hAnsi="Amiri" w:eastAsia="Amiri" w:cs="Amiri"/>
          <w:color w:val="111111"/>
          <w:sz w:val="28"/>
          <w:sz w:val="28"/>
          <w:szCs w:val="28"/>
          <w:rtl w:val="true"/>
          <w:lang w:bidi="ar-SA"/>
        </w:rPr>
        <w:t xml:space="preserve">، على ما روى الشيخ في تفسيره في الصحيح عن زرارة عن أبي عبد اللّه عليه السّلام قال فَإِنْ طِبْنَ لَكُمْ عَنْ شَيْ‌ءٍ مِنْهُ نَفْساً هذا يدخل فيه الصداق و الهبة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دلالتها هو أنها قد دلّت بإطلاقها على صحة الهبة من الأزواج و إن كنّ في مرض الموت مطلقا من غير تقييد لذلك بكونه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للنصوص المستفيضة،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أو الحسن المروي في الكافي و التهذيب عن أبي شعيب المحاملي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أحق بماله ما دامت الروح في بدنه</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الخبر المروي فيهما عن إبراهيم بن أبي بكر الأزدي، عمّن أخبره،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أولى بما له ما دامت فيه الروح</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المشايخ الثلاثة عن عمار بن موسى في الموثق في بعض طرقه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 دام فيه الروح، إن أوصى به كلّه فهو جائز له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المشايخ الثلاثة أيضا عن عمّار الساباطي في الموثّق عن أبي عبد اللّه عليه السّلام على اختلاف في متنه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الفقيه و بعض نسخ الكافي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أحق بماله ما دام فيه الروح تبين به، فإن تعدّى فليس له إلّا الثلث</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نسخ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أحق بما له ما دام فيه الروح تبين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 أوصى به فليس له إلّا الثلث</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رواه في الكافي و التهذيب عن سماعة عن أبي بصير </w:t>
      </w:r>
      <w:r>
        <w:rPr>
          <w:rStyle w:val="FootnoteAnchor"/>
          <w:rtl w:val="true"/>
        </w:rPr>
        <w:footnoteReference w:id="11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Style w:val="FootnoteAnchor"/>
          <w:rtl w:val="true"/>
        </w:rPr>
        <w:footnoteReference w:id="1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الولد أ يسعه أن يجعل ما له لقرابته؟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له يصنع به ما يشاء إلى أن يأتيه الموت</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المشايخ عن أبي بصير عن أبي عبد اللّه عليه السّلام مثله، إلّا أنه زيد عليه في بعض طرق الكافي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لصاحب المال أن يعمل بماله ما يشاء</w:t>
      </w:r>
    </w:p>
    <w:p>
      <w:pPr>
        <w:pStyle w:val="BookText"/>
        <w:rPr/>
      </w:pPr>
      <w:r>
        <w:rPr>
          <w:rFonts w:ascii="Amiri" w:hAnsi="Amiri" w:eastAsia="Amiri" w:cs="Amiri"/>
          <w:color w:val="111111"/>
          <w:sz w:val="28"/>
          <w:sz w:val="28"/>
          <w:szCs w:val="28"/>
          <w:rtl w:val="true"/>
          <w:lang w:bidi="ar-SA"/>
        </w:rPr>
        <w:t>ما دام حيا إن شاء وهبه، و إن شاء تصدّق به، و إن شاء تركه إلى أن يأتيه الموت، فإن أوصى به فليس له إلّا الثلث، إلّا أنّ الفضل في أن لا يضيّع من يعلوه و لا يضر بورثته</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التهذيب عن عمّار الساباطي في الموثق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يجعل بعض ماله لرجل في مرضه،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أبانه جاز له</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الكافي و الفقيه عن مرازم، عن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يعطي الشي‌ء من ماله في مرضه،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أبان فيه فهو جائز، و إن أوصى به فهو من الثلث</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الفقيه عن مسعدة بن صدقة عن جعفر بن محمّد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الأنصار توفي و له صبية صغار، و له ستة من الرقيق فأعتقهم عند موته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له مال غيرهم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فاتي إلى النبي صلّى اللّه عليه و آله فأخبر بذلك،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صنعتم بصاحبكم؟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دفناه،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علمت ما دفناه مع أهل الإسلام، ترك ولده </w:t>
      </w:r>
      <w:r>
        <w:rPr>
          <w:rStyle w:val="FootnoteAnchor"/>
          <w:rtl w:val="true"/>
        </w:rPr>
        <w:footnoteReference w:id="117"/>
      </w:r>
      <w:r>
        <w:rPr>
          <w:rFonts w:ascii="Amiri" w:hAnsi="Amiri" w:eastAsia="Amiri" w:cs="Amiri"/>
          <w:color w:val="111111"/>
          <w:sz w:val="28"/>
          <w:sz w:val="28"/>
          <w:szCs w:val="28"/>
          <w:rtl w:val="true"/>
          <w:lang w:bidi="ar-SA"/>
        </w:rPr>
        <w:t xml:space="preserve">يتكففون </w:t>
      </w:r>
      <w:r>
        <w:rPr>
          <w:rStyle w:val="FootnoteAnchor"/>
          <w:rtl w:val="true"/>
        </w:rPr>
        <w:footnoteReference w:id="118"/>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في التهذيب من صحيحة محمّد بن مسلم عن أبي عبد اللّه</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غلامه و أوصى بوصيته، و كان أكثر من الثلث،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عتق الغلام، و يكون النقصان فيما بقي</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حسنته أيضا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بأكثر من الثلث و أعتق مملوكة في مرضه،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أكثر من الثلث ردّ إلى الثلث، و جاز عتق الغلام</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النصوص كما ترى بمكانة لا سبيل إلى القدح فيها بوجه من الوجوه، و ذلك لأنها بمكانة من القوة و الاعتبار من جهة السند، و على مرتبة عظيمة من وضوح الدلالة على المدّعى، و على أكمل حال من السلامة عن المعارض المعادل، فضلا عن الراجح عليها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توضيح ذلك على وجه لا تبقى شائبة إشكال فيما هنا لك يحتاج إلى بسط في المقال </w:t>
      </w:r>
      <w:r>
        <w:rPr>
          <w:rStyle w:val="FootnoteAnchor"/>
          <w:rtl w:val="true"/>
        </w:rPr>
        <w:footnoteReference w:id="122"/>
      </w:r>
      <w:r>
        <w:rPr>
          <w:rFonts w:ascii="Amiri" w:hAnsi="Amiri" w:eastAsia="Amiri" w:cs="Amiri"/>
          <w:color w:val="111111"/>
          <w:sz w:val="28"/>
          <w:sz w:val="28"/>
          <w:szCs w:val="28"/>
          <w:rtl w:val="true"/>
          <w:lang w:bidi="ar-SA"/>
        </w:rPr>
        <w:t>برسم مقامات ثلاثة و حينئذ فنقول</w:t>
      </w:r>
      <w:r>
        <w:rPr>
          <w:rFonts w:eastAsia="Amiri" w:cs="Amiri" w:ascii="Amiri" w:hAnsi="Amiri"/>
          <w:color w:val="111111"/>
          <w:sz w:val="28"/>
          <w:szCs w:val="28"/>
          <w:rtl w:val="true"/>
          <w:lang w:bidi="ar-SA"/>
        </w:rPr>
        <w:t>:</w:t>
      </w:r>
      <w:bookmarkStart w:id="46" w:name="pg19817_220569"/>
    </w:p>
    <w:p>
      <w:pPr>
        <w:pStyle w:val="Heading2"/>
        <w:numPr>
          <w:ilvl w:val="1"/>
          <w:numId w:val="1"/>
        </w:numPr>
        <w:rPr/>
      </w:pPr>
      <w:bookmarkStart w:id="47" w:name="__RefHeading___Toc2246374_2314609296"/>
      <w:bookmarkStart w:id="48" w:name="_Toc17"/>
      <w:bookmarkEnd w:id="46"/>
      <w:bookmarkEnd w:id="47"/>
      <w:r>
        <w:rPr>
          <w:rtl w:val="true"/>
        </w:rPr>
        <w:t>أمّا المقام الأوّل</w:t>
      </w:r>
      <w:bookmarkEnd w:id="48"/>
    </w:p>
    <w:p>
      <w:pPr>
        <w:pStyle w:val="BookText"/>
        <w:rPr/>
      </w:pPr>
      <w:r>
        <w:rPr>
          <w:rFonts w:ascii="Amiri" w:hAnsi="Amiri" w:eastAsia="Amiri" w:cs="Amiri"/>
          <w:color w:val="111111"/>
          <w:sz w:val="28"/>
          <w:sz w:val="28"/>
          <w:szCs w:val="28"/>
          <w:rtl w:val="true"/>
          <w:lang w:bidi="ar-SA"/>
        </w:rPr>
        <w:t>فلأنّ أكثر الأخبار المزبورة من قسم الصحيح أو الحسن أو الموثّق، التي لا ينبغي الريب في حجيّة كل منها،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عدا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 إن كان من قسم الضعيف إلّا أنه مندفع الضعف من وجوه، يكفي بعضها منفردا في دفعه، فضلا عن اجتماع جميعها، و ذلك لاعتضاده بالحجة من الصحيح أو الحسن أو الموثّق، فإنّ ذلك من أقوى وجوه التبيّن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بظهور الشهرة بين القدماء كما قيل، بل لا يبعد دعوى القطع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عرفت من دعوى الإجماع في الانتصار </w:t>
      </w:r>
      <w:r>
        <w:rPr>
          <w:rStyle w:val="FootnoteAnchor"/>
          <w:rtl w:val="true"/>
        </w:rPr>
        <w:footnoteReference w:id="123"/>
      </w:r>
      <w:r>
        <w:rPr>
          <w:rFonts w:ascii="Amiri" w:hAnsi="Amiri" w:eastAsia="Amiri" w:cs="Amiri"/>
          <w:color w:val="111111"/>
          <w:sz w:val="28"/>
          <w:sz w:val="28"/>
          <w:szCs w:val="28"/>
          <w:rtl w:val="true"/>
          <w:lang w:bidi="ar-SA"/>
        </w:rPr>
        <w:t xml:space="preserve">و الغنية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مضافا إلى روايتها في الكتب المعتبرة، و إلى الاستناد إليها و العمل بمضمونها من جملة من أعيان الطائفة و قدمائها الفائزين بقرب العصر من عصر الأئمة عليهم السّلام، الذي يسهل معه الاطلاع على الأحوال التي يعرف منها السليم و السقيم من الأخبار المروية عنهم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إلى موافقة مضمونها لما عرفت من الأصول العقلية، و القواعد الشرعية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عليك أنّ اجتماع مثل هذه الأمور المذكورة، و حصولها لخبر من الأخبار في المواضع الخلافية على النحو المزبور، ممّا هو عزيز الاتفاق</w:t>
      </w:r>
      <w:r>
        <w:rPr>
          <w:rFonts w:eastAsia="Amiri" w:cs="Amiri" w:ascii="Amiri" w:hAnsi="Amiri"/>
          <w:color w:val="111111"/>
          <w:sz w:val="28"/>
          <w:szCs w:val="28"/>
          <w:rtl w:val="true"/>
          <w:lang w:bidi="ar-SA"/>
        </w:rPr>
        <w:t>.</w:t>
      </w:r>
      <w:bookmarkStart w:id="49" w:name="pg19817_220570"/>
    </w:p>
    <w:p>
      <w:pPr>
        <w:pStyle w:val="Heading2"/>
        <w:numPr>
          <w:ilvl w:val="1"/>
          <w:numId w:val="1"/>
        </w:numPr>
        <w:rPr/>
      </w:pPr>
      <w:bookmarkStart w:id="50" w:name="__RefHeading___Toc2246376_2314609296"/>
      <w:bookmarkStart w:id="51" w:name="_Toc18"/>
      <w:bookmarkEnd w:id="49"/>
      <w:bookmarkEnd w:id="50"/>
      <w:r>
        <w:rPr>
          <w:rtl w:val="true"/>
        </w:rPr>
        <w:t>و أمّا المقام الثاني</w:t>
      </w:r>
      <w:bookmarkEnd w:id="51"/>
    </w:p>
    <w:p>
      <w:pPr>
        <w:pStyle w:val="BookText"/>
        <w:rPr/>
      </w:pPr>
      <w:r>
        <w:rPr>
          <w:rFonts w:ascii="Amiri" w:hAnsi="Amiri" w:eastAsia="Amiri" w:cs="Amiri"/>
          <w:color w:val="111111"/>
          <w:sz w:val="28"/>
          <w:sz w:val="28"/>
          <w:szCs w:val="28"/>
          <w:rtl w:val="true"/>
          <w:lang w:bidi="ar-SA"/>
        </w:rPr>
        <w:t>فيحتاج بيانه على الوجه الأكمل إلى التفصيل في الأخبار المزبورة، و ذلك لاختلافها في كيفية الدلالة على المطلوب، و حينئذ فنقول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صحيح المحاملي أو حسنته </w:t>
      </w:r>
      <w:r>
        <w:rPr>
          <w:rStyle w:val="FootnoteAnchor"/>
          <w:rtl w:val="true"/>
        </w:rPr>
        <w:footnoteReference w:id="125"/>
      </w:r>
      <w:r>
        <w:rPr>
          <w:rFonts w:ascii="Amiri" w:hAnsi="Amiri" w:eastAsia="Amiri" w:cs="Amiri"/>
          <w:color w:val="111111"/>
          <w:sz w:val="28"/>
          <w:sz w:val="28"/>
          <w:szCs w:val="28"/>
          <w:rtl w:val="true"/>
          <w:lang w:bidi="ar-SA"/>
        </w:rPr>
        <w:t xml:space="preserve">، و خبر إبراهيم الكرخي </w:t>
      </w:r>
      <w:r>
        <w:rPr>
          <w:rStyle w:val="FootnoteAnchor"/>
          <w:rtl w:val="true"/>
        </w:rPr>
        <w:footnoteReference w:id="126"/>
      </w:r>
      <w:r>
        <w:rPr>
          <w:rFonts w:ascii="Amiri" w:hAnsi="Amiri" w:eastAsia="Amiri" w:cs="Amiri"/>
          <w:color w:val="111111"/>
          <w:sz w:val="28"/>
          <w:sz w:val="28"/>
          <w:szCs w:val="28"/>
          <w:rtl w:val="true"/>
          <w:lang w:bidi="ar-SA"/>
        </w:rPr>
        <w:t xml:space="preserve">، و موثق عمّار الساباطي الأول </w:t>
      </w:r>
      <w:r>
        <w:rPr>
          <w:rStyle w:val="FootnoteAnchor"/>
          <w:rtl w:val="true"/>
        </w:rPr>
        <w:footnoteReference w:id="127"/>
      </w:r>
      <w:r>
        <w:rPr>
          <w:rFonts w:ascii="Amiri" w:hAnsi="Amiri" w:eastAsia="Amiri" w:cs="Amiri"/>
          <w:color w:val="111111"/>
          <w:sz w:val="28"/>
          <w:sz w:val="28"/>
          <w:szCs w:val="28"/>
          <w:rtl w:val="true"/>
          <w:lang w:bidi="ar-SA"/>
        </w:rPr>
        <w:t xml:space="preserve">، و رواية عمّار بن موسى </w:t>
      </w:r>
      <w:r>
        <w:rPr>
          <w:rStyle w:val="FootnoteAnchor"/>
          <w:rtl w:val="true"/>
        </w:rPr>
        <w:footnoteReference w:id="128"/>
      </w:r>
      <w:r>
        <w:rPr>
          <w:rFonts w:ascii="Amiri" w:hAnsi="Amiri" w:eastAsia="Amiri" w:cs="Amiri"/>
          <w:color w:val="111111"/>
          <w:sz w:val="28"/>
          <w:sz w:val="28"/>
          <w:szCs w:val="28"/>
          <w:rtl w:val="true"/>
          <w:lang w:bidi="ar-SA"/>
        </w:rPr>
        <w:t>، فهي ظاهرة الدلالة على المدّعى على وجه لا ينبغي التأمل فيه، و ذلك لدلالتها 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بلازم ما صرّحت به من ثبوت أحقيّة الرجل أو الإنسان أو الميت مطلقا إذا كان مريضا، حملا للمطلق على ما هو الغالب، إذ الغالب في الموتى أن يكون موتهم مسببا عن عروض مرض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أولويّته بماله، الظاهر في إرادة الجميع منه، لإطلاقه، مع فقد ما يوجب تقييده بالثلث أحقيّة و أولوية ثابتة له ما دامت الروح في بدنه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صريحة على نفوذ تصرّفه في ماله و عدم الحجر عليه في ذلك مطلقا، سواء</w:t>
      </w:r>
    </w:p>
    <w:p>
      <w:pPr>
        <w:pStyle w:val="BookText"/>
        <w:rPr/>
      </w:pPr>
      <w:r>
        <w:rPr>
          <w:rFonts w:ascii="Amiri" w:hAnsi="Amiri" w:eastAsia="Amiri" w:cs="Amiri"/>
          <w:color w:val="111111"/>
          <w:sz w:val="28"/>
          <w:sz w:val="28"/>
          <w:szCs w:val="28"/>
          <w:rtl w:val="true"/>
          <w:lang w:bidi="ar-SA"/>
        </w:rPr>
        <w:t xml:space="preserve">كان تصرّفه فيه منجّزا أم معلّقا على موته، تبرّعا كان أم لا، كما يقضي بذلك تعقيب اللفظ المزبور بما في رواية عمّار الساباطي الثانية </w:t>
      </w:r>
      <w:r>
        <w:rPr>
          <w:rStyle w:val="FootnoteAnchor"/>
          <w:rtl w:val="true"/>
        </w:rPr>
        <w:footnoteReference w:id="129"/>
      </w:r>
      <w:r>
        <w:rPr>
          <w:rFonts w:ascii="Amiri" w:hAnsi="Amiri" w:eastAsia="Amiri" w:cs="Amiri"/>
          <w:color w:val="111111"/>
          <w:sz w:val="28"/>
          <w:sz w:val="28"/>
          <w:szCs w:val="28"/>
          <w:rtl w:val="true"/>
          <w:lang w:bidi="ar-SA"/>
        </w:rPr>
        <w:t xml:space="preserve">، كما ستعرف إن شاء اللّه، و بما في رواية أبي بصير على ما في بعض طرق الكافي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يكونان شاهدين على المراد من اللفظ المزبور الواقع في غيرهما، خصوصا و المنساق من الأحقية و الأولوية له في الأخبار المزبورة إنما هي بالنسبة إلى الورثة دون غيرهم، و خروج ما قام الدليل من النص، و اتفاق الفتوى عدا شاذ على خروجه كالوصية، أو المعلّق على موته مطلقا من إطلاق الأخبار المزبورة، لا يقدح في ظهورها في الباقي الذي عليه المدار في حجّية الأخبار و غيرها من الأدلة السمعية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ريب في عدم توجيه المناقشة في ظهورها في المقصود 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إمكان كون المراد منها ثبوت أحقيّة الميت بالنسبة إلى خصوص الثلث من ماله لا مطلقا، خصوصا إذا قرئ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لا بكسرها، بملاحظة نصوص حصر ما للميت من أمواله بالثلث الآتية في أدلة الخصم، التي لا أقل مع ملاحظتها من حصول قدح في دعوى ظهور الأخبار المزبورة في مطلوب المستدل، إن لم يكن الحاصل مع الملاحظة المزبورة الظهور في خلافه، كالمناقشة أيضا في ذلك بدعوى تعيّن كون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بعضها خصوص الثلث، و هو رواية عمّار بن موسى،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أوصى به كلّه فهو جائز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أحق بماله ما دام فيه الروح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لو لم يحمل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خصوص الثلث و أريد منه معناه الحقيقي، للزم إما مغايرة الضمير لمفسّره، الممنوعة عند جماعة من الأصوليين إن أريد من الضمير المتعلق</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العائد إليه خصوص الثلث، أو الحكم بنفوذ الوصية بجميع المال على الورثة، الذي لا قائل به إن أريد من الضمير المزبور المعنى المطابق لمعنى 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صاحب المناقشة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التخلّص من المحذور الثاني بحمل الوصية على خصوص التنجيز دون الأعم و دون معناه المعروف، لا وجه له، إذ هو ليس بأولى ممّا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فتكون الرواية المزبورة شاهدا على كون ذلك هو المراد من اللفظ المزبور، الواقع في الروايات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هذا فلا يستقيم للمستدل دعوى ظهور الأخبار المزبورة في مطلوبه، و ذلك لاندفاع المناقشة الأولى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حمل الأخبار المزبورة على المعنى الذي ذكره المناقش، حمل على المعنى المجازي المحتاج إلى القرينة، التي هي مفقودة في المقام، إذ ليس فيه ممّا يتخيّل صلاحيته لذلك، سوى ما ذكر في المناقشة من ملاحظة أخبار الحصر بالثلث، و هي كما لا يخفى لا تصلح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قيل فيها من مغايرة موضوع حكمها لموضوع حكم الأخبار المزبورة، لكونه في بعض تلك الأخبار المشار إليها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يموت، الظاهر في من تلبّس بالموت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بلفظ ما هو بمعناه في البعض الآخر مع فقد القرينة الصارفة، بخلاف أخبار المستدل فإنه في بعضها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و في بعضها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 في بعضها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المراد منه في الجميع هو الإنسان قبل تلبّسه بالموت، بقرينة 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الغرض المقصود في المقام من دعوى ظهورها في المطلوب إنما هو بالنسبة إليها في حد ذاتها مجردة عن ملاحظة المعارض لها، الذي من جملته أخبار الحصر بالثلث</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المقصود ذلك حتى مع الملاحظة المزبورة، لكان الأولى في المناقشة</w:t>
      </w:r>
    </w:p>
    <w:p>
      <w:pPr>
        <w:pStyle w:val="BookText"/>
        <w:rPr/>
      </w:pPr>
      <w:r>
        <w:rPr>
          <w:rFonts w:ascii="Amiri" w:hAnsi="Amiri" w:eastAsia="Amiri" w:cs="Amiri"/>
          <w:color w:val="111111"/>
          <w:sz w:val="28"/>
          <w:sz w:val="28"/>
          <w:szCs w:val="28"/>
          <w:rtl w:val="true"/>
          <w:lang w:bidi="ar-SA"/>
        </w:rPr>
        <w:t>في دلالة الأخبار المزبورة على المدّعى المناقشة في ذلك بدعوى إمكان الحمل على ما يستفاد من ملاحظة أخبار العطية، و إبراء الزوجة من دينها و صداقها اللّذين في ذمة زوجها، وهبتها لصداقها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أخبار العتق لصراحتها و أخصيتها من الأخبار المزبورة، كما ستعرف إن شاء اللّه ممّا هو غير موجود في أخبار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كما لزم ملاحظة الحصر بالثلث مع الأخبار المزبورة، يلزم أيضا ملاحظة باقي أخبار الباب، التي من جملتها أخبار الإبانة معها، ضرورة أنّ اللازم على الفقيه في مقام النظر و الاستنباط لحكم من الأحكام الشرعية ملاحظة جميع الأخبار الواردة في ما تعلّق نظره به و إن كانت متعارضة، ثم الأخذ بما يحصل منها عنده مع عدم التعارض، و بما يترجّح لديه من أحد المتعارضين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الشأن كذلك، فلا ريب في أنّ الظاهر مع ملاحظة جميع الأخبار المشار إليها من الأقسام الثلاثة في ما نحن فيه، حمل إطلاق كل من أخبار الحصر بالثلث، و الأخبار المزبورة على المفصّل من مدلول أخبار الإبانة، و ذلك لدلالتها على ما سيأتي بيانه إن شاء اللّه على نفوذ تصرّف الميت من الأصل مع الإبانة التي هي كناية عن التنجيز و عدم نفوذه إلّا في قدر الثلث مع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فيحمل ما في الأخبار المزبورة من أحقية الميت بما له ما دام فيه الروح على صورة التنجيز، و ما في أخبار الحصر بالثلث على صورة الوصية، كما لعلّه يشعر بإرادة ذلك من أخبار الحصر خبر ابن سنان </w:t>
      </w:r>
      <w:r>
        <w:rPr>
          <w:rStyle w:val="FootnoteAnchor"/>
          <w:rtl w:val="true"/>
        </w:rPr>
        <w:footnoteReference w:id="131"/>
      </w:r>
      <w:r>
        <w:rPr>
          <w:rFonts w:ascii="Amiri" w:hAnsi="Amiri" w:eastAsia="Amiri" w:cs="Amiri"/>
          <w:color w:val="111111"/>
          <w:sz w:val="28"/>
          <w:sz w:val="28"/>
          <w:szCs w:val="28"/>
          <w:rtl w:val="true"/>
          <w:lang w:bidi="ar-SA"/>
        </w:rPr>
        <w:t>الذي هو من جملتها، فتأمل جيدا و لا حظ</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يذهب عليك أنه لا فرق في احتمال المعنى الذي حاوله المناقش في الأخبار المزبورة من حيثية القرب و البعد من ظاهر اللفظ بين قراءة قوله فيها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اللام كما هو الظاهر، و قراءته بفتحها، و ذلك لأنه على القراءة الثانية يكون المجرور بالباء ما الموصولة، و اللام المفتوحة هي اللام الجارة التي هي حقيقة في معنى الملك، أو الغالب استعمالها فيه من سائر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المزبورة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أحق بالذي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عدم التفاوت بين المعنى المزبور، و بين المعنى المفهوم منه، على تقدير قراءته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دعوى أنه على تقديره قراءة الفتح أقوى في الشمول و البعد من احتمال ارادة الثلث، بناء على كون اسم الموصول من صيغ العموم مع خلوّ المقام من أمارات العهد، كما هو الشأن في ما نحن فيه،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لاندفاع المناقشة الثانية مع ما فيها من بعد احتمال ارادة المعنى الذي ذكره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المزبورة، فضلا عن تعيّنه، ضرورة ابتناء ذلك على كون الضمير المتعلّق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منه خصوص الثلث، و هو في غاية البعد، لكونه خلاف الظاهر المعتضد إرادته بشاهد الإتيان به، مؤكدا بكل ضرورة وجود مقتضى التوكيد معه من توهم احتمال التخصيص بخصوص الثلث، بخلاف المعنى الذي ذكره المناقش، فإنه لا ريب في انتفاء الموجب للتوكيد معه بإمكان اختيار أول الوجهين من وجهي الترديد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نجيب عما ذكره من المحذور اللازم عليه بالمنع من ممنوعية مغايرة الضمير لمفسّره مطلقا، إذ القدر المسلّم ممنوعيته من ذلك إنما هو المغايرة بينهما بغير العموم و الخصوص، و أما المغايرة بينهما بالوجه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نحو المقام من كون المراد بالضمير الأخص من معنى مفسّرة، حيث تقوم القرينة على ارادة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فيها، كما هو رأي جماعة من الأصوليين أيضا، و بإمكان اختيار الوجه الثاني من الوجهين المزبورين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نجيب عما ذكره من المحذور اللازم عليه بإمكان التخلّص منه بحمل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خصوص التنجيز، أو بحمل الجواز فيها على معناه المعروف من خصوص حكم التكليف، كما يشعر به تعديته باللام إلى الضمير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بإمكان حمله أيضا على الصحة بالمعنى الأعم من الصحة في نحو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بإمكان حمل الحكم في الرواية المزبورة على ما في التهذيب </w:t>
      </w:r>
      <w:r>
        <w:rPr>
          <w:rStyle w:val="FootnoteAnchor"/>
          <w:rtl w:val="true"/>
        </w:rPr>
        <w:footnoteReference w:id="132"/>
      </w:r>
      <w:r>
        <w:rPr>
          <w:rFonts w:ascii="Amiri" w:hAnsi="Amiri" w:eastAsia="Amiri" w:cs="Amiri"/>
          <w:color w:val="111111"/>
          <w:sz w:val="28"/>
          <w:sz w:val="28"/>
          <w:szCs w:val="28"/>
          <w:rtl w:val="true"/>
          <w:lang w:bidi="ar-SA"/>
        </w:rPr>
        <w:t>من الحمل على صورة انتفاء الوارث للميت غير الإمام عليه السّلام، إذ لا ريب في اندفاع المحذور الذي ذكر مع ارادة كل من الوجوه المذكورة عدا الوجه الأخير فإنه محل نظر، لعدم الدليل عليه، كاندفاعه بما سمعت ممّا ذكره المناقش من الاحتمالين، مع تسليمه عدم أولوية ما ذكره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أنه لا موجب للتصرّف في الضمير بدعوى إرادة الأخص منه، لإمكان منع دعوى تحقق الإجماع على عدم نفوذ الوصية بجميع المال على الورثة، و ذلك لمخالفة والد الصدوق رحمه اللّه، فإنّ المحكي عنه القول بذلك </w:t>
      </w:r>
      <w:r>
        <w:rPr>
          <w:rStyle w:val="FootnoteAnchor"/>
          <w:rtl w:val="true"/>
        </w:rPr>
        <w:footnoteReference w:id="133"/>
      </w:r>
      <w:r>
        <w:rPr>
          <w:rFonts w:ascii="Amiri" w:hAnsi="Amiri" w:eastAsia="Amiri" w:cs="Amiri"/>
          <w:color w:val="111111"/>
          <w:sz w:val="28"/>
          <w:sz w:val="28"/>
          <w:szCs w:val="28"/>
          <w:rtl w:val="true"/>
          <w:lang w:bidi="ar-SA"/>
        </w:rPr>
        <w:t>، عملا بظاهر هذه الرواية، و مخالفة قول الأكثرين بمجردها لا تصلح سببا للتصرف المزبور في الرواية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رواية عمار الثالثة </w:t>
      </w:r>
      <w:r>
        <w:rPr>
          <w:rStyle w:val="FootnoteAnchor"/>
          <w:rtl w:val="true"/>
        </w:rPr>
        <w:footnoteReference w:id="134"/>
      </w:r>
      <w:r>
        <w:rPr>
          <w:rFonts w:ascii="Amiri" w:hAnsi="Amiri" w:eastAsia="Amiri" w:cs="Amiri"/>
          <w:color w:val="111111"/>
          <w:sz w:val="28"/>
          <w:sz w:val="28"/>
          <w:szCs w:val="28"/>
          <w:rtl w:val="true"/>
          <w:lang w:bidi="ar-SA"/>
        </w:rPr>
        <w:t xml:space="preserve">، و رواية مرازم </w:t>
      </w:r>
      <w:r>
        <w:rPr>
          <w:rStyle w:val="FootnoteAnchor"/>
          <w:rtl w:val="true"/>
        </w:rPr>
        <w:footnoteReference w:id="135"/>
      </w:r>
      <w:r>
        <w:rPr>
          <w:rFonts w:ascii="Amiri" w:hAnsi="Amiri" w:eastAsia="Amiri" w:cs="Amiri"/>
          <w:color w:val="111111"/>
          <w:sz w:val="28"/>
          <w:sz w:val="28"/>
          <w:szCs w:val="28"/>
          <w:rtl w:val="true"/>
          <w:lang w:bidi="ar-SA"/>
        </w:rPr>
        <w:t xml:space="preserve">، و كذا رواية عمار الثانية على ما في التهذيب </w:t>
      </w:r>
      <w:r>
        <w:rPr>
          <w:rStyle w:val="FootnoteAnchor"/>
          <w:rtl w:val="true"/>
        </w:rPr>
        <w:footnoteReference w:id="136"/>
      </w:r>
      <w:r>
        <w:rPr>
          <w:rFonts w:ascii="Amiri" w:hAnsi="Amiri" w:eastAsia="Amiri" w:cs="Amiri"/>
          <w:color w:val="111111"/>
          <w:sz w:val="28"/>
          <w:sz w:val="28"/>
          <w:szCs w:val="28"/>
          <w:rtl w:val="true"/>
          <w:lang w:bidi="ar-SA"/>
        </w:rPr>
        <w:t xml:space="preserve">و ما في بعض نسخ الكافي </w:t>
      </w:r>
      <w:r>
        <w:rPr>
          <w:rStyle w:val="FootnoteAnchor"/>
          <w:rtl w:val="true"/>
        </w:rPr>
        <w:footnoteReference w:id="137"/>
      </w:r>
      <w:r>
        <w:rPr>
          <w:rFonts w:ascii="Amiri" w:hAnsi="Amiri" w:eastAsia="Amiri" w:cs="Amiri"/>
          <w:color w:val="111111"/>
          <w:sz w:val="28"/>
          <w:sz w:val="28"/>
          <w:szCs w:val="28"/>
          <w:rtl w:val="true"/>
          <w:lang w:bidi="ar-SA"/>
        </w:rPr>
        <w:t>، فإنها أجمع صريحة الدلالة على المطلوب و إن احتيج في دلالة بعضها على تمامه إلى ضميمة عدم القول بالفصل، و ذلك لأنها نصّت على جواز جعل الرجل بعض ماله لرجل في مرضه،</w:t>
      </w:r>
    </w:p>
    <w:p>
      <w:pPr>
        <w:pStyle w:val="BookText"/>
        <w:rPr/>
      </w:pPr>
      <w:r>
        <w:rPr>
          <w:rFonts w:ascii="Amiri" w:hAnsi="Amiri" w:eastAsia="Amiri" w:cs="Amiri"/>
          <w:color w:val="111111"/>
          <w:sz w:val="28"/>
          <w:sz w:val="28"/>
          <w:szCs w:val="28"/>
          <w:rtl w:val="true"/>
          <w:lang w:bidi="ar-SA"/>
        </w:rPr>
        <w:t>و على جواز عطيته للشي‌ء من ماله في مرضه، و على أحقيته بماله ما دام فيه الروح، التي قد عرفت أنها كناية عن نفوذ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كان كل واحد من الأمور المذكورة من الجعل و العطية و التصرّف بماله واقعا مع الإبانة، التي هي في المقام كناية عن التنجيز في الأمور المزبورة، و عدم تعليقها بموته، كما تقتضي بذلك قرينة مقابلتها بالوصية كما في رواية مرازم </w:t>
      </w:r>
      <w:r>
        <w:rPr>
          <w:rStyle w:val="FootnoteAnchor"/>
          <w:rtl w:val="true"/>
        </w:rPr>
        <w:footnoteReference w:id="138"/>
      </w:r>
      <w:r>
        <w:rPr>
          <w:rFonts w:ascii="Amiri" w:hAnsi="Amiri" w:eastAsia="Amiri" w:cs="Amiri"/>
          <w:color w:val="111111"/>
          <w:sz w:val="28"/>
          <w:sz w:val="28"/>
          <w:szCs w:val="28"/>
          <w:rtl w:val="true"/>
          <w:lang w:bidi="ar-SA"/>
        </w:rPr>
        <w:t xml:space="preserve">، و رواية الساباطي الثانية على ما في التهذيب </w:t>
      </w:r>
      <w:r>
        <w:rPr>
          <w:rStyle w:val="FootnoteAnchor"/>
          <w:rtl w:val="true"/>
        </w:rPr>
        <w:footnoteReference w:id="139"/>
      </w:r>
      <w:r>
        <w:rPr>
          <w:rFonts w:ascii="Amiri" w:hAnsi="Amiri" w:eastAsia="Amiri" w:cs="Amiri"/>
          <w:color w:val="111111"/>
          <w:sz w:val="28"/>
          <w:sz w:val="28"/>
          <w:szCs w:val="28"/>
          <w:rtl w:val="true"/>
          <w:lang w:bidi="ar-SA"/>
        </w:rPr>
        <w:t xml:space="preserve">و بعض نسخ الكافي </w:t>
      </w:r>
      <w:r>
        <w:rPr>
          <w:rStyle w:val="FootnoteAnchor"/>
          <w:rtl w:val="true"/>
        </w:rPr>
        <w:footnoteReference w:id="140"/>
      </w:r>
      <w:r>
        <w:rPr>
          <w:rFonts w:ascii="Amiri" w:hAnsi="Amiri" w:eastAsia="Amiri" w:cs="Amiri"/>
          <w:color w:val="111111"/>
          <w:sz w:val="28"/>
          <w:sz w:val="28"/>
          <w:szCs w:val="28"/>
          <w:rtl w:val="true"/>
          <w:lang w:bidi="ar-SA"/>
        </w:rPr>
        <w:t xml:space="preserve">، و خبر أبي بصير إذا كان بالزيادة المروية في بعض طرق الكافي </w:t>
      </w:r>
      <w:r>
        <w:rPr>
          <w:rStyle w:val="FootnoteAnchor"/>
          <w:rtl w:val="true"/>
        </w:rPr>
        <w:footnoteReference w:id="141"/>
      </w:r>
      <w:r>
        <w:rPr>
          <w:rFonts w:ascii="Amiri" w:hAnsi="Amiri" w:eastAsia="Amiri" w:cs="Amiri"/>
          <w:color w:val="111111"/>
          <w:sz w:val="28"/>
          <w:sz w:val="28"/>
          <w:szCs w:val="28"/>
          <w:rtl w:val="true"/>
          <w:lang w:bidi="ar-SA"/>
        </w:rPr>
        <w:t>، و ذلك لظهور المراد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أوصى فليس له إلّا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الأخبار المزبورة بالعطف على فعل الإبانة دون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إمكان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الإبانة في الروايات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المعنى الذي ذكرناه، ممّا يخرج معه عن الدلالة على المطلوب من ارادة معنى التعريف و الإظهار منها، سواء أريد ذلك بالنسبة إلى نفس التصرّف من الميت، أو بالنسبة إلى متعلّقه من المال، أو بالنسبة إليهما معا، و ذلك لوضوح أنّ التعريف و الإظهار بجميع صورهما لا مدخلية له في تثبيت نفوذ تصرّف الميت فيما عدا الثلث اتفاقا، سواء كان التعريف للورثة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حمله على خصوص التعريف للورثة، حيث تحصل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معرفتهم بتصرّفه التنجيزي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منهم، مما لا ينبغي الإصغاء إليه، كما لا يخفى</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أن يكون المراد من الإبانة في رواية العطية و الجعل الذي هو بمعناها على الظاهر، الدفع إلى المعطى له و التسليم إليه، ليحصل القبض</w:t>
      </w:r>
    </w:p>
    <w:p>
      <w:pPr>
        <w:pStyle w:val="BookText"/>
        <w:rPr/>
      </w:pPr>
      <w:r>
        <w:rPr>
          <w:rFonts w:ascii="Amiri" w:hAnsi="Amiri" w:eastAsia="Amiri" w:cs="Amiri"/>
          <w:color w:val="111111"/>
          <w:sz w:val="28"/>
          <w:sz w:val="28"/>
          <w:szCs w:val="28"/>
          <w:rtl w:val="true"/>
          <w:lang w:bidi="ar-SA"/>
        </w:rPr>
        <w:t>المشروط به صحة العطية شرعا، و معه فلا يتوجه قدح في دلالة الروايتين على المطلوب، كما لا يخفى، ضرورة أنّ المراد من الروايتين حينئذ الحكم بنفوذ العطية على الورثة إذا كانت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ذكرناه من القرينة المزبورة على معنى الإبانة يندفع احتمال أن يكون المراد من الجواز في رواية الساباطي الثانية </w:t>
      </w:r>
      <w:r>
        <w:rPr>
          <w:rStyle w:val="FootnoteAnchor"/>
          <w:rtl w:val="true"/>
        </w:rPr>
        <w:footnoteReference w:id="142"/>
      </w:r>
      <w:r>
        <w:rPr>
          <w:rFonts w:ascii="Amiri" w:hAnsi="Amiri" w:eastAsia="Amiri" w:cs="Amiri"/>
          <w:color w:val="111111"/>
          <w:sz w:val="28"/>
          <w:sz w:val="28"/>
          <w:szCs w:val="28"/>
          <w:rtl w:val="true"/>
          <w:lang w:bidi="ar-SA"/>
        </w:rPr>
        <w:t xml:space="preserve">و رواية مرازم </w:t>
      </w:r>
      <w:r>
        <w:rPr>
          <w:rStyle w:val="FootnoteAnchor"/>
          <w:rtl w:val="true"/>
        </w:rPr>
        <w:footnoteReference w:id="143"/>
      </w:r>
      <w:r>
        <w:rPr>
          <w:rFonts w:ascii="Amiri" w:hAnsi="Amiri" w:eastAsia="Amiri" w:cs="Amiri"/>
          <w:color w:val="111111"/>
          <w:sz w:val="28"/>
          <w:sz w:val="28"/>
          <w:szCs w:val="28"/>
          <w:rtl w:val="true"/>
          <w:lang w:bidi="ar-SA"/>
        </w:rPr>
        <w:t>، معناه المعروف من حكم التكليف، لا المضي و النفوذ المراد به الحكم الوضعي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يندفع بها أيضا احتمال أن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المزبورتين خصوص الثلث، أو ما لم يزد على الثلث، مضافا إلى ترك الاستفصال منه عليه السّلام، الذي لا ريب في إفادته لعموم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الإحاطة بجميع ما ذكرناه يعلم عدم صحة المناقشة في دلالة هذه الأخبار على المطلوب، بدعوى الإجمال في الإبانة و غيرها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من ذلك يتضح لك وجه الاستدلال على المطلوب برواية عمار الثانية على رواية الفقيه </w:t>
      </w:r>
      <w:r>
        <w:rPr>
          <w:rStyle w:val="FootnoteAnchor"/>
          <w:rtl w:val="true"/>
        </w:rPr>
        <w:footnoteReference w:id="144"/>
      </w:r>
      <w:r>
        <w:rPr>
          <w:rFonts w:ascii="Amiri" w:hAnsi="Amiri" w:eastAsia="Amiri" w:cs="Amiri"/>
          <w:color w:val="111111"/>
          <w:sz w:val="28"/>
          <w:sz w:val="28"/>
          <w:szCs w:val="28"/>
          <w:rtl w:val="true"/>
          <w:lang w:bidi="ar-SA"/>
        </w:rPr>
        <w:t xml:space="preserve">و بعض نسخ الكافي </w:t>
      </w:r>
      <w:r>
        <w:rPr>
          <w:rStyle w:val="FootnoteAnchor"/>
          <w:rtl w:val="true"/>
        </w:rPr>
        <w:footnoteReference w:id="145"/>
      </w:r>
      <w:r>
        <w:rPr>
          <w:rFonts w:ascii="Amiri" w:hAnsi="Amiri" w:eastAsia="Amiri" w:cs="Amiri"/>
          <w:color w:val="111111"/>
          <w:sz w:val="28"/>
          <w:sz w:val="28"/>
          <w:szCs w:val="28"/>
          <w:rtl w:val="true"/>
          <w:lang w:bidi="ar-SA"/>
        </w:rPr>
        <w:t xml:space="preserve">، إذ بملاحظة ما ذكرناه من قيام القرينة على كون الإبانة في الرواية المزبورة على رواية التهذيب </w:t>
      </w:r>
      <w:r>
        <w:rPr>
          <w:rStyle w:val="FootnoteAnchor"/>
          <w:rtl w:val="true"/>
        </w:rPr>
        <w:footnoteReference w:id="146"/>
      </w:r>
      <w:r>
        <w:rPr>
          <w:rFonts w:ascii="Amiri" w:hAnsi="Amiri" w:eastAsia="Amiri" w:cs="Amiri"/>
          <w:color w:val="111111"/>
          <w:sz w:val="28"/>
          <w:sz w:val="28"/>
          <w:szCs w:val="28"/>
          <w:rtl w:val="true"/>
          <w:lang w:bidi="ar-SA"/>
        </w:rPr>
        <w:t xml:space="preserve">و البعض الآخر من نسخ الكافي </w:t>
      </w:r>
      <w:r>
        <w:rPr>
          <w:rStyle w:val="FootnoteAnchor"/>
          <w:rtl w:val="true"/>
        </w:rPr>
        <w:footnoteReference w:id="147"/>
      </w:r>
      <w:r>
        <w:rPr>
          <w:rFonts w:ascii="Amiri" w:hAnsi="Amiri" w:eastAsia="Amiri" w:cs="Amiri"/>
          <w:color w:val="111111"/>
          <w:sz w:val="28"/>
          <w:sz w:val="28"/>
          <w:szCs w:val="28"/>
          <w:rtl w:val="true"/>
          <w:lang w:bidi="ar-SA"/>
        </w:rPr>
        <w:t>، كناية عن التنجيز، مع ضميمة وحدة الراوي لهذه</w:t>
      </w:r>
    </w:p>
    <w:p>
      <w:pPr>
        <w:pStyle w:val="BookText"/>
        <w:rPr/>
      </w:pPr>
      <w:r>
        <w:rPr>
          <w:rFonts w:ascii="Amiri" w:hAnsi="Amiri" w:eastAsia="Amiri" w:cs="Amiri"/>
          <w:color w:val="111111"/>
          <w:sz w:val="28"/>
          <w:sz w:val="28"/>
          <w:szCs w:val="28"/>
          <w:rtl w:val="true"/>
          <w:lang w:bidi="ar-SA"/>
        </w:rPr>
        <w:t>الرواية في الكتابين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مرازم يتضح كون المراد من التعدّي فيها على رواية الفقيه و بعض نسخ الكافي هو الوصية، و صح التعبير عنها بالتعدّي، لمكان كون أثرها إنما يتحقّق بعد الموت، فهي إذا تعدّ و تجاوز من الميت في تصرّفه من الوقت الذي له فيه الأحقية بماله مطلقا، و هو زمان وجود الروح في بدنه إلى زمان لا يكون فيه الأحقية له بما له مطلقا، و هو زمان ما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يندفع القدح في الرواية المزبورة بكونها مختلفة النسخ، فإنّ ذلك إنما يقدح مع اختلافها في المعنى، أما مع اتحادها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المقام حسب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رواية سماعة </w:t>
      </w:r>
      <w:r>
        <w:rPr>
          <w:rStyle w:val="FootnoteAnchor"/>
          <w:rtl w:val="true"/>
        </w:rPr>
        <w:footnoteReference w:id="148"/>
      </w:r>
      <w:r>
        <w:rPr>
          <w:rFonts w:ascii="Amiri" w:hAnsi="Amiri" w:eastAsia="Amiri" w:cs="Amiri"/>
          <w:color w:val="111111"/>
          <w:sz w:val="28"/>
          <w:sz w:val="28"/>
          <w:szCs w:val="28"/>
          <w:rtl w:val="true"/>
          <w:lang w:bidi="ar-SA"/>
        </w:rPr>
        <w:t>فإنها صريحة الدلالة على المطلوب بتمامه، و على وجه لا يحتاج إلى بيان، و ذلك لعموم الجواب فيها و إن كان السؤال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يقدح في ذلك عمومها للتصرّف بالوصية الذي قد علمت خروجه بالنص و الاتفاق، إذ قد عرفت أنّ ذلك لا يقدح في ظهور العام في الباقي، الذي هو المناط في الحجية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يقدح في دلالة الرواية المزبورة احتمال أن يكون المراد من إتيان الموت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الغاية لنفوذ تصرّف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زمان المرض، استنادا إلى إطلاق اللفظ المزبور في بعض الأخبار على المعنى المزبور، ضرورة أنّ ذلك مجاز يحتاج إلى القرينة المفقودة في المقام، و ما استند إليه لا يصلح لذلك، إذ مجرّد إطلاقه في بعض الاستعمالات على المعنى المزبور لقيام قرينة في ذلك البعض، لا يصلح قرينة على إرادته منه في استعمال آخر مع الخلو عن القرينة،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مثلها في ذلك رواية أبي بصير إذا كانت بدون الزيادة الموجودة فيها في بعض طرق الكافي، و أما معها فهي واضحة الدلالة في غاية الوضوح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رواية مسعدة فهي ظاهرة الدلالة على المطلوب، لأنّ توجيه الذم من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 الشنيع إلى الميت، معلّلا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ولده يتكففون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يسألونهم بالأكف، على ما وقع منه من إعتاق جميع مماليكه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غاية الظهور في نفوذ العتق في الجميع، إذ لولاه لما كان يستحق الذم المزبور بمقتضى التعليل المذكور، و ذلك لانتفاء العلّة المزبورة ببقاء الثلثين لولده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كون الذم المزبور بالنسبة إلى تصرّف الميت بالثلث، كما ترى، و حينئذ فتتم دلالتها بالنسبة إلى غير العتق بضميمة عدم القول بالفصل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روايتا محمّد بن مسلم </w:t>
      </w:r>
      <w:r>
        <w:rPr>
          <w:rStyle w:val="FootnoteAnchor"/>
          <w:rtl w:val="true"/>
        </w:rPr>
        <w:footnoteReference w:id="150"/>
      </w:r>
      <w:r>
        <w:rPr>
          <w:rFonts w:ascii="Amiri" w:hAnsi="Amiri" w:eastAsia="Amiri" w:cs="Amiri"/>
          <w:color w:val="111111"/>
          <w:sz w:val="28"/>
          <w:sz w:val="28"/>
          <w:szCs w:val="28"/>
          <w:rtl w:val="true"/>
          <w:lang w:bidi="ar-SA"/>
        </w:rPr>
        <w:t>، فهما صريحتان في الدلالة على المطلوب و إن كانت الأخيرة أصرح</w:t>
      </w:r>
      <w:r>
        <w:rPr>
          <w:rFonts w:eastAsia="Amiri" w:cs="Amiri" w:ascii="Amiri" w:hAnsi="Amiri"/>
          <w:color w:val="111111"/>
          <w:sz w:val="28"/>
          <w:szCs w:val="28"/>
          <w:rtl w:val="true"/>
          <w:lang w:bidi="ar-SA"/>
        </w:rPr>
        <w:t>.</w:t>
      </w:r>
      <w:bookmarkStart w:id="52" w:name="pg19817_220580"/>
    </w:p>
    <w:p>
      <w:pPr>
        <w:pStyle w:val="Heading2"/>
        <w:numPr>
          <w:ilvl w:val="1"/>
          <w:numId w:val="1"/>
        </w:numPr>
        <w:rPr/>
      </w:pPr>
      <w:bookmarkStart w:id="53" w:name="__RefHeading___Toc2246378_2314609296"/>
      <w:bookmarkStart w:id="54" w:name="_Toc19"/>
      <w:bookmarkEnd w:id="52"/>
      <w:bookmarkEnd w:id="53"/>
      <w:r>
        <w:rPr>
          <w:rtl w:val="true"/>
        </w:rPr>
        <w:t>و أمّا المقام الثالث</w:t>
      </w:r>
      <w:bookmarkEnd w:id="54"/>
    </w:p>
    <w:p>
      <w:pPr>
        <w:pStyle w:val="Heading3"/>
        <w:numPr>
          <w:ilvl w:val="2"/>
          <w:numId w:val="1"/>
        </w:numPr>
        <w:rPr/>
      </w:pPr>
      <w:bookmarkStart w:id="55" w:name="__RefHeading___Toc2246380_2314609296"/>
      <w:bookmarkStart w:id="56" w:name="_Toc20"/>
      <w:bookmarkEnd w:id="55"/>
      <w:r>
        <w:rPr>
          <w:rtl w:val="true"/>
        </w:rPr>
        <w:t>اشارة</w:t>
      </w:r>
      <w:bookmarkEnd w:id="56"/>
    </w:p>
    <w:p>
      <w:pPr>
        <w:pStyle w:val="BookText"/>
        <w:rPr/>
      </w:pPr>
      <w:r>
        <w:rPr>
          <w:rFonts w:ascii="Amiri" w:hAnsi="Amiri" w:eastAsia="Amiri" w:cs="Amiri"/>
          <w:color w:val="111111"/>
          <w:sz w:val="28"/>
          <w:sz w:val="28"/>
          <w:szCs w:val="28"/>
          <w:rtl w:val="true"/>
          <w:lang w:bidi="ar-SA"/>
        </w:rPr>
        <w:t>فجملة القول فيه هو أنه لا ريب في أنّ المعارض في المقام للأخبار المزبورة إنما هو أدلة القول الثاني، التي هي منحصرة في النصوص المروية عنهم عليهم السّلام، كما ستعرف إن شاء اللّه، و هي على كثرتها على ما قيل لا تقاوم أخبار المختار، و ذلك لرجحانها على الأخبار المشار إليها من وجوه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ما مرّ ذكره في المقام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لظاهر القرآن من عموم آية أَوْفُوا بِالْعُقُودِ </w:t>
      </w:r>
      <w:r>
        <w:rPr>
          <w:rStyle w:val="FootnoteAnchor"/>
          <w:rtl w:val="true"/>
        </w:rPr>
        <w:footnoteReference w:id="151"/>
      </w:r>
      <w:r>
        <w:rPr>
          <w:rFonts w:ascii="Amiri" w:hAnsi="Amiri" w:eastAsia="Amiri" w:cs="Amiri"/>
          <w:color w:val="111111"/>
          <w:sz w:val="28"/>
          <w:sz w:val="28"/>
          <w:szCs w:val="28"/>
          <w:rtl w:val="true"/>
          <w:lang w:bidi="ar-SA"/>
        </w:rPr>
        <w:t xml:space="preserve">، و إطلاق آية فَإِنْ طِبْنَ لَكُمْ عَنْ شَيْ‌ءٍ مِنْهُ نَفْساً فَكُلُوهُ هَنِيئاً مَرِيئاً </w:t>
      </w:r>
      <w:r>
        <w:rPr>
          <w:rStyle w:val="FootnoteAnchor"/>
          <w:rtl w:val="true"/>
        </w:rPr>
        <w:footnoteReference w:id="152"/>
      </w:r>
      <w:r>
        <w:rPr>
          <w:rFonts w:ascii="Amiri" w:hAnsi="Amiri" w:eastAsia="Amiri" w:cs="Amiri"/>
          <w:color w:val="111111"/>
          <w:sz w:val="28"/>
          <w:sz w:val="28"/>
          <w:szCs w:val="28"/>
          <w:rtl w:val="true"/>
          <w:lang w:bidi="ar-SA"/>
        </w:rPr>
        <w:t>حسب ما عرفت، بخلاف الأخبار المشار إليها، فإنها مخالفة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المخالفة للعامة </w:t>
      </w:r>
      <w:r>
        <w:rPr>
          <w:rStyle w:val="FootnoteAnchor"/>
          <w:rtl w:val="true"/>
        </w:rPr>
        <w:footnoteReference w:id="153"/>
      </w:r>
      <w:r>
        <w:rPr>
          <w:rFonts w:ascii="Amiri" w:hAnsi="Amiri" w:eastAsia="Amiri" w:cs="Amiri"/>
          <w:color w:val="111111"/>
          <w:sz w:val="28"/>
          <w:sz w:val="28"/>
          <w:szCs w:val="28"/>
          <w:rtl w:val="true"/>
          <w:lang w:bidi="ar-SA"/>
        </w:rPr>
        <w:t>، بخلاف الأخبار المشار إليها، فإنها موافقة لمذهب الكل أو الأكثر منهم، كما صرّح به كثير من أصحابنا، كما أنه يشهد لذلك رواية ما يوافقها عنه صلّى اللّه عليه و آله في صحاحهم التي عليها المدار عندهم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قوة دلالة هذه الأخبار على المطلوب، صراحة في بعض، و ظهورا في بعض آخر، على وجه يبعد أو يتعذّر فيها التأويل، بخلاف الأخبار</w:t>
      </w:r>
    </w:p>
    <w:p>
      <w:pPr>
        <w:pStyle w:val="BookText"/>
        <w:rPr/>
      </w:pPr>
      <w:r>
        <w:rPr>
          <w:rFonts w:ascii="Amiri" w:hAnsi="Amiri" w:eastAsia="Amiri" w:cs="Amiri"/>
          <w:color w:val="111111"/>
          <w:sz w:val="28"/>
          <w:sz w:val="28"/>
          <w:szCs w:val="28"/>
          <w:rtl w:val="true"/>
          <w:lang w:bidi="ar-SA"/>
        </w:rPr>
        <w:t>المشار إليها، فإنها مع إمكان التأويل في ما هو دال منها، منها ما هو غير واضح الدلالة على خلاف المختار، و منها ما هو قاصر عن افادة تمام مطلوب الخصم، و منها ما هو غير دال عليه عند التحقيق أصلا، كما ستعرف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ستعرف من صعوبة مطابقة ظاهرها لما سيأتي ذكره من الخصوص </w:t>
      </w:r>
      <w:r>
        <w:rPr>
          <w:rStyle w:val="FootnoteAnchor"/>
          <w:rtl w:val="true"/>
        </w:rPr>
        <w:footnoteReference w:id="154"/>
      </w:r>
      <w:r>
        <w:rPr>
          <w:rFonts w:ascii="Amiri" w:hAnsi="Amiri" w:eastAsia="Amiri" w:cs="Amiri"/>
          <w:color w:val="111111"/>
          <w:sz w:val="28"/>
          <w:sz w:val="28"/>
          <w:szCs w:val="28"/>
          <w:rtl w:val="true"/>
          <w:lang w:bidi="ar-SA"/>
        </w:rPr>
        <w:t>من تقييد حكمهم المزبور بحال المرض، و تقييدهم المرض بالمخوف، على ما ذهب إليه جماعة، و من تقييد بعضهم المرض بالقريب من زمان الموت دون ابتداء المرض و أثنائه مع البعد من زمان الموت، كما إذا كان من الأمراض الطويلة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تأيّد الأخبار المزبورة بالسيرة المستمرة على عدم امتناع المريض، و عدم منع الغير له من فعل التبرعات المنجّزة، و عدم ضبطه هو، و عدم الضبط عليه من وارث أو وصي لما يفعله منها بطومار </w:t>
      </w:r>
      <w:r>
        <w:rPr>
          <w:rStyle w:val="FootnoteAnchor"/>
          <w:rtl w:val="true"/>
        </w:rPr>
        <w:footnoteReference w:id="155"/>
      </w:r>
      <w:r>
        <w:rPr>
          <w:rFonts w:ascii="Amiri" w:hAnsi="Amiri" w:eastAsia="Amiri" w:cs="Amiri"/>
          <w:color w:val="111111"/>
          <w:sz w:val="28"/>
          <w:sz w:val="28"/>
          <w:szCs w:val="28"/>
          <w:rtl w:val="true"/>
          <w:lang w:bidi="ar-SA"/>
        </w:rPr>
        <w:t>و نحوه ليرجع إليه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تأيّدها بما ذكره بعض من وافقنا دليلا على المختار من أنه لو لم تصح المنجزات تبرعا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وقوعها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زادت على قدر الثلث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لزمت بالبرء من المرض لو مات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اللازم المزبور باطل بالاتفاق، فالملزم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عدم صحتها في الحال،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موقوفة على الإجازة من الورثة بعد الموت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ريب في ثبوت القول المختار في المقام، كما لا يخفى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الملازمة ظاهرة، بناء على أنّ الظاهر من إطلاق أخبار القول الثاني، و فتوى العالمين بها، أنّ السبب الموجب لعدم صحة المنجّزات تبرعا في الحال،</w:t>
      </w:r>
    </w:p>
    <w:p>
      <w:pPr>
        <w:pStyle w:val="BookText"/>
        <w:rPr/>
      </w:pPr>
      <w:r>
        <w:rPr>
          <w:rFonts w:ascii="Amiri" w:hAnsi="Amiri" w:eastAsia="Amiri" w:cs="Amiri"/>
          <w:color w:val="111111"/>
          <w:sz w:val="28"/>
          <w:sz w:val="28"/>
          <w:szCs w:val="28"/>
          <w:rtl w:val="true"/>
          <w:lang w:bidi="ar-SA"/>
        </w:rPr>
        <w:t>و بقاؤها موقوفة على الإجازة إذا صدرت من المريض، إنما هو صدورها منه في حال المرض مع تعقّبه بالموت مطلقا، سواء فصل بينهما برء أم لا، إذ لا ريب على الوجه المزبور في ثبوت الحكم المزبور للمنجّزات في صورة عروض البرء من المرض الذي وقعت فيه، لتحقق سببه الذي قد عرفت، مع خلو المقام مما يفضي بلزومها مطلقا، إذ ليس فيه إلّا البرء الذي لا ريب في عدم كونه سببا للزومها، للأصل المعتضد بالاتفاق على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ما في الوجه الثاني مما يمنع من كونه مؤيدا للمختار، فضلا عن أن يكون دليلا عليه، و ذلك لوضوح بطلان سند الملازمة المزبورة، إذ لا ريب في أنّ المنساق من أدلة القول الثاني، و فتوى القائلين به، بل وقع التصريح به من غير واحد منهم، أنّ السبب الموجب للحكم في المنجّزات تبرعا بما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صدورها في مرض الموت، أي المرض الذي يتسبّب عنه الموت، الذي لا ريب في عدم صدقه على المرض الذي وقعت فيه في صورة الفرض من عروض البرء منه، و ما زاد على ذلك منفي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فيكشف عند طروء البرء انتفاء السبب للحكم على المنجّزات بما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المرض الذي وقعت فيه مرض الموت، و يظهر عند ذلك ثبوت ما هو ثابت لها بمقتضى ذاتها من الصحة على وجه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فالملزوم ثابت لها من حين وقوعها، لا من حين وقوع البرء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فالبرء كاشف عن اللزوم لا سبب له، كما أنّ الموت كاشف عن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واضح كوضوح أنّ المريض ما دام حيا باقيا على وصف الكمال، لا حجر و لا منع يتعلّق به شرعا بالنسبة إلى جميع وجوه تصرفه في ماله من تبرّعي و غيره، من منجّز و غيره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فيجوز له التصرّف بماله بأنحاء التصرّف، كما أنه يجوز للغير التصرّف بما كان تصرّف المريض سببا لتسليطه على التصرّف في أمواله، من</w:t>
      </w:r>
    </w:p>
    <w:p>
      <w:pPr>
        <w:pStyle w:val="BookText"/>
        <w:rPr/>
      </w:pPr>
      <w:r>
        <w:rPr>
          <w:rFonts w:ascii="Amiri" w:hAnsi="Amiri" w:eastAsia="Amiri" w:cs="Amiri"/>
          <w:color w:val="111111"/>
          <w:sz w:val="28"/>
          <w:sz w:val="28"/>
          <w:szCs w:val="28"/>
          <w:rtl w:val="true"/>
          <w:lang w:bidi="ar-SA"/>
        </w:rPr>
        <w:t>غير فرق بين ما يوجب الخروج عن ملكه و غيره، و ذلك كلّه للأصول العقلية، و القواعد الشرعية، و قضاء السيرة المستقيمة، و ظهور الاتفاق عليه من الخصوم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حمل بعضهم أخبار الأولوية و الأحقية على ذلك، و ليس في أدلتهم من أخبار و اعتبار ما ينافي ذلك، ضرورة أنّ أقصى ما يستفاد منها الحكم بعدم النفوذ في المنجّزات بالنسبة إلى ما زاد على قدر الثلث بدون اجازة الورثة، على حد الحكم في الوصية بما زاد على قدر الثلث، التي لا ريب في انتفاء حكم من الشارع على فعلها، غير الحكم بعدم النفوذ بدون الإجازة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المراد من الحجر الذي ذكروا في كتابه أنّ المرض من جملة أسبابه، كما يقضي به التأمل في سياق كلامهم في ذلك المقام، مضافا إلى ما عرفت من عدم دلالة شي‌ء من أدلتهم على أزيد مما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حكاه فخر المحققين </w:t>
      </w:r>
      <w:r>
        <w:rPr>
          <w:rStyle w:val="FootnoteAnchor"/>
          <w:rtl w:val="true"/>
        </w:rPr>
        <w:footnoteReference w:id="156"/>
      </w:r>
      <w:r>
        <w:rPr>
          <w:rFonts w:ascii="Amiri" w:hAnsi="Amiri" w:eastAsia="Amiri" w:cs="Amiri"/>
          <w:color w:val="111111"/>
          <w:sz w:val="28"/>
          <w:sz w:val="28"/>
          <w:szCs w:val="28"/>
          <w:rtl w:val="true"/>
          <w:lang w:bidi="ar-SA"/>
        </w:rPr>
        <w:t xml:space="preserve">، و المحقق الثاني </w:t>
      </w:r>
      <w:r>
        <w:rPr>
          <w:rStyle w:val="FootnoteAnchor"/>
          <w:rtl w:val="true"/>
        </w:rPr>
        <w:footnoteReference w:id="157"/>
      </w:r>
      <w:r>
        <w:rPr>
          <w:rFonts w:ascii="Amiri" w:hAnsi="Amiri" w:eastAsia="Amiri" w:cs="Amiri"/>
          <w:color w:val="111111"/>
          <w:sz w:val="28"/>
          <w:sz w:val="28"/>
          <w:szCs w:val="28"/>
          <w:rtl w:val="true"/>
          <w:lang w:bidi="ar-SA"/>
        </w:rPr>
        <w:t>من الرواية عن أحدهم عليهم السّلام،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محجور عليه في تصرّفه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يصلح بنفسه مثبتا لحكم مخالف، لما عرفت من الأدلّة، مع إمكان حمله على ارادة ما ذكرناه من معنى الحجر في كلام الأصحاب، مضافا إلى أنّ الظاهر </w:t>
      </w:r>
      <w:r>
        <w:rPr>
          <w:rStyle w:val="FootnoteAnchor"/>
          <w:rtl w:val="true"/>
        </w:rPr>
        <w:footnoteReference w:id="158"/>
      </w:r>
      <w:r>
        <w:rPr>
          <w:rFonts w:ascii="Amiri" w:hAnsi="Amiri" w:eastAsia="Amiri" w:cs="Amiri"/>
          <w:color w:val="111111"/>
          <w:sz w:val="28"/>
          <w:sz w:val="28"/>
          <w:szCs w:val="28"/>
          <w:rtl w:val="true"/>
          <w:lang w:bidi="ar-SA"/>
        </w:rPr>
        <w:t xml:space="preserve">أنّ الرواية المزبورة ليست من طرق أصحابنا، و من هنا أنكرها بعضهم، و إنما هي من طرق العامة التي هي و نحوها خارج عن صنف الحجة من أخبار الآحاد، كما صرّح به بعضهم، و حكى عليه الشيخ الإجماع في العدة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هذا تعلم ما في الوجه الأول من دعوى استقامة الطريقة على عدم امتناع المريض، و عدم منع الغير له من فعل المنجّزات التبرعيّة، فإنّ السر فيه ما</w:t>
      </w:r>
    </w:p>
    <w:p>
      <w:pPr>
        <w:pStyle w:val="BookText"/>
        <w:rPr/>
      </w:pPr>
      <w:r>
        <w:rPr>
          <w:rFonts w:ascii="Amiri" w:hAnsi="Amiri" w:eastAsia="Amiri" w:cs="Amiri"/>
          <w:color w:val="111111"/>
          <w:sz w:val="28"/>
          <w:sz w:val="28"/>
          <w:szCs w:val="28"/>
          <w:rtl w:val="true"/>
          <w:lang w:bidi="ar-SA"/>
        </w:rPr>
        <w:t>ذكرناه من جواز تصرّف المريض ما دام حيا مطلقا، و عدم الحجر عليه في شي‌ء من تصرفاته بالنسبة إلى حكم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دعوى استقامة الطريقة على عدم ضبطه، و عدم الضبط عليه بطومار و نحوه، مما ذكر في الوجه الأول، فلا ينبغي التأمل في عدم دلالته على المختار، ضرورة أنه لا ملازمة بين القول الثاني و لزوم الضبط على المريض شرعا، فضلا عن لزومه على غيره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دلالة في السيرة المزبورة على بطلان دعوى عدم النفوذ إلّا من الثلث، كما يقوله الخصم بوجه من وجوه الدلالة،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ذكرتم من حصول الوجوه المزبورة من المرجّحات الشرعية و غيرها لأخبار القول المختار لا يفيدها رجحانا على معارضها من أخبار القول الثاني، لكون التعارض الواقع فيما بينهما بالعموم و الخصوص المطلقين، الذي لا ريب في أنه لا يلاحظ فيه المرجّحات الداخلية، فضلا عن المرجّحات الخارجية، بل المتعيّن فيه الأخذ بالخاص و طرح العام في محل التعارض و إن حصل للعام من المرجحات التي يرجّح بها في غير هذا القسم من أقسام التعارض ما فقده كلا أو بعضا الخاص، كما هو محرر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لمكان أخصيّة أخبار القول الثاني من أخبار المختار مطلقا، يلزم لما عرفت الأخذ بها، و طرح أخبار المختار، كما ستعرف ذلك عند ذكر أدلة الخصم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حكم التعارض بالوجه المزبور إنما يسلم في غير صورة ما إذا كان العام مقرونا بقرينة تمنع من إرادة التخصيص، و تؤكد إرادة الظاهر من العموم للحصة التي هي محل التعارض بينه و بين الخاص</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الصورة المفروضة فهو ممنوع، بل الحكم فيها إنما هو الحكم على العام و الخاص المتعارضين كليا من لزوم ملاحظة المرجّحات في تقديم أحدها على</w:t>
      </w:r>
    </w:p>
    <w:p>
      <w:pPr>
        <w:pStyle w:val="BookText"/>
        <w:rPr/>
      </w:pPr>
      <w:r>
        <w:rPr>
          <w:rFonts w:ascii="Amiri" w:hAnsi="Amiri" w:eastAsia="Amiri" w:cs="Amiri"/>
          <w:color w:val="111111"/>
          <w:sz w:val="28"/>
          <w:sz w:val="28"/>
          <w:szCs w:val="28"/>
          <w:rtl w:val="true"/>
          <w:lang w:bidi="ar-SA"/>
        </w:rPr>
        <w:t>الآخر، و ذلك لوضوح أنّ العام حينئذ إن لم يكن أقوى من الخاص في الدلالة على تلك الحصة، فلا يقصر عنه في ذلك، و دعوى انفهام التخصيص حينئذ عرفا ممنوعة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أنّ العام فيما نحن فيه من جزئيات الصورة المفروضة، و ذلك لما عرفت من اشتمال موثقة عمار الثانية خصوصا على رواية التهذيب </w:t>
      </w:r>
      <w:r>
        <w:rPr>
          <w:rStyle w:val="FootnoteAnchor"/>
          <w:rtl w:val="true"/>
        </w:rPr>
        <w:footnoteReference w:id="160"/>
      </w:r>
      <w:r>
        <w:rPr>
          <w:rFonts w:ascii="Amiri" w:hAnsi="Amiri" w:eastAsia="Amiri" w:cs="Amiri"/>
          <w:color w:val="111111"/>
          <w:sz w:val="28"/>
          <w:sz w:val="28"/>
          <w:szCs w:val="28"/>
          <w:rtl w:val="true"/>
          <w:lang w:bidi="ar-SA"/>
        </w:rPr>
        <w:t xml:space="preserve">، و خبر أبي بصير إذا كان بالزيادة التي في بعض طرق الكافي </w:t>
      </w:r>
      <w:r>
        <w:rPr>
          <w:rStyle w:val="FootnoteAnchor"/>
          <w:rtl w:val="true"/>
        </w:rPr>
        <w:footnoteReference w:id="161"/>
      </w:r>
      <w:r>
        <w:rPr>
          <w:rFonts w:ascii="Amiri" w:hAnsi="Amiri" w:eastAsia="Amiri" w:cs="Amiri"/>
          <w:color w:val="111111"/>
          <w:sz w:val="28"/>
          <w:sz w:val="28"/>
          <w:szCs w:val="28"/>
          <w:rtl w:val="true"/>
          <w:lang w:bidi="ar-SA"/>
        </w:rPr>
        <w:t>، على قرينة المقابلة التي لا ريب في أنها تمنع من كون المراد من لفظ المال الذي هو متعلّق الأحقية فيهما خصوص الثلث، و مساق الباقي من أخبار الأحقية و مساق الخبرين المزبورين واحد، خصوصا بعد ملاحظة خبري الإبانة و أخبار العتق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الغض عما سمعت نمنع من دعوى لزوم تقديم الخاص على العام مطلقا، بل يختص ذلك بالحال الغالب من أحوال الخاص و العام دون النادر منها، و هو ما إذا بلغ العام نهاية القوة دلالة و تعددا و اعتضادا بالعواضد الكثيرة المعتبرة، حتى يبلغ الخاص لفقده ذلك نهاية الضعف، كما هو الشأن في ما نحن فيه، كما لا يخفى على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اللازم في الحال المزبور، إسقاط الخاص و العمل بالعام، و من هنا عمل غير واحد من الأصحاب في نظير ما نحن فيه بالعام و تركوا الخاص في غير مقام، كما يطلعك على ذلك التتبع و السبر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هذا و سابقه ظاهر بعد التأمل جيدا</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الإحاطة بأطراف جميع ما ذكرناه في طريق الاحتجاج على ما اخترناه من القول الأول، لا يحتاج الناظر في المقام إلى النظر في حجة الخصم،</w:t>
      </w:r>
      <w:bookmarkStart w:id="57" w:name="pg19817_220586"/>
    </w:p>
    <w:p>
      <w:pPr>
        <w:pStyle w:val="BookText"/>
        <w:rPr/>
      </w:pPr>
      <w:bookmarkEnd w:id="57"/>
      <w:r>
        <w:rPr>
          <w:rFonts w:ascii="Amiri" w:hAnsi="Amiri" w:eastAsia="Amiri" w:cs="Amiri"/>
          <w:color w:val="111111"/>
          <w:sz w:val="28"/>
          <w:sz w:val="28"/>
          <w:szCs w:val="28"/>
          <w:rtl w:val="true"/>
          <w:lang w:bidi="ar-SA"/>
        </w:rPr>
        <w:t>خصوصا بعد العلم بانحصارها بالنصوص المروية عنهم عليهم السّلام، إذ ليس في الكتاب العزيز، و لا في طريق من طرق العقل ما يشهد لمقالة الخصم، كما انه لا سبيل إلى دعوى حصول الإجماع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لم يدّعه أحد ممن تكثرت منه دعواه في غير مقام سوى ما عرفت عن الغنية </w:t>
      </w:r>
      <w:r>
        <w:rPr>
          <w:rStyle w:val="FootnoteAnchor"/>
          <w:rtl w:val="true"/>
        </w:rPr>
        <w:footnoteReference w:id="163"/>
      </w:r>
      <w:r>
        <w:rPr>
          <w:rFonts w:ascii="Amiri" w:hAnsi="Amiri" w:eastAsia="Amiri" w:cs="Amiri"/>
          <w:color w:val="111111"/>
          <w:sz w:val="28"/>
          <w:sz w:val="28"/>
          <w:szCs w:val="28"/>
          <w:rtl w:val="true"/>
          <w:lang w:bidi="ar-SA"/>
        </w:rPr>
        <w:t>بالنسبة إلى العتق، الذي لا يخفى ما فيه بالنسبة إلى خصوص المقام، و مع ذلك كلّه فلا ينبغي ترك التعرّض لها لغاية زيادة البيان و كمال إيضاح البرهان على ضعف قول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فنقول</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2246382_2314609296"/>
      <w:bookmarkStart w:id="59" w:name="_Toc21"/>
      <w:bookmarkEnd w:id="58"/>
      <w:r>
        <w:rPr>
          <w:rtl w:val="true"/>
        </w:rPr>
        <w:t>احتجّ أهل القول الثاني بأقسام من الأخبار</w:t>
      </w:r>
      <w:r>
        <w:rPr>
          <w:rtl w:val="true"/>
        </w:rPr>
        <w:t>:</w:t>
      </w:r>
      <w:bookmarkEnd w:id="59"/>
    </w:p>
    <w:p>
      <w:pPr>
        <w:pStyle w:val="Heading4"/>
        <w:numPr>
          <w:ilvl w:val="3"/>
          <w:numId w:val="1"/>
        </w:numPr>
        <w:rPr/>
      </w:pPr>
      <w:bookmarkStart w:id="60" w:name="__RefHeading___Toc2246384_2314609296"/>
      <w:bookmarkStart w:id="61" w:name="_Toc22"/>
      <w:bookmarkEnd w:id="60"/>
      <w:r>
        <w:rPr>
          <w:rtl w:val="true"/>
        </w:rPr>
        <w:t>القسم الأول</w:t>
      </w:r>
      <w:bookmarkEnd w:id="61"/>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يعقوب بن شعيب </w:t>
      </w:r>
      <w:r>
        <w:rPr>
          <w:rStyle w:val="FootnoteAnchor"/>
          <w:rtl w:val="true"/>
        </w:rPr>
        <w:footnoteReference w:id="1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يموت ما له من ماله؟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ثلث ماله</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عبد اللّه بن سنان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ماله عند موته؟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ماله، و إن لم يوص فليس على الورثة إمضاؤه</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صحيح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ماله عند موته؟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 و الثلث كثير</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ذيل خبر العلاء بياع السابري </w:t>
      </w:r>
      <w:r>
        <w:rPr>
          <w:rStyle w:val="FootnoteAnchor"/>
          <w:rtl w:val="true"/>
        </w:rPr>
        <w:footnoteReference w:id="168"/>
      </w:r>
      <w:r>
        <w:rPr>
          <w:rFonts w:ascii="Amiri" w:hAnsi="Amiri" w:eastAsia="Amiri" w:cs="Amiri"/>
          <w:color w:val="111111"/>
          <w:sz w:val="28"/>
          <w:sz w:val="28"/>
          <w:szCs w:val="28"/>
          <w:rtl w:val="true"/>
          <w:lang w:bidi="ar-SA"/>
        </w:rPr>
        <w:t>عن الصادق عليه السّلام الوارد في قضية الامرأة، قال فيه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لها من مالها ثلثه</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الوجه في دلالة الأخبار المزبورة على مطلوب المستدل، هو أنها قد دلّت على نفي كون ما عدا الثلث من أموال الرجل الذي يموت، و الرجل عند موته له، بناء على ظهور كون المراد من كل من القيدين المزبورين المشرف على الموت، و وضوح أنّ النفي المزبور بعد ملاحظة ما هو معلوم من الاتفاق من عدم خروج شي‌ء من أموال الإنسان عن ملكه ما دامت فيه الروح، و صريح في إرادة عدم نفوذ تصرّفه بالنسبة إلى ما عدا الثلث، و إلّا لم يكن للنفي المزبور معنى، و هذا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لا يخفى عليك ما في دعوى دلالة هذه الأخبار على مطلوب الخصم، و ذلك لأنّ المعنى الذي بني عليه الاستدلال بها مجاز لا يصار إليه إلّا مع القرينة، و هي في المقام 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الدعوى الاولى، فلأنّ المتبادر من موارد الأخبار المزبورة إنما هو الرجل بعد موته، لا الرجل المشرف على الموت، و ذلك واضح في صحيح يعقوب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بعد تسليم الخصم عدم ارادة معنى الاستقبال من قوله، و لاقتضاء السياق ارادة المضي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الشأن في مورد باقي الأخبار المزبورة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 عند موته، و ذلك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مكان حضور المضاف إليه أو زمانه لغة، و عرفا، التي لا ينافيها ثبوت استعمال اللفظ المزبور في بعض الموارد في مكان مشارفة حضور المضاف إليه أو زمانه، لكون الاستعمال أعم من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الدعوى الثانية فواضحة، إذ ليس في الأخبار المزبورة، و لا في الخارج عنها ما يدل على ارادة المعنى الذي ذكروه من مواردها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تجشّم كون القرينة عليه الأخبار الآتية من أدلة الخصم، كما ترى، لوضوح عدم صلاحيتها لذلك، مع ما فيه من أنّ حمل الأخبار المزبورة على المعنى الذي ذكروه بملاحظة باقي أخبارهم، ليس بأولى من حملها على المعنى الذي ذكرناه، مع تقييدها بحال الوصية، بملاحظة ما مضى من أخبار الإبانة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يبعده الحمل على ما ذكروه من لزوم التجوّز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نفي كون ما عدا الثلث له، الظاهر في نفي الملك، الذي هو بملاحظة سبق ملكه له، بمعنى الخروج منه، و ذلك بحمله على معنى عدم نفوذ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الاحتياج إلى علاج كثير في تصحيح الاستدلال بها على وجه تطابق مذهب الخصم، و ذلك لمباينة عنوانها لعنوان مذهبه بالأخصية منه من حيث اختصاص عنوانها بحال مشارفة الموت، و بالأعمية منه من حيث إطلاق عنوانها بالنسبة إلى كونه مريضا، و كون التصرّف تبرعيا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فيحتاج المستدل إلى علاج يدفع الأول بضميمة عدم القول بالفصل، و دفع الثاني بالنسبة إلى صورة التنجيز بالنسبة إلى التقييدين معا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يظهر لك رجحان الحمل على المعنى الذي ذكرناه، إذ لا يلزم على تقديره شي‌ء مما ذكر و لا غيره، غير أنه على تقديره يجب حمل إطلاق المطلق منها بكون الثلث له على ما صرّح به في خبر ابن سنان </w:t>
      </w:r>
      <w:r>
        <w:rPr>
          <w:rStyle w:val="FootnoteAnchor"/>
          <w:rtl w:val="true"/>
        </w:rPr>
        <w:footnoteReference w:id="170"/>
      </w:r>
      <w:r>
        <w:rPr>
          <w:rFonts w:ascii="Amiri" w:hAnsi="Amiri" w:eastAsia="Amiri" w:cs="Amiri"/>
          <w:color w:val="111111"/>
          <w:sz w:val="28"/>
          <w:sz w:val="28"/>
          <w:szCs w:val="28"/>
          <w:rtl w:val="true"/>
          <w:lang w:bidi="ar-SA"/>
        </w:rPr>
        <w:t>من تقييد ذلك بحال الوصية به لا مطلقا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ذيل خبر العلاء </w:t>
      </w:r>
      <w:r>
        <w:rPr>
          <w:rStyle w:val="FootnoteAnchor"/>
          <w:rtl w:val="true"/>
        </w:rPr>
        <w:footnoteReference w:id="171"/>
      </w:r>
      <w:r>
        <w:rPr>
          <w:rFonts w:ascii="Amiri" w:hAnsi="Amiri" w:eastAsia="Amiri" w:cs="Amiri"/>
          <w:color w:val="111111"/>
          <w:sz w:val="28"/>
          <w:sz w:val="28"/>
          <w:szCs w:val="28"/>
          <w:rtl w:val="true"/>
          <w:lang w:bidi="ar-SA"/>
        </w:rPr>
        <w:t>فلا ينبغي إدراجه في طي أدلة محل النزاع، إذ هو</w:t>
      </w:r>
      <w:bookmarkStart w:id="62" w:name="pg19817_220589"/>
    </w:p>
    <w:p>
      <w:pPr>
        <w:pStyle w:val="BookText"/>
        <w:rPr/>
      </w:pPr>
      <w:bookmarkEnd w:id="62"/>
      <w:r>
        <w:rPr>
          <w:rFonts w:ascii="Amiri" w:hAnsi="Amiri" w:eastAsia="Amiri" w:cs="Amiri"/>
          <w:color w:val="111111"/>
          <w:sz w:val="28"/>
          <w:sz w:val="28"/>
          <w:szCs w:val="28"/>
          <w:rtl w:val="true"/>
          <w:lang w:bidi="ar-SA"/>
        </w:rPr>
        <w:t>من أدلة مسألة إقرار المريض، لاختصاصه سؤالا و جوابا بالامرأة التي أقرت عند حضور الموت بأنّ ما في يدها لغيرها، و لا ريب في خروج المسألة المزبورة عن موضع النزاع، و انه لا تلازم بينهما في حكم الخروج من الأصل أو الثلث، كما ستعرف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246386_2314609296"/>
      <w:bookmarkStart w:id="64" w:name="_Toc23"/>
      <w:bookmarkEnd w:id="63"/>
      <w:r>
        <w:rPr>
          <w:rtl w:val="true"/>
        </w:rPr>
        <w:t>القسم الثاني</w:t>
      </w:r>
      <w:bookmarkEnd w:id="64"/>
    </w:p>
    <w:p>
      <w:pPr>
        <w:pStyle w:val="BookText"/>
        <w:rPr/>
      </w:pPr>
      <w:r>
        <w:rPr>
          <w:rFonts w:ascii="Amiri" w:hAnsi="Amiri" w:eastAsia="Amiri" w:cs="Amiri"/>
          <w:color w:val="111111"/>
          <w:sz w:val="28"/>
          <w:sz w:val="28"/>
          <w:szCs w:val="28"/>
          <w:rtl w:val="true"/>
          <w:lang w:bidi="ar-SA"/>
        </w:rPr>
        <w:t>خبر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عطية الوالد لولده،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أعطاه في صحته جاز</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عطية الوالد لولده،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صحيحا فهو ماله يصنع به ما يشاء، فأما في مرضه فلا يصلح</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الرجل يكون لامرأته عليه الصداق فتبرئه منه في مرضها،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لامرأته عليه الصداق أو بعضه فتبرئه منه في مرضها،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لكنها إن وهبت له جاز ما وهبت له من ثلثها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رواية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يكون لامرأته عليه الدين فتبرئه منه في مرضها،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تهبه له، فتجوز</w:t>
      </w:r>
    </w:p>
    <w:p>
      <w:pPr>
        <w:pStyle w:val="BookText"/>
        <w:rPr/>
      </w:pPr>
      <w:r>
        <w:rPr>
          <w:rFonts w:ascii="Amiri" w:hAnsi="Amiri" w:eastAsia="Amiri" w:cs="Amiri"/>
          <w:color w:val="111111"/>
          <w:sz w:val="28"/>
          <w:sz w:val="28"/>
          <w:szCs w:val="28"/>
          <w:rtl w:val="true"/>
          <w:lang w:bidi="ar-SA"/>
        </w:rPr>
        <w:t>هبتها، و يحتسب ذلك من ثلثها إن كانت تركت شيئا</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على ما قيل من أقوى أدلة الخصم على مطلوبة، و ذلك لصراحة دلالة خبري الهبة على ذلك، و ظهور ما عداهما فيه من خبري العطية و أخبار الإبراء، بعد تنزيل إطلاق المنع في الجميع على المفصّل في خبري الهبة، مع كون الأخبار المزبورة أخص من أخبار القول الأول الذي لا ريب معه في لزوم تقديمها على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يندفع ما فيها من أخصيّة مدلولها من المدّعى بضميمة عدم القول بالفصل، كاندفاع ما في بعضها من ضعف السند بالاعتضاد بالحجية منها من الصحيح و الموثق، و بالشهرة بين المتأخرين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 لا يخفى عليك ما في هذه الأخبار من القصور عن إثبات مدّعى الخصم، و ذلك لما في خبر المدائني </w:t>
      </w:r>
      <w:r>
        <w:rPr>
          <w:rStyle w:val="FootnoteAnchor"/>
          <w:rtl w:val="true"/>
        </w:rPr>
        <w:footnoteReference w:id="177"/>
      </w:r>
      <w:r>
        <w:rPr>
          <w:rFonts w:ascii="Amiri" w:hAnsi="Amiri" w:eastAsia="Amiri" w:cs="Amiri"/>
          <w:color w:val="111111"/>
          <w:sz w:val="28"/>
          <w:sz w:val="28"/>
          <w:szCs w:val="28"/>
          <w:rtl w:val="true"/>
          <w:lang w:bidi="ar-SA"/>
        </w:rPr>
        <w:t xml:space="preserve">، و موثقة سماعة الاولى </w:t>
      </w:r>
      <w:r>
        <w:rPr>
          <w:rStyle w:val="FootnoteAnchor"/>
          <w:rtl w:val="true"/>
        </w:rPr>
        <w:footnoteReference w:id="178"/>
      </w:r>
      <w:r>
        <w:rPr>
          <w:rFonts w:ascii="Amiri" w:hAnsi="Amiri" w:eastAsia="Amiri" w:cs="Amiri"/>
          <w:color w:val="111111"/>
          <w:sz w:val="28"/>
          <w:sz w:val="28"/>
          <w:szCs w:val="28"/>
          <w:rtl w:val="true"/>
          <w:lang w:bidi="ar-SA"/>
        </w:rPr>
        <w:t xml:space="preserve">، و صحيح الحلبي </w:t>
      </w:r>
      <w:r>
        <w:rPr>
          <w:rStyle w:val="FootnoteAnchor"/>
          <w:rtl w:val="true"/>
        </w:rPr>
        <w:footnoteReference w:id="179"/>
      </w:r>
      <w:r>
        <w:rPr>
          <w:rFonts w:ascii="Amiri" w:hAnsi="Amiri" w:eastAsia="Amiri" w:cs="Amiri"/>
          <w:color w:val="111111"/>
          <w:sz w:val="28"/>
          <w:sz w:val="28"/>
          <w:szCs w:val="28"/>
          <w:rtl w:val="true"/>
          <w:lang w:bidi="ar-SA"/>
        </w:rPr>
        <w:t>من انتفاء القائل بها على ظهورها من المنع من العطية و الإبراء في حال المرض مطلقا، سواء زادت قيمة المعطى و قدر المبرإ منه على قدر الثلث أم لا، بل الاتفاق من الأصحاب قائم على عدمه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ذلك بدعوى الحمل لها على معنى أنه لا تصح العطية و البراءة من الأصل، و إنما يصحان من الثلث،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الحمل المزبور بعيد عن السياق، خصوصا بالنسبة إلى سياق خبري العطية، إذ لا تعرّض فيهما للأصل و الثلث، و إنما السؤال فيهما عن العطية بقول مطلق، و الجواب منه عليه السّلام بأنه في حال الصحة يفعل في ماله ما يشاء، و أما في حال المرض فليس له ذلك مع كون</w:t>
      </w:r>
    </w:p>
    <w:p>
      <w:pPr>
        <w:pStyle w:val="BookText"/>
        <w:rPr/>
      </w:pPr>
      <w:r>
        <w:rPr>
          <w:rFonts w:ascii="Amiri" w:hAnsi="Amiri" w:eastAsia="Amiri" w:cs="Amiri"/>
          <w:color w:val="111111"/>
          <w:sz w:val="28"/>
          <w:sz w:val="28"/>
          <w:szCs w:val="28"/>
          <w:rtl w:val="true"/>
          <w:lang w:bidi="ar-SA"/>
        </w:rPr>
        <w:t>المقام مقام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يجدي في مقام الاستدلال، ضرورة أنه لا يكفي مجرد الاحتمال، سيما إذا كان ذلك خلاف الظاهر، كما هو الشأن في المقام، لوضوح كون الحمل المزبور خلاف الظاهر من الأخبار المذكورة، مع انتفاء القرينة في الخارج و الداخل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موافقته لمدلول خبر الهبة لا يصلح لأن يكون قرينة، لوضوح أنّ ما بين مورد الخبرين المشار إليهما، و بين مورد خبري العطية، التباين الكلي، لا العموم و الخصوص المطلق، إلّا على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مع الغض عما في الخبرين المشار إليهما من القدح المانع عن اعتبارهما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ستعرف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الحمل المزبور للموافقة المزبورة بأولى من الحمل على ما يوافق مدلول أخبار الإبانة المتقدّمة، من كون المنع من العطية المنجّزة في حال المرض إذا كانت من غير إبانة و تسليم، كما حمل عليه الموثق من الخبرين المزبورين في التهذيب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عليه فلا يبعد أن يكون الوجه في إطلاق الجواز في حال الصحة، و إطلاق المنع في حال المرض غلبة التسليم في العطية في الحال الأول، و غلبة العدم في الحال الثاني، لمشغولية فكر المريض و عجزه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يبعّد الحمل المزبور في صحيح الحلبي منافاته لظاهر موثق سماعة </w:t>
      </w:r>
      <w:r>
        <w:rPr>
          <w:rStyle w:val="FootnoteAnchor"/>
          <w:rtl w:val="true"/>
        </w:rPr>
        <w:footnoteReference w:id="181"/>
      </w:r>
      <w:r>
        <w:rPr>
          <w:rFonts w:ascii="Amiri" w:hAnsi="Amiri" w:eastAsia="Amiri" w:cs="Amiri"/>
          <w:color w:val="111111"/>
          <w:sz w:val="28"/>
          <w:sz w:val="28"/>
          <w:szCs w:val="28"/>
          <w:rtl w:val="true"/>
          <w:lang w:bidi="ar-SA"/>
        </w:rPr>
        <w:t xml:space="preserve">، و خبر أبي ولّاد </w:t>
      </w:r>
      <w:r>
        <w:rPr>
          <w:rStyle w:val="FootnoteAnchor"/>
          <w:rtl w:val="true"/>
        </w:rPr>
        <w:footnoteReference w:id="182"/>
      </w:r>
      <w:r>
        <w:rPr>
          <w:rFonts w:ascii="Amiri" w:hAnsi="Amiri" w:eastAsia="Amiri" w:cs="Amiri"/>
          <w:color w:val="111111"/>
          <w:sz w:val="28"/>
          <w:sz w:val="28"/>
          <w:szCs w:val="28"/>
          <w:rtl w:val="true"/>
          <w:lang w:bidi="ar-SA"/>
        </w:rPr>
        <w:t>، من كون المنع من الإبراء في حال المرض مطلقا لا يختص بكونه من الأصل، بل حتى لو كان من الثلث، بقرينة تعقيب ذلك فيهما بتجويز الهبة و احتسابها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عدم تعيّن الحمل المزبور في الأخبار المزبورة، و ذلك لإمكان حمل المنع فيها على الكراهة، كما حمل عليه الموثق منها في التهذيب </w:t>
      </w:r>
      <w:r>
        <w:rPr>
          <w:rStyle w:val="FootnoteAnchor"/>
          <w:rtl w:val="true"/>
        </w:rPr>
        <w:footnoteReference w:id="183"/>
      </w:r>
      <w:r>
        <w:rPr>
          <w:rFonts w:ascii="Amiri" w:hAnsi="Amiri" w:eastAsia="Amiri" w:cs="Amiri"/>
          <w:color w:val="111111"/>
          <w:sz w:val="28"/>
          <w:sz w:val="28"/>
          <w:szCs w:val="28"/>
          <w:rtl w:val="true"/>
          <w:lang w:bidi="ar-SA"/>
        </w:rPr>
        <w:t xml:space="preserve">أيضا، الذي لا ريب في إمكانه في خبر المدائني </w:t>
      </w:r>
      <w:r>
        <w:rPr>
          <w:rStyle w:val="FootnoteAnchor"/>
          <w:rtl w:val="true"/>
        </w:rPr>
        <w:footnoteReference w:id="184"/>
      </w:r>
      <w:r>
        <w:rPr>
          <w:rFonts w:ascii="Amiri" w:hAnsi="Amiri" w:eastAsia="Amiri" w:cs="Amiri"/>
          <w:color w:val="111111"/>
          <w:sz w:val="28"/>
          <w:sz w:val="28"/>
          <w:szCs w:val="28"/>
          <w:rtl w:val="true"/>
          <w:lang w:bidi="ar-SA"/>
        </w:rPr>
        <w:t>، و ذلك بتقييد الجواز في العطية حال الصحة في منطوقه بقيد نفي الكراهة، فإنّ المفهوم يكون حينئذ الجواز في حال المرض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انه لا ريب في أولويته مما ذكروه إن لم يكن متعيّنا في موثقة سماعة </w:t>
      </w:r>
      <w:r>
        <w:rPr>
          <w:rStyle w:val="FootnoteAnchor"/>
          <w:rtl w:val="true"/>
        </w:rPr>
        <w:footnoteReference w:id="185"/>
      </w:r>
      <w:r>
        <w:rPr>
          <w:rFonts w:ascii="Amiri" w:hAnsi="Amiri" w:eastAsia="Amiri" w:cs="Amiri"/>
          <w:color w:val="111111"/>
          <w:sz w:val="28"/>
          <w:sz w:val="28"/>
          <w:szCs w:val="28"/>
          <w:rtl w:val="true"/>
          <w:lang w:bidi="ar-SA"/>
        </w:rPr>
        <w:t xml:space="preserve">، لكونه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فيها، و أقرب المجازات إلى الحقيقة و أشيعها استعمالا إن لم يكن هو الحقيقة في صيغة النهي الواقع في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العلّة في الحكم بالكراهة في المقام ما ذكره الشيخ قدّس سرّه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حمله الموثقة المزبورة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العطية حال المرض إضرارا بالورثة، و إيحاشا لهم بتخصيص أحدهم بالعطية </w:t>
      </w:r>
      <w:r>
        <w:rPr>
          <w:rStyle w:val="FootnoteAnchor"/>
          <w:rtl w:val="true"/>
        </w:rPr>
        <w:footnoteReference w:id="186"/>
      </w:r>
      <w:r>
        <w:rPr>
          <w:rFonts w:ascii="Amiri" w:hAnsi="Amiri" w:eastAsia="Amiri" w:cs="Amiri"/>
          <w:color w:val="111111"/>
          <w:sz w:val="28"/>
          <w:sz w:val="28"/>
          <w:szCs w:val="28"/>
          <w:rtl w:val="true"/>
          <w:lang w:bidi="ar-SA"/>
        </w:rPr>
        <w:t>، الذي لا ريب في جريانه في مورد خبر المدائني، و كذا في مورد الصحيح، من حيث كون الإبراء في معنى العطية، و الزوج من جملة الورثة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يقدح في صحة التعليل المزبور نفي الكراهة عن العطية، و ما في معناه في حال الصحة، لظهور عدم جريانه في العطية و ما في معناه إذا كانا في حال الصحة، و ذلك إما لعدم صدق الإضرار بالورثة في العرف بالعطية في الحالة المزبورة بخلاف حالة المرض، لكون المدار في صدق الإضرار و عدمه على تأهل المال لأن يكون للورثة بحسب الظن، أو بحسب الإقدام من المعطي كما في الحالة</w:t>
      </w:r>
    </w:p>
    <w:p>
      <w:pPr>
        <w:pStyle w:val="BookText"/>
        <w:rPr/>
      </w:pPr>
      <w:r>
        <w:rPr>
          <w:rFonts w:ascii="Amiri" w:hAnsi="Amiri" w:eastAsia="Amiri" w:cs="Amiri"/>
          <w:color w:val="111111"/>
          <w:sz w:val="28"/>
          <w:sz w:val="28"/>
          <w:szCs w:val="28"/>
          <w:rtl w:val="true"/>
          <w:lang w:bidi="ar-SA"/>
        </w:rPr>
        <w:t>الثانية، و عدم التأهل كذلك كما في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لكون المقصود من الإضرار في المقام ما يختص بالورثة بحسب ظاهر الإقدام، لا مطلقا، حتى لو كان الإقدام في العطية من المعطي على الإضرار بنفسه، كما في الحالة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الإيحاش للورثة لا يتحقق مع كون العطية لأحد الورثة في حال الصحة، كما لو كانت لغيرهم، فإنه لا يحصل من تصرفه بإعطاء و غيره في الحالة المزبورة وحشة أصلا، بخلاف ما لو وقع ذلك في حال المرض،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يتوجه على الحمل المزبور، و الحمل المتقدّم، ما اعترض به الفاضل الكاشاني على الشيخ رحمه اللّه، في ما حكيناه عنه في التهذيب من حمل الموثقة المزبورة على الوجهين المزبورين </w:t>
      </w:r>
      <w:r>
        <w:rPr>
          <w:rStyle w:val="FootnoteAnchor"/>
          <w:rtl w:val="true"/>
        </w:rPr>
        <w:footnoteReference w:id="187"/>
      </w:r>
      <w:r>
        <w:rPr>
          <w:rFonts w:ascii="Amiri" w:hAnsi="Amiri" w:eastAsia="Amiri" w:cs="Amiri"/>
          <w:color w:val="111111"/>
          <w:sz w:val="28"/>
          <w:sz w:val="28"/>
          <w:szCs w:val="28"/>
          <w:rtl w:val="true"/>
          <w:lang w:bidi="ar-SA"/>
        </w:rPr>
        <w:t>، حيث قال على ما حكي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التأويل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ينافيه ما مرّ من بعض الأخبار الدالة على تحريم الإضرار بالورثة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التأويل الثاني ينافيه ظاهر خبر جرّاح المدائني </w:t>
      </w:r>
      <w:r>
        <w:rPr>
          <w:rStyle w:val="FootnoteAnchor"/>
          <w:rtl w:val="true"/>
        </w:rPr>
        <w:footnoteReference w:id="188"/>
      </w:r>
      <w:r>
        <w:rPr>
          <w:rFonts w:ascii="Amiri" w:hAnsi="Amiri" w:eastAsia="Amiri" w:cs="Amiri"/>
          <w:color w:val="111111"/>
          <w:sz w:val="28"/>
          <w:sz w:val="28"/>
          <w:szCs w:val="28"/>
          <w:rtl w:val="true"/>
          <w:lang w:bidi="ar-SA"/>
        </w:rPr>
        <w:t>من الاقتصار في شرط الجواز على الصحة من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فالصواب أن نحمل هذه الأخبار على ظواهرها، و يخص المنع من العطية بمورده من خصوص الوارث، و سرّه ما ذكره الشيخ رحمه اللّه من الإيحاش، فإن فعل حسب ذلك من الثلث، كما تدل عليه الأخبار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كما ترى، و ذلك للمنع من دعوى حرمة الإضرار بالورثة، للأصل السالم عن المعارض، عدا ما أشار إليه من رواية مسعدة بن صدقة </w:t>
      </w:r>
      <w:r>
        <w:rPr>
          <w:rStyle w:val="FootnoteAnchor"/>
          <w:rtl w:val="true"/>
        </w:rPr>
        <w:footnoteReference w:id="189"/>
      </w:r>
      <w:r>
        <w:rPr>
          <w:rFonts w:ascii="Amiri" w:hAnsi="Amiri" w:eastAsia="Amiri" w:cs="Amiri"/>
          <w:color w:val="111111"/>
          <w:sz w:val="28"/>
          <w:sz w:val="28"/>
          <w:szCs w:val="28"/>
          <w:rtl w:val="true"/>
          <w:lang w:bidi="ar-SA"/>
        </w:rPr>
        <w:t>التي لا صراحة في دلالتها على التحريم، بل يمكن دعوى عدم ظهورها في ذلك، إذ</w:t>
      </w:r>
    </w:p>
    <w:p>
      <w:pPr>
        <w:pStyle w:val="BookText"/>
        <w:rPr/>
      </w:pPr>
      <w:r>
        <w:rPr>
          <w:rFonts w:ascii="Amiri" w:hAnsi="Amiri" w:eastAsia="Amiri" w:cs="Amiri"/>
          <w:color w:val="111111"/>
          <w:sz w:val="28"/>
          <w:sz w:val="28"/>
          <w:szCs w:val="28"/>
          <w:rtl w:val="true"/>
          <w:lang w:bidi="ar-SA"/>
        </w:rPr>
        <w:t>ليس فيها إلّا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علمت ما دفناه مع أهل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بعد القطع بعدم إرادة ظاهره من خروجه عن الإسلام حقيقة، جار على ما هو المعروف من طريقته صلّى اللّه عليه و آله، و طريقتهم عليهم السّلام من المبالغة في التحذير من المكروهات بما يلحقها بالمحرّمات، كما وقع منهم عليهم السّلام من المبالغة في الحث على المستحبات بما يلحقها بالواجبات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التسليم لدعوى ظهورها في ذلك، فلا ريب في عدم صلاحيتها لإثبات حكم مخالف للأصل، و لظاهر موثقة سماعة </w:t>
      </w:r>
      <w:r>
        <w:rPr>
          <w:rStyle w:val="FootnoteAnchor"/>
          <w:rtl w:val="true"/>
        </w:rPr>
        <w:footnoteReference w:id="190"/>
      </w:r>
      <w:r>
        <w:rPr>
          <w:rFonts w:ascii="Amiri" w:hAnsi="Amiri" w:eastAsia="Amiri" w:cs="Amiri"/>
          <w:color w:val="111111"/>
          <w:sz w:val="28"/>
          <w:sz w:val="28"/>
          <w:szCs w:val="28"/>
          <w:rtl w:val="true"/>
          <w:lang w:bidi="ar-SA"/>
        </w:rPr>
        <w:t>المتقدّمة في أدلة المختار، و الاتفاق من الأصحاب مع كونها 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تعلم ما في اعتراضه الأول، و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اعتراضه الثاني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يقدح في قبول التأويل مخالفة ظاهر مؤوّل، فضلا عن مخالفة ظاهر غيره إذا قضى به ضرورة الجمع بين الأخبار، و قام عليه شاهد من كلامهم عليهم السّلام، بل اللازم حينئذ تأويل الظاهر المخالف أيضا، كما هو الشأن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يخفى أنّ الشاهد على ذلك ما سمعت من أخبار الإبانة، لصراحتها بجواز العطية،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موثقة سماعة الثانية </w:t>
      </w:r>
      <w:r>
        <w:rPr>
          <w:rStyle w:val="FootnoteAnchor"/>
          <w:rtl w:val="true"/>
        </w:rPr>
        <w:footnoteReference w:id="191"/>
      </w:r>
      <w:r>
        <w:rPr>
          <w:rFonts w:ascii="Amiri" w:hAnsi="Amiri" w:eastAsia="Amiri" w:cs="Amiri"/>
          <w:color w:val="111111"/>
          <w:sz w:val="28"/>
          <w:sz w:val="28"/>
          <w:szCs w:val="28"/>
          <w:rtl w:val="true"/>
          <w:lang w:bidi="ar-SA"/>
        </w:rPr>
        <w:t xml:space="preserve">، و خبر أبي ولّاد </w:t>
      </w:r>
      <w:r>
        <w:rPr>
          <w:rStyle w:val="FootnoteAnchor"/>
          <w:rtl w:val="true"/>
        </w:rPr>
        <w:footnoteReference w:id="192"/>
      </w:r>
      <w:r>
        <w:rPr>
          <w:rFonts w:ascii="Amiri" w:hAnsi="Amiri" w:eastAsia="Amiri" w:cs="Amiri"/>
          <w:color w:val="111111"/>
          <w:sz w:val="28"/>
          <w:sz w:val="28"/>
          <w:szCs w:val="28"/>
          <w:rtl w:val="true"/>
          <w:lang w:bidi="ar-SA"/>
        </w:rPr>
        <w:t>، ففيهما ما في تلك من أنّ مضمونها من عدم صحة الإبراء مما في الذمة و صحة هبته، مما لا يقول به أحد، و ذلك لأنّ الإبراء مما في الذمة صحيح بالاتفاق دون هبته، فإنّ الحكم فيها إما بالعكس كما هو رأي جماعة، أو بمساواتها له في الصحة لا غير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دعوى دلالتها على ما ذكرنا من عدم صحة الإبراء مما في الذمة</w:t>
      </w:r>
    </w:p>
    <w:p>
      <w:pPr>
        <w:pStyle w:val="BookText"/>
        <w:rPr/>
      </w:pPr>
      <w:r>
        <w:rPr>
          <w:rFonts w:ascii="Amiri" w:hAnsi="Amiri" w:eastAsia="Amiri" w:cs="Amiri"/>
          <w:color w:val="111111"/>
          <w:sz w:val="28"/>
          <w:sz w:val="28"/>
          <w:szCs w:val="28"/>
          <w:rtl w:val="true"/>
          <w:lang w:bidi="ar-SA"/>
        </w:rPr>
        <w:t>واضحة بالنسبة إلى الموثقة المزبورة، و أما بالنسبة إلى خبر أبي ولّاد، فلأن ذلك هو المفهوم منه بمقتضى السياق، مضافا إلى ما يؤيده من قرينة قوله المتعرض لبيان الحكم فيه من الاحتساب من الثلث و عدمه، إذ لو كان جائزا عنده عليه السّلام كالهبة لكان أولى بالتعرّض لبيان الحكم فيه منها، لكونه المسؤول عنه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أنه ليس في بيانه عليه السّلام لحكم الهبة دلالة على بيان حكمه بوجه من وجوه الدلالة، و مشاركة لها في الجواز المدّعى دلالة الخبر عليه لا يدل على مشاركته لها في الحكم المذكور لها في الخبر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يشهد لما قلناه ثبوت المنع من الإبراء فقط، كما في صحيح الحلبي </w:t>
      </w:r>
      <w:r>
        <w:rPr>
          <w:rStyle w:val="FootnoteAnchor"/>
          <w:rtl w:val="true"/>
        </w:rPr>
        <w:footnoteReference w:id="193"/>
      </w:r>
      <w:r>
        <w:rPr>
          <w:rFonts w:ascii="Amiri" w:hAnsi="Amiri" w:eastAsia="Amiri" w:cs="Amiri"/>
          <w:color w:val="111111"/>
          <w:sz w:val="28"/>
          <w:sz w:val="28"/>
          <w:szCs w:val="28"/>
          <w:rtl w:val="true"/>
          <w:lang w:bidi="ar-SA"/>
        </w:rPr>
        <w:t xml:space="preserve">، أو مع النصّ على جواز الهبة، كما في الموثقة المزبورة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هذا تعلم ما في دعوى كون الإضراب في الخبر المزبور للترقّي،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يدفع القدح في الروايتين المزبورتين بما قلناه ما تكلّفه بعض الأصحاب لدفعه، من دعوى أنّ الإمام عليه السّلام كان يعلم أنّ حق المرأة لم يتعلّق بذمة الزوج، و إنما كان عينا موجودة، فلذلك منع عليه السّلام من الإبراء، لكونه لا يقع على الأعيان، و أمر بالهبة لكونها تقع عليها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كما ترى، و ذلك لامتناع ما ذكره من الوجه في خبر أبي ولّاد </w:t>
      </w:r>
      <w:r>
        <w:rPr>
          <w:rStyle w:val="FootnoteAnchor"/>
          <w:rtl w:val="true"/>
        </w:rPr>
        <w:footnoteReference w:id="195"/>
      </w:r>
      <w:r>
        <w:rPr>
          <w:rFonts w:ascii="Amiri" w:hAnsi="Amiri" w:eastAsia="Amiri" w:cs="Amiri"/>
          <w:color w:val="111111"/>
          <w:sz w:val="28"/>
          <w:sz w:val="28"/>
          <w:szCs w:val="28"/>
          <w:rtl w:val="true"/>
          <w:lang w:bidi="ar-SA"/>
        </w:rPr>
        <w:t>، فإنّ السؤال فيه إنما هو عن الإبراء عن الدين، و لمخالفته للظاهر بما في الموثقة، ضرورة أنّ الظاهر من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يكون عليه لامرأته الصداق أو بعضه، أنّ الصداق في ذمة الزوج، لا أنه عين موجودة، و إلّا لقال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يمكن دفعه بوجه آخر، و هو أنّ الإمام عليه السّلام كان قد علم أنّ الإبراء المسؤول عنه كان من الزوجة معلّقا على الموت، و لو من ملاحظة المعلوم من عادة غالب النساء من أنهن لا يسمحن بإبراء الزوج عن الصداق ماد من في حال الحياة، لتعلّق غرض لهن في بقائه في ذمته، و إن سمحن بذلك فإنما يسمحن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مراده عليه السّلام من الهبة التي جوّزها هي الهبة المعلّقة على الموت أيضا، و حينئذ فمنعه عليه السّلام من الإبراء و إن كان قد تعلّق بما في الذمة، إنما هو لعدم صحة إبراء على الحقيقة، و عدم تأديته معه معنى الوصية، بخلاف الهبة المعلّقة فإنها و إن كانت لا تصح هبة على وجه الحقيقة مع التعليق، إلّا أنها معه تفيد معنى الوصية عرفا، فتصح حينئذ وصية، إذ لا يعتبر فيها لفظ مخصوص، بل يكفي فيها كل لفظ دال على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الوجه، فلا دلالة في الخبرين على مطلوب المستدل بوجه،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دفع القدح المزبور في الخبرين، مع عدم خروجهما عن الدلالة على مطلوبه، بناء على احتمال عموم جواز الرجوع في الهبة مطلقا، حتى لو وقعت على ما في الذمة، الذي لم نعثر على قائل به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القول بعدم لزوم هبة أحد الزوجين للآخر، فإنه على تقدير هما يمكن أن يكون غرضه عليه السّلام من النهي عن الإبراء و الأمر بالهبة، الإرشاد إلى مصلحة دنيوية بالنسبة إلى الزوجة، بمقتضى العادة في الغالب من النساء، من تعلّق غرض لهن في بقاء الصداق في ذمة الزوج ما دمن في الحياة، على معنى أنه لا ينبغي للزوجة في حال المرض إبراء الزوج من صداقها، لأنّه يفوّت معه غرضها مطلقا، المعلوم ثبوت كونه غرضا لها، بملاحظة ما أشرنا إليه لو برأت من المرض، لأنه لازم لا يمكن الرجوع به، و إنما الذي ينبغي لها حينئذ أن تهبه له،</w:t>
      </w:r>
      <w:bookmarkStart w:id="65" w:name="pg19817_220597"/>
    </w:p>
    <w:p>
      <w:pPr>
        <w:pStyle w:val="BookText"/>
        <w:rPr/>
      </w:pPr>
      <w:bookmarkEnd w:id="65"/>
      <w:r>
        <w:rPr>
          <w:rFonts w:ascii="Amiri" w:hAnsi="Amiri" w:eastAsia="Amiri" w:cs="Amiri"/>
          <w:color w:val="111111"/>
          <w:sz w:val="28"/>
          <w:sz w:val="28"/>
          <w:szCs w:val="28"/>
          <w:rtl w:val="true"/>
          <w:lang w:bidi="ar-SA"/>
        </w:rPr>
        <w:t>لأن الهبة لمكان جواز الرجوع بها لا يفوت معها الغرض المزبور لو فرض برؤها من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الوجه كما ترى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ما في جميع أخبار هذا القسم من كون الثابت بها أخص من 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دعوى تتميم دلالتها عليه بضميمة عدم القول بالفصل، لا تتم بدون حصول القطع، بالإجماع المركب في المقام، الذي هو كما لا يخفى غير حاصل في هذا المقام، خصوصا و القول بالفرق بالنسبة إلى بعض أفراد محل النزاع متحقق، كما سمعت عن الغنية من القول بالفرق بين الهبة و العتق من أنها تنفذ من الأصل، و هو لا ينفذ إلّا من الثالث، مدعيا الإجماع في المقامين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ما في الضعيف منها من انتفاء الجابر له، إذ ليس في المقام إلّا الشهرة بين المتأخرين الذي قد عرفت الحال فيها من عدم إفادتها الظن هنا، فلا يحصل بواسطتها التبيّن الذي عليه المدار في قبول خبر غير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يرفع عنه ضيما موافقة الموثق، لكونه بما عرفت من تحقق القدح في نفسه مع معارضته بما مرّ من أدلة المختار ساقطا عن درجة الاعتبار، فلا يفيد اعتبارا لغيره، كما لا يخفى</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2246388_2314609296"/>
      <w:bookmarkStart w:id="67" w:name="_Toc24"/>
      <w:bookmarkEnd w:id="66"/>
      <w:r>
        <w:rPr>
          <w:rtl w:val="true"/>
        </w:rPr>
        <w:t>القسم الثالث</w:t>
      </w:r>
      <w:bookmarkEnd w:id="6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علي بن عقبة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حضره الموت فأعتق مملوكا ليس له غيره، فأبى الورثة أن يجيزوا ذلك،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يعتق منه إلّا الثلث، و سائر ذلك الورثة أحق به و لهم ما بقي</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السكوني عن أبي جعفر عليه السّلام، عن أبيه عليه السّلام،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أعتق عبدا عند موته ليس له مال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يستسعى في ثلثي قيمته للورثة</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في المسالك عن صحاح الجمهور،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أجود ما في الباب متنا و سندا، و من ادعى خلاف ذلك فالسيرة تردّه، و هو أنّ رجلا من الأنصار أعتق ستة أعبد له في مرضه لا مال له غيرهم، فاستدعاهم رسول اللّه صلّى اللّه عليه و آله فجزّأهم ثلاثة أجزاء و أقرع بينهم، فأعتق اثنين و أرقّ أربعة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كما ترى واضحة الدلالة على ما تضمّنته من بعض مطلوب الخصم على وجه لا يتوجه إليها شائبة قدح في ذلك، و لكن لا يخفى عليك ما فيها مما يمنع من الاستناد إليها في إثبات دعوى الخصم،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جميعها من ضعف السند، مع عدم الجابر لها في المقام، إذ ليس فيه مما يتخيّل صلاحيته لذلك، إلّا الشهرة بين المتأخرين، التي قد عرفت الحال فيها في خصوص المقام، فلا نعيده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أنه لو سلّم وجود الجابر لها، فإنما ينفع بالنسبة إلى ما عدا النبوي منها، و أما هو فلا تفيده ذلك فائدة، لما عرفت من حال خبر الواحد الذي انفرد</w:t>
      </w:r>
    </w:p>
    <w:p>
      <w:pPr>
        <w:pStyle w:val="BookText"/>
        <w:rPr/>
      </w:pPr>
      <w:r>
        <w:rPr>
          <w:rFonts w:ascii="Amiri" w:hAnsi="Amiri" w:eastAsia="Amiri" w:cs="Amiri"/>
          <w:color w:val="111111"/>
          <w:sz w:val="28"/>
          <w:sz w:val="28"/>
          <w:szCs w:val="28"/>
          <w:rtl w:val="true"/>
          <w:lang w:bidi="ar-SA"/>
        </w:rPr>
        <w:t>العامي بروايته و لم يكن مرويا من طرق أصحابنا، من أنه ليس من صنف الحجة من خبر الواحد، و كونه مرويا في صحاح الجمهور لا يغنيه غنى، بحيث يخرجه عن العنوان الذي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تعرف ما في المسالك </w:t>
      </w:r>
      <w:r>
        <w:rPr>
          <w:rStyle w:val="FootnoteAnchor"/>
          <w:rtl w:val="true"/>
        </w:rPr>
        <w:footnoteReference w:id="200"/>
      </w:r>
      <w:r>
        <w:rPr>
          <w:rFonts w:ascii="Amiri" w:hAnsi="Amiri" w:eastAsia="Amiri" w:cs="Amiri"/>
          <w:color w:val="111111"/>
          <w:sz w:val="28"/>
          <w:sz w:val="28"/>
          <w:szCs w:val="28"/>
          <w:rtl w:val="true"/>
          <w:lang w:bidi="ar-SA"/>
        </w:rPr>
        <w:t>مما ذكرنا سابقا من أنه أجود ما في الباب متنا و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جميعها أيضا من القصور عن افادة تمام مدّعى الخصم، ضرورة أنّ ما تضمنته إنما هو بعض أفراد محل النزاع، و هو خصوص العتق من المريض إذا لم يكن له مال غير من تعلّق به الإعتاق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فيبقى ما عدا ذلك من محل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خصوص العتق من المريض مع فرض وجود مال له غير من تعلّق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خاليا من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تتميم دلالتها على تمام المدّعى بضميمة عدم القول بالفصل، قد عرفت ما فيها في القسم السابق على هذا القسم من أخبار الخصم، فلا حاجة إلى الإعادة، كوضوح بطلان دعوى دلالتها عليه من طريق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بدعوى كون الخارج عنها من محل النزاع أولى بثبوت الحكم الذي اشتملت عليه فيه مما ذكرته، و هو العتق، لكونه في الشرع مبنيّا على التغليب دون الخارج من أفراد محل النزاع، فإنّ ابتناءه في الشرع على الوصف المزبور مما يكشف عن كونه أقوى في الوقوع و الثبوت فيما تعلّق به من سائر الأسباب الشرعية مما لم يكن في الشرع مبنيّا على الوصف المزبور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فإبطاله في حال من الأحوال، لعارض من العوارض، يدل على إبطال ما دونه في ذلك الحال بالعارض الذي أبطله بطريق أولى، فإنّ الدعوى</w:t>
      </w:r>
    </w:p>
    <w:p>
      <w:pPr>
        <w:pStyle w:val="BookText"/>
        <w:rPr/>
      </w:pPr>
      <w:r>
        <w:rPr>
          <w:rFonts w:ascii="Amiri" w:hAnsi="Amiri" w:eastAsia="Amiri" w:cs="Amiri"/>
          <w:color w:val="111111"/>
          <w:sz w:val="28"/>
          <w:sz w:val="28"/>
          <w:szCs w:val="28"/>
          <w:rtl w:val="true"/>
          <w:lang w:bidi="ar-SA"/>
        </w:rPr>
        <w:t>المزبورة كما ترى بمكانة لا يخفى عليك توجّه القدح إليها، و ذلك للمنع من كون العتق الواقع في الأخبار المزبورة و نحوه من كل عتق وقع، مع كون المعتق ليس له مال سوى من تعلّق به عتقه من العتق المبني على التغليب، إن كان مرادهم من التغليب في العتق معنى السراية، حيث يقع على شقص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أنّ العتق الواقع على الوجه المزبور في هذه الروايات لا يسري إلى غير محلّه لو وقع على حال قابل للسراية، كأن يقع من المريض مع الوجه المفروض على شقص من العبد كالثلث، فإنه لا ريب في عدم سرايته حينئذ، ضرورة انتفاء شرطها من وجود مال للمعتق غير المستثنيات، بقدر قيمة ما يسري إليه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مرادهم من التغليب غير ما ذكرناه، من أنّ العتق متى وقع على محل صح و ثبت فيه و إن استلزمت صحته و ثبوته فيه إسقاط حق للغير ثابت له بسبب من الأسباب، من غير بدل شرعي، كما هو الشأن في مقام السراية من جعل القيمة بدلا من حق المالك، منعنا ثبوت ذلك في الشرع للعتق، لعدم دليل عليه، بل الدليل قائم على بطلانه مع الاستلزام المذكور،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لا يصحّ العتق للعبد المرهون مع ردّ المرتهن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العتق للعبد الجاني عمدا جناية تستغرق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إن كان مرادهم منه تقديم العتق على غيره من الأسباب الشرعية، حيث يتواردان معا على محل واحد، كبيع أو وقف مثلا صدر من أحد الوكيلين على عبد، مع صدور العتق من الوكيل الآخر في زمان واحد، لعدم ما ينهض على ذلك من الأدلة الشرعية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لكن مع التسليم لما منعناه، فلا ريب في أنّ الدعوى المزبورة إنما تتم مع دلالة المعتمد من الأخبار المزبورة على بطلان العتق بالنسبة إلى ما زاد على</w:t>
      </w:r>
    </w:p>
    <w:p>
      <w:pPr>
        <w:pStyle w:val="BookText"/>
        <w:rPr/>
      </w:pPr>
      <w:r>
        <w:rPr>
          <w:rFonts w:ascii="Amiri" w:hAnsi="Amiri" w:eastAsia="Amiri" w:cs="Amiri"/>
          <w:color w:val="111111"/>
          <w:sz w:val="28"/>
          <w:sz w:val="28"/>
          <w:szCs w:val="28"/>
          <w:rtl w:val="true"/>
          <w:lang w:bidi="ar-SA"/>
        </w:rPr>
        <w:t xml:space="preserve">الثلث، و ذلك ممنوع على مدّعية، ضرورة صراحة رواية السكوني </w:t>
      </w:r>
      <w:r>
        <w:rPr>
          <w:rStyle w:val="FootnoteAnchor"/>
          <w:rtl w:val="true"/>
        </w:rPr>
        <w:footnoteReference w:id="201"/>
      </w:r>
      <w:r>
        <w:rPr>
          <w:rFonts w:ascii="Amiri" w:hAnsi="Amiri" w:eastAsia="Amiri" w:cs="Amiri"/>
          <w:color w:val="111111"/>
          <w:sz w:val="28"/>
          <w:sz w:val="28"/>
          <w:szCs w:val="28"/>
          <w:rtl w:val="true"/>
          <w:lang w:bidi="ar-SA"/>
        </w:rPr>
        <w:t xml:space="preserve">بصحته في الجميع، و لكنه يستعى العبد بقيمة قدر حصة الورثة منه، كتصريح بعض الأصحاب من أهل القول الثاني كالعلّامة في التحرير </w:t>
      </w:r>
      <w:r>
        <w:rPr>
          <w:rStyle w:val="FootnoteAnchor"/>
          <w:rtl w:val="true"/>
        </w:rPr>
        <w:footnoteReference w:id="202"/>
      </w:r>
      <w:r>
        <w:rPr>
          <w:rFonts w:ascii="Amiri" w:hAnsi="Amiri" w:eastAsia="Amiri" w:cs="Amiri"/>
          <w:color w:val="111111"/>
          <w:sz w:val="28"/>
          <w:sz w:val="28"/>
          <w:szCs w:val="28"/>
          <w:rtl w:val="true"/>
          <w:lang w:bidi="ar-SA"/>
        </w:rPr>
        <w:t xml:space="preserve">، بل لعلّ الاقتصار الواقع في الحدائق على حكاية هذا قولا، و الآخر القول بالنفوذ على الورثة مجانا في الموضع المفروض في الروايتين </w:t>
      </w:r>
      <w:r>
        <w:rPr>
          <w:rStyle w:val="FootnoteAnchor"/>
          <w:rtl w:val="true"/>
        </w:rPr>
        <w:footnoteReference w:id="203"/>
      </w:r>
      <w:r>
        <w:rPr>
          <w:rFonts w:ascii="Amiri" w:hAnsi="Amiri" w:eastAsia="Amiri" w:cs="Amiri"/>
          <w:color w:val="111111"/>
          <w:sz w:val="28"/>
          <w:sz w:val="28"/>
          <w:szCs w:val="28"/>
          <w:rtl w:val="true"/>
          <w:lang w:bidi="ar-SA"/>
        </w:rPr>
        <w:t xml:space="preserve">، فيه دلالة على انتفاء القول بالبطلان فيما زاد على الثلث أصلا و رأسا، و لكن الظاهر من العلّامة في القواعد </w:t>
      </w:r>
      <w:r>
        <w:rPr>
          <w:rStyle w:val="FootnoteAnchor"/>
          <w:rtl w:val="true"/>
        </w:rPr>
        <w:footnoteReference w:id="204"/>
      </w:r>
      <w:r>
        <w:rPr>
          <w:rFonts w:ascii="IRNazanin" w:hAnsi="IRNazanin" w:eastAsia="IRNazanin"/>
          <w:color w:val="111111"/>
          <w:sz w:val="28"/>
          <w:sz w:val="28"/>
          <w:szCs w:val="28"/>
          <w:rtl w:val="true"/>
          <w:lang w:bidi="fa-IR"/>
        </w:rPr>
        <w:t>القول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رواية ابن عقبة </w:t>
      </w:r>
      <w:r>
        <w:rPr>
          <w:rStyle w:val="FootnoteAnchor"/>
          <w:rtl w:val="true"/>
        </w:rPr>
        <w:footnoteReference w:id="205"/>
      </w:r>
      <w:r>
        <w:rPr>
          <w:rFonts w:ascii="Amiri" w:hAnsi="Amiri" w:eastAsia="Amiri" w:cs="Amiri"/>
          <w:color w:val="111111"/>
          <w:sz w:val="28"/>
          <w:sz w:val="28"/>
          <w:szCs w:val="28"/>
          <w:rtl w:val="true"/>
          <w:lang w:bidi="ar-SA"/>
        </w:rPr>
        <w:t xml:space="preserve">لا تأبى الحمل على ما يوافق رواية السكوني </w:t>
      </w:r>
      <w:r>
        <w:rPr>
          <w:rStyle w:val="FootnoteAnchor"/>
          <w:rtl w:val="true"/>
        </w:rPr>
        <w:footnoteReference w:id="206"/>
      </w:r>
      <w:r>
        <w:rPr>
          <w:rFonts w:ascii="Amiri" w:hAnsi="Amiri" w:eastAsia="Amiri" w:cs="Amiri"/>
          <w:color w:val="111111"/>
          <w:sz w:val="28"/>
          <w:sz w:val="28"/>
          <w:szCs w:val="28"/>
          <w:rtl w:val="true"/>
          <w:lang w:bidi="ar-SA"/>
        </w:rPr>
        <w:t>، و ذلك لإمكان حمل ما فيها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لهم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القيمة لا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ينافيه قوله عليه السّلام قبله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سائر ذلك الورثة أحق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ما قبلها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يعتق منه إلّا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أنه ما يعتق منه مجانا، و الشاهد على ذلك رواية السكوني، و قاعدة ابتناء العتق على التغليب، التي لهجت بها ألسنتهم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التسليم لدلالة الأخبار المزبورة على بطلان العتق فيما عدا الثلث أصلا و رأسا، فإنّا نمنع من دعوى ثبوت الأولوية من ملاحظة ثبوت ابتناء العتق شرعا على التغليب، بناء على ما عرفت من أنّ القدر الثابت للعتق شرعا إنما هو</w:t>
      </w:r>
    </w:p>
    <w:p>
      <w:pPr>
        <w:pStyle w:val="BookText"/>
        <w:rPr/>
      </w:pPr>
      <w:r>
        <w:rPr>
          <w:rFonts w:ascii="Amiri" w:hAnsi="Amiri" w:eastAsia="Amiri" w:cs="Amiri"/>
          <w:color w:val="111111"/>
          <w:sz w:val="28"/>
          <w:sz w:val="28"/>
          <w:szCs w:val="28"/>
          <w:rtl w:val="true"/>
          <w:lang w:bidi="ar-SA"/>
        </w:rPr>
        <w:t>التغليب بمعنى السراية،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فالوجه في المنع هو وضوح أنّ ثبوت التغليب له بالمعنى المزبور لا يفيد كونه أقوى من غيره، مما لم يكن من الأسباب مبنيا على الوصف المزبور، بل ذلك حكم شرعي تعبّدي، لا يكشف ثبوته عن قوة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اختصت السراية في موضع خاص، و هو ما اجتمع فيه الشرائط الخاصة التي ذكروها في 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الحكم من الشارع بتعدّي أثر السبب إلى غير محلّه، لا يدل بوجه من وجوه الدلالة على كون ذلك السبب أقوى بالنسبة إلى كل سبب لم يثبت من الشارع تعدّيه إلى غير محلّه، كما هو واضح، ضرورة أنّ ثبوت الحكم المزبور بسبب من الأسباب يجري مجرى تعدّي البيع إلى الثمر قبل التأبير، و نحوه مما حكم الشارع فيه بالتبعية، لما وقع عليه من السبب في تعلّق أثر ذلك السبب به، كتعلّقه بالمتبوع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يعتبر في صحة قياس الأولوية مع زيادة الفرع على الأصل، بكون الوصف الذي ظهر كونه علّة للحكم فيه أشد منه في الأصل، مساواة ذلك الفرع للأصل في جميع أوصافه التي ثبت معها الحكم فيه، مما يحتمل أن يكون له مدخلية في عليّة الحكم الثابت له، أي للأصل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فمع تسليم دعوى الأولوية في المقام، فإنما يمكن دعواها هنا بالنسبة إلى ما يساوي العتق الذي ذكرته الروايات من المنجّزات في جميع أوصافه، التي ثبت معها الحكم ببطلانه فيما زاد على الثلث، التي منها كون المريض لا مال له غير من تعلّق به الإعتاق، الذي لا ريب في إمكان احتمال كونه له مدخلية في عليّة الحكم المزبور لما يلزم مع فرضه من تحقق شدّة الإضرار و الإجحاف بالورثة، التي لا ريب في انتفائها مع وجود مال آخر للمريض، ضرورة إمكان كون الوصف المزبور مفسدة، منع الشارع من نفوذ العتق حينئذ، حذرا من</w:t>
      </w:r>
    </w:p>
    <w:p>
      <w:pPr>
        <w:pStyle w:val="BookText"/>
        <w:rPr/>
      </w:pPr>
      <w:r>
        <w:rPr>
          <w:rFonts w:ascii="Amiri" w:hAnsi="Amiri" w:eastAsia="Amiri" w:cs="Amiri"/>
          <w:color w:val="111111"/>
          <w:sz w:val="28"/>
          <w:sz w:val="28"/>
          <w:szCs w:val="28"/>
          <w:rtl w:val="true"/>
          <w:lang w:bidi="ar-SA"/>
        </w:rPr>
        <w:t>لحوقها لعباده لو لم يمنع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فلا يدخل في دلالة الأخبار المزبورة بملاحظة الأولوية المدّعاة في المقام، إلّا ما وقع من المنجّزات تبرعا، مع عدم وجود مال للمريض غير ما تعلّق به تصرّفه المنجّز لا غير، بل يمكن أن يقال باختصاص الأولوية المدعاة بالنسبة إلى ما كان من المنجّزات عبادة، مع اعتبار الوصف الأول دون ما عدا ذلك منها، و ذلك لإمكان أن يكون علّة الحكم في العتق المفروض في الروايات هي منافاة وصف شدة الإضرار و الإجحاف لوصف العبادية فيه، التي لا ينبغي الريب في تحققها مع القصد في العتق إلى ذلك، فتأمّل و أعط النظر حقه و 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فيها أجمع من كونها معارضة بما عرفت من أدلة المختار، التي قد عرفت كونها أقوى من جميع أدلة الخصم، فضلا عن هذه الأخبار منفردة عن غيرها من وجوه كثيرة من وجوه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أنك قد عرفت أنّ دعوى أخصيتها من أخبار المختار لا يدفع عنها ضيما، فإنّ اللائق بها حملها على ما يخرجها عن وصف معارضة أدلة المختار، الموجب لطرحها لو لم يكن هناك منه مناص، و ذلك بحملها على ما حمل عليه في المسالك رواية ابن عقبة من كون المراد من العتق فيها الوصية به </w:t>
      </w:r>
      <w:r>
        <w:rPr>
          <w:rStyle w:val="FootnoteAnchor"/>
          <w:rtl w:val="true"/>
        </w:rPr>
        <w:footnoteReference w:id="207"/>
      </w:r>
      <w:r>
        <w:rPr>
          <w:rFonts w:ascii="Amiri" w:hAnsi="Amiri" w:eastAsia="Amiri" w:cs="Amiri"/>
          <w:color w:val="111111"/>
          <w:sz w:val="28"/>
          <w:sz w:val="28"/>
          <w:szCs w:val="28"/>
          <w:rtl w:val="true"/>
          <w:lang w:bidi="ar-SA"/>
        </w:rPr>
        <w:t>، كما لعلّه يومى‌ء إليه قوله عليه السّلام في الرواية المزبورة في الجواب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يعتق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ينعتق منه،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يشهد للحمل المزبور وقوع مثل ذلك في أخبارهم عليهم السّلام على وجه لا يبعد معه دعوى كونه شائعا في عرفهم عليهم السّلام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الأخبار المشار إليها خبر عبد الرحمن بن أبي عبد اللّه عن أبي عبد اللّه</w:t>
      </w:r>
    </w:p>
    <w:p>
      <w:pPr>
        <w:pStyle w:val="BookText"/>
        <w:rPr/>
      </w:pP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أصل الوصية أن يعتق الرجل ما شاء، و يمضي ما يشاء، و يسترق من كان أعتق، و يعتق من كان استرق</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عبد الرحمن بن سيابة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الرجل فأوصى بوصية عتق أو تصدّق، فإنه يرد ما أعتق و 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ما أعتق و تصدّق، إذا أوصى على وجه معروف و حق هو جائز</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ذلك لأنّ الإعتاق في الخبر الأول في موضعين، و في كل من الخبرين الأخيرين في موضع، و كذا التصدّق فيهما بمعنى الوصية به،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الرحمن الطويلة </w:t>
      </w:r>
      <w:r>
        <w:rPr>
          <w:rStyle w:val="FootnoteAnchor"/>
          <w:rtl w:val="true"/>
        </w:rPr>
        <w:footnoteReference w:id="211"/>
      </w:r>
      <w:r>
        <w:rPr>
          <w:rFonts w:ascii="IRNazanin" w:hAnsi="IRNazanin" w:eastAsia="IRNazanin"/>
          <w:color w:val="111111"/>
          <w:sz w:val="28"/>
          <w:sz w:val="28"/>
          <w:szCs w:val="28"/>
          <w:rtl w:val="true"/>
          <w:lang w:bidi="fa-IR"/>
        </w:rPr>
        <w:t>، على ما ستعرف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ينافيه نسبته فيها إلى المريض، لجواز كونها باعتبار كونه السبب القوي فيه من جهة ايصائه به، إذ لا ريب في جواز نسبة الفعل إليه كالمباشر و إن اختلفا من وجه آخر، كما يرشد إليه وقوعه في كلام الأصحاب</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لعلّك مما ذكرناه في وجه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الحمل المزبور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 حمل الروايات على التدبير أولى فيها من الحمل المزبور، و ذلك لأنّ نسبة العتق إلى المريض على تقديره نسبة إلى الفاعل المباشر، لا إلى السبب، كما هو اللازم على تقدير الحمل المزبور، و عدم التعرّض في الكتاب المذكور للحمل المزبور في الخبر النبوي، لمكان خلوّه مما ذكر في ذلك الكتاب من علّة الحمل المزبور في رواية</w:t>
      </w:r>
      <w:bookmarkStart w:id="68" w:name="pg19817_220605"/>
    </w:p>
    <w:p>
      <w:pPr>
        <w:pStyle w:val="BookText"/>
        <w:rPr/>
      </w:pPr>
      <w:bookmarkEnd w:id="68"/>
      <w:r>
        <w:rPr>
          <w:rFonts w:ascii="Amiri" w:hAnsi="Amiri" w:eastAsia="Amiri" w:cs="Amiri"/>
          <w:color w:val="111111"/>
          <w:sz w:val="28"/>
          <w:sz w:val="28"/>
          <w:szCs w:val="28"/>
          <w:rtl w:val="true"/>
          <w:lang w:bidi="ar-SA"/>
        </w:rPr>
        <w:t>ابن عقبة من اشتمالها على قرينة تمنع من حمل العتق فيها على المنجّز، و هي فرض كون العتق فيها واقعا من الرجل حال حضور الموت، الذي هو حال يمتنع أو يبعد معه مباشرة العتق،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المراد من نسبته إليه في تلك الرواية إيصاءه به باعتبار كونه حينئذ سببه القوي، إذ لا ريب في أنّ الخبر المزبور لم يشتمل على أكثر من فرض كون العتق المذكور فيه واقعا في حال المرض، الذي لا يبعد معه وقوعه منه على جهة المباشرة، فضلا عن دعوى الامتناع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عدم التعرّض لذلك في رواية السكوني </w:t>
      </w:r>
      <w:r>
        <w:rPr>
          <w:rStyle w:val="FootnoteAnchor"/>
          <w:rtl w:val="true"/>
        </w:rPr>
        <w:footnoteReference w:id="212"/>
      </w:r>
      <w:r>
        <w:rPr>
          <w:rFonts w:ascii="Amiri" w:hAnsi="Amiri" w:eastAsia="Amiri" w:cs="Amiri"/>
          <w:color w:val="111111"/>
          <w:sz w:val="28"/>
          <w:sz w:val="28"/>
          <w:szCs w:val="28"/>
          <w:rtl w:val="true"/>
          <w:lang w:bidi="ar-SA"/>
        </w:rPr>
        <w:t>، فلعدم نقلها في الكتاب المزبور، و إلّا فهي كرواية ابن عقبة في الاشتمال على القرينة التي ادعي كونها فيها قرينة على الحمل المزبور، و ذلك لأنّ قوله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عند موته، بمنزلة قوله في رواية ابن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حضره الموت فأعتق، في المعنى، كما هو واضح، كوضوح أنى تعليل الحمل المزبور بما سمعت لا يخلو من نظر، و ذلك لوضوح أنه لا تلازم بين امتناع المباشرة في العتق في الحال المفروض، و امتناع التنجيز فيه في تلك الحال، ضرورة إمكانه مع امتناع المباشرة بالتوكيل فيه في الحال المزبور، مضافا إلى أنّ حضور الموت إن فرض على حال من الأحوال كونه مانعا من مباشرة العتق، فهو في تلك الحال مانع من فعل الوصية مطلقا، أو خصوص الحادثة من طريق اللفظ، فتأمل جيدا، و اللّه العالم</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2246390_2314609296"/>
      <w:bookmarkStart w:id="70" w:name="_Toc25"/>
      <w:bookmarkEnd w:id="69"/>
      <w:r>
        <w:rPr>
          <w:rtl w:val="true"/>
        </w:rPr>
        <w:t>القسم الرابع</w:t>
      </w:r>
      <w:bookmarkEnd w:id="7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بصير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أعتق رجل عند موته خادما له، ثم أوصى بوصية أخرى، ألغيت الوصية و أعتقت الجارية من</w:t>
      </w:r>
    </w:p>
    <w:p>
      <w:pPr>
        <w:pStyle w:val="BookText"/>
        <w:rPr/>
      </w:pPr>
      <w:r>
        <w:rPr>
          <w:rFonts w:ascii="Amiri" w:hAnsi="Amiri" w:eastAsia="Amiri" w:cs="Amiri"/>
          <w:color w:val="111111"/>
          <w:sz w:val="28"/>
          <w:sz w:val="28"/>
          <w:szCs w:val="28"/>
          <w:rtl w:val="true"/>
          <w:lang w:bidi="ar-SA"/>
        </w:rPr>
        <w:t>ثلثه، إلّا، أن يفضل من الثلث ما يبلغ الوصية</w:t>
      </w:r>
      <w:r>
        <w:rPr>
          <w:rFonts w:eastAsia="Amiri" w:cs="Amiri" w:ascii="Amiri" w:hAnsi="Amiri"/>
          <w:color w:val="111111"/>
          <w:sz w:val="28"/>
          <w:szCs w:val="28"/>
          <w:rtl w:val="true"/>
          <w:lang w:bidi="ar-SA"/>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خبر إسماعيل بن همام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بمال لذوي قرابته و أعتق مملوكا له، و كان جميع ما أوصى به يزيد على الثلث، كيف يصنع بوصيته؟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بالعتق فينفذه</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الدلالة في هذين الخبرين على مطلوب الخصم، هو أنهما قد دلّا على أنّ حكم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فيهما من عتق الخادم و المملوك الذي هو منجّز، كما يدل عليه ما فيهما من ظاهر نسبته إلى المريض، و ما في الثانية من الحكم بتقديم العتق في التنفيذ على الوصية بالمال، مع أنه مؤخّر عنها، كما هو الظاهر من صورة السؤال المفروض فيه، ضرورة أنه لو كان المراد منه في هذا الخبر الوصية به للزم الحكم بما لا قائل به من الأصحاب من تقديم المؤخّر على المقدّم في الوصايا المترتبة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من الثلث، دلالة صريحة في الخبر الأول، و ظاهرة في الخبر الثاني، ضرورة ظهور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بالعتق فينفذه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فرض السائل المزاحمة بينه و بين الوصية، كما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جميع ما أوصى به يزيد على الثلث، في كون مخرجه من الثلث كالوصية، و إلّا لم تتحقق المزاحمة، التي فرضها السائل بينه و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ما في هذين الخبرين مما ذكرناه في أخبار القسم الثالث من الوجوه التي قد عرفت أنها تمنع من التعويل على ما هي فيه من الأخبار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فاللازم في هذين الخبرين ما هو اللازم في تلك الأخبار، من الحمل على كون العتق عتق وصية، ضرورة إمكانه هنا حسب ما عرفت من الوجه في</w:t>
      </w:r>
    </w:p>
    <w:p>
      <w:pPr>
        <w:pStyle w:val="BookText"/>
        <w:rPr/>
      </w:pPr>
      <w:r>
        <w:rPr>
          <w:rFonts w:ascii="Amiri" w:hAnsi="Amiri" w:eastAsia="Amiri" w:cs="Amiri"/>
          <w:color w:val="111111"/>
          <w:sz w:val="28"/>
          <w:sz w:val="28"/>
          <w:szCs w:val="28"/>
          <w:rtl w:val="true"/>
          <w:lang w:bidi="ar-SA"/>
        </w:rPr>
        <w:t>إمكانه في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في كل واحد من الخبرين المزبورين من القرينة الدالة على ارادة المعنى المزبور من العتق المفروض فيها، و ذلك لما في الخبر الأول من وصفه عليه السّلام الوصية المفروضة فيه بكونها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لم يذكر فيه معها سوى العتق المزبور، ضرورة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الحال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العتق فيه وصية لما كان معنى لوصف الوصية بالوصف المزبور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 الخبر الثاني من دخول العتق المفروض في معنى قول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يصنع بوصيته؟ إذ من الواضح أنّ المراد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مجموع ما ذكر في السؤال قبله من الوصية بمال و عتق المملوك معا، فإنّ ذلك هو متعلّق السؤال، كما يدل عليه ما ذكر فيه من جوابه عليه السّلام، لا خصوص الوصية بمال، و إلّا لكان الجواب عنه عليه السّلام بغير المذكور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يمنع من إرادة معنى الوصية في الخبر الثاني ما أشرنا إليه في توجيه الاستدلال به، من أنه يلزم على تقديره الحكم بما لا قائل به، من تقديم الوصية بالعتق المتأخرة على الوصية المتقدّمة عليها من الوصية بمال لذوي قرابته، كما يدل عليه ظاهر صورة السؤال، فإنّ الحكم في الوصايا المترتبة تقديم المقدّم في التنفيذ على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لأنا نمنع من كون مجرد انتفاء القائل بمضمون الرواية قرينة صارفة لها عن ظاهرها، على وجه تكون حجة شرعية بالنسبة إلى المعنى المخالف للظاهر مطلقا حتى لو كان متعيّنا حينئذ، لوضوح أنه لا يفهم من الخطاب مع ملاحظة ذلك كون المراد منه خلاف ظاهره، كما هو الشأن المعتبر في كون الشي‌ء حجة، خصوصا مع ملاحظة تطرّق احتمال الكذب و التقية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يعلم الحال في مخالفة مضمون الرواية للإجماع، فتأمل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وجود القائل بمضمون الخبر المزبور، فإنّ القول محكي عن</w:t>
      </w:r>
      <w:bookmarkStart w:id="71" w:name="pg19817_220608"/>
    </w:p>
    <w:p>
      <w:pPr>
        <w:pStyle w:val="BookText"/>
        <w:rPr/>
      </w:pPr>
      <w:bookmarkEnd w:id="71"/>
      <w:r>
        <w:rPr>
          <w:rFonts w:ascii="Amiri" w:hAnsi="Amiri" w:eastAsia="Amiri" w:cs="Amiri"/>
          <w:color w:val="111111"/>
          <w:sz w:val="28"/>
          <w:sz w:val="28"/>
          <w:szCs w:val="28"/>
          <w:rtl w:val="true"/>
          <w:lang w:bidi="ar-SA"/>
        </w:rPr>
        <w:t xml:space="preserve">الشيخ </w:t>
      </w:r>
      <w:r>
        <w:rPr>
          <w:rStyle w:val="FootnoteAnchor"/>
          <w:rtl w:val="true"/>
        </w:rPr>
        <w:footnoteReference w:id="215"/>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2246392_2314609296"/>
      <w:bookmarkStart w:id="73" w:name="_Toc26"/>
      <w:bookmarkEnd w:id="72"/>
      <w:r>
        <w:rPr>
          <w:rtl w:val="true"/>
        </w:rPr>
        <w:t>القسم الخامس</w:t>
      </w:r>
      <w:bookmarkEnd w:id="73"/>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استدل به العلّامة قدّس سرّه على ما حكي عنه في المختلف </w:t>
      </w:r>
      <w:r>
        <w:rPr>
          <w:rStyle w:val="FootnoteAnchor"/>
          <w:rtl w:val="true"/>
        </w:rPr>
        <w:footnoteReference w:id="216"/>
      </w:r>
      <w:r>
        <w:rPr>
          <w:rFonts w:ascii="Amiri" w:hAnsi="Amiri" w:eastAsia="Amiri" w:cs="Amiri"/>
          <w:color w:val="111111"/>
          <w:sz w:val="28"/>
          <w:sz w:val="28"/>
          <w:szCs w:val="28"/>
          <w:rtl w:val="true"/>
          <w:lang w:bidi="ar-SA"/>
        </w:rPr>
        <w:t>، زيادة على ما مضى مما ذكرناه من أخبار القول الثاني، و هو عدّة 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الكافي عن عبد الرحمن في الصحيح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يختلف ابن أبي ليلى و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مات مولى لعيسى بن موسى، و ترك عليه دينا كثيرا، و ترك مماليك يحيط دينه بأثمانهم، فأعتقهم عند الموت، فسألهما عيسى بن موسى عن ذلك، 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تستسعيهم في قيمتهم فتدفعها إلى الغرماء، فإنه قد أعتقهم عند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تبيعهم و تدفع أثمانهم إلى الغرماء، فإنه ليس له أن يعتقهم عند موته و عليه دين يحيط بهم، و هذا أهل الحجاز اليوم يعتق الرجل عبده و عليه دين كثير فلا يجيزون عتقه إذا كان عليه دين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ابن شبرمة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بن أبي ليلى متى قلت بهذا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قلته إلّا طلب خلافي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 رأي أيهما صدر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أخذ برأي ابن أبي ليلى، و كان له في ذلك هوى، فباعهم و قضى دينه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أيهما من قبلكم؟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شبرمة، و قد رجع ابن أبي ليلى إلى رأي ابن شبرمة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إنّ الحق لفي ما قال ابن أبي ليلى و إن كان قد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ينكسر عندهم في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قايسني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لتقولنّ بأشد ما يدخل فيه من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مات و ترك عبدا، لم يترك مالا غيره، و قيمة العبد ستمائة درهم، و دينه خمسمائة درهم، فأعتقه عند الموت، كيف يصنع؟</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العبد و يأخذ الغرماء خمسمائة درهم، و يأخذ الورثة 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بقي من قيمة العبد مائة درهم عن دينه؟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للرجل ثلثه يصنع فيه ما يشاء؟</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أوصى للعبد بالثلث من المائة حين أعتقه؟</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لا وصية له، إنما ماله لمواليه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قيمة العبد ستمائة درهم، و دينه أربعمائة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يباع العبد فيأخذ الغرماء أربعمائة درهم، و يأخذ الورثة مائتين، فلا يكون للعبد شي‌ء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قيمة العبد ستمائة درهم، و دينه ثلاثمائة درهم، فضحك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هنا أتي أصحابك فجعلوا الأشياء شيئا</w:t>
      </w:r>
    </w:p>
    <w:p>
      <w:pPr>
        <w:pStyle w:val="BookText"/>
        <w:rPr/>
      </w:pPr>
      <w:r>
        <w:rPr>
          <w:rFonts w:ascii="Amiri" w:hAnsi="Amiri" w:eastAsia="Amiri" w:cs="Amiri"/>
          <w:color w:val="111111"/>
          <w:sz w:val="28"/>
          <w:sz w:val="28"/>
          <w:szCs w:val="28"/>
          <w:rtl w:val="true"/>
          <w:lang w:bidi="ar-SA"/>
        </w:rPr>
        <w:t>واحدا، و ما علموا السنّة، إذا استوى مال الغرماء و مال الورثة، أو كان مال الورثة أكثر من مال الغرماء، لم يتهم الرجل على وصيته، و أجيزت وصيته على وجهها، فالآن يوقف هذا العبد و يستسعى، فيكون نصفه للغرماء، و ثلثه للورثة و يكون له السدس</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أيضا في الكافي في الصحيح أو الحسن عن 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مملوكه عند موته و عليه دين،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قيمته مثل الذي عليه و مثله جاز عتقه، و إلّا لم يجز</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الفقيه عن ابن أبي عمير، عن جميل عن أبي عبد اللّه عليه السّلام، مثله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التهذيب في الصحيح أو الحسن عن زرارة مقطوعا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رواه أيضا عن حفص بن البختري في 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المملوك سدسه استسعى و أجيز عتقه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رواه أيضا عن الحسن بن الجهم في الموثّق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 في رجل أعتق مملوكا له و قد حضره الموت، و أشهد له بذلك، و قيمته ستمائة درهم، و عليه دين ثلاثمائة درهم، و لم يترك شيئا غيره،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منه سدسه، لأنه إنما له منه ثلاثمائة درهم، و يقتضي منه ثلاثمائة درهم، فله من الثلاثمائة ثلثها، و هو السدس من الجميع</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في الفقيه و التهذيب عن الحلبي في الصحيح عن أبي عبد اللّه عليه السّلام انه قال في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فعبدي حر، و على الرجل 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توفّى و عليه دين قد أحاط بثمن العبد بيع العبد، و إن لم يكن أحاط بثمن العبد استسعي العبد في قضاء دين مولاه، و هو حر إذا وفّاه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لا يخفى أنّ وجه الاستدلال بالأخبار المزبورة على مذهب الخصم، إنما هو من حيث دلالتها على أنّ العتق المنجّز الصادر عند موت المولى، إذا لم يكن له مال غير المعتق، و كان عليه دين بقدر قيمته نصفه أو أقل منه، إنما ينفذ منه على الورثة مجانا قدر ثلث الزائد على قدر الدين، و الباقي من قيمة المعتق خاصة، و ما عدا ذلك من قدر حق الغريم و ثلثي الورثة من الزائد عليه يستسعى المعتق فيه للغريم و الورثة، التي لا ريب مع تسليمها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الدلالة المزبورة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الأخبار المذكورة نصّا فيما ذهب إليه الخصم في المقام و إن احتيج معها في إثبات تمام دعواه إلى ضميمة على حد ما سبق في أخبار القسم الثالث و الرابع من أخبار مذهب الخصم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 بانحصار وجه الاستدلال بهذه الأخبار في الوجه الذي ذكرناه، لعدم دلالتها على غير ما ذكرنا مما يصلح لأن يكون وجها للاستدلال بها على مذهب الخصم، سوى ما فيها من دلالتها على بطلان العتق في بعض الصور المفروضة فيها، التي ربما يتوهم من ملاحظة ذلك فيها ظهور وجه آخر للاستدلال بالأخبار المزبورة، و ذلك باعتبار منافاة ما دلت عليه من الحكم المزبور لمقتضي أدلة القول الأول، إذ لا ريب في أنّ مقتضاها صحة العتق و نفوذه على الغريم و على الورثة جميعا في جميع الصور المفروضة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قال به في المقام بعض من رجّح تلك الأدلة المشار إليها، حيث لم يعتد بالأخبار المزبورة في تخصيص عموم تلك الأدلة، و يكون الاستدلال بها حينئذ من الخصم إلزاميا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فساد الوهم المزبور، لوضوح أنّ ما دلّت عليه من الحكم المنافي المقتضى أدلة المختار مشترك الإلزام، و ذلك لمنافاته أيضا لمقتضى أدلة الخصم في صورة ما إذا كان قيمة المعتق دون قدر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ضرورة أنّ مقتضى أدلة الخصم في الصورة المفروضة صحة العتق في قدر ثلث الزائد على قدر الدين، كما ذهب إليه في المقام بعض من رجّح الأدلة المذكورة للقول الثاني، حيث لم يعتد بهذه الأخبار، مع أنّ الأخبار المزبورة قد دلّت على بطلانه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تعلم أنه لا وجه لذكر ما خلي من الأخبار المزبورة عن الدلالة على ما ذكرنا من وجه الاستدلال بها في المقام، كصحيح الحلبي </w:t>
      </w:r>
      <w:r>
        <w:rPr>
          <w:rStyle w:val="FootnoteAnchor"/>
          <w:rtl w:val="true"/>
        </w:rPr>
        <w:footnoteReference w:id="224"/>
      </w:r>
      <w:r>
        <w:rPr>
          <w:rFonts w:ascii="Amiri" w:hAnsi="Amiri" w:eastAsia="Amiri" w:cs="Amiri"/>
          <w:color w:val="111111"/>
          <w:sz w:val="28"/>
          <w:sz w:val="28"/>
          <w:szCs w:val="28"/>
          <w:rtl w:val="true"/>
          <w:lang w:bidi="ar-SA"/>
        </w:rPr>
        <w:t xml:space="preserve">، و صحيح زرارة أو حسنته </w:t>
      </w:r>
      <w:r>
        <w:rPr>
          <w:rStyle w:val="FootnoteAnchor"/>
          <w:rtl w:val="true"/>
        </w:rPr>
        <w:footnoteReference w:id="225"/>
      </w:r>
      <w:r>
        <w:rPr>
          <w:rFonts w:ascii="Amiri" w:hAnsi="Amiri" w:eastAsia="Amiri" w:cs="Amiri"/>
          <w:color w:val="111111"/>
          <w:sz w:val="28"/>
          <w:sz w:val="28"/>
          <w:szCs w:val="28"/>
          <w:rtl w:val="true"/>
          <w:lang w:bidi="ar-SA"/>
        </w:rPr>
        <w:t>،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فالجواب الدافع للتعلّق بهذه الأخبار في المقام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مواردها خارجة عن محل النزاع الواقع بين الأصحاب في منجّزات المريض، و ذلك واضح بالنسبة إلى صحيح الحلبي، ضرورة أنّ مورده إنما هو العتق التدبيري لا المنجّز</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مضافا إلى ما فيه من اشتماله على ما لا يقول به أحد من أصحاب القولين في محل النزاع، من حرية العبد كلّه في صورة نقصان الدين عن قدر قيمته إذا و في دين مولاه، و أنه لا شي‌ء للورثة من القيمة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فيه ما أشرنا إليه، من خلوّه من الوجه الذي ذكرنا انحصار وجه الاستدلال بهذه الأخبار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ذلك بالنسبة إلى الأخبار الباقية، فلوضوح كون موردها إنما هو العتق المنجّز عند الموت مع مزاحمة الدين له و لو في شقص من المعتق، الذي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أشرنا إليه في صدر المبحث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محل النزاع المزبور، حتى ما يزاحم منه حق الورثة في صورة زيادة قيمة المعتق على قدر الدين، و ذلك لأنّ كلا من الفريقين من الأصحاب فيه على الوجه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أقوال ثلاثة، على ما حكاه عنهم غير واحد منهم و إن كنا لم نتحققه، كما ستعرف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حكي عن الشيخ المفيد </w:t>
      </w:r>
      <w:r>
        <w:rPr>
          <w:rStyle w:val="FootnoteAnchor"/>
          <w:rtl w:val="true"/>
        </w:rPr>
        <w:footnoteReference w:id="226"/>
      </w:r>
      <w:r>
        <w:rPr>
          <w:rFonts w:ascii="Amiri" w:hAnsi="Amiri" w:eastAsia="Amiri" w:cs="Amiri"/>
          <w:color w:val="111111"/>
          <w:sz w:val="28"/>
          <w:sz w:val="28"/>
          <w:szCs w:val="28"/>
          <w:rtl w:val="true"/>
          <w:lang w:bidi="ar-SA"/>
        </w:rPr>
        <w:t xml:space="preserve">، و الشيخ </w:t>
      </w:r>
      <w:r>
        <w:rPr>
          <w:rStyle w:val="FootnoteAnchor"/>
          <w:rtl w:val="true"/>
        </w:rPr>
        <w:footnoteReference w:id="227"/>
      </w:r>
      <w:r>
        <w:rPr>
          <w:rFonts w:ascii="IRNazanin" w:hAnsi="IRNazanin" w:eastAsia="IRNazanin"/>
          <w:color w:val="111111"/>
          <w:sz w:val="28"/>
          <w:sz w:val="28"/>
          <w:szCs w:val="28"/>
          <w:rtl w:val="true"/>
          <w:lang w:bidi="fa-IR"/>
        </w:rPr>
        <w:t xml:space="preserve">، و ابن البراج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من جملة أهل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ببطلان العتق في الفرض المذكور </w:t>
      </w:r>
      <w:r>
        <w:rPr>
          <w:rStyle w:val="FootnoteAnchor"/>
          <w:rtl w:val="true"/>
        </w:rPr>
        <w:footnoteReference w:id="229"/>
      </w:r>
      <w:r>
        <w:rPr>
          <w:rFonts w:ascii="Amiri" w:hAnsi="Amiri" w:eastAsia="Amiri" w:cs="Amiri"/>
          <w:color w:val="111111"/>
          <w:sz w:val="28"/>
          <w:sz w:val="28"/>
          <w:szCs w:val="28"/>
          <w:rtl w:val="true"/>
          <w:lang w:bidi="ar-SA"/>
        </w:rPr>
        <w:t>، إلّا إذا كانت قيمة المعتق بقدر الدين، و مثله فيصح حينئذ و لكنه يستسعى المعتق في قدر دين الغريم، و في قدر ثلثي الزائد عليه للورثة، و ينفذ مجانا في قدر الثلث منه، عملا بما دلّ على ذلك من هذه الأخبار التي هي لأخصيتها من أدلة القول الأول، مع صحتها إسنادا، و صراحتها دلالة، لا ينبغي التأمل في لزوم تحكيمها على عموم الأدلة المشار إليها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الفاضل ابن إدريس من صحة العتق مطلقا، و سقوط حق الغريم و الورثة من المعتق عينا و قيمة </w:t>
      </w:r>
      <w:r>
        <w:rPr>
          <w:rStyle w:val="FootnoteAnchor"/>
          <w:rtl w:val="true"/>
        </w:rPr>
        <w:footnoteReference w:id="230"/>
      </w:r>
      <w:r>
        <w:rPr>
          <w:rFonts w:ascii="Amiri" w:hAnsi="Amiri" w:eastAsia="Amiri" w:cs="Amiri"/>
          <w:color w:val="111111"/>
          <w:sz w:val="28"/>
          <w:sz w:val="28"/>
          <w:szCs w:val="28"/>
          <w:rtl w:val="true"/>
          <w:lang w:bidi="ar-SA"/>
        </w:rPr>
        <w:t>، عملا بعموم أدلة المختار، بعد</w:t>
      </w:r>
    </w:p>
    <w:p>
      <w:pPr>
        <w:pStyle w:val="BookText"/>
        <w:rPr/>
      </w:pPr>
      <w:r>
        <w:rPr>
          <w:rFonts w:ascii="Amiri" w:hAnsi="Amiri" w:eastAsia="Amiri" w:cs="Amiri"/>
          <w:color w:val="111111"/>
          <w:sz w:val="28"/>
          <w:sz w:val="28"/>
          <w:szCs w:val="28"/>
          <w:rtl w:val="true"/>
          <w:lang w:bidi="ar-SA"/>
        </w:rPr>
        <w:t>دعوى عدم نهوض هذه الأخبار لتخصيص 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لأصله من عدم حجية أخبار الآحاد، ضرورة عدم خروج الأخبار المزبورة عن ذلك الحد بتواتر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لما عرفت سابقا من بلوغ العمومات المشار إليها مرتبة عظيمة من القوة، بحيث بلغت الغاية و تجاوزت النهاية التي لا ريب معها في عدم قابلية الخاص للمعارضة لها، فضلا عن تقديمه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ستعرف إن شاء اللّه من عدم صراحتها في ما يوجب المعارضة لتلك العمومات، من كون العتق المفروض فيها منجّزا، إن لم يكن الظاهر من العمدة منها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المصنّف في الكتاب </w:t>
      </w:r>
      <w:r>
        <w:rPr>
          <w:rStyle w:val="FootnoteAnchor"/>
          <w:rtl w:val="true"/>
        </w:rPr>
        <w:footnoteReference w:id="231"/>
      </w:r>
      <w:r>
        <w:rPr>
          <w:rFonts w:ascii="Amiri" w:hAnsi="Amiri" w:eastAsia="Amiri" w:cs="Amiri"/>
          <w:color w:val="111111"/>
          <w:sz w:val="28"/>
          <w:sz w:val="28"/>
          <w:szCs w:val="28"/>
          <w:rtl w:val="true"/>
          <w:lang w:bidi="ar-SA"/>
        </w:rPr>
        <w:t xml:space="preserve">، و العلّامة </w:t>
      </w:r>
      <w:r>
        <w:rPr>
          <w:rStyle w:val="FootnoteAnchor"/>
          <w:rtl w:val="true"/>
        </w:rPr>
        <w:footnoteReference w:id="232"/>
      </w:r>
      <w:r>
        <w:rPr>
          <w:rFonts w:ascii="Amiri" w:hAnsi="Amiri" w:eastAsia="Amiri" w:cs="Amiri"/>
          <w:color w:val="111111"/>
          <w:sz w:val="28"/>
          <w:sz w:val="28"/>
          <w:szCs w:val="28"/>
          <w:rtl w:val="true"/>
          <w:lang w:bidi="ar-SA"/>
        </w:rPr>
        <w:t>من بطلان العتق مع مساواة الدين لقيمة المعتق، و صحته فيما عدا ذلك، مع استسعائه في قدر الدين للغريم، و في قدر ثلثي الزائد عليه للورثة، و ينفذ مجانا في قدر الثلث منه، عملا بمقتضى عموم أدلة القول الثاني الذي ذهب إليه مطرحا لهذه الأخبار بالنسبة إلى ما تعارضها فيه تلك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فيه ما ذكرناه، و عملا بها فيما عدا ذلك، مما عضدها فيه قاعدة ابتناء العتق على التغليب، و عموم أدلته على وجه من الحكم بالاستسعاء، فتأمل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أنّ الطاهر من اقتصار الأصحاب و النصوص المزبورة في هذا المقام على خصوص العتق مع القيود المخصوصة، من غير تعرّض لما عداه من المنجّزات، و لا لنفسه مع فقد أحد القيود المزبورة، اختصاصه مع اجتماعها بالنزاع المزبور، ضرورة عدم إمكان التعدية منه إلى غيره في هذا المقام بوجه</w:t>
      </w:r>
    </w:p>
    <w:p>
      <w:pPr>
        <w:pStyle w:val="BookText"/>
        <w:rPr/>
      </w:pPr>
      <w:r>
        <w:rPr>
          <w:rFonts w:ascii="Amiri" w:hAnsi="Amiri" w:eastAsia="Amiri" w:cs="Amiri"/>
          <w:color w:val="111111"/>
          <w:sz w:val="28"/>
          <w:sz w:val="28"/>
          <w:szCs w:val="28"/>
          <w:rtl w:val="true"/>
          <w:lang w:bidi="ar-SA"/>
        </w:rPr>
        <w:t>أصلا حتى جهة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فاللازم فيما عداه من المنجّزات، و فيه مع فقد أحد القيود، الحكم بمقتضى أدلة القولين في المنجّزات،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إمكان دعوى مغايرة مورده هذه الأخبار لمحل النزاع في منجّزات المريض، و ذلك لأنّ العنوان المعتبر فيما دلّت عليه هذه الأخبار إنما هو كون العتق عند الموت كما في بعض منها، أو حضوره كما في البعض الآخر مطلقا من غير تعرّض فيها لاعتبار حال المرض في ذلك، بخلاف العنوان المعتبر في محل النزاع في المنجّزات، فإنه حال المرض مطلقا و إن لم يكن وقوع المنجّز معه عند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فيكون الثابت بهذه الأخبار من هذا الوجه أعم من المدّعى، و ذلك و إن كان لا يقدح في صحّة الاستدلال بها على ثبوت الأخص، لكنه يوجب في هذا المقام قدحا فيها من وجه آخر، و ذلك من حيث اشتمالها على ما لا يقول به أحد منهم على الظاهر من الحكم بما دلّت عليه بإطلاقها في غير محل الدعوى، و هو العتق المنجّز الواقع عند الموت في حال الصحة من المرض العرفي، فإنّ الظاهر أنه لا خلاف بينهم في صورة الفرض في صحة العتق و نفوذه من الأصل، و سقوط حق الغريم بالنسبة إلى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القول بصحة عموم الحكم بما دلّت عليه الأخبار في الوصية بالعتق، الواقعة على الوجه المفروض في المنجّز منه، التي وقع الخلاف في حكمها، إذا كانت على حد ما ذكرناه في المنجّز من القيود على قولين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الشيخ المفيد </w:t>
      </w:r>
      <w:r>
        <w:rPr>
          <w:rStyle w:val="FootnoteAnchor"/>
          <w:rtl w:val="true"/>
        </w:rPr>
        <w:footnoteReference w:id="233"/>
      </w:r>
      <w:r>
        <w:rPr>
          <w:rFonts w:ascii="IRNazanin" w:hAnsi="IRNazanin" w:eastAsia="IRNazanin"/>
          <w:color w:val="111111"/>
          <w:sz w:val="28"/>
          <w:sz w:val="28"/>
          <w:szCs w:val="28"/>
          <w:rtl w:val="true"/>
          <w:lang w:bidi="fa-IR"/>
        </w:rPr>
        <w:t xml:space="preserve">، و من وافقه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المصنّف </w:t>
      </w:r>
      <w:r>
        <w:rPr>
          <w:rStyle w:val="FootnoteAnchor"/>
          <w:rtl w:val="true"/>
        </w:rPr>
        <w:footnoteReference w:id="235"/>
      </w:r>
      <w:r>
        <w:rPr>
          <w:rFonts w:ascii="Amiri" w:hAnsi="Amiri" w:eastAsia="Amiri" w:cs="Amiri"/>
          <w:color w:val="111111"/>
          <w:sz w:val="28"/>
          <w:sz w:val="28"/>
          <w:szCs w:val="28"/>
          <w:rtl w:val="true"/>
          <w:lang w:bidi="ar-SA"/>
        </w:rPr>
        <w:t xml:space="preserve">و العلّامة </w:t>
      </w:r>
      <w:r>
        <w:rPr>
          <w:rStyle w:val="FootnoteAnchor"/>
          <w:rtl w:val="true"/>
        </w:rPr>
        <w:footnoteReference w:id="236"/>
      </w:r>
      <w:r>
        <w:rPr>
          <w:rFonts w:ascii="Amiri" w:hAnsi="Amiri" w:eastAsia="Amiri" w:cs="Amiri"/>
          <w:color w:val="111111"/>
          <w:sz w:val="28"/>
          <w:sz w:val="28"/>
          <w:szCs w:val="28"/>
          <w:rtl w:val="true"/>
          <w:lang w:bidi="ar-SA"/>
        </w:rPr>
        <w:t>، و ذلك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بالعتق مع مزاحمة الدين لها و لو في شقص من الموصى بعتقه حيث لا مال للمولى سواه، إذا كانت عند الموت مطلقا، سواء كانت في حال المرض أم لا، لا يتعلق بها الأحكام التي اشتملت عليها الأخبار المزبورة من الحكم بالبطلان، إلّا إذا كانت قيمة الموصى بعتقه بقدر الدين و مثله، فتصح حينئذ، و يعتق الموصى بعتقه، و لكنّه يستسعى بقدر حق الغريم و حق الورثة من ثلثي الزائد على قدر حق الغريم من قيمته، بخلاف ما إذا لم تكن الوصية به عند الموت، فإنّ الحكم فيها كما هو الشأن في الوصية بغيره من بطلانها بقدر حق الغريم و حق الورثة في جميع الصور مطلقا،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الموصي حين أوصى في حال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ما عدا صحيح الحلبي </w:t>
      </w:r>
      <w:r>
        <w:rPr>
          <w:rStyle w:val="FootnoteAnchor"/>
          <w:rtl w:val="true"/>
        </w:rPr>
        <w:footnoteReference w:id="237"/>
      </w:r>
      <w:r>
        <w:rPr>
          <w:rFonts w:ascii="Amiri" w:hAnsi="Amiri" w:eastAsia="Amiri" w:cs="Amiri"/>
          <w:color w:val="111111"/>
          <w:sz w:val="28"/>
          <w:sz w:val="28"/>
          <w:szCs w:val="28"/>
          <w:rtl w:val="true"/>
          <w:lang w:bidi="ar-SA"/>
        </w:rPr>
        <w:t xml:space="preserve">بأنّ منها ما ليس بظاهر في كون العتق المفروض فيه منجّزا، كصحيح حفص </w:t>
      </w:r>
      <w:r>
        <w:rPr>
          <w:rStyle w:val="FootnoteAnchor"/>
          <w:rtl w:val="true"/>
        </w:rPr>
        <w:footnoteReference w:id="238"/>
      </w:r>
      <w:r>
        <w:rPr>
          <w:rFonts w:ascii="Amiri" w:hAnsi="Amiri" w:eastAsia="Amiri" w:cs="Amiri"/>
          <w:color w:val="111111"/>
          <w:sz w:val="28"/>
          <w:sz w:val="28"/>
          <w:szCs w:val="28"/>
          <w:rtl w:val="true"/>
          <w:lang w:bidi="ar-SA"/>
        </w:rPr>
        <w:t>، بل هو محتمل له و للوصية، مضافا إلى ما فيه من مخالفة الفتوى و سائر هذه الأخبار، لخلوّه مما فيها من التقبيل بكون العتق عند الموت، و كونه مع دين على المولى الذي لا مال له سوى المعتق</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ما ليس بصريح في ذلك كصحيح عبد الرحمن </w:t>
      </w:r>
      <w:r>
        <w:rPr>
          <w:rStyle w:val="FootnoteAnchor"/>
          <w:rtl w:val="true"/>
        </w:rPr>
        <w:footnoteReference w:id="239"/>
      </w:r>
      <w:r>
        <w:rPr>
          <w:rFonts w:ascii="Amiri" w:hAnsi="Amiri" w:eastAsia="Amiri" w:cs="Amiri"/>
          <w:color w:val="111111"/>
          <w:sz w:val="28"/>
          <w:sz w:val="28"/>
          <w:szCs w:val="28"/>
          <w:rtl w:val="true"/>
          <w:lang w:bidi="ar-SA"/>
        </w:rPr>
        <w:t xml:space="preserve">، و صحيح زرارة أو حسنته </w:t>
      </w:r>
      <w:r>
        <w:rPr>
          <w:rStyle w:val="FootnoteAnchor"/>
          <w:rtl w:val="true"/>
        </w:rPr>
        <w:footnoteReference w:id="240"/>
      </w:r>
      <w:r>
        <w:rPr>
          <w:rFonts w:ascii="IRNazanin" w:hAnsi="IRNazanin" w:eastAsia="IRNazanin"/>
          <w:color w:val="111111"/>
          <w:sz w:val="28"/>
          <w:sz w:val="28"/>
          <w:szCs w:val="28"/>
          <w:rtl w:val="true"/>
          <w:lang w:bidi="fa-IR"/>
        </w:rPr>
        <w:t xml:space="preserve">، و موثق ابن الجهم </w:t>
      </w:r>
      <w:r>
        <w:rPr>
          <w:rStyle w:val="FootnoteAnchor"/>
          <w:rtl w:val="true"/>
        </w:rPr>
        <w:footnoteReference w:id="241"/>
      </w:r>
      <w:r>
        <w:rPr>
          <w:rFonts w:ascii="Amiri" w:hAnsi="Amiri" w:eastAsia="Amiri" w:cs="Amiri"/>
          <w:color w:val="111111"/>
          <w:sz w:val="28"/>
          <w:sz w:val="28"/>
          <w:szCs w:val="28"/>
          <w:rtl w:val="true"/>
          <w:lang w:bidi="ar-SA"/>
        </w:rPr>
        <w:t>، إذ ليس فيها ما يدل على كون العتق المفروض منجّزا، سوى نسبة العتق فيها إلى الميت، التي غايتها الظهور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حينئذ فيلزم فيها ما لزم في أخبار القسم الثالث و الرابع من أخبار الخصم، من لزوم الحمل على الوصية، لما عرفت من قوة المعارض و إن كان عاما، مضافا إلى ما فيها مما يقضي بالحمل المزبور من قرينة كون وقوع العتق حال حضور الموت باللفظ المزبور، كما في موثق ابن الجهم، أو بما هو بمعناه كما في الصحيحين، فإنّ ذلك قرينة على كون المراد من العتق المفروض فيها عتق الوصية، بملاحظة ما سمعت عن المسالك من أنّ الحال المزبور يمنع من مباشرة العتق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في ذيل صحيح عبد الرحمن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يتهم الرجل في وصيته</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و أجيزت وصيته على وجهها، فإنه ظاهر في كون العتق المتعرّض لبيان حكمه فيه عتق وصية على وجه لا ينبغي التأمل فيه، فضلا عن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التجوّز في إطلاق لفظ الوصية على المنجّز لمشابهته لها في حكم الخروج من الثلث لا من الأصل على رأي الخصم،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يدفع المدّعى من الظهور فيما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بأولى من احتمال التجوّز في نسبة العتق إلى الميت بإرادة الوصية به، لوضوح صحة نسبته إليه حينئذ، باعتبار كونه السبب القوي فيه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هذا فبطلان الاحتمال المزبور واضح، كوضوح بطلان احتمال أنّ إطلاق لفظ الوصية في كلامه عليه السّلام تبع فيه إطلاق السائل لفظ الوصية على المنجّز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الرجل قد أوصى للعبد بالثلث من المائة حين أعتقه، و ذلك للمنع من صراحة قول السائل في المنجّز، حتى يكون الإمام عليه السّلام قد تبعه في ذلك، و ضرورة صحة احتمال إرادة الوصية منه،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يؤيد ما ذكرناه من المعنى المراد من هذه الأخبار فهم الأعيان من علمائنا القائلين بما اشتملت عليه هذه الأخبار من الأحكام في الوصية بالعتق للمعنى المزبورة منها، و إلّا لخلى حكمهم بتلك الأحكام فيها من الدليل، ضرورة بطلان ارادة المعنيين المزبورين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 في اسئلتهما، و انتفاء دليل على ذلك في المقام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الحلبي </w:t>
      </w:r>
      <w:r>
        <w:rPr>
          <w:rStyle w:val="FootnoteAnchor"/>
          <w:rtl w:val="true"/>
        </w:rPr>
        <w:footnoteReference w:id="244"/>
      </w:r>
      <w:r>
        <w:rPr>
          <w:rFonts w:ascii="Amiri" w:hAnsi="Amiri" w:eastAsia="Amiri" w:cs="Amiri"/>
          <w:color w:val="111111"/>
          <w:sz w:val="28"/>
          <w:sz w:val="28"/>
          <w:szCs w:val="28"/>
          <w:rtl w:val="true"/>
          <w:lang w:bidi="ar-SA"/>
        </w:rPr>
        <w:t>إن لم ينهض على بطلان ذلك فيها لمكان مساواتها في الأحكام، فلا ينهض للدلالة على ثبوت ذلك فيها، كما لا يخفى، لعدم دلالته على تمام ما قالوه فيها، لا لما قيل من أنّ مورده العتق التدبيري، و هو كالمنجّز، لوضوح فساده، لكون التدبير كالوصية في الأحكام إن لم يكن منها، لا كالمنجّز، كفساد دعوى ثبوت الأحكام المزبورة فيها بطريق الأولوية من ثبوت تلك الأحكام في المنجّز من جهة الأخبار المزبورة، لكونه الظاهر منها، نظرا إلى أنّ المنجّز أقوى من الوصية، لكونه تصرّفا من المالك، و للخلاف في كونه من الأصل أو الثلث بخلافها في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فثبوت بطلانها في حال من الأحوال مع كونه أقوى، يقضي ببطلان الوصية في تلك الحال، لكونها أضعف منه بطريق أولى، و ذلك لبطلان سندها من الاعتبارين المزبورين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فلوضوح استواء العتق المنجّز و عتق الوصية في الاستناد إلى المالك، الذي هو المناط في صحتهما، و إنما يختلفان فيما لا مدخلية لوجوده و عدمه في قوة واجده و ضعف فاقده من صفة مباشرة المالك</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أبطلنا بيع الموكل و الوكيل لما وكّل على بيعه من اثنين إذا اقترن عقداهما، بناء على الأصح من عدم انعزال الوكيل إلّا بالإعلام بالعزل</w:t>
      </w:r>
      <w:r>
        <w:rPr>
          <w:rFonts w:eastAsia="Amiri" w:cs="Amiri" w:ascii="Amiri" w:hAnsi="Amiri"/>
          <w:color w:val="111111"/>
          <w:sz w:val="28"/>
          <w:szCs w:val="28"/>
          <w:rtl w:val="true"/>
          <w:lang w:bidi="ar-SA"/>
        </w:rPr>
        <w:t>.</w:t>
      </w:r>
      <w:bookmarkStart w:id="74" w:name="pg19817_220619"/>
    </w:p>
    <w:p>
      <w:pPr>
        <w:pStyle w:val="BookText"/>
        <w:rPr/>
      </w:pPr>
      <w:bookmarkEnd w:id="74"/>
      <w:r>
        <w:rPr>
          <w:rFonts w:ascii="Amiri" w:hAnsi="Amiri" w:eastAsia="Amiri" w:cs="Amiri"/>
          <w:color w:val="111111"/>
          <w:sz w:val="28"/>
          <w:sz w:val="28"/>
          <w:szCs w:val="28"/>
          <w:rtl w:val="true"/>
          <w:lang w:bidi="ar-SA"/>
        </w:rPr>
        <w:t>و أما الثاني، فلأنّ غاية ما يستفاد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كون الخروج من الأصل كاشفا عن قوة المتّصف به، و عدمه كاشف عن ضعف فاقده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كون العتق المنجّز أقوى، لوقوع الخلاف فيه، و عدم احتمال ذلك في عتق الوصية، للاتفاق على خروجه من الثلث، و ذلك لا يفيد في المقام شيئا، كما هو واضح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سلامتها مما ذكرناه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الثابت بها أخص من المدّعى، مع عدم إمكان تتميم دلالتها عليه في خصوص ما تضمّنته من الحكم، بضميمة عدم القول بالفصل، و ضميمة دعوى الأولوية بالنسبة إلى الخارج من موردها، كما لا يخفى عليك بعد التأمل في ذلك</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2246394_2314609296"/>
      <w:bookmarkStart w:id="76" w:name="_Toc27"/>
      <w:bookmarkEnd w:id="75"/>
      <w:r>
        <w:rPr>
          <w:rtl w:val="true"/>
        </w:rPr>
        <w:t>القسم السادس</w:t>
      </w:r>
      <w:bookmarkEnd w:id="76"/>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بعض المتأخرين على ما سمعت من الأخبار المتقدّمة، و هي الأخبار الدالة على نفوذ إقرار المريض بدين عليه من الأصل، مع عدم التهمة المصرّح بها في بعض، و المومى إليها في بعض، كما ستعرف، و نفوذه من الثلث معها، التي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أوصى لبعض ورثته أنّ له عليه دينا،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الميت مريضا فأعطه الذي أوصي له</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أبي أيوب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لبعض ورثته أنّ له عليه دينا،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الميت مريضا فأعطه الذي</w:t>
      </w:r>
    </w:p>
    <w:p>
      <w:pPr>
        <w:pStyle w:val="BookText"/>
        <w:rPr/>
      </w:pPr>
      <w:r>
        <w:rPr>
          <w:rFonts w:ascii="IRNazanin" w:hAnsi="IRNazanin" w:eastAsia="IRNazanin"/>
          <w:color w:val="111111"/>
          <w:sz w:val="28"/>
          <w:sz w:val="28"/>
          <w:szCs w:val="28"/>
          <w:rtl w:val="true"/>
          <w:lang w:bidi="fa-IR"/>
        </w:rPr>
        <w:t>أوصى له</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ابن مسكان، عن العلاء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امرأة استودعت رجلا مالا، فلمّا حضرها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دفعته</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إليك لفلانة، و ماتت المرأة، و أتى أولياؤها الرجل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لصاحبتنا مال، و لا نراه إلّا عندك، فاحلف ما لنا قبلك شي‌ء، أ يحلف لهم؟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المرأة مأمونة عنده فيحلف لهم، و إن كانت متهمة فلا يحلف، و يضع الأمر على ما كان، فإنما لها من مالها ثلثه</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لوارث له و هو مريض بدين عليه،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 إذا كان الذي أقرّ به دون الثلث</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في هذه الرواية 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منافيا لما في الأخبار المتقدّمة ظاهرا، إلّا أنه يمكن دفعه بحمل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على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أن يكون المراد من ذلك الثلث فما دون، لوقوع التعبير بهذه العبارة مقصودا منها المعنى المزبور في الأخبار في غير موضع،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واقع في استعمالات أهل اللغة، و على نحوه حمل قوله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 نِسٰاءً فَوْقَ اثْنَتَيْنِ </w:t>
      </w:r>
      <w:r>
        <w:rPr>
          <w:rStyle w:val="FootnoteAnchor"/>
          <w:rtl w:val="true"/>
        </w:rPr>
        <w:footnoteReference w:id="25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التقريب في دلالة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ينفع الخصم في إثبات مطلوبه، مع وضوح خروجها عن محل النزاع من خصوص المنجّزات تبرعا، إذ لا ريب في كون الإقرار بالدين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دلّت على تعلّق حق الورثة في ثلثي تركة الميت في الجملة، دلالة مستفادة من الحكم فيها بنفوذ إقراره بالدين الواقع في حال المرض من الثلث مع التهمة له، إذ لو لا ذلك لما كان وجه للحكم المزبور، فيحمل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ذلك الحكم فيها بنفوذه من الأصل مع عدم التهمة، لأنّ تعلّق الحق بمحل لا ينافيه انتفاؤه عنه في 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لم يناف تعلّق حق الغرماء بمال المفلّس الحكم بنفوذ إقراره بدين سابق، كما هو مذهب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ثبوت ذلك بدلالة الأخبار المزبورة عليه، يقضي بثبوت مطلوب الخصم، من عدم نفوذ كلّ تصرّف من الميت ممّا لو نفذ لأسقط الحق المزبور، و لا يعارضه حق المالك، لأنّه وارد عليه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إمكان التقريب في دلالة هذه الأخبار على مطلوب الخصم بوجه آخر، و هو أنه يستفاد من تقييد الحكم فيها بنفوذ الإقرار في حال المرض من الثلث بحال التهمة، و بنفوذه من الأصل بحال عدمها، مع معلومية أنّ المراد من التهمة في المقام إنما هو الظن بسبب ظهور أمارات تقتضي بعدم صدق المقر في إقراره بثبوت دين عليه للمقر له، و أنّ مراده في الواقع إنما هو إعطاء ما أقرّ به له مجانا، و لكنه عدل عن التعبير عنه بعبارته إلى التعبير باسم الدين تدليسا، لينفذ للمقر له على كل حال استفادة واضحة أنّ الحكم في الصورة الأولى بنفوذه من</w:t>
      </w:r>
    </w:p>
    <w:p>
      <w:pPr>
        <w:pStyle w:val="BookText"/>
        <w:rPr/>
      </w:pPr>
      <w:r>
        <w:rPr>
          <w:rFonts w:ascii="Amiri" w:hAnsi="Amiri" w:eastAsia="Amiri" w:cs="Amiri"/>
          <w:color w:val="111111"/>
          <w:sz w:val="28"/>
          <w:sz w:val="28"/>
          <w:szCs w:val="28"/>
          <w:rtl w:val="true"/>
          <w:lang w:bidi="ar-SA"/>
        </w:rPr>
        <w:t>الثلث لا من الأصل إنما هو لمكان كون الإقرار حينئذ مظنونا أنّ المراد منه العطية مجانا، لا عوضا عما في ذمته، الذي لا ريب بعد فرض استفادته منها في ظهوره في كون الحكم المزبور في الصورة المفروضة حكم العطية من حيث أنها عطية، لا من حيث كونها عبّر عنها باسم الدين تدليسا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كيف كان فلا يخفى عليك عدم نهوض هذه الأخبار لما ينفع الخصم في ثبوت دعواه، و ذلك واضح على الوجه الأول في تقريب دلالتها، ضرورة أنّ غاية ما يستفاد منها على تقديره إنما هو الدلالة على تعلّق حق للورثة في ثلثي تركة الميت في الموارد الخاص، الذي لا ريب في أنّ ثبوته لا ينفع الخصم في ثبوت مطلوبه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كذلك لو كان المستفاد منها ثبوت ذلك في الجملة، كما هو واضح، و إنما ينفع لو فرض دلالتها على ذلك على جهة الإطلاق التي لا يخالف الخصم في انتفائها على الوجه المزبور في 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أمات على الوجه الثاني فكذلك أيضا، لوضوح أنّ الظاهر من مدخلية الأخبار المزبورة أنّ المراد من الاتهام إنما هو الاتهام بالعطية بعد الموت، التي هي في المعنى وصية، لا الاتهام بالعطية المنجّزة، و لا بالأعم منها، كما يشهد لذلك ملاحظة الوجدان في ذلك، فإنّ ذلك هو الذي يقع في النفوس من اتهام المقر بالدين في حال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ينافي ما قلناه من معنى الاتهام الحكم في الإقرار المزبور بحكم المنجّز من النفوذ من الأصل، لو مات المقر بعد البرء من المرض الذي وقع فيه الإقرار و إن مات في مرض آخر</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الحكم بعدم صحة الرجوع فيه بعد حصول الوصف المزبور، و ذلك لأنّا لا ندّعي أنّ الشارع حكم بواسطة الأخبار المزبورة بكون الإقرار المفروض</w:t>
      </w:r>
    </w:p>
    <w:p>
      <w:pPr>
        <w:pStyle w:val="BookText"/>
        <w:rPr/>
      </w:pPr>
      <w:r>
        <w:rPr>
          <w:rFonts w:ascii="Amiri" w:hAnsi="Amiri" w:eastAsia="Amiri" w:cs="Amiri"/>
          <w:color w:val="111111"/>
          <w:sz w:val="28"/>
          <w:sz w:val="28"/>
          <w:szCs w:val="28"/>
          <w:rtl w:val="true"/>
          <w:lang w:bidi="ar-SA"/>
        </w:rPr>
        <w:t>مع التهمة وصية لا بمنزلة الوصية مطلقا و انما ندعي أنه حكم بكون الإقرار مع الاتهام بالكذب، و إرادة العطية بعد الموت، التي هي في المعنى وصية بحكم الوصية في الخروج من الثلث، لمكان هذه الأخبار التي بها خرجنا فيه عن مقتضى أدلة الإقرار العام، لاعتبارها و أخصيتها من تلك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فاللازم في الحكم المزبور على الإقرار الخاص، الاقتصار على خصوص مورد الأخبار المزبورة، الذي لا ريب في خروج الإقرار مع حصول البرء من المرض الذي وقع هو فيه عنه، ضرورة ظهورها في كون المرض الذي وقع فيه الإقرار هو المرض الذي تسبّب عنه الموت، على وجه لا يشمل صورة تخلّل البرء بين المرض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فاللازم فيها الأخذ بمقتضى عموم تلك الأدلة، من الحكم بلزوم الإقرار، و خروج قدر ما أقرّ به لو مات و إن كان في مرض آخر من الأصل، لسلامتها حينئذ عن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مع تسليم كون المراد من الاتهام في الأخبار المزبورة، الاتهام بالعطية المنجّزة أو الأعم منها، فلا يفيد التعلّق بها في مطلوب الخصم شيئا أيضا، و ذلك لأنّ اللازم حينئذ الاقتصار في الحكم الذي تضمنته على خصوص العطية المنجّزة، المعبّر عنها باسم الدين تدليسا، لكونها مورد الأخبار المزبورة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موجب للتعدّي إلى غيرها من العطية التي لم تكن على الوجه المزبور، فضلا عن غيرها من سائر المنجّزات من دعوى أولوية أو ضميمة عدم القول بالفصل، فإنّ القائل به متحقق، و لا قياس صحيح، ضرورة أنّ احتمال كون العلّة في حكم الأصل التدليس فيها الذي لا ريب في صلاحيته لعليّة الحكم المزبور، و ذلك لإمكان أن يكون الحكم بالخروج من الثلث معه لمكان قبحه عقوبة و مؤاخذة له بالحكم بضد المقصود، فتأمل جيدا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حكي عن العلّامة رحمه اللّه في المختلف الاستدلال على القول</w:t>
      </w:r>
    </w:p>
    <w:p>
      <w:pPr>
        <w:pStyle w:val="BookText"/>
        <w:rPr/>
      </w:pPr>
      <w:r>
        <w:rPr>
          <w:rFonts w:ascii="Amiri" w:hAnsi="Amiri" w:eastAsia="Amiri" w:cs="Amiri"/>
          <w:color w:val="111111"/>
          <w:sz w:val="28"/>
          <w:sz w:val="28"/>
          <w:szCs w:val="28"/>
          <w:rtl w:val="true"/>
          <w:lang w:bidi="ar-SA"/>
        </w:rPr>
        <w:t xml:space="preserve">المزبور بعد الاستدلال عليه بما مرّ من الأخبار، بأنه إن كانت المؤخّرات من الثلث فالمنجّزات كذلك، و المقدّم حق بالإجماع، فكذا التالي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بيان الملازمة هو أنّ المقتضي لحصر الوصية بالثلث هو النظر إلى الورثة و الشفقة عليهم، و هذه العلّة منبّه عليها في كلام النبي صلّى اللّه عليه و آله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تصدّق عليكم بثلث أموالكم في آخر أعماركم</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نحوه في كلام الأئمة عليهم السّلام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العلّة المزبورة موجودة هنا، كما أنه وقع الاستدلال من بعض المتأخرين أيضا بأنه لو لم تكن المنجّزات من الثلث لاختلت حكمة الحكم بحصر الوصية في الثلث، و التالي باطل، فكذا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بيان الملازمة هو أنه لو كانت المنجّزات من غير الثلث لالتجأ كل من يريد الزيادة على الثلث إلى العطايا المنجّزة، و حينئذ فلا ريب في اختلال حكمة الحكم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لا يخفى عليك فساد كل من الوجهين المزبورين، و ذلك لما في الأول منها من منع كون علّة الحكم في الوصية ما ذكر فيه من النظر إلى الورثة و الشفقة عليهم بدفع الإضرار بهم، اللازم لإمضاء الوصية عليهم في صورة الزيادة على قدر الثلث، لعدم النص عليها من قبل الشاهد</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ذكروه من كلام النبي صلّى اللّه عليه و آله، و ما أشار إليه من كلام الأئمة عليهم السّلام، الذي هو على الظاهر خبر أبي بصير على رواية الكافي له </w:t>
      </w:r>
      <w:r>
        <w:rPr>
          <w:rStyle w:val="FootnoteAnchor"/>
          <w:rtl w:val="true"/>
        </w:rPr>
        <w:footnoteReference w:id="25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ليس فيهما دلالة على ذلك بوجه من وجوه الدلالة،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إمكان دعوى كون العلّة في الحكم المزبور في الوصية هي تعليق المريض الإضرار بالورثة دون نفسه، التي لا ريب في انتفائها في المنجّز، ضرورة أنّ الإضرار فيه كما يتعلّق بالورثة على تقدير الموت، يتعلّق به نفسه على تقدير برئه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أنه منقوض بمنجّزات الصحيح، لجريان الدليل المزبور فيها، مع أنه لا خلاف في خروجها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المال في حال المرض في معرض ملك الورثة، بخلافه في حال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نمنع من اختصاص حال المرض بكون المال فيه في معرض ملك الورثة دون حال الصحة، ضرورة أنّ دعوى نسبة ذلك إلى حال المرض إن كانت لمكان حصول الظن معه بالتلف، ففيها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حال الصحة قد يغلب معه الظن بذلك على وجه أبلغ من حال المرض، كما إذا كان الإنسان في حال المراماة، أو في وقت حلول الطاعون، و نحوه من الأمراض المهلكة التي من شأنها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لمكان قربه من زمان الموت، ففيها ما لا يخفى من أنه ربّ مريض عاش أكثر من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في الثاني من أنّ دعوى لزوم اختلال حكمة الحكم بحصر الوصية في الثلث، إنما تتم لو لم توجد في الخارج صورة يمتنع فيها التنجيز بالعطية لشي‌ء و لا يمتنع فيها الوصية بذلك الشي‌ء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مع وجود صورة كذلك في الخارج، فلا ريب في فساد الدعوى المزبورة، إذ لا ريب حينئذ في انتفاء الاختلال في الحكمة المزبورة، و تحقق الصورة المزبورة في الخارج مما لا شك فيه، و ذلك لأنّ شدة الحرص على الأموال في غالب نوع الإنسان و الشح فيها تمنع الإنسان من السخاء فيها ما دام متلبّسا</w:t>
      </w:r>
    </w:p>
    <w:p>
      <w:pPr>
        <w:pStyle w:val="BookText"/>
        <w:rPr/>
      </w:pPr>
      <w:r>
        <w:rPr>
          <w:rFonts w:ascii="Amiri" w:hAnsi="Amiri" w:eastAsia="Amiri" w:cs="Amiri"/>
          <w:color w:val="111111"/>
          <w:sz w:val="28"/>
          <w:sz w:val="28"/>
          <w:szCs w:val="28"/>
          <w:rtl w:val="true"/>
          <w:lang w:bidi="ar-SA"/>
        </w:rPr>
        <w:t>بأمل الحياة، الذي لا يقطعه كونه في مرض و إن كان مخوّفا، ضرورة احتمال البرء بخلاف السخاء فيها فيما بعد الموت، فإنه سهل على النفوس الصحيحة،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فلا ريب في أنّ التنجيز بالعطية مطلقا فضلا عنها مع الزيادة على الثلث، لمكان كونه سخاء بالمال في زمان أمل الحياة قد يمنع منه الحرص و الشح إن لم يكن هو الغالب، بخلاف الوصية، لكونها سخاء بالمال بعد الموت،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تمّت، و ختمت هذه الرسالة الشريفة في يوم الخميس من الثاني و العشرين من شهر جمادى الآخرة في سنة الثلاث و العشرين و ثلاثمائة بعد الألف من الهجرة النبوية، على يد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الآثم الشجي محمّد علي غفر اللّه له و لوالديه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تمّ تحقيق هذه الرسالة القيّمة على يد الفقيرة إلى ربّها، الراجية عفوه و مغفرته، خادمة أهل البيت عليهم السّلام أم علي مشكور، في التاسع و العشرين من رجب المرجّب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7876</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833</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السماء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نجوم السماء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الرازي الى الإمام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استمر عمّنا سماحة الشيخ نور الدين مشكور بعد وفاة جدّنا الشيخ حسين مشكور بإقامة صلاة الجماعة مكان والده مدة من الزمن حتى نفي إلى إيران عام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نقباء البشر في القرن الرابع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المال أحق بماله ما دام حيا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المتأخرين جماعة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الهداية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عنه العلّامة في 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في التذكرة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 الأحسائي في العوالي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المجلسي في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أَيُّهَا الَّذِينَ آمَنُوا أَوْفُوا بِالْعُقُودِ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السيد ابن زهرة في 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حيا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و وردت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الفقيه و التهذيب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صاحب المال أحق بماله ما دام حيا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النسختين أضفناها من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صبية صغارا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يتكففون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يسألوهم بالأكف</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بعتق أو صدقة أو حج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الصدوق في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 الشيخ في الاستبصار أيضا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بعتق أو صدقة أو 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 له ما دام حيا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 المال أحق بماله ما دام حيا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بعتق أو صدقة أو 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لغيرنا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الخصوص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منظور في 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الطامور و الطومار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دخيل،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أراه عربيا محضا، لأنّ سيبويه قد اعتدّ به في الأبنية،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ملحق بفسطاط</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سبر</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النسختين الخطية و الحجرية، و في جميع المصادر شعيب بن يعقوب،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شعيب بن يعقوب عن أبي بصير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للإنسان أن يوصي به بعد موته و ما يستحب له من ذلك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بياع السابري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يقر لوارث بدين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يقر لوارث بدين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 اختلاف بسيط عمّا في النسختين</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وصية الغلام و الجارية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و عليه دين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بعتق أو جارية أو حج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أوصى بعتق أو جارية أو حج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و عليه دين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و عليه دين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و عليه دين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المزبور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و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و عليه دين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840</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و عليه دين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أعتق و عليه دين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839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يقر لوارث بدين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دعته، و ما أثبتناه من المصادر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يقر لوارث بدين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661</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أوصى، و ما أثبتناه من المصادر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المريض يقر لوارث بدين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صاحب المال أحق بماله ما دام حيا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21829</Words>
  <Characters>88556</Characters>
  <CharactersWithSpaces>109660</CharactersWithSpaces>
  <Paragraphs>1009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2026-08-26T01:25:03Z</dcterms:created>
  <dc:creator>ghaemiyeh.com</dc:creator>
  <dc:description/>
  <dc:language>en-US</dc:language>
  <cp:lastModifiedBy/>
  <dcterms:modified xsi:type="dcterms:W3CDTF">2026-08-26T04:55:08Z</dcterms:modified>
  <cp:revision>1</cp:revision>
  <dc:subject/>
  <dc:title>منجزات المریض</dc:title>
</cp:coreProperties>
</file>

<file path=docProps/custom.xml><?xml version="1.0" encoding="utf-8"?>
<Properties xmlns="http://schemas.openxmlformats.org/officeDocument/2006/custom-properties" xmlns:vt="http://schemas.openxmlformats.org/officeDocument/2006/docPropsVTypes"/>
</file>