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اجوبه المسائل البهبهانیه التی سالها السید عبدالله البلادی البحرانی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1395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41397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41399_2314609296">
            <w:r>
              <w:rPr>
                <w:webHidden/>
                <w:rStyle w:val="IndexLink"/>
                <w:rtl w:val="true"/>
              </w:rPr>
              <w:t xml:space="preserve">مقدمة المصنف </w:t>
            </w:r>
            <w:r>
              <w:rPr>
                <w:rStyle w:val="IndexLink"/>
                <w:rtl w:val="true"/>
              </w:rPr>
              <w:t>(</w:t>
            </w:r>
            <w:r>
              <w:rPr>
                <w:rStyle w:val="IndexLink"/>
                <w:rtl w:val="true"/>
              </w:rPr>
              <w:t>قده</w:t>
            </w:r>
            <w:r>
              <w:rPr>
                <w:rStyle w:val="IndexLink"/>
                <w:rtl w:val="true"/>
              </w:rPr>
              <w:t>)</w:t>
              <w:tab/>
            </w:r>
            <w:r>
              <w:rPr>
                <w:rStyle w:val="IndexLink"/>
              </w:rPr>
              <w:t>5</w:t>
            </w:r>
          </w:hyperlink>
        </w:p>
        <w:p>
          <w:pPr>
            <w:pStyle w:val="Contents2"/>
            <w:tabs>
              <w:tab w:val="clear" w:pos="8743"/>
              <w:tab w:val="right" w:pos="9026" w:leader="dot"/>
            </w:tabs>
            <w:rPr/>
          </w:pPr>
          <w:hyperlink w:anchor="__RefHeading___Toc2241401_2314609296">
            <w:r>
              <w:rPr>
                <w:webHidden/>
                <w:rStyle w:val="IndexLink"/>
                <w:rtl w:val="true"/>
              </w:rPr>
              <w:t>المسألة الأولى في الأذان و الإقامة</w:t>
            </w:r>
            <w:r>
              <w:rPr>
                <w:rStyle w:val="IndexLink"/>
                <w:rtl w:val="true"/>
              </w:rPr>
              <w:tab/>
            </w:r>
            <w:r>
              <w:rPr>
                <w:rStyle w:val="IndexLink"/>
              </w:rPr>
              <w:t>7</w:t>
            </w:r>
          </w:hyperlink>
        </w:p>
        <w:p>
          <w:pPr>
            <w:pStyle w:val="Contents2"/>
            <w:tabs>
              <w:tab w:val="clear" w:pos="8743"/>
              <w:tab w:val="right" w:pos="9026" w:leader="dot"/>
            </w:tabs>
            <w:rPr/>
          </w:pPr>
          <w:hyperlink w:anchor="__RefHeading___Toc2241403_2314609296">
            <w:r>
              <w:rPr>
                <w:webHidden/>
                <w:rStyle w:val="IndexLink"/>
                <w:rtl w:val="true"/>
              </w:rPr>
              <w:t>المسألة الثانية في النية</w:t>
            </w:r>
            <w:r>
              <w:rPr>
                <w:rStyle w:val="IndexLink"/>
                <w:rtl w:val="true"/>
              </w:rPr>
              <w:tab/>
            </w:r>
            <w:r>
              <w:rPr>
                <w:rStyle w:val="IndexLink"/>
              </w:rPr>
              <w:t>12</w:t>
            </w:r>
          </w:hyperlink>
        </w:p>
        <w:p>
          <w:pPr>
            <w:pStyle w:val="Contents2"/>
            <w:tabs>
              <w:tab w:val="clear" w:pos="8743"/>
              <w:tab w:val="right" w:pos="9026" w:leader="dot"/>
            </w:tabs>
            <w:rPr/>
          </w:pPr>
          <w:hyperlink w:anchor="__RefHeading___Toc2241405_2314609296">
            <w:r>
              <w:rPr>
                <w:webHidden/>
                <w:rStyle w:val="IndexLink"/>
                <w:rtl w:val="true"/>
              </w:rPr>
              <w:t>المسألة الثالثة في وجوب السورة</w:t>
            </w:r>
            <w:r>
              <w:rPr>
                <w:rStyle w:val="IndexLink"/>
                <w:rtl w:val="true"/>
              </w:rPr>
              <w:tab/>
            </w:r>
            <w:r>
              <w:rPr>
                <w:rStyle w:val="IndexLink"/>
              </w:rPr>
              <w:t>20</w:t>
            </w:r>
          </w:hyperlink>
        </w:p>
        <w:p>
          <w:pPr>
            <w:pStyle w:val="Contents2"/>
            <w:tabs>
              <w:tab w:val="clear" w:pos="8743"/>
              <w:tab w:val="right" w:pos="9026" w:leader="dot"/>
            </w:tabs>
            <w:rPr/>
          </w:pPr>
          <w:hyperlink w:anchor="__RefHeading___Toc2241407_2314609296">
            <w:r>
              <w:rPr>
                <w:webHidden/>
                <w:rStyle w:val="IndexLink"/>
                <w:rtl w:val="true"/>
              </w:rPr>
              <w:t>المسألة الرابعة في الجهر و الإخفات</w:t>
            </w:r>
            <w:r>
              <w:rPr>
                <w:rStyle w:val="IndexLink"/>
                <w:rtl w:val="true"/>
              </w:rPr>
              <w:tab/>
            </w:r>
            <w:r>
              <w:rPr>
                <w:rStyle w:val="IndexLink"/>
              </w:rPr>
              <w:t>31</w:t>
            </w:r>
          </w:hyperlink>
        </w:p>
        <w:p>
          <w:pPr>
            <w:pStyle w:val="Contents2"/>
            <w:tabs>
              <w:tab w:val="clear" w:pos="8743"/>
              <w:tab w:val="right" w:pos="9026" w:leader="dot"/>
            </w:tabs>
            <w:rPr/>
          </w:pPr>
          <w:hyperlink w:anchor="__RefHeading___Toc2241409_2314609296">
            <w:r>
              <w:rPr>
                <w:webHidden/>
                <w:rStyle w:val="IndexLink"/>
                <w:rtl w:val="true"/>
              </w:rPr>
              <w:t>المسألة الخامسة في استحباب الجمعتين في الجمعتين</w:t>
            </w:r>
            <w:r>
              <w:rPr>
                <w:rStyle w:val="IndexLink"/>
                <w:rtl w:val="true"/>
              </w:rPr>
              <w:tab/>
            </w:r>
            <w:r>
              <w:rPr>
                <w:rStyle w:val="IndexLink"/>
              </w:rPr>
              <w:t>49</w:t>
            </w:r>
          </w:hyperlink>
        </w:p>
        <w:p>
          <w:pPr>
            <w:pStyle w:val="Contents2"/>
            <w:tabs>
              <w:tab w:val="clear" w:pos="8743"/>
              <w:tab w:val="right" w:pos="9026" w:leader="dot"/>
            </w:tabs>
            <w:rPr/>
          </w:pPr>
          <w:hyperlink w:anchor="__RefHeading___Toc2241411_2314609296">
            <w:r>
              <w:rPr>
                <w:webHidden/>
                <w:rStyle w:val="IndexLink"/>
                <w:rtl w:val="true"/>
              </w:rPr>
              <w:t>المسألة السادسة في تولى الأمور الحسبيّة</w:t>
            </w:r>
            <w:r>
              <w:rPr>
                <w:rStyle w:val="IndexLink"/>
                <w:rtl w:val="true"/>
              </w:rPr>
              <w:tab/>
            </w:r>
            <w:r>
              <w:rPr>
                <w:rStyle w:val="IndexLink"/>
              </w:rPr>
              <w:t>53</w:t>
            </w:r>
          </w:hyperlink>
        </w:p>
        <w:p>
          <w:pPr>
            <w:pStyle w:val="Contents2"/>
            <w:tabs>
              <w:tab w:val="clear" w:pos="8743"/>
              <w:tab w:val="right" w:pos="9026" w:leader="dot"/>
            </w:tabs>
            <w:rPr/>
          </w:pPr>
          <w:hyperlink w:anchor="__RefHeading___Toc2241413_2314609296">
            <w:r>
              <w:rPr>
                <w:webHidden/>
                <w:rStyle w:val="IndexLink"/>
                <w:rtl w:val="true"/>
              </w:rPr>
              <w:t>المسألة السابعة في تعريف الأيمان</w:t>
            </w:r>
            <w:r>
              <w:rPr>
                <w:rStyle w:val="IndexLink"/>
                <w:rtl w:val="true"/>
              </w:rPr>
              <w:tab/>
            </w:r>
            <w:r>
              <w:rPr>
                <w:rStyle w:val="IndexLink"/>
              </w:rPr>
              <w:t>64</w:t>
            </w:r>
          </w:hyperlink>
        </w:p>
        <w:p>
          <w:pPr>
            <w:pStyle w:val="Contents2"/>
            <w:tabs>
              <w:tab w:val="clear" w:pos="8743"/>
              <w:tab w:val="right" w:pos="9026" w:leader="dot"/>
            </w:tabs>
            <w:rPr/>
          </w:pPr>
          <w:hyperlink w:anchor="__RefHeading___Toc2241415_2314609296">
            <w:r>
              <w:rPr>
                <w:webHidden/>
                <w:rStyle w:val="IndexLink"/>
                <w:rtl w:val="true"/>
              </w:rPr>
              <w:t>المسألة الثامنة في حكم القاصد للمسافة</w:t>
            </w:r>
            <w:r>
              <w:rPr>
                <w:rStyle w:val="IndexLink"/>
                <w:rtl w:val="true"/>
              </w:rPr>
              <w:tab/>
            </w:r>
            <w:r>
              <w:rPr>
                <w:rStyle w:val="IndexLink"/>
              </w:rPr>
              <w:t>71</w:t>
            </w:r>
          </w:hyperlink>
        </w:p>
        <w:p>
          <w:pPr>
            <w:pStyle w:val="Contents2"/>
            <w:tabs>
              <w:tab w:val="clear" w:pos="8743"/>
              <w:tab w:val="right" w:pos="9026" w:leader="dot"/>
            </w:tabs>
            <w:rPr/>
          </w:pPr>
          <w:hyperlink w:anchor="__RefHeading___Toc2241417_2314609296">
            <w:r>
              <w:rPr>
                <w:webHidden/>
                <w:rStyle w:val="IndexLink"/>
                <w:rtl w:val="true"/>
              </w:rPr>
              <w:t>المسألة التاسعة في اشتراط العدالة في مستحق الزكاة</w:t>
            </w:r>
            <w:r>
              <w:rPr>
                <w:rStyle w:val="IndexLink"/>
                <w:rtl w:val="true"/>
              </w:rPr>
              <w:tab/>
            </w:r>
            <w:r>
              <w:rPr>
                <w:rStyle w:val="IndexLink"/>
              </w:rPr>
              <w:t>78</w:t>
            </w:r>
          </w:hyperlink>
        </w:p>
        <w:p>
          <w:pPr>
            <w:pStyle w:val="Contents2"/>
            <w:tabs>
              <w:tab w:val="clear" w:pos="8743"/>
              <w:tab w:val="right" w:pos="9026" w:leader="dot"/>
            </w:tabs>
            <w:rPr/>
          </w:pPr>
          <w:hyperlink w:anchor="__RefHeading___Toc2241419_2314609296">
            <w:r>
              <w:rPr>
                <w:webHidden/>
                <w:rStyle w:val="IndexLink"/>
                <w:rtl w:val="true"/>
              </w:rPr>
              <w:t>المسألة العاشرة في مرتبة الفقاهة</w:t>
            </w:r>
            <w:r>
              <w:rPr>
                <w:rStyle w:val="IndexLink"/>
                <w:rtl w:val="true"/>
              </w:rPr>
              <w:tab/>
            </w:r>
            <w:r>
              <w:rPr>
                <w:rStyle w:val="IndexLink"/>
              </w:rPr>
              <w:t>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0_223099"/>
      <w:bookmarkStart w:id="1" w:name="pg19660_223099"/>
      <w:bookmarkEnd w:id="1"/>
    </w:p>
    <w:p>
      <w:pPr>
        <w:pStyle w:val="Heading2"/>
        <w:numPr>
          <w:ilvl w:val="1"/>
          <w:numId w:val="1"/>
        </w:numPr>
        <w:rPr/>
      </w:pPr>
      <w:bookmarkStart w:id="2" w:name="pg19660_223099"/>
      <w:bookmarkStart w:id="3" w:name="__RefHeading___Toc2241395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المسائل البهبهانية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بحرانى، آل عصفور، يوسف بن احمد بن ابراهيم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الأحياء لعلماء البحرين و القطيف والأحساء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بن احمد بحرانى</w:t>
      </w:r>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بحراني، يوسف‌بن احمد، </w:t>
      </w:r>
      <w:r>
        <w:rPr>
          <w:rFonts w:ascii="Amiri" w:hAnsi="Amiri" w:eastAsia="Amiri" w:cs="Amiri"/>
          <w:color w:val="111111"/>
          <w:sz w:val="28"/>
          <w:sz w:val="28"/>
          <w:szCs w:val="28"/>
          <w:lang w:bidi="ar-SA"/>
        </w:rPr>
        <w:t>۱۱۸۶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۱۱۰۷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اجوبه المسائل البهبهانيه التي سالها السيد عبدالله البلادي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الشيخ يوسف‌بن احمدبن ابراهيم العصفور البحراني، المتوفي سنه </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حققه و علق عليه ابواحمدبن احمدبن خلف‌بن احمد العصفور البحراني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المعموره علميه،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احمدبن احمد، مصحح</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۰۷۶</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1397_2314609296"/>
      <w:bookmarkStart w:id="6" w:name="_Toc2"/>
      <w:bookmarkEnd w:id="5"/>
      <w:r>
        <w:rPr>
          <w:rtl w:val="true"/>
        </w:rPr>
        <w:t>اشارة</w:t>
      </w:r>
      <w:bookmarkStart w:id="7" w:name="pg19660_223116"/>
      <w:bookmarkEnd w:id="6"/>
    </w:p>
    <w:p>
      <w:pPr>
        <w:pStyle w:val="Heading2"/>
        <w:numPr>
          <w:ilvl w:val="1"/>
          <w:numId w:val="1"/>
        </w:numPr>
        <w:rPr/>
      </w:pPr>
      <w:bookmarkStart w:id="8" w:name="__RefHeading___Toc2241399_2314609296"/>
      <w:bookmarkStart w:id="9" w:name="_Toc3"/>
      <w:bookmarkEnd w:id="7"/>
      <w:bookmarkEnd w:id="8"/>
      <w:r>
        <w:rPr>
          <w:rtl w:val="true"/>
        </w:rPr>
        <w:t xml:space="preserve">مقدمة المصنف </w:t>
      </w:r>
      <w:r>
        <w:rPr>
          <w:rtl w:val="true"/>
        </w:rPr>
        <w:t>(</w:t>
      </w:r>
      <w:r>
        <w:rPr>
          <w:rtl w:val="true"/>
        </w:rPr>
        <w:t>قده</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لك الحمد يا من ترادفت علينا آلاؤه فلا يحيط بها العدّ و تواترت لدينا نعماؤه فلا نهاية لها و لا حدّ و الصلاة على قطب الرسالة بل الجوهر الفرد محمد و آله، الهالك من انحاز عنهم و صدّ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الفقير المتعطش إلى الفيض الأقدس السبحاني يوسف بن أحمد بن إبراهيم البحراني بصّره الله تعالى بعيوب نفسه و جعل مستقبلة خيراً من أمسه، قد وردت علىّ بعض المسائل من عاليجناب عمدة السادة الفضلاء الأشراف و زبدة الأجلاء المتفرعين من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بعقد المؤاخاة الإيمانية، و خلّي بصدق المصادقات النورانية المتسربل بسربال الفضل و التقوى، و الفائز بالحظ الوافر منه و النصيب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السيد عبد الله بن السيد علوي لا زالت أقانه معمورة بالفيوضات الربانية، و ذاته مغمورة بالتوفيقات السبحانية،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طالباً سلمه الله تعالى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البيان و الترجيح و ما وصل إليه فهمه القاصر من التحقيق فيها و التنقيح و حيث كان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الامتثال على كل حال، و إجابته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زيدت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الأعمال عند ذي الجلال، بادرت إلى ذلك مع ما في البال من الاشتغال بعوائق الأشغال و تراكم أمواج الهموم التي يضيق عن نشرها ميدان المقال مزيلا كل مسألة على حالها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بما يرفع عنها نقاب الخفاء و الارتياب سائلا من الحضرة القدسية الإعانة و الأمداد و الهداية إلى سبيل الرشد و السداد</w:t>
      </w:r>
      <w:r>
        <w:rPr>
          <w:rFonts w:eastAsia="Amiri" w:cs="Amiri" w:ascii="Amiri" w:hAnsi="Amiri"/>
          <w:color w:val="111111"/>
          <w:sz w:val="28"/>
          <w:szCs w:val="28"/>
          <w:rtl w:val="true"/>
          <w:lang w:bidi="ar-SA"/>
        </w:rPr>
        <w:t>.</w:t>
      </w:r>
      <w:bookmarkStart w:id="10" w:name="pg19660_223118"/>
    </w:p>
    <w:p>
      <w:pPr>
        <w:pStyle w:val="Heading2"/>
        <w:numPr>
          <w:ilvl w:val="1"/>
          <w:numId w:val="1"/>
        </w:numPr>
        <w:rPr/>
      </w:pPr>
      <w:bookmarkStart w:id="11" w:name="__RefHeading___Toc2241401_2314609296"/>
      <w:bookmarkStart w:id="12" w:name="_Toc4"/>
      <w:bookmarkEnd w:id="10"/>
      <w:bookmarkEnd w:id="11"/>
      <w:r>
        <w:rPr>
          <w:rtl w:val="true"/>
        </w:rPr>
        <w:t>المسألة الأولى في الأذان و الإقامة</w:t>
      </w:r>
      <w:bookmarkEnd w:id="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إفضاله، و كثّر في الفرقة الناجية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شيخنا و مولانا دام ظله العالي بمحمد و آله خيرة المتعالي صلى الله عليهم صلاة دائمة بدوام الأيام و الليالي، في أن الأذان و الإقامة مستحبان مطلقاً أم لا؟ أو في بعض الصلوات، أو في الجمعة واجبان؟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التوفيق للصواب أن الظاهر من ملاحظة الجمع بين الأخبار الواردة في هذا 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الأذان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الإقامة فالحكم فيها لا يخلو من الإشكال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على الأول الأخبار الدالة على أن من صلى بأذان و إقامة صلى خلفه صفان من الملائكة و من صلى بإقامة بدون أذان صلى خلفه صف واحد و هي مستفيضة دالة بإطلاقها على صحة الصلاة منفرداً بدون</w:t>
      </w:r>
    </w:p>
    <w:p>
      <w:pPr>
        <w:pStyle w:val="BookText"/>
        <w:rPr/>
      </w:pPr>
      <w:r>
        <w:rPr>
          <w:rFonts w:ascii="Amiri" w:hAnsi="Amiri" w:eastAsia="Amiri" w:cs="Amiri"/>
          <w:color w:val="111111"/>
          <w:sz w:val="28"/>
          <w:sz w:val="28"/>
          <w:szCs w:val="28"/>
          <w:rtl w:val="true"/>
          <w:lang w:bidi="ar-SA"/>
        </w:rPr>
        <w:t>أذان لأي صلاة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أيضاً جملة من الأخبار دالة على إجزاء الإقامة وحدها لمن صلى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هي شاملة بإطلاقها لجملة الفرائض</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ورد من أنه لا بد في الصبح و المغرب من الأذان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سماعة و صحيحة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أيضاً محمول على</w:t>
      </w:r>
    </w:p>
    <w:p>
      <w:pPr>
        <w:pStyle w:val="BookText"/>
        <w:rPr/>
      </w:pPr>
      <w:r>
        <w:rPr>
          <w:rFonts w:ascii="Amiri" w:hAnsi="Amiri" w:eastAsia="Amiri" w:cs="Amiri"/>
          <w:color w:val="111111"/>
          <w:sz w:val="28"/>
          <w:sz w:val="28"/>
          <w:szCs w:val="28"/>
          <w:rtl w:val="true"/>
          <w:lang w:bidi="ar-SA"/>
        </w:rPr>
        <w:t>زيادة تأكيد الاستحباب، و بيان الأفضلية فيها زيادة على سائر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يزيد ذلك 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الإقامة بغير الأذان في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ما أحب أن يعتاد</w:t>
      </w:r>
    </w:p>
    <w:p>
      <w:pPr>
        <w:pStyle w:val="BookText"/>
        <w:rPr/>
      </w:pPr>
      <w:r>
        <w:rPr>
          <w:rStyle w:val="FootnoteAnchor"/>
          <w:rtl w:val="true"/>
        </w:rPr>
        <w:footnoteReference w:id="2"/>
      </w:r>
      <w:r>
        <w:rPr>
          <w:rFonts w:ascii="Amiri" w:hAnsi="Amiri" w:eastAsia="Amiri" w:cs="Amiri"/>
          <w:color w:val="111111"/>
          <w:sz w:val="28"/>
          <w:sz w:val="28"/>
          <w:szCs w:val="28"/>
          <w:rtl w:val="true"/>
          <w:lang w:bidi="ar-SA"/>
        </w:rPr>
        <w:t>و هذه الرواية أيضاً دالة بإطلاقها على جواز ترك الأذان في المغرب جماعة كانت أو 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إشارة فيها فضلا عن التصريح بكون تلك الصلاة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أظهر منها دلالة في ذلك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تحضر الصلاة و نحن مجتمعون في مكان واحد أ تجزينا إقامة بغير أذان قال نعم</w:t>
      </w:r>
    </w:p>
    <w:p>
      <w:pPr>
        <w:pStyle w:val="BookText"/>
        <w:rPr/>
      </w:pPr>
      <w:r>
        <w:rPr>
          <w:rStyle w:val="FootnoteAnchor"/>
          <w:rtl w:val="true"/>
        </w:rPr>
        <w:footnoteReference w:id="3"/>
      </w:r>
      <w:r>
        <w:rPr>
          <w:rFonts w:ascii="Amiri" w:hAnsi="Amiri" w:eastAsia="Amiri" w:cs="Amiri"/>
          <w:color w:val="111111"/>
          <w:sz w:val="28"/>
          <w:sz w:val="28"/>
          <w:szCs w:val="28"/>
          <w:rtl w:val="true"/>
          <w:lang w:bidi="ar-SA"/>
        </w:rPr>
        <w:t xml:space="preserve">و ما رواه الشيخ </w:t>
      </w:r>
      <w:r>
        <w:rPr>
          <w:rStyle w:val="FootnoteAnchor"/>
          <w:rtl w:val="true"/>
        </w:rPr>
        <w:footnoteReference w:id="4"/>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القوم لا ينتظرون أحداً اكتفوا بإقامة واحدة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الجواب عمّا استدل به بعض الأصحاب على 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الأذان في الجماعة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سألته أ يجزى أذان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جماعة لم يجز إلا أذان و إقامة و إن كنت وحدك تبادر أمراً تخاف أن يفوتك يجزئك إقامة إلا الفجر و المغرب</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5"/>
      </w:r>
      <w:r>
        <w:rPr>
          <w:rFonts w:ascii="Amiri" w:hAnsi="Amiri" w:eastAsia="Amiri" w:cs="Amiri"/>
          <w:color w:val="111111"/>
          <w:sz w:val="28"/>
          <w:sz w:val="28"/>
          <w:szCs w:val="28"/>
          <w:rtl w:val="true"/>
          <w:lang w:bidi="ar-SA"/>
        </w:rPr>
        <w:t xml:space="preserve">و مقتضى الجمع بين الأخبار حمل هذه على تأكيد الاستحباب و يزيد ما ذكرناه تأكيداً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 فصول كل من الأذان و الإقامة قال</w:t>
      </w:r>
    </w:p>
    <w:p>
      <w:pPr>
        <w:pStyle w:val="BookText"/>
        <w:rPr/>
      </w:pPr>
      <w:r>
        <w:rPr>
          <w:rFonts w:ascii="Amiri" w:hAnsi="Amiri" w:eastAsia="Amiri" w:cs="Amiri"/>
          <w:color w:val="111111"/>
          <w:sz w:val="28"/>
          <w:sz w:val="28"/>
          <w:szCs w:val="28"/>
          <w:rtl w:val="true"/>
          <w:lang w:bidi="ar-SA"/>
        </w:rPr>
        <w:t>و الأذان و الإقامة من السنن اللازمة و ليستا بفريضة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بالنسبة إلى الأذان و أما الإقامة فلم أقف على شي‌ء من الأخبار بعد التتبع التام على ما يقتضي سقوطهما في شي‌ء من الفرائض، بل الأخبار كلها متفقة على ذكرها، و لا على التصريح فيها بوجوب أو استحباب سوى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الفقه الرضوي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فيها لا يخلو من إشكال و الله العالم بحقيقة الحال</w:t>
      </w:r>
      <w:r>
        <w:rPr>
          <w:rFonts w:eastAsia="Amiri" w:cs="Amiri" w:ascii="Amiri" w:hAnsi="Amiri"/>
          <w:color w:val="111111"/>
          <w:sz w:val="28"/>
          <w:szCs w:val="28"/>
          <w:rtl w:val="true"/>
          <w:lang w:bidi="ar-SA"/>
        </w:rPr>
        <w:t>.</w:t>
      </w:r>
      <w:bookmarkStart w:id="13" w:name="pg19660_223123"/>
    </w:p>
    <w:p>
      <w:pPr>
        <w:pStyle w:val="Heading2"/>
        <w:numPr>
          <w:ilvl w:val="1"/>
          <w:numId w:val="1"/>
        </w:numPr>
        <w:rPr/>
      </w:pPr>
      <w:bookmarkStart w:id="14" w:name="__RefHeading___Toc2241403_2314609296"/>
      <w:bookmarkStart w:id="15" w:name="_Toc5"/>
      <w:bookmarkEnd w:id="13"/>
      <w:bookmarkEnd w:id="14"/>
      <w:r>
        <w:rPr>
          <w:rtl w:val="true"/>
        </w:rPr>
        <w:t>المسألة الثانية في النية</w:t>
      </w:r>
      <w:bookmarkEnd w:id="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 فضله و زيد نبله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القربة كافية في جميع العبادات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الثقة في كل باب إنا لم نعثر على دليل يدل على قصد أمر زائد وراء قصد القربة و الإخلاص في جميع العبادات، و الناس في سعة ما لم يعلموا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اعترف بذلك أيضاً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أوجب زيادة على ذلك لم يستند فيه إلى نص و برهان من السنة النبوية أو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علله بوجوه اعتبارية و اختراعات عقلية لا تصلح أن تكون مؤسسة للأحكام الشرعية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الفعل المستقر في</w:t>
      </w:r>
    </w:p>
    <w:p>
      <w:pPr>
        <w:pStyle w:val="BookText"/>
        <w:rPr/>
      </w:pPr>
      <w:r>
        <w:rPr>
          <w:rFonts w:ascii="Amiri" w:hAnsi="Amiri" w:eastAsia="Amiri" w:cs="Amiri"/>
          <w:color w:val="111111"/>
          <w:sz w:val="28"/>
          <w:sz w:val="28"/>
          <w:szCs w:val="28"/>
          <w:rtl w:val="true"/>
          <w:lang w:bidi="ar-SA"/>
        </w:rPr>
        <w:t>ذمة المكلف مما له أنواع يقع بحسبها و اجتمعت تلك الأنواع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أحدها على الخصوص من قصد زائد على مجرد إيقاع الفعل قربة له سبحانه مثلا الصلاة لما كانت يقع على وجه الأداء تارة و على وجه القضاء أخرى، فلو اشتغلت ذمة المكلف بظهر أداء و أخرى قضاء و قلنا بالمواسعة في القضاء فإنه يجب عليه قصد الأداء إن أراد إيقاع صاحبة الوقت، و إلا فقصد القضاء إن أراد إيقاع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فإنه متى كان الفعل المراد إيقاعه متعيناً في الواقع ذاتاً و صفة كفى إيقاعه بقصد القربة، و إن لم يتعين في نظر المكلف، و لا بأس بالإشارة هنا إلى تحقيق حررناه في بعض فوائدنا تتعلق بأصل النية و بيان أنها من قبيل الأمور الفطرية الجبليّة التي لا تحتاج إلى مزيد تكلف بالكلية و إن كان ذلك خارجاً عن الجواب إلا أنه مما له مزيد يقع عند أولى الألباب في هذا الباب، و مما يستعان على التخلص من شراك الوسواس الخناس، و الخروج من حيرة التيه في ذلك و الالتباس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نقف في أصل النية في هذا المقام على ذكر لها في أخبار أهل البيت عليهم الصلاة و السلام بل و لا في كلام أحد من قدماء علمائنا الأعلام فضلا عما يترتب عليها من الفروع و الأحكام، و إنما أحدث البحث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متأخروا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أطنبوا في ذلك أي إطناب</w:t>
      </w:r>
    </w:p>
    <w:p>
      <w:pPr>
        <w:pStyle w:val="BookText"/>
        <w:rPr/>
      </w:pPr>
      <w:r>
        <w:rPr>
          <w:rFonts w:ascii="Amiri" w:hAnsi="Amiri" w:eastAsia="Amiri" w:cs="Amiri"/>
          <w:color w:val="111111"/>
          <w:sz w:val="28"/>
          <w:sz w:val="28"/>
          <w:szCs w:val="28"/>
          <w:rtl w:val="true"/>
          <w:lang w:bidi="ar-SA"/>
        </w:rPr>
        <w:t xml:space="preserve">و الظاهر أن منشأ البحث في أصل النيّة و ما يتفرع عليها من تلك الأمور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خذلهم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مصرح به في كتبهم جرياً على طريقتهم في بناء الأحكام الشرعية على مجرد العلل العقلية و الأمور الاستحسانية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ذلك منهم جماعة من الأصحاب و حذوا حذوهم في ذلك الباب غفلة عما اقتضته أدلة السنة و الكتاب من الإبهام لما أبهم الله و السكوت عما عنه سكت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شرعاً هي القصد المقارن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تقدمت عليه و لم تقارنه كما إذا نوى صبحاً أن يفعل الفعل عصراً مثلا سمي ذلك عرفاً لا نية، فإذا استمر حتى قارن سمي حينئذ نية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المقارنة في نية الصلاة اختلاف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تعالى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اقتران النية بالتكبير بأن يأتي بكمال النية قبله ثم يبتدأ بالتكبير بلا فصل و هذا تصح صلاته إجماعاً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ابتدأ بالنية بالقلب حال ابتداء التكبير باللسان ثم فرغ منها دفعة فالوجه الصحة </w:t>
      </w:r>
      <w:r>
        <w:rPr>
          <w:rStyle w:val="FootnoteAnchor"/>
          <w:rtl w:val="true"/>
        </w:rPr>
        <w:footnoteReference w:id="6"/>
      </w: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أنه أوجب إيقاع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الألف و الراء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العسر مقتضى لحصول أول التكبير بلا نية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أوجبا استحضار النية إلى انتهاء التكبير لأن الدخول في الصلاة إنما يتحقق بتمام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العسر و أن الأصل براءة الذمة من هذا التكليف، و أن الدخول في الصلاة يتحقق بالشروع في التكبير لأنه أول جزء من الصلاة بإجماعنا فإذا قارنت النية أوله فقد قارنت أول الصلاة لأن جزء الجزء جزء و لا ينافي ذلك توقف التحريم على انتهائه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7"/>
      </w:r>
      <w:r>
        <w:rPr>
          <w:rFonts w:ascii="Amiri" w:hAnsi="Amiri" w:eastAsia="Amiri" w:cs="Amiri"/>
          <w:color w:val="111111"/>
          <w:sz w:val="28"/>
          <w:sz w:val="28"/>
          <w:szCs w:val="28"/>
          <w:rtl w:val="true"/>
          <w:lang w:bidi="ar-SA"/>
        </w:rPr>
        <w:t xml:space="preserve">و في البال أني وقفت من مدة على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السيد مهنا بن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المقارنة و أنه قال حكاية عما يفعله إني أتصور الصلاة من فاتحها إلى خاتمتها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أحضرها</w:t>
      </w:r>
    </w:p>
    <w:p>
      <w:pPr>
        <w:pStyle w:val="BookText"/>
        <w:rPr/>
      </w:pPr>
      <w:r>
        <w:rPr>
          <w:rFonts w:ascii="Amiri" w:hAnsi="Amiri" w:eastAsia="Amiri" w:cs="Amiri"/>
          <w:color w:val="111111"/>
          <w:sz w:val="28"/>
          <w:sz w:val="28"/>
          <w:szCs w:val="28"/>
          <w:rtl w:val="true"/>
          <w:lang w:bidi="ar-SA"/>
        </w:rPr>
        <w:t>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أقصد إليها و أقارن النية بها و الكتاب لا يحضرني الآن لأحكي صورة كلامه و لكن في البال أن حاصله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لا يخفى عليك بعد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النية و حقيقتها أن جملة هذه الأقوال بعيدة عن جادة الاعتدال فإنها مبنية على أن النية عبارة عنه بذا الحديث النفسي و التصوير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غاية جمة قول المصلي إذا صلى فرض الظهر أداء لوجوبه قربة إلى الله تعالى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المقارنة بها بأن يحضر المكلف عند إرادة الدخول في الصلاة، ذلك بباله و ينظر إليه بعين فكره و خياله، ثم يأتي بعد الفراغ منه بلا فصل بالتكبير كما هو المجمع على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يبسط ذلك على لفظ التكبير و يمده بامتداده كما هو القول الآخر أو يجعله بين الألف</w:t>
      </w:r>
    </w:p>
    <w:p>
      <w:pPr>
        <w:pStyle w:val="BookText"/>
        <w:rPr/>
      </w:pPr>
      <w:r>
        <w:rPr>
          <w:rFonts w:ascii="Amiri" w:hAnsi="Amiri" w:eastAsia="Amiri" w:cs="Amiri"/>
          <w:color w:val="111111"/>
          <w:sz w:val="28"/>
          <w:sz w:val="28"/>
          <w:szCs w:val="28"/>
          <w:rtl w:val="true"/>
          <w:lang w:bidi="ar-SA"/>
        </w:rPr>
        <w:t>و الراء، كما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ذلك محض تكلف و شطط و غفلة عن معنى النية أوقع في الغلط فإنه لا يخفى على المتأمل أنه ليست النية بالنسبة إلى الصلاة إلا كغيرها من سائر أفعال المكلف في قيامه و قعوده و أكله و شربه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مجيئه و نكاحه و صومه و نحو ذلك و لا ريب أن كل عاقل غير غافل لا يصدر عنه فعل من هذه الأفعال إلا مع قصد و إرادة سابقة عليه ناشئة عن تصور ما يترتب على ذلك الفعل من الأعراض الباعثة و الأسباب الحاملة على ذلك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 طبيعي و خلق جبلي لو أراد الانفكاك عنه لم يتلبس له إلا بعد تحول النفس عن تلك الدواعي الموجبة و الأسباب الحاملة و لهذا قال بعض من عقل بذا المعنى من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كلفنا العمل بغير نية لكان تكليفاً لما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في شي‌ء من هذه الأفعال يحصل له عسر في النية و لا إشكال، و لا وسوسة، و لا تفكر، و لا ملاحظة مقارنة و لا نحو ذلك مما اعتبروه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شرع في الصلاة أو نحوها من العبادات اضطرب في أمرها و حار في فكرها و ربما اعتراه في ذلك الحال الجنون مع كونه في غير ذلك الوقت على غاية من الرزانة 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العبادة و غيرها من الأفعال إلا بقصد القربة فيها و الإخلاص لذي الجلال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لا يوجب تشويشاً في البال و لا اضطراباً في الفكر و الخيال،</w:t>
      </w:r>
    </w:p>
    <w:p>
      <w:pPr>
        <w:pStyle w:val="BookText"/>
        <w:rPr/>
      </w:pPr>
      <w:r>
        <w:rPr>
          <w:rFonts w:ascii="Amiri" w:hAnsi="Amiri" w:eastAsia="Amiri" w:cs="Amiri"/>
          <w:color w:val="111111"/>
          <w:sz w:val="28"/>
          <w:sz w:val="28"/>
          <w:szCs w:val="28"/>
          <w:rtl w:val="true"/>
          <w:lang w:bidi="ar-SA"/>
        </w:rPr>
        <w:t>و إن أردت مزيد إيضاح لما قلناه و إفصاح عن صحة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نفسك إذا كنت جالساً في مجلسك و دخل عليك رجل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بالتواضع له و القيام في حال دخوله قمت له إجلالا و إعظاماً كما هو الجاري بين جملة من الأنام، فهل يجب عليك أن تتصور في بالك أقوم تواضعاً لفلان لاستحقاقه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لكان قيامك له بغير نية فلا يسمّى تواضعاً و لا يترتب مدح و لا ثواب أم يكفي مجرد قيامك له خالياً من هذا التصور، و أنه مع عدم هذا التصور واقع بنيّة و قصد مقارن للإجلال و الإعظام الموجب للمدح و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أنك لو فعلت ذلك بخيالك أو ذكرته على لسانك لكنت مسخرة لكل سامع و مضحكة في المحافل و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في الصلاة أيضاً، فإن المكلف إذا دخل وقت العمل مثلا و هو عالم بوجوب ذلك الفرض عليه سابقاً و عالم بكيفيته و كميته و كان الفرض الحامل له عليه امتثال أمره سبحانه أو طلب رضاه أو نحو ذلك ثم قام من مكانه و سارع إلى الوضوء و توجه إلى مصلاه و وقف مستقبل القبلة و أذن و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صلاته صحيحة شرعية مشتملة على النية و القربة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فالنية المعتبرة في أي فعل كان عبارة عن انبعاث النفس و ميلها و توجهها إلى ما فيه غرضها و مطلبها عاجلا أو آجلا و هذا الانبعاث و الميل إذا لم يكن حاصلا لها قبل فلا يمكنها اختراعه و اكتسابه بمجرد النطق باللسان، أو تصوير تلك المعاني في الجنان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من جملة الهذيان مثلا إذا غلب على قلب المدرس أو المصلي حب</w:t>
      </w:r>
    </w:p>
    <w:p>
      <w:pPr>
        <w:pStyle w:val="BookText"/>
        <w:rPr/>
      </w:pPr>
      <w:r>
        <w:rPr>
          <w:rFonts w:ascii="Amiri" w:hAnsi="Amiri" w:eastAsia="Amiri" w:cs="Amiri"/>
          <w:color w:val="111111"/>
          <w:sz w:val="28"/>
          <w:sz w:val="28"/>
          <w:szCs w:val="28"/>
          <w:rtl w:val="true"/>
          <w:lang w:bidi="ar-SA"/>
        </w:rPr>
        <w:t>الشهرة و حسن الصيت و استمالة القلوب إليه بكونه صاحب فضلية أو كونه ملازماً للعبادة و كان ذلك هو الحامل على تدريسه أو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يتمكن من التدريس و الصلاة بغير نية القربة أبداً و إن قال بلسانه أو تصور بقلبه أصلي أو أدرس قربة إلى الله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دام لا يتحول عن تلك الأسباب الأولية، و لا ينقل عن تلك الدواعي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غيرها مما يقتضي الإخلاص له سبحانه فلا يتمكن من نية القربة بالكلية فإذا كانت النية إنما هي عبارة عن هذا القصد البسيط الذي لا تركب فيه بوجه و لا يمكن مفارقته لصاحبه بعد تصور تلك الأسباب الحاملة الموجبة للفعل إلا بعد الدخول في الفعل و كيف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 المقارنة المقتضي للتركيب و حصول الابتداء فيها و الانتهاء و أنها تحصر بين حاصرين من الهمزة و الراء إلى غير ذلك من التخريبات العارية من الدليل و الخارجة عن نهج السبيل</w:t>
      </w:r>
      <w:r>
        <w:rPr>
          <w:rFonts w:eastAsia="Amiri" w:cs="Amiri" w:ascii="Amiri" w:hAnsi="Amiri"/>
          <w:color w:val="111111"/>
          <w:sz w:val="28"/>
          <w:szCs w:val="28"/>
          <w:rtl w:val="true"/>
          <w:lang w:bidi="ar-SA"/>
        </w:rPr>
        <w:t>.</w:t>
      </w:r>
      <w:bookmarkStart w:id="16" w:name="pg19660_223131"/>
    </w:p>
    <w:p>
      <w:pPr>
        <w:pStyle w:val="Heading2"/>
        <w:numPr>
          <w:ilvl w:val="1"/>
          <w:numId w:val="1"/>
        </w:numPr>
        <w:rPr/>
      </w:pPr>
      <w:bookmarkStart w:id="17" w:name="__RefHeading___Toc2241405_2314609296"/>
      <w:bookmarkStart w:id="18" w:name="_Toc6"/>
      <w:bookmarkEnd w:id="16"/>
      <w:bookmarkEnd w:id="17"/>
      <w:r>
        <w:rPr>
          <w:rtl w:val="true"/>
        </w:rPr>
        <w:t>المسألة الثالثة في وجوب السورة</w:t>
      </w:r>
      <w:bookmarkEnd w:id="18"/>
    </w:p>
    <w:p>
      <w:pPr>
        <w:pStyle w:val="BookText"/>
        <w:rPr/>
      </w:pPr>
      <w:r>
        <w:rPr>
          <w:rFonts w:ascii="Amiri" w:hAnsi="Amiri" w:eastAsia="Amiri" w:cs="Amiri"/>
          <w:color w:val="111111"/>
          <w:sz w:val="28"/>
          <w:sz w:val="28"/>
          <w:szCs w:val="28"/>
          <w:rtl w:val="true"/>
          <w:lang w:bidi="ar-SA"/>
        </w:rPr>
        <w:t xml:space="preserve">مسألة قال دامت أيامه و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في الفريضة واجبة أو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تعالى إفاضة الحق و الصواب أن الحكم في هذه المسألة عندي لا يخلو من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للتوقف فيها مجال لتعارض الأخبار الواردة في هذا المضمار على وجه لا يمكن الحكم بما هو مراد أولئك السادة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الصراحة في كثير مما استدلوا به في المقام بل و لا الظهور التّام الذي يمكن الاعتماد عليه في الأحكام و الاحتياط عندي فيها سبيله كذلك واجب الاتباع لدخوله في الشبهات التي لا ريب في وجوب سلوك طريق الاحتياط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الارتداع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التي استدل بها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المكتوبة بأقل من سورة و لا بأكثر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قد طعن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قدس سره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بأن في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موثق مع أن المنهي فيها وقع عن قراءة الأقل من سورة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الأكثر محمول على الكراهة على ما سنبيّنه فيكون في الأقل كذلك حذراً من استعمال اللفظ في حقيقته و مجازه انتهى </w:t>
      </w:r>
      <w:r>
        <w:rPr>
          <w:rStyle w:val="FootnoteAnchor"/>
          <w:rtl w:val="true"/>
        </w:rPr>
        <w:footnoteReference w:id="9"/>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جده الشهيد الثاني نور الله ضريحهما في حواشيها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الحميد بن سالم العطار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من أصحابنا الكوفيين انتهى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عبارة النجاشي و ظاهرها أن الموثق الأب لا الابن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ما ذكرها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بالنسبة إلى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يتم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العبارة بعينها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النوادر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فمرجع الضمير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ضمير كان، كما لا يخفى على العارف بأسلوب الكلام من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لرجع الضمير الأول للأب و الثاني للابن للزوم التفكيك في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معيب في كلام الفصحاء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قبيل التعمية و الألغاز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الترجمة و جميع ما يذكر فيها يرجع إليه إلا مع قرينة خلافه و لهذا 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الطريق و جزم بتوثيقه جملة من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الميرزا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المجلسي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الحسن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الاشتباه في مثل ذلك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على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بنى هاشم و أبوه علي بن النعمان ثقة ثبت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الحديث كثير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السيد السند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حواشيه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الموضع حيث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بعض مشايخنا توثيقه و عندي في ذلك توقف،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حديثه من الصحيح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التخيير في المواضع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كأنه ظهر له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استفادته من هذه العبارة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وقفت عليه في كلام أصحابنا من علماء الرجال و غيرهم هو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يتوقف في ذلك أحد منهم، فإذا كانت الترجمة مقصودة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 فيها إنما هو يعود إليه كما هو في كتب الرجال المعوَّل عليه، إلا مع القرينة على خلافه كما أشرنا إليه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ظاهر السقوط عند علمائنا الأعلام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ذكره من أن النهي محمول على الكراهة ففيه أن ما وجّه به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نبهت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w:t>
      </w:r>
    </w:p>
    <w:p>
      <w:pPr>
        <w:pStyle w:val="BookText"/>
        <w:rPr/>
      </w:pPr>
      <w:r>
        <w:rPr>
          <w:rFonts w:ascii="Amiri" w:hAnsi="Amiri" w:eastAsia="Amiri" w:cs="Amiri"/>
          <w:color w:val="111111"/>
          <w:sz w:val="28"/>
          <w:sz w:val="28"/>
          <w:szCs w:val="28"/>
          <w:rtl w:val="true"/>
          <w:lang w:bidi="ar-SA"/>
        </w:rPr>
        <w:t xml:space="preserve">الدليل عنده على جواز القرآن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هذه الرواية و نحوها مما دل على النهي عن القرآن على الكراهة جمعاً مدفوع بأن الظاهر من الأخبار كما اختاره جملة من العلماء الأبرار هو التحريم كما أوضحناه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حواشينا على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توجيه ذلك بغير ما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ظاهر الأخبار المستفيضة الدالة كما قلنا على تحريم القرآن هو عبارة عن الجمع بين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لا مجرد الزيادة على السورة و لو ادعى أيضاً شمول القرآن لذلك بمجرد هذه الرواية كما ذهب إليه البعض فيمكن توجيه الكراهة حينئذ ما استفاضت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و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العدول من سورة إلى أخرى في الجملة، و إن اختلفوا في تجديده فإنه يدل على جواز قراءة ما زاد على سورة، فيتحتم حمل النهي هنا عما زاد على الكراهة البتة و بذلك يضعف الاعتماد عليها و الركون في اختيار الوجوب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يستدل به على الوجوب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معاوية بن عمار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w:t>
      </w:r>
    </w:p>
    <w:p>
      <w:pPr>
        <w:pStyle w:val="BookText"/>
        <w:rPr/>
      </w:pPr>
      <w:r>
        <w:rPr>
          <w:rFonts w:ascii="Amiri" w:hAnsi="Amiri" w:eastAsia="Amiri" w:cs="Amiri"/>
          <w:color w:val="111111"/>
          <w:sz w:val="28"/>
          <w:sz w:val="28"/>
          <w:szCs w:val="28"/>
          <w:rtl w:val="true"/>
          <w:lang w:bidi="ar-SA"/>
        </w:rPr>
        <w:t xml:space="preserve">غلط في سورة فليقرأ قل هو الله أحد ثم ليركع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أنه يفهم من بعضهم وجوب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معارضة بصحيحة زرارة </w:t>
      </w:r>
      <w:r>
        <w:rPr>
          <w:rStyle w:val="FootnoteAnchor"/>
          <w:rtl w:val="true"/>
        </w:rPr>
        <w:footnoteReference w:id="10"/>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قرأ سورة في ركعة فغلط، أ يدع المكان الذي غلط فيه و يمضي في قراءته أو يدع تلك السورة و يتحول منها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 بأس به، و إن قرأ آية واحدة فشاء أن يركع بها ركع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الاستدلال قائم من الطرفين، و جار في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إسماعيل قال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طريق مكة فننزل للصلاة في مواضع فيها الأعراب أ نصلي المكتوبة</w:t>
      </w:r>
    </w:p>
    <w:p>
      <w:pPr>
        <w:pStyle w:val="BookText"/>
        <w:rPr/>
      </w:pPr>
      <w:r>
        <w:rPr>
          <w:rFonts w:ascii="Amiri" w:hAnsi="Amiri" w:eastAsia="Amiri" w:cs="Amiri"/>
          <w:color w:val="111111"/>
          <w:sz w:val="28"/>
          <w:sz w:val="28"/>
          <w:szCs w:val="28"/>
          <w:rtl w:val="true"/>
          <w:lang w:bidi="ar-SA"/>
        </w:rPr>
        <w:t xml:space="preserve">على الأرض فيقرأ أم الكتاب وحدها أم نصلي على الراحلة فنقرأ فاتحة الكتاب و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فصلِّ على الراحلة المكتوبة و غيرها، و إذا قرأت الحمد و السورة أحب إلي، و لا أرى بالذي فعلت بأساً</w:t>
      </w:r>
    </w:p>
    <w:p>
      <w:pPr>
        <w:pStyle w:val="BookText"/>
        <w:rPr/>
      </w:pPr>
      <w:r>
        <w:rPr>
          <w:rStyle w:val="FootnoteAnchor"/>
          <w:rtl w:val="true"/>
        </w:rPr>
        <w:footnoteReference w:id="11"/>
      </w:r>
      <w:r>
        <w:rPr>
          <w:rFonts w:ascii="Amiri" w:hAnsi="Amiri" w:eastAsia="Amiri" w:cs="Amiri"/>
          <w:color w:val="111111"/>
          <w:sz w:val="28"/>
          <w:sz w:val="28"/>
          <w:szCs w:val="28"/>
          <w:rtl w:val="true"/>
          <w:lang w:bidi="ar-SA"/>
        </w:rPr>
        <w:t xml:space="preserve">و هذه الرواية مما استدل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الشيخ محمد بن الحسن الحر العاملي قدس سره في كتاب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الوجوب حيث إنه اختار فيه ذلك و هي بالدلالة على العدم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لو لا وجوب السورة لما جاز لأجله ترك الواجب من قيام و غيره، انتهى </w:t>
      </w:r>
      <w:r>
        <w:rPr>
          <w:rStyle w:val="FootnoteAnchor"/>
          <w:rtl w:val="true"/>
        </w:rPr>
        <w:footnoteReference w:id="12"/>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الرواية أن السائل لما سأل أنه إذا تعارض الصلاة على الأرض مع ترك السورة للخوف مع الصلاة في المحمل و قراءة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يختار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أجاب بأنك إذا خفت فالصلاة في المحمل أولى و ليس في ذلك دلالة على أنه من حيث المحافظة على السورة و إن كان ذلك هو مراد السائل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يجيبون بما هو أعم من السؤال بل قد يخيبون بقواعد كلية عن السؤال بالأمور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الظاهر بل الأظهر هنا أن أولوية الصلاة في المحمل إنما هو من حيث الإقبال على العبادة، و فراغ البال لها الذي هو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مؤيد الاستحباب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الحمد و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في صلاتك في المحمل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 هو الاستحباب و من ذلك جملة من الأخبار قد تضمنت نفي البأس عن الاقتصار على الفاتحة لمن أعجلت به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يدل بمفهومه على ثبوت البأس لمن ليس كذلك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البأس أعم من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الاستحباب كما سيأتي إن شاء الله تعالى صريح الدلالة على ذلك بمنطوقه و المفهوم لا يعارض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يستدل على الوجوب بالأخبار الدالة على النهي عن القرآن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أن النهي حقيقة في التحريم و لا وجه لتحريم ذلك إلا من حيث إنه يلزم زيادة واجب في الصلاة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مبطل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تحريم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واجبة كانت أو مستحبة توقيفية من الشارع فمن الجائز كون السورة مستحبة و النهي عن الإتيان بثانية لكونه خلاف الموظف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أن التشريع يحصل بزيادة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شرعيته، و وجوبه كذلك يحصل بزيادة مستحب باعتقاد توظيفيه و استحبابه في ذلك المكان، و أما من حيث كونه قرآناً فلا تبطل الصلاة به سواء قلنا بوجوب السورة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يمكن الاستدلال على ذلك بالأخبار الدالة على التحريم العدول من سورة التوحيد و الجحد إلى ما عدا سورتي الجمعة و المنافقين و اتفاق جمهور الأصحاب على ذلك، و من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افتتحت صلاتك بقل هو الله أحد و أنت تريد أن تقرأ غيرها فامض فيها و لا ترجع إلا أن تكون في يوم الجمعة</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من كل سورة إلا من قل هو الله أحد، و قل يا أيها الكافرون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
      </w:r>
      <w:r>
        <w:rPr>
          <w:rFonts w:ascii="IRNazanin" w:hAnsi="IRNazanin" w:eastAsia="IRNazanin"/>
          <w:color w:val="111111"/>
          <w:sz w:val="28"/>
          <w:sz w:val="28"/>
          <w:szCs w:val="28"/>
          <w:rtl w:val="true"/>
          <w:lang w:bidi="fa-IR"/>
        </w:rPr>
        <w:t>و بمضمونهما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وجه الاستدلال بها أنه لو لا وجوب السورة هنا لما حرّم العدول عنها و ليس وجوبها ناشئ عن مجرد الشروع فيها إذ لا شي‌ء من المستحب يجب بالشروع فيه إلا ما خرج بدليل خاص كالحج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حرم العدول عنها وجب إتمامها، و متى ثبت الوجوب في هاتين السورتين ثبت في غيرها، إذ لا قائل بالفصل و جواز العدول في غيرها مع الإتيان بسورة كاملة بعد ذلك لا ينافي أصل الوجوب بل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أقوى ما يمكن أن يستدل به على الواجب و إن كان بعض مقدماته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استدل به على الاستحباب فمنه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على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تجوز وحدها في الفريضة</w:t>
      </w:r>
    </w:p>
    <w:p>
      <w:pPr>
        <w:pStyle w:val="BookText"/>
        <w:rPr/>
      </w:pPr>
      <w:r>
        <w:rPr>
          <w:rStyle w:val="FootnoteAnchor"/>
          <w:rtl w:val="true"/>
        </w:rPr>
        <w:footnoteReference w:id="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فاتحة الكتاب تجوز وحدها في الفريضة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ascii="Amiri" w:hAnsi="Amiri" w:eastAsia="Amiri" w:cs="Amiri"/>
          <w:color w:val="111111"/>
          <w:sz w:val="28"/>
          <w:sz w:val="28"/>
          <w:szCs w:val="28"/>
          <w:rtl w:val="true"/>
          <w:lang w:bidi="ar-SA"/>
        </w:rPr>
        <w:t>و جملة من الأخبار قد دلت على جواز التبعيض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صريح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أخبار التبعيض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بمن خلفه آخر سورة المائدة ثم التفت إليهم بعد الفراغ فقال إنما أردت أن أعلمكم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خبير بأن هذه الأخبار أصح سنداً و أصرح دلالة و من ثم ذهب إلى العمل بها جمهور متأخري الأصحاب، لكن 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 تعالى على الاستحباب و عملهم بالتبعيض مما يؤمن</w:t>
      </w:r>
    </w:p>
    <w:p>
      <w:pPr>
        <w:pStyle w:val="BookText"/>
        <w:rPr/>
      </w:pPr>
      <w:r>
        <w:rPr>
          <w:rFonts w:ascii="Amiri" w:hAnsi="Amiri" w:eastAsia="Amiri" w:cs="Amiri"/>
          <w:color w:val="111111"/>
          <w:sz w:val="28"/>
          <w:sz w:val="28"/>
          <w:szCs w:val="28"/>
          <w:rtl w:val="true"/>
          <w:lang w:bidi="ar-SA"/>
        </w:rPr>
        <w:t>الاعتماد عليها و الحكم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لذلك عدل متقدموا أصحابنا عن العمل بها مع صحتها و صراحتها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فالحكم عند محل إشكال و الاحتياط لازم على كل حال</w:t>
      </w:r>
      <w:r>
        <w:rPr>
          <w:rFonts w:eastAsia="Amiri" w:cs="Amiri" w:ascii="Amiri" w:hAnsi="Amiri"/>
          <w:color w:val="111111"/>
          <w:sz w:val="28"/>
          <w:szCs w:val="28"/>
          <w:rtl w:val="true"/>
          <w:lang w:bidi="ar-SA"/>
        </w:rPr>
        <w:t>.</w:t>
      </w:r>
      <w:bookmarkStart w:id="19" w:name="pg19660_223142"/>
    </w:p>
    <w:p>
      <w:pPr>
        <w:pStyle w:val="Heading2"/>
        <w:numPr>
          <w:ilvl w:val="1"/>
          <w:numId w:val="1"/>
        </w:numPr>
        <w:rPr/>
      </w:pPr>
      <w:bookmarkStart w:id="20" w:name="__RefHeading___Toc2241407_2314609296"/>
      <w:bookmarkStart w:id="21" w:name="_Toc7"/>
      <w:bookmarkEnd w:id="19"/>
      <w:bookmarkEnd w:id="20"/>
      <w:r>
        <w:rPr>
          <w:rtl w:val="true"/>
        </w:rPr>
        <w:t>المسألة الرابعة في الجهر و الإخفات</w:t>
      </w:r>
      <w:bookmarkEnd w:id="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دامت سلامته و تمت سعادته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الجهر و الإخفات في موضعهما واجبان أم لا؟</w:t>
      </w:r>
    </w:p>
    <w:p>
      <w:pPr>
        <w:pStyle w:val="BookText"/>
        <w:rPr/>
      </w:pPr>
      <w:r>
        <w:rPr>
          <w:rFonts w:ascii="Amiri" w:hAnsi="Amiri" w:eastAsia="Amiri" w:cs="Amiri"/>
          <w:color w:val="111111"/>
          <w:sz w:val="28"/>
          <w:sz w:val="28"/>
          <w:szCs w:val="28"/>
          <w:rtl w:val="true"/>
          <w:lang w:bidi="ar-SA"/>
        </w:rPr>
        <w:t>فإن الدليل المشهور على الوجوب غير واف بالمطلوب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الوجوب هل هما حقيقتان متباينتان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الوجوب لو جهر ببعض الكلمات في موضع الإخفات هل يقدح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يفرق بين الأوليتين و الأخيرتين لو اختار المكلف التسبيح أم لا؟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الإمام يعتقد عدم الوجوب و المأموم يعتقده بتقليد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الإمام يجهر في بعض مواضع الإخفات و لم يعلم المأموم، فهل يجب إعلامه و هل يجوز له الإمامة بذلك المأموم بناء على صحة صلاته خصوصاً في نفس الأمر إذا اعتبر عليه الإخفات مع القول بأنهما حقيقتان</w:t>
      </w:r>
    </w:p>
    <w:p>
      <w:pPr>
        <w:pStyle w:val="BookText"/>
        <w:rPr/>
      </w:pPr>
      <w:r>
        <w:rPr>
          <w:rFonts w:ascii="Amiri" w:hAnsi="Amiri" w:eastAsia="Amiri" w:cs="Amiri"/>
          <w:color w:val="111111"/>
          <w:sz w:val="28"/>
          <w:sz w:val="28"/>
          <w:szCs w:val="28"/>
          <w:rtl w:val="true"/>
          <w:lang w:bidi="ar-SA"/>
        </w:rPr>
        <w:t>متباينتان و جهر أقل الجهر بحيث يساوي أعلا الإخفات أو أقل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يستحب الجهر في ظهر يوم الجمعة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فالمأمول منكم دام علاكم كشف مسألة الجهر و الإخفات بالدليل الشافي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هو الهادي إلى جادة الصواب، أن هذا السؤال يشتمل على مسائل فلا بد من إفراد كل منها بما يخصه من البحث و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الجهر و الإخفات في مواضعهما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جهر فيما لا ينبغي الإجهار فيه، و أخفى فيما لا ينبغي الإخفاء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متعمداً فقد نقض صلاته و عليه الإعادة، و إن فعل ذلك ناسياً أو ساهياً أو لا يدري فلا شي‌ء عليه و 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 صحيح و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جهر بالقراءة فيما لا ينبغي الجهر فيه أو أخفى فيما لا ينبغي الإخفاء فيه و ترك القراءة فيما ينبغي القراءة فيه أو قرأ فيما لا ينبغي القراءة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فعل ناسياً أو ساهياً فلا شي‌ء عليه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أنه ذكر العلة التي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الجهر في بعض الصلوات و لم يجعل في بعض</w:t>
      </w:r>
    </w:p>
    <w:p>
      <w:pPr>
        <w:pStyle w:val="BookText"/>
        <w:rPr/>
      </w:pPr>
      <w:r>
        <w:rPr>
          <w:rFonts w:ascii="Amiri" w:hAnsi="Amiri" w:eastAsia="Amiri" w:cs="Amiri"/>
          <w:color w:val="111111"/>
          <w:sz w:val="28"/>
          <w:sz w:val="28"/>
          <w:szCs w:val="28"/>
          <w:rtl w:val="true"/>
          <w:lang w:bidi="ar-SA"/>
        </w:rPr>
        <w:t>لأن الصلوات التي يجهر فيها إنما هي صلوات تصلّى في أوقات مظلمة فوجب أن يجهر فيها ليعلم المار أن هناك جماعة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Amiri" w:hAnsi="Amiri" w:eastAsia="Amiri" w:cs="Amiri"/>
          <w:color w:val="111111"/>
          <w:sz w:val="28"/>
          <w:sz w:val="28"/>
          <w:szCs w:val="28"/>
          <w:rtl w:val="true"/>
          <w:lang w:bidi="ar-SA"/>
        </w:rPr>
        <w:t xml:space="preserve">و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المشيخة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عن عبد الواحد بن محمد بن عبدوس النيسابوري عن علي بن محمد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 إن لم يذكرا في كتب الرجال بمدح و قدح لكن لا يخفى على الممارس أن إكثار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عنهما مقرونة في أكثر المواضع بالتراضي عنهما مع ما هو عليه كسائر علمائنا المحدثين،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الحديث مما يدل على صحة ما ينقله عنه كما شهد به في صدر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حديث يشتمل سنده على هذه الرجلين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يوثق صريحاً لكنه من مشايخ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المعتبرين الذين أخذ عنهم الحديث فلا يبعد الاعتماد على روايته ثم 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نقول لا مجال للتوقف فيه لما ذكرناه أولا و لهذا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صحح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فيهما </w:t>
      </w:r>
      <w:r>
        <w:rPr>
          <w:rStyle w:val="FootnoteAnchor"/>
          <w:rtl w:val="true"/>
        </w:rPr>
        <w:footnoteReference w:id="1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أنه تلميذ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راوية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حديثه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باب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فجلالة شأنهما أظهر من أن يحتاج عند الممارس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يجهر في صلاة الجمعة و صلاة المغرب و صلاة العشاء الآخرة و صلاة الغداة و سائر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العصر لا يجهر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به إلى السماء كان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صلاة فرض الله عليه الظهر يوم الجمعة فأضاف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يجهر بالقراءة ليتبين لهم فضله ثم فرض عليه العصر و لم يضف إليه أحدا من الملائكة و أمره أن يخفى القراءة لأنه لم يكن وراءه أحد ثم فرض عليه المغرب و أضاف إليه الملائكة و أمره بالإجهار و كذلك العشاء الآخرة، فلمّا كان قرب الفجر نزل ففرض الله عليه الفجر فأمره بالإجهار ليتبيّن للناس فضله كما بيّن للملائكة فلهذه العلّة يجهر فيها</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0"/>
      </w:r>
      <w:r>
        <w:rPr>
          <w:rFonts w:ascii="Amiri" w:hAnsi="Amiri" w:eastAsia="Amiri" w:cs="Amiri"/>
          <w:color w:val="111111"/>
          <w:sz w:val="28"/>
          <w:sz w:val="28"/>
          <w:szCs w:val="28"/>
          <w:rtl w:val="true"/>
          <w:lang w:bidi="ar-SA"/>
        </w:rPr>
        <w:t>و هذه الأخبار كما ترى صريحة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تضمنه من وجوب الإعادة مع الإخلال بها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لدلالته على تخصيص الاغتفار بالناسي و الساهي دون 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تارك القراءة عمداً فيما يجب فيه القراءة لا إعادة عليه و لا قائل و لفظ ينبغي و لا ينبغي في الخبرين بمعنى الوجوب و التحريم كما هو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ينبغي أن يوضأ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أمر الله عز و جل بغسله الذي لا ينبغي لأحد أن 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1"/>
      </w:r>
      <w:r>
        <w:rPr>
          <w:rFonts w:ascii="Amiri" w:hAnsi="Amiri" w:eastAsia="Amiri" w:cs="Amiri"/>
          <w:color w:val="111111"/>
          <w:sz w:val="28"/>
          <w:sz w:val="28"/>
          <w:szCs w:val="28"/>
          <w:rtl w:val="true"/>
          <w:lang w:bidi="ar-SA"/>
        </w:rPr>
        <w:t xml:space="preserve">و في صحيحة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فعرفنا أن الوجه كله ينبغي أن 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أنه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يغسلا</w:t>
      </w:r>
    </w:p>
    <w:p>
      <w:pPr>
        <w:pStyle w:val="BookText"/>
        <w:rPr/>
      </w:pPr>
      <w:r>
        <w:rPr>
          <w:rFonts w:ascii="Amiri" w:hAnsi="Amiri" w:eastAsia="Amiri" w:cs="Amiri"/>
          <w:color w:val="111111"/>
          <w:sz w:val="28"/>
          <w:sz w:val="28"/>
          <w:szCs w:val="28"/>
          <w:rtl w:val="true"/>
          <w:lang w:bidi="ar-SA"/>
        </w:rPr>
        <w:t xml:space="preserve">الحديث </w:t>
      </w:r>
      <w:r>
        <w:rPr>
          <w:rStyle w:val="FootnoteAnchor"/>
          <w:rtl w:val="true"/>
        </w:rPr>
        <w:footnoteReference w:id="22"/>
      </w:r>
      <w:r>
        <w:rPr>
          <w:rFonts w:ascii="Amiri" w:hAnsi="Amiri" w:eastAsia="Amiri" w:cs="Amiri"/>
          <w:color w:val="111111"/>
          <w:sz w:val="28"/>
          <w:sz w:val="28"/>
          <w:szCs w:val="28"/>
          <w:rtl w:val="true"/>
          <w:lang w:bidi="ar-SA"/>
        </w:rPr>
        <w:t>إلى غير ذلك من المواضع التي حضرني منها الآن ما يقرب من ثلاثة عشر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الشائع الآن و المتعارف في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للتصريح فيه بالوجوب حسبما هو المراد 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فلتضمنه للأمر منه سبحانه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بالجهر و الإخفات في تلك الصلوات و أمره سبحانه للوجوب يتعين إلا مع قيام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سبحانه فَلْيَحْذَرِ الَّذِينَ يُخٰالِفُونَ عَنْ أَمْرِهِ أَنْ تُصِيبَهُمْ فِتْنَةٌ أَوْ يُصِيبَهُمْ عَذٰابٌ أَلِيمٌ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الخلاف في الأمر وجوباً و استحباباً إنما هو في أوامر السنة المطهرة، كما حققه جملة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كلما ثبت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جرى في أمته، إلا ما قام دليل باختصاصه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حلاله حلال و 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أيضاً الأخبار المستفيضة بملازمتهم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يتركون المستحبات في بعض الأوقات و يفعلون بعض المكروهات إظهاراً للجواز و لئلا يظن الناس بسبب ملازمتهم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أو التحريم، كما لا يخفى على من تتبع الأخبار و تصفح تلك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أيضاً أن يقين البراءة لا تحصل إلا به و لعدم ظهور المنافي في خلافه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الاستحباب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سألته عن الرجل يصلي من الفريضة ما يجهر فيه بالقراءة هل عليه أن لا يجهر؟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جهر و إن شاء لم يفعل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
      </w:r>
      <w:r>
        <w:rPr>
          <w:rFonts w:ascii="Amiri" w:hAnsi="Amiri" w:eastAsia="Amiri" w:cs="Amiri"/>
          <w:color w:val="111111"/>
          <w:sz w:val="28"/>
          <w:sz w:val="28"/>
          <w:szCs w:val="28"/>
          <w:rtl w:val="true"/>
          <w:lang w:bidi="ar-SA"/>
        </w:rPr>
        <w:t>و أنت خبير بأن جملة من طرق الترجيح الواردة عن أصحاب العصمة صلوات الله عليهم عاضدة للإخبار الأول، فتكون هي التي 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منها الشهرة في الرواية، و منها مخالفة العامة، و منها</w:t>
      </w:r>
    </w:p>
    <w:p>
      <w:pPr>
        <w:pStyle w:val="BookText"/>
        <w:rPr/>
      </w:pPr>
      <w:r>
        <w:rPr>
          <w:rFonts w:ascii="Amiri" w:hAnsi="Amiri" w:eastAsia="Amiri" w:cs="Amiri"/>
          <w:color w:val="111111"/>
          <w:sz w:val="28"/>
          <w:sz w:val="28"/>
          <w:szCs w:val="28"/>
          <w:rtl w:val="true"/>
          <w:lang w:bidi="ar-SA"/>
        </w:rPr>
        <w:t xml:space="preserve">الاحتياط، و كلها مع تلك الأخبار فيتعين حمل هذه الرواية على التقية، كما صرح به شيخ الطائفة رحمه الله </w:t>
      </w:r>
      <w:r>
        <w:rPr>
          <w:rStyle w:val="FootnoteAnchor"/>
          <w:rtl w:val="true"/>
        </w:rPr>
        <w:footnoteReference w:id="25"/>
      </w:r>
      <w:r>
        <w:rPr>
          <w:rFonts w:ascii="Amiri" w:hAnsi="Amiri" w:eastAsia="Amiri" w:cs="Amiri"/>
          <w:color w:val="111111"/>
          <w:sz w:val="28"/>
          <w:sz w:val="28"/>
          <w:szCs w:val="28"/>
          <w:rtl w:val="true"/>
          <w:lang w:bidi="ar-SA"/>
        </w:rPr>
        <w:t xml:space="preserve">و 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عار عن التحقيق كيف و التقية أحد طرق الترجيحات المنصوصة بل لا يكاد يوجد اختلاف في أخبارنا إلا و منشأه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مشايخنا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العامة أيضاً منهم من يقول بالوجوب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الجمهور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الاستحباب و لم يخالف فيه منهم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فالحمل على التقية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اصطلحوا عليه من الجمع بين الأخبار بحمل الأمر على الاستحباب و النهي على الكراهة، حتى رجحه بعضهم على الترجيح بمخالفة التقية و إن أجمع العامة على أحد القولين، لا مستند له من النصوص بل هو خلاف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المنصوص</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استدل به بعضهم على الاستحباب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قيام الدليل على خلافه يوجب الخروج عنه و من قوله سبحانه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تَجْهَرْ بِصَلٰاتِكَ وَ لٰا تُخٰافِتْ بِهٰا وَ ابْتَغِ بَيْنَ ذٰلِكَ سَبِيلًا </w:t>
      </w:r>
      <w:r>
        <w:rPr>
          <w:rStyle w:val="FootnoteAnchor"/>
          <w:rtl w:val="true"/>
        </w:rPr>
        <w:footnoteReference w:id="26"/>
      </w:r>
      <w:r>
        <w:rPr>
          <w:rFonts w:ascii="Amiri" w:hAnsi="Amiri" w:eastAsia="Amiri" w:cs="Amiri"/>
          <w:color w:val="111111"/>
          <w:sz w:val="28"/>
          <w:sz w:val="28"/>
          <w:szCs w:val="28"/>
          <w:rtl w:val="true"/>
          <w:lang w:bidi="ar-SA"/>
        </w:rPr>
        <w:t xml:space="preserve">باعتبار أن الأمر بقراءة الوسط شامل للصلوات كلها فليس مما يعتمد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عليه الآية بمعونة الأخبار الواردة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الجهر المفرط و الإخفات الذي لا يسمع نفسه و تحريمهما و الأمر بالوسط و وجوبه فهذا الوسط مجمل في تفصيله و بيان إجماله إلى الأخبار كسائر الإجمالات الواقعة في القرآن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مما قدمنا تخصيص الجهر ببعض الصلوات و الإخفات ببعض فيلزم من الآية بمعونة الأخبار المذكورة الوجوب حينئذ فيكون الآية دليلا على الوجوب كما لا يخفى، و بما أوضحناه من التحقيق يتضح لك 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الاستحباب عملا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دعواه أوضحيتها سنداً و أظهريتها</w:t>
      </w:r>
    </w:p>
    <w:p>
      <w:pPr>
        <w:pStyle w:val="BookText"/>
        <w:rPr/>
      </w:pPr>
      <w:r>
        <w:rPr>
          <w:rFonts w:ascii="Amiri" w:hAnsi="Amiri" w:eastAsia="Amiri" w:cs="Amiri"/>
          <w:color w:val="111111"/>
          <w:sz w:val="28"/>
          <w:sz w:val="28"/>
          <w:szCs w:val="28"/>
          <w:rtl w:val="true"/>
          <w:lang w:bidi="ar-SA"/>
        </w:rPr>
        <w:t xml:space="preserve">دلالة مع اعتضادها بالأصل و ظاهر القرآن فإنه بمعونة ما شرحناه لك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عار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الجهر و الإخفات هل هما حقيقتان متباينتان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يقرب بالبال العليل، و يخطر بالخاطر الكليل أنهما حقيقتان متباينتان و إلا لم يتم اختصاص بعض الفرائض بالجهر وجوباً أو استحباباً و بعض بالإخفات كذلك، و انقسام الصلاة بسببيهما إلى جهرية و إخفاتية و النصوص على خلافه لكن على تقدير التباين فحقيقة كل منهما عبارة عما ذا الذي رجحه بعض متأخري أصحابنا حوالة ذلك على العرف و أنت خبير بما في حوالة الأحكام الشرعية على العرف من الخفاء، بل هو من قبيل التعريف بالأخفى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مرادهم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العام و هو متعذر المعلومية، أو تعسر و الرجوع إلى الخاص فرع العلم بالعام المستلزم لتتبعه و العلم باختلافه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الأقرب عندي كما استفدته منه 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 و طيب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بينهما باعتبار اشتمال الصوت على الجرس و عدمه فمع اشتماله عليه يسمى جهراً و مع عدمه إخفاتاً، و لعل العرف يساعد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بمعنى الإعلان و الخفت، و الإخفاء بمعنى إسرار المنطق و سره و منه قوله تعالى يَتَخٰافَتُونَ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يسر بعضهم إلى بعض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 من الظاهر أن الإعلان بالصوت و رفعه إنما يكن بواسطة الجرس المشتمل عليه الصوت إذ بدونه لا يمكن رفعه و الإعلان به، و إن تفاوت شدة و ضعفاً و ما لم يشتمل على جرس فهو إسرار و إن سمعه القريب كما يفعله المتساران بالحديث فيسر أحدهما إلى الآخر كلاماً غير مشتمل على الجرس لئلا يسمعه من سواهما كما عرفت من قوله سبحانه يَتَخٰافَتُونَ بَيْنَهُمْ، و في الأخبار المتقدمة ما يؤيد ذلك كقوله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بالجهر لأجل سماع المارّ فيعلم بالجماعة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 الملائكة و الناس ليبين لهم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يكون إلا مع اشتمال الصوت على الجرس فإن الإعلان بالصوت و إن تفاوت شدة و ضعفاً لا يمكن بدون ذلك كما عرفت و لذا ترى من أضر ملاقاة الهوى صوته حتى بح صوته لا يمكنه الإعلان به و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جهر ببعض الكلمات في موضع الإخفات أو بالعكس؟ فعلى القول بالاستحباب لا إشكال، و على القول بالوجوب فإن كان عامداً فقد أبطل صلاته كما دريت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صحيحتي زرارة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 و إن كان سهوا فلا شي‌ء عليه حسبما دلتا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فيمضي في صلاته مطلقاً و هذا مما استثنى بهذه الرواية من القاعدة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سهى في واجب ثم ذكر قبل الدخول في واجب آخر فإنه يجب عليه الرجوع لما سهى فيه و تداركه، إلا في هذا الموضع على أحد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المكلف التسبيح في آخرتي الرباعية و ثالثة الثلاثية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أن الحكم فيه بالنسبة إلى الجهر و الإخفات كسائر أذكار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قدس سره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جمع بين الأصحاب أنه يجب الإخفات في هذا الذكر تسوية بينه و بين المبدل و نفاه ابن إدريس للأصل و فقد النص، و 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عموم الإخفات في الفريضة كالنص و هو غير واضح و إن كان الاحتياط يقتضي المسير إلى ما ذكره، انتهى </w:t>
      </w:r>
      <w:r>
        <w:rPr>
          <w:rStyle w:val="FootnoteAnchor"/>
          <w:rtl w:val="true"/>
        </w:rPr>
        <w:footnoteReference w:id="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ادعوه من أن التسبيح بدل عن القراءة و هي إخفاتية فيجب الإخفات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المستفاد من الأخبار كما أوضحناه بما لا مزيد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رسالتنا ميزان الترجيح في أفضلية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العكس و إن الأصل هو التسبيح الذي 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الأئمة من بعده صلوات الله عليهم المداومة في صلاتهم جماعة و فرادى عليه و على ذلك أيضاً دلت أخبار النهي عن القراءة و النفي لها المؤذن بمرجوحيتها إن لم ينقل بالمنع عنها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ذهب بعض متأخري أصحابنا هو التخيير 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ليس بذلك البعيد و في صحيحة عبيد بن زرارة </w:t>
      </w:r>
      <w:r>
        <w:rPr>
          <w:rStyle w:val="FootnoteAnchor"/>
          <w:rtl w:val="true"/>
        </w:rPr>
        <w:footnoteReference w:id="29"/>
      </w:r>
      <w:r>
        <w:rPr>
          <w:rFonts w:ascii="Amiri" w:hAnsi="Amiri" w:eastAsia="Amiri" w:cs="Amiri"/>
          <w:color w:val="111111"/>
          <w:sz w:val="28"/>
          <w:sz w:val="28"/>
          <w:szCs w:val="28"/>
          <w:rtl w:val="true"/>
          <w:lang w:bidi="ar-SA"/>
        </w:rPr>
        <w:t>ما يدل على أن الإجزاء بالفاتحة</w:t>
      </w:r>
    </w:p>
    <w:p>
      <w:pPr>
        <w:pStyle w:val="BookText"/>
        <w:rPr/>
      </w:pPr>
      <w:r>
        <w:rPr>
          <w:rFonts w:ascii="Amiri" w:hAnsi="Amiri" w:eastAsia="Amiri" w:cs="Amiri"/>
          <w:color w:val="111111"/>
          <w:sz w:val="28"/>
          <w:sz w:val="28"/>
          <w:szCs w:val="28"/>
          <w:rtl w:val="true"/>
          <w:lang w:bidi="ar-SA"/>
        </w:rPr>
        <w:t>إنما هو من حيث اشتمالها على الدعاء و التحميد و هو مؤذن بفرعيتها على التسبيح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تسليم البدلية فوجوب التساوي بين البدل و المبدل منه في جميع الأحكام تحتاج إلى دليل و من ذلك يظهر قوة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الميل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الإمام استحباب الجهر و المأموم وجوبه فلا تخلو إما أن يجهر الإمام في موضع الإخفات و بالعكس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فإما أن يعلم المأموم بذلك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صور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يجهر الإمام في موضع الإخفات أو بالعكس مع علم المأموم بذلك، و الظاهر أنه لا ريب في بطلان القدوة لإخلال الإمام ببعض الواجبات باعتقاد المأموم فيكون صلاة الإمام باطلة في اعتقاده، و متى حكم ببطلانها امتنع الاقتداء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لكن مع عدم العلم للمأموم بذلك، و الظاهر هو الصحة، و لو انكشف الحال بعد الفراغ و يكون حكم هذه المسألة بالنسبة إلى هذا المأموم حكم من اقتدى بإمام ظاهر العدالة ثم انكشف له</w:t>
      </w:r>
    </w:p>
    <w:p>
      <w:pPr>
        <w:pStyle w:val="BookText"/>
        <w:rPr/>
      </w:pPr>
      <w:r>
        <w:rPr>
          <w:rFonts w:ascii="Amiri" w:hAnsi="Amiri" w:eastAsia="Amiri" w:cs="Amiri"/>
          <w:color w:val="111111"/>
          <w:sz w:val="28"/>
          <w:sz w:val="28"/>
          <w:szCs w:val="28"/>
          <w:rtl w:val="true"/>
          <w:lang w:bidi="ar-SA"/>
        </w:rPr>
        <w:t>عدمها، أو صلى بصلاة إمام مستكملة لشرائط الصحة ثم ظهر بطلانها و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يجهر الإمام في الجهرية و يخافت في الإخفاتية و إن كان يعتقد عدم الوجوب، و الظاهر أيضاً هنا صحة القدوة بل أولى علم المأموم به أو لم يعلم، لأن الاختلاف في الفروع الناشئ عن اختلاف الأدلة لا يوجب فسقاً بل هذا مقتضى التكليف و لأن صلاته في هذه الصورة في نظر المأموم صحيحة مستكملة للشرائط، و اعتقاد عدم الوجوب فيما يعتقد المأموم وجوبه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إلا على رأى بعض الأعلام من وجوب نية الوجوب في كل واجب من أفعال الصلاة و لا نعرف له دليلا يعتمد عليه، و لا حجة توجب المصير إليه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حققه جماعة من محققي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صلى المكلف و آتى بجميع أفعال الصلاة على الوجه المأمور به شرعاً و إن لم يعرف الواجب من الندب فصلاته صحيحة لإتيانه بالمأمور به و امتثاله المقتضي للجزاء و قصد القربة آت على جميع أفعالها و لا دليل على سواه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اشتملت الصلاة على بعض الأحكام المترددة بين الوجوب أو الاستحباب و التحريم فقصد القربة لا يأتي عليه بل لا بد و الحال هذه من ملاحظة الترجيح في أدلة تلك الأحكام و إلا فسلوك جادة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له الإمامة بذلك المأموم إلخ فهذا السؤال لا مجال له إلا على القول بوجوب نية الإمامة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أعرف به قائلًا و لا عليه دليلا، فإنه لو صلى المصلي بنية الانفراد مع علمه بأن من خلفه يأتم به صحت صلاته و 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فيه خلاف بل نقل الإجماع فيه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ذكروا أن نية الإمامة شرط في حصول الثواب على دليل و لو قلنا بوجوب النية كما صرحوا به في صلاة الجمعة و العيدين فيجوز له الإمامة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يبغي الكلام في المأموم على حسب ما ذكرنا في الصورة المتقدمة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الأفضل الجهر في ظهر الجمعة أم يجب الإخفات كسائر الصلوات الإخفاتية؟ الذي دلت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p>
    <w:p>
      <w:pPr>
        <w:pStyle w:val="BookText"/>
        <w:rPr/>
      </w:pPr>
      <w:r>
        <w:rPr>
          <w:rFonts w:ascii="Amiri" w:hAnsi="Amiri" w:eastAsia="Amiri" w:cs="Amiri"/>
          <w:color w:val="111111"/>
          <w:sz w:val="28"/>
          <w:sz w:val="28"/>
          <w:szCs w:val="28"/>
          <w:rtl w:val="true"/>
          <w:lang w:bidi="ar-SA"/>
        </w:rPr>
        <w:t>الحلبي و حسنته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المنفرد و الثالثة صريحة فيه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لقائل هذه الروايات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هذه على التقية كما أجازت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 إذ ظاهر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مذهب الجمهور كافة </w:t>
      </w:r>
      <w:r>
        <w:rPr>
          <w:rStyle w:val="FootnoteAnchor"/>
          <w:rtl w:val="true"/>
        </w:rPr>
        <w:footnoteReference w:id="30"/>
      </w:r>
      <w:r>
        <w:rPr>
          <w:rFonts w:ascii="Amiri" w:hAnsi="Amiri" w:eastAsia="Amiri" w:cs="Amiri"/>
          <w:color w:val="111111"/>
          <w:sz w:val="28"/>
          <w:sz w:val="28"/>
          <w:szCs w:val="28"/>
          <w:rtl w:val="true"/>
          <w:lang w:bidi="ar-SA"/>
        </w:rPr>
        <w:t>و في بعض تلك الأخبار ما يشير إلى ذلك</w:t>
      </w:r>
      <w:r>
        <w:rPr>
          <w:rFonts w:eastAsia="Amiri" w:cs="Amiri" w:ascii="Amiri" w:hAnsi="Amiri"/>
          <w:color w:val="111111"/>
          <w:sz w:val="28"/>
          <w:szCs w:val="28"/>
          <w:rtl w:val="true"/>
          <w:lang w:bidi="ar-SA"/>
        </w:rPr>
        <w:t>.</w:t>
      </w:r>
      <w:bookmarkStart w:id="22" w:name="pg19660_223160"/>
    </w:p>
    <w:p>
      <w:pPr>
        <w:pStyle w:val="Heading2"/>
        <w:numPr>
          <w:ilvl w:val="1"/>
          <w:numId w:val="1"/>
        </w:numPr>
        <w:rPr/>
      </w:pPr>
      <w:bookmarkStart w:id="23" w:name="__RefHeading___Toc2241409_2314609296"/>
      <w:bookmarkStart w:id="24" w:name="_Toc8"/>
      <w:bookmarkEnd w:id="22"/>
      <w:bookmarkEnd w:id="23"/>
      <w:r>
        <w:rPr>
          <w:rtl w:val="true"/>
        </w:rPr>
        <w:t>المسألة الخامسة في استحباب الجمعتين في الجمعتين</w:t>
      </w:r>
      <w:bookmarkEnd w:id="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زال محفوفاً بالعز و 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الجمعتان واجبتان في الجمعتين أم مستحبتان؟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تعالى الثقة و إليه المرجع و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الأظهر هو الاستحباب إذ ما اعتمدوه من أدلة الوجوب معارض بمثله مع قبول تلك الأخبار التأويل دون هذه فما استندوا إليه في الوجوب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الملك الأحول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يقرأ في الجمعة بالجمعة و المنافقين فلا جمعة له</w:t>
      </w:r>
    </w:p>
    <w:p>
      <w:pPr>
        <w:pStyle w:val="BookText"/>
        <w:rPr/>
      </w:pP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صباح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أراد أن يصلي الجمعة فقرأ بقل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ركعتين ثم يستأنف</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الجمعة بغير الجمعة و المنافقين أعاد الصلاة في سفر أو حضر</w:t>
      </w:r>
    </w:p>
    <w:p>
      <w:pPr>
        <w:pStyle w:val="BookText"/>
        <w:rPr/>
      </w:pPr>
      <w:r>
        <w:rPr>
          <w:rStyle w:val="FootnoteAnchor"/>
          <w:rtl w:val="true"/>
        </w:rPr>
        <w:footnoteReference w:id="33"/>
      </w:r>
      <w:r>
        <w:rPr>
          <w:rFonts w:ascii="Amiri" w:hAnsi="Amiri" w:eastAsia="Amiri" w:cs="Amiri"/>
          <w:color w:val="111111"/>
          <w:sz w:val="28"/>
          <w:sz w:val="28"/>
          <w:szCs w:val="28"/>
          <w:rtl w:val="true"/>
          <w:lang w:bidi="ar-SA"/>
        </w:rPr>
        <w:t>و ما عدا هذه الروايات فقصاراه الدلالة على توظيف ما تبين السورتين في الفريضتين المذكورتين كسائر السور الموظفة في الفرائض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تلك الروايات بالمعارضة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بصحيحة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في صلاة الجمعة بغير 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الجمعة في السفر ما أقرأ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اقرأهما بقل هو الله أحد</w:t>
      </w:r>
    </w:p>
    <w:p>
      <w:pPr>
        <w:pStyle w:val="BookText"/>
        <w:rPr/>
      </w:pPr>
      <w:r>
        <w:rPr>
          <w:rStyle w:val="FootnoteAnchor"/>
          <w:rtl w:val="true"/>
        </w:rPr>
        <w:footnoteReference w:id="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صلى الجمعة فقرأ سبح اسم ربك الأعلى و قل هو الله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w:t>
      </w:r>
    </w:p>
    <w:p>
      <w:pPr>
        <w:pStyle w:val="BookText"/>
        <w:rPr/>
      </w:pP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تقرأ فيها بغير الجمعة و المنافقين إذا كنت مستعجلا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سهل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يقرأ في صلاة الجمعة بغير سورة الجمعة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Style w:val="FootnoteAnchor"/>
          <w:rtl w:val="true"/>
        </w:rPr>
        <w:footnoteReference w:id="38"/>
      </w:r>
      <w:r>
        <w:rPr>
          <w:rFonts w:ascii="Amiri" w:hAnsi="Amiri" w:eastAsia="Amiri" w:cs="Amiri"/>
          <w:color w:val="111111"/>
          <w:sz w:val="28"/>
          <w:sz w:val="28"/>
          <w:szCs w:val="28"/>
          <w:rtl w:val="true"/>
          <w:lang w:bidi="ar-SA"/>
        </w:rPr>
        <w:t>و 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الأخبار على تأكد الاستحباب و إلا لزم طرح هذه، إذ لا محمل لها تحمل عليه متى عمل على تلك الأخبار 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هذه الأخبار على الرخصة لمن كان مريضاً أو مستعجلا أو مسافراً يأباه ذكر التعمد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مفاده عدم العذر،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صريح في الإبطال لوقوع التعبير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بمثله في الأخبار في مقام التأكيد لما عبر به عنه و نقصان الفضل مع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حال الخطبة فلا جمعة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
      </w:r>
      <w:r>
        <w:rPr>
          <w:rFonts w:ascii="Amiri" w:hAnsi="Amiri" w:eastAsia="Amiri" w:cs="Amiri"/>
          <w:color w:val="111111"/>
          <w:sz w:val="28"/>
          <w:sz w:val="28"/>
          <w:szCs w:val="28"/>
          <w:rtl w:val="true"/>
          <w:lang w:bidi="ar-SA"/>
        </w:rPr>
        <w:t>و نحو ذلك مما يقف عليه المتتبع و</w:t>
      </w:r>
    </w:p>
    <w:p>
      <w:pPr>
        <w:pStyle w:val="BookText"/>
        <w:rPr/>
      </w:pPr>
      <w:r>
        <w:rPr>
          <w:rFonts w:ascii="Amiri" w:hAnsi="Amiri" w:eastAsia="Amiri" w:cs="Amiri"/>
          <w:color w:val="111111"/>
          <w:sz w:val="28"/>
          <w:sz w:val="28"/>
          <w:szCs w:val="28"/>
          <w:rtl w:val="true"/>
          <w:lang w:bidi="ar-SA"/>
        </w:rPr>
        <w:t xml:space="preserve">أَما الإعادة في الروايتين الأخيرتين فإنه وقع مثله في الأحكام المستحبة تبنيها على التسوية بشأنها و المحافظة عليها،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الناسي للأذان و الإقامة يرجع لهما و يعيد الصلاة ما لم يركع </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ناسي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الإقامة إن ذكر و قد فرغ من صلاته تمت صلاته و إلا فليعد </w:t>
      </w:r>
      <w:r>
        <w:rPr>
          <w:rStyle w:val="FootnoteAnchor"/>
          <w:rtl w:val="true"/>
        </w:rPr>
        <w:footnoteReference w:id="41"/>
      </w:r>
      <w:r>
        <w:rPr>
          <w:rFonts w:ascii="Amiri" w:hAnsi="Amiri" w:eastAsia="Amiri" w:cs="Amiri"/>
          <w:color w:val="111111"/>
          <w:sz w:val="28"/>
          <w:sz w:val="28"/>
          <w:szCs w:val="28"/>
          <w:rtl w:val="true"/>
          <w:lang w:bidi="ar-SA"/>
        </w:rPr>
        <w:t>مع ما عرفت في الأذان من دلالة الأخبار على الاستحباب و اتفاق الأصحاب على الاستحباب في الإقامة في الجملة على أن القول بالوجوب فيها لا ينطبق على مدلول من الرجوع متى ذكر قبل الفراغ إذا لو أجبر المتروك سهواً متى تجاوزه المصلي إلى ركن مضى من غير 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فالقول بالاستحباب هو الأظهر في المقام و الأقرب لأخبار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9660_223164"/>
    </w:p>
    <w:p>
      <w:pPr>
        <w:pStyle w:val="Heading2"/>
        <w:numPr>
          <w:ilvl w:val="1"/>
          <w:numId w:val="1"/>
        </w:numPr>
        <w:rPr/>
      </w:pPr>
      <w:bookmarkStart w:id="26" w:name="__RefHeading___Toc2241411_2314609296"/>
      <w:bookmarkStart w:id="27" w:name="_Toc9"/>
      <w:bookmarkEnd w:id="25"/>
      <w:bookmarkEnd w:id="26"/>
      <w:r>
        <w:rPr>
          <w:rtl w:val="true"/>
        </w:rPr>
        <w:t>المسألة السادسة في تولى الأمور الحسبيّة</w:t>
      </w:r>
      <w:bookmarkEnd w:id="27"/>
    </w:p>
    <w:p>
      <w:pPr>
        <w:pStyle w:val="BookText"/>
        <w:rPr/>
      </w:pPr>
      <w:r>
        <w:rPr>
          <w:rFonts w:ascii="Amiri" w:hAnsi="Amiri" w:eastAsia="Amiri" w:cs="Amiri"/>
          <w:color w:val="111111"/>
          <w:sz w:val="28"/>
          <w:sz w:val="28"/>
          <w:szCs w:val="28"/>
          <w:rtl w:val="true"/>
          <w:lang w:bidi="ar-SA"/>
        </w:rPr>
        <w:t xml:space="preserve">مسألة قال أيده الله تعالى بتأييده و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رواشح الفضل و 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عليكم أن كثيراً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بأن لا يتولى صرف الخمس و الزكاة إلا الفقيه الجامع لشرائط الفتوى و المطالع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نيل تلك المراتب العالية، و في وقت الوالد أذن لنا في تولى أمور الحسبيات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فالمأمول منكم أيدكم الله أن تكتبوا لنا عن دليل أصحابنا في عدم الجواز، و إن رأيتم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تولي أخذ ذلك من الزكاة و الخمس فاكتبوا له إجازة بذلك لأن المحتاجين كثيرون، فالاعتماد على الله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بحسب معتقدكم الشريف عدم المصلحة في ذلك فاكتبوا لنا بذلك أيضاً، فإنا لأمركم طائعون و على رأيكم معتمدون؟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سبحانه الأمداد بالصواب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صرف الزكاة إلى مستحقها، و كذلك حق الأصناف من الخمس لا يتوقف على نظر الحاكم الشرعي، بل لو صرفه من عليه</w:t>
      </w:r>
    </w:p>
    <w:p>
      <w:pPr>
        <w:pStyle w:val="BookText"/>
        <w:rPr/>
      </w:pP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لهذا أنه يصدق في دعوى صرفه بغير بينة و لا يمين و من خالف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معه حيث أوجبوا حملها إلى الإمام مع حضوره أو نائبه الخاص أو العام، لم نقف له على دليل، بل الأخبار بقبول أخبار من هي عليهم تأبى ذلك و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يتولى ذلك المالك بنفسه يتولاه وكيله المعين لذلك عموماً 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يستحب للمالك دفعها للحاكم لأنه أبصر بمواقعها و يكون حينئذ من قبيل الوكيل عن المالك، فما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كثير من أصحابنا من تصريحهم بأنه لا يتولى صرف الخمس و الزكاة إلا الفقيه إلخ إن أشار به إلى من نقلنا خلافه في المسألة فهو مع كونه قولا عارياً عن الدليل و القائل به من أصحابنا أقل القليل، و إلا فلعله غفلة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اطلع على نقل 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امتنع من هي عليه من إعطائها كان للحاكم الشرعي جبره و أخذها منه قهراً فيكون الحاكم هو المتولي صرفها بعد قبضها و يكون من جملة الأمور الحسبية المناطة بنظره،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هذا المعنى و إن قصرت العبارة عن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فالذي يناط بنظر الحكم في مسألة الخمس و الزكاة إنما هو أخذها قهراً من الممتنع كما ذكرنا و صرفها، و مثله قبض حصة الإمام من الخمس فإنها منوطة بنظره حيث إنه نائبه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القائم مقامه، بل نائب كل غائب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تولي الأمور الحسبية لغير الفقيه الجامع للشرائط فتحقيق</w:t>
      </w:r>
    </w:p>
    <w:p>
      <w:pPr>
        <w:pStyle w:val="BookText"/>
        <w:rPr/>
      </w:pPr>
      <w:r>
        <w:rPr>
          <w:rFonts w:ascii="Amiri" w:hAnsi="Amiri" w:eastAsia="Amiri" w:cs="Amiri"/>
          <w:color w:val="111111"/>
          <w:sz w:val="28"/>
          <w:sz w:val="28"/>
          <w:szCs w:val="28"/>
          <w:rtl w:val="true"/>
          <w:lang w:bidi="ar-SA"/>
        </w:rPr>
        <w:t xml:space="preserve">القول فيه أنه لا ريب أن هذا المنصب مخصوص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عينوه خصوصاً أو عموماً مع الحضور أو الغيبة، و قد استفاضت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يرجع في ذلك إلى من روى حديثهم و نظر في حلالهم و حرامهم و عرف أحكامهم مع الاتصاف بالعدالة و التقوى فإنه حاكم و قاضٍ على الأمة من جهتهم و خليفة عليهم من قبلهم و الراد عليه كالراد عليهم حسبما تضمنه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توقيع الصاحبي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 إلى القضاة أ 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تحاكم إليهم في حق أو باطل فإنما تحاكم إلى الطاغوت، و ما يحكم له فإنما يأخذ سحتاً و إن كان حقا ثابتا له، لأنه أخذه بحكم الطاغوت و ما أمر الله أن يكفر به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قد جعلته عليكم حاكماً فإذا حكم بحكمنا فلم يقبل منه فإنما استخف بحكم الله و علينا ردّ، و الراد علينا كالراد على الله، و هو على حد الشرك بالله</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خديجة فعن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أبو عبد الله عليه السلام إلى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في شي‌ء من الأخذ و العطاء أن تحاكموا إلى أحد من هؤلاء الفساق، اجعلوا بينكم رجلا قد عرف حلالنا و حرامنا، فإني قد جعلته عليكم قاضياً، و إياكم أن يخاصم بعضكم بعضاً إلى السلطان الجائر</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توقيع الإمام صاحب الأمر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يعقوب قال</w:t>
      </w:r>
    </w:p>
    <w:p>
      <w:pPr>
        <w:pStyle w:val="BookText"/>
        <w:rPr/>
      </w:pPr>
      <w:r>
        <w:rPr>
          <w:rFonts w:ascii="Amiri" w:hAnsi="Amiri" w:eastAsia="Amiri" w:cs="Amiri"/>
          <w:color w:val="111111"/>
          <w:sz w:val="28"/>
          <w:sz w:val="28"/>
          <w:szCs w:val="28"/>
          <w:rtl w:val="true"/>
          <w:lang w:bidi="ar-SA"/>
        </w:rPr>
        <w:t>سألت محمد بن عثمان العمري أن يوصل لي كتاباً قد سألت فيه عن مسائل أشكلت عليَّ، فورد التوقيع بخط مولانا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سألت عنه أرشدك الله و ثبتك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p>
    <w:p>
      <w:pPr>
        <w:pStyle w:val="BookText"/>
        <w:rPr/>
      </w:pPr>
      <w:r>
        <w:rPr>
          <w:rFonts w:ascii="Amiri" w:hAnsi="Amiri" w:eastAsia="Amiri" w:cs="Amiri"/>
          <w:color w:val="111111"/>
          <w:sz w:val="28"/>
          <w:sz w:val="28"/>
          <w:szCs w:val="28"/>
          <w:rtl w:val="true"/>
          <w:lang w:bidi="ar-SA"/>
        </w:rPr>
        <w:t>و أما الحوادث الواقعة فارجعوا إلى رواة حديثنا، فإنهم حجتي عليكم و أنا حجة الله، و أما محمد بن عثمان العمري فرضي الله عنه و عن أبيه من قبل فإنه ثقتي و كتابه كتابي</w:t>
      </w:r>
    </w:p>
    <w:p>
      <w:pPr>
        <w:pStyle w:val="BookText"/>
        <w:rPr/>
      </w:pPr>
      <w:r>
        <w:rPr>
          <w:rFonts w:ascii="Amiri" w:hAnsi="Amiri" w:eastAsia="Amiri" w:cs="Amiri"/>
          <w:color w:val="111111"/>
          <w:sz w:val="28"/>
          <w:sz w:val="28"/>
          <w:szCs w:val="28"/>
          <w:rtl w:val="true"/>
          <w:lang w:bidi="ar-SA"/>
        </w:rPr>
        <w:t xml:space="preserve">إكمال الدين و إتمام النعمة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الغيبة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الاحتجاج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المراد برواية أحاديثهم و معرفة أحكامهم يعني جميع أحاديثهم و كذلك معرفة جميع أحكامهم أو يكفي البعض الذي يتم به الفرض؟ الظاهر الثاني فإن اشتراط رواية جميع أحاديثهم و الإحاطة بها و معرفة كل أحكامهم، سواء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يؤدي إلى أن لا يوجد هذا الفرد على مرور الأزمان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ترى كل من تأخر من الأصحاب يستدرك على من تقدمه من الفضلاء بسبب اطلاعه على ما لم يطلع عليه من تقدمه، و هذا عند الممارس للفن أمر ظاهر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المسائل الشيرازية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المواضع التي غفلوا فيها عن النصوص مع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على أن ما يحتاج إليه من أحاديث النكاح مثلا لو كان الواقعة المحتاج إليها فيه لا يتوقف على أحاديث الصلاة و نحوها و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ذلك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انظروا إلى رجل منكم يعلم شيئاً من قضايانا فاجعلوه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ذكره بعض الأصحاب من اشتراط الإحاطة بالجميع ليس بموجه، و قد فهم من كونه حاكماً و قاضياً من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جميع الأمور الحسبيّة عملا بحق النيابة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لم يوجد الفقيه المذكور أو تعذر الوصول إليه، فالظاهر أنه لا خلاف في جواز تولي عدول المؤمنين العارفين فمن لم يبلغ تلك المرتبة العلية لسائر الأمور الحسبيّة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بالحكم و القضاء</w:t>
      </w:r>
    </w:p>
    <w:p>
      <w:pPr>
        <w:pStyle w:val="BookText"/>
        <w:rPr/>
      </w:pPr>
      <w:r>
        <w:rPr>
          <w:rFonts w:ascii="Amiri" w:hAnsi="Amiri" w:eastAsia="Amiri" w:cs="Amiri"/>
          <w:color w:val="111111"/>
          <w:sz w:val="28"/>
          <w:sz w:val="28"/>
          <w:szCs w:val="28"/>
          <w:rtl w:val="true"/>
          <w:lang w:bidi="ar-SA"/>
        </w:rPr>
        <w:t>و الإفتاء دفعاً للحرج المنفي بالشريعة السمحة السهلة لم يلزم من الضرر و التضرر في أموال الأيتام و الغيب و الفروج و نحوها، كما لا يخفى على من جاس خلال تلك الديار و رأى ما يحدث في الأقطار على ممر الأدوار، و لأنه تعاون على البر و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أيضاً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مات رجل من أصحابنا و لم يوص فرفع أمره إلى القاضي الكوفي فصيّر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 بماله و كان الرجل خلف ورثة صغاراً و متاعاً و جواري فباع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فلما أراد بيع الجواري ضعف قلبه في بيعهن إذ لم يكن الميت صيّر إليه وصيته و كان قيامه هذا بأمر القاضي لأنهنّ فروج قال 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يموت الرجل من أصحابنا و لم يوص إلى أحد و يخلّف جواري فيقيم القاضي رجل منا ليبيعهنّ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يقول بذلك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قلبه لأنهن فروج فما ترى في ذلك القيم؟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القيم مثلك أو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كما استظهره بعض مشايخنا المتأخرين المماثلة في العدالة و الضبط لأموالهم، و أما القضاء و الحكم و الإفتاء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بل ادعى عليه الإجماع غير واحد من أصحابنا اختصاص ذلك بالفقيه الجامع للشرائط</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مصلح الصيمري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حسين بن منصور صاحب</w:t>
      </w:r>
    </w:p>
    <w:p>
      <w:pPr>
        <w:pStyle w:val="BookText"/>
        <w:rPr/>
      </w:pP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ذلك لفاقد بعض الشرائط مع عدالته عند تعذر الفقيه الجامع، دفعاً للحرج و جعلوا ذلك من قبيل وجوب الأمر بالمعروف و النهي عن المنكر، 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يقتصر في الحكم على ما يحققه أمّا غيره من المسائل الاجتهادية فيعتمد فيها الصلح، فإن تعذر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حجة المانع على ما يفهم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التي في المنع من تقليد الأموات هو الإجماع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عندي هو القول بالمنع و اختصاص ذلك</w:t>
      </w:r>
    </w:p>
    <w:p>
      <w:pPr>
        <w:pStyle w:val="BookText"/>
        <w:rPr/>
      </w:pPr>
      <w:r>
        <w:rPr>
          <w:rFonts w:ascii="Amiri" w:hAnsi="Amiri" w:eastAsia="Amiri" w:cs="Amiri"/>
          <w:color w:val="111111"/>
          <w:sz w:val="28"/>
          <w:sz w:val="28"/>
          <w:szCs w:val="28"/>
          <w:rtl w:val="true"/>
          <w:lang w:bidi="ar-SA"/>
        </w:rPr>
        <w:t xml:space="preserve">بمن وردت فيه تلك الأخبار الدالة على أنه القاضي و الحاكم من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ذكروه من إجماع، فإنه ليس بذلك الدليل الذي ينقطع به النزاع، بل الأخبار المستفيضة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 أمير المؤمنين صلوات الله و سلامه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الله تعالى مراتبهم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وصي أو شقي</w:t>
      </w:r>
    </w:p>
    <w:p>
      <w:pPr>
        <w:pStyle w:val="BookText"/>
        <w:rPr/>
      </w:pPr>
      <w:r>
        <w:rPr>
          <w:rStyle w:val="FootnoteAnchor"/>
          <w:rtl w:val="true"/>
        </w:rPr>
        <w:footnoteReference w:id="43"/>
      </w: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 xml:space="preserve">و الحصر في النبي و الوصي إضافي بالنسبة إلى من تصدر في ذلك بغير إذنهم لما عرفت من الأخبار الدالة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أحكامهم و روى</w:t>
      </w:r>
    </w:p>
    <w:p>
      <w:pPr>
        <w:pStyle w:val="BookText"/>
        <w:rPr/>
      </w:pPr>
      <w:r>
        <w:rPr>
          <w:rFonts w:ascii="Amiri" w:hAnsi="Amiri" w:eastAsia="Amiri" w:cs="Amiri"/>
          <w:color w:val="111111"/>
          <w:sz w:val="28"/>
          <w:sz w:val="28"/>
          <w:szCs w:val="28"/>
          <w:rtl w:val="true"/>
          <w:lang w:bidi="ar-SA"/>
        </w:rPr>
        <w:t>حديثهم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حاكم و قاضٍ من جهتهم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القضاة أربعة واحدة في الجنة و ثلاثة في النار </w:t>
      </w:r>
      <w:r>
        <w:rPr>
          <w:rStyle w:val="FootnoteAnchor"/>
          <w:rtl w:val="true"/>
        </w:rPr>
        <w:footnoteReference w:id="45"/>
      </w:r>
      <w:r>
        <w:rPr>
          <w:rFonts w:ascii="Amiri" w:hAnsi="Amiri" w:eastAsia="Amiri" w:cs="Amiri"/>
          <w:color w:val="111111"/>
          <w:sz w:val="28"/>
          <w:sz w:val="28"/>
          <w:szCs w:val="28"/>
          <w:rtl w:val="true"/>
          <w:lang w:bidi="ar-SA"/>
        </w:rPr>
        <w:t>ثم عدّ ما عليه الليم إلى أن انتهى إلى الرابع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قضى بالحق و هو يعلم في الجنة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مثلها جملة من الأخبار التي يطول بنقلها الكلام، و كلها صريحة</w:t>
      </w:r>
    </w:p>
    <w:p>
      <w:pPr>
        <w:pStyle w:val="BookText"/>
        <w:rPr/>
      </w:pPr>
      <w:r>
        <w:rPr>
          <w:rFonts w:ascii="Amiri" w:hAnsi="Amiri" w:eastAsia="Amiri" w:cs="Amiri"/>
          <w:color w:val="111111"/>
          <w:sz w:val="28"/>
          <w:sz w:val="28"/>
          <w:szCs w:val="28"/>
          <w:rtl w:val="true"/>
          <w:lang w:bidi="ar-SA"/>
        </w:rPr>
        <w:t>في المنع من الحكم و الإفتاء إلّا لذلك المخصوص في تلك النصوص بالاستثناء</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فمثل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سعادته و أجزل 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قسم أوج الورع و التقوى في العلم و العمل و حاز النصيب الوافر الأقوى من اجتناب الخطأ و الخطل ممن لا يرتاب في جواز قيامه بالأمور الحسبية و انتظامه في سلك حملة الشريعة المحمدية، و إن 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ورعه و احتياطه في الدخول في تلك الأمور فهو حسبما 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أعلامه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محبة مأذون و مأمور</w:t>
      </w:r>
      <w:r>
        <w:rPr>
          <w:rFonts w:eastAsia="Amiri" w:cs="Amiri" w:ascii="Amiri" w:hAnsi="Amiri"/>
          <w:color w:val="111111"/>
          <w:sz w:val="28"/>
          <w:szCs w:val="28"/>
          <w:rtl w:val="true"/>
          <w:lang w:bidi="ar-SA"/>
        </w:rPr>
        <w:t>.</w:t>
      </w:r>
      <w:bookmarkStart w:id="28" w:name="pg19660_223176"/>
    </w:p>
    <w:p>
      <w:pPr>
        <w:pStyle w:val="Heading2"/>
        <w:numPr>
          <w:ilvl w:val="1"/>
          <w:numId w:val="1"/>
        </w:numPr>
        <w:rPr/>
      </w:pPr>
      <w:bookmarkStart w:id="29" w:name="__RefHeading___Toc2241413_2314609296"/>
      <w:bookmarkStart w:id="30" w:name="_Toc10"/>
      <w:bookmarkEnd w:id="28"/>
      <w:bookmarkEnd w:id="29"/>
      <w:r>
        <w:rPr>
          <w:rtl w:val="true"/>
        </w:rPr>
        <w:t>المسألة السابعة في تعريف الأيمان</w:t>
      </w:r>
      <w:bookmarkEnd w:id="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زال مؤيداً بالتوفيق و 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أقل ما يحصل به الإيمان من العقائد بحيث تدفع الزكاة و الخمس و تصح مناكحته و غير ذلك من أحكام الإيمان فهل هو مجرد إقراره بالمعارف الخمس من التوحيد و العدل و النبوة و الإمامة و المعاد، و إن كان لو سئل عن دليل ذلك لم يعرفه و لم يمكنه إقامة الدليل كما هو في أكثر الناس في هذا الزمان تفضلوا ببيان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الثقة في كل باب أن هذه المسألة مما طال فيها زمام الكلام بين علمائنا الأعلام، و قد حققنا هذا المقام بما لا يحوم حوله نقض و لا إبرام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القاصدين إلى مناهج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لنشير هنا إلى نبذة مما هنا لك بينة المدارك واضحة المسالك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عندنا كما عليه جملة من جهابذة أصحابنا منهم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خواجه نصير الملة و الحق و الدين الطوسي و الزاهد العابد المجاهد المولى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صاحب المدارك و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الاكتفاء بمجرد اعتقاد ذلك من غير توقف على الدليل بأي معنى اعتبر من كونه على النهج الميزاني أو ما تطمئن به النفس كما هو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أبو الحسن الشيخ سليمان بن عبد الله البحراني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أن الإيمان لغة و شرعاً هو التصديق، و حقيقته الإذعان بأي طريق حصل، و التكليف بما زاد من الدليل بأي معينيّة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حصول ذلك و لو بالتقليد على جهة الإذعان القلبي و التصديق اليقيني بحيث يكون جازماً متيقناً لذلك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يفهم من جملة من أخبارنا أن المعرفة بالتوحيد بل بالنبوة و نحوهما أمر بديهي لا كسبي كما نقلناه في ذلك الكتاب المشار إليه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مؤيد لما قلناه و من الظاهر المشهور الذي هو في الظهور كالنور على الطور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الناس عند طلب الإيمان منهم بأزيد من الإقرار بالشهادتين و الالتزام بما جاء به من الأوامر و النواهي، فمن أقر بذلك مع إذعان و تصديق حكم بإيمانه و استوجب الجنة بذلك و من أقر بذلك لا عن إذعان و تصديق حكم بإسلامه و أجرى عليه أحكامه من الطهارة و حفظ الدم و المال و المناكحة و نحوها</w:t>
      </w:r>
    </w:p>
    <w:p>
      <w:pPr>
        <w:pStyle w:val="BookText"/>
        <w:rPr/>
      </w:pPr>
      <w:r>
        <w:rPr>
          <w:rFonts w:ascii="Amiri" w:hAnsi="Amiri" w:eastAsia="Amiri" w:cs="Amiri"/>
          <w:color w:val="111111"/>
          <w:sz w:val="28"/>
          <w:sz w:val="28"/>
          <w:szCs w:val="28"/>
          <w:rtl w:val="true"/>
          <w:lang w:bidi="ar-SA"/>
        </w:rPr>
        <w:t xml:space="preserve">أعم من أن يكون مع إنكار في الباطن كالمنافقين أو لا كالمؤلفة قلوبهم الذين تألفهم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ينقل عنه طلب شي‌ء زائد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ذلك استفاضة الأخبار بالنهي عن التعمق في علم الكلام و الوقوف على ظاهر ما في السنة النبوية و كلام الملك العلام كما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وراء أصحابه يخوضون في القدر فقال بعد أن غضب حتى احمرت وجنتاه</w:t>
      </w:r>
    </w:p>
    <w:p>
      <w:pPr>
        <w:pStyle w:val="BookText"/>
        <w:rPr/>
      </w:pPr>
      <w:r>
        <w:rPr>
          <w:rFonts w:ascii="Amiri" w:hAnsi="Amiri" w:eastAsia="Amiri" w:cs="Amiri"/>
          <w:color w:val="111111"/>
          <w:sz w:val="28"/>
          <w:sz w:val="28"/>
          <w:szCs w:val="28"/>
          <w:rtl w:val="true"/>
          <w:lang w:bidi="ar-SA"/>
        </w:rPr>
        <w:t>ما بهذا أمرتم تضربون كتاب الله بعضه ببعض فما أمركم الله فافعلوا و ما نهاكم عنه فانتهوا</w:t>
      </w:r>
    </w:p>
    <w:p>
      <w:pPr>
        <w:pStyle w:val="BookText"/>
        <w:rPr/>
      </w:pPr>
      <w:r>
        <w:rPr>
          <w:rStyle w:val="FootnoteAnchor"/>
          <w:rtl w:val="true"/>
        </w:rPr>
        <w:footnoteReference w:id="46"/>
      </w:r>
      <w:r>
        <w:rPr>
          <w:rFonts w:ascii="Amiri" w:hAnsi="Amiri" w:eastAsia="Amiri" w:cs="Amiri"/>
          <w:color w:val="111111"/>
          <w:sz w:val="28"/>
          <w:sz w:val="28"/>
          <w:szCs w:val="28"/>
          <w:rtl w:val="true"/>
          <w:lang w:bidi="ar-SA"/>
        </w:rPr>
        <w:t xml:space="preserve">و ما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قل هو الله أحد و آمن بها فقد عرف التوحيد،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يقرأها الناس</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ascii="Amiri" w:hAnsi="Amiri" w:eastAsia="Amiri" w:cs="Amiri"/>
          <w:color w:val="111111"/>
          <w:sz w:val="28"/>
          <w:sz w:val="28"/>
          <w:szCs w:val="28"/>
          <w:rtl w:val="true"/>
          <w:lang w:bidi="ar-SA"/>
        </w:rPr>
        <w:t xml:space="preserve">و الظاهر أن السائل توهم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بالقراءة مثل الدرس و التعلم و التفكر و نحوها حيث سأل عن كيفية القراءة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قراءتها على وجه التلاوة كما يتلونها الناس بمعنى الاكتفاء بمجرد ظواهر المعاني المتبادرة من حاق اللفظ عند من أنس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سيدي علي بن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بن رسول الله إني أريد أن أعرض عليك ديني، فإن كان مرضياً أثبت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يا أبا القسم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واحد لَيْسَ كَمِثْلِهِ شَيْ‌ءٌ، خارج عن الحدين حدّ الإبطال و حدّ التشبيه، و إنه ليس بجسم و لا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عرض و لا 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مجسم الأجسام، و مصور الصور، و خالق الأعراض و الجوهر، و رب كل شي‌ء و مالكه و جاعله و محدثه، و إن محمداً عبده و رسوله خاتم النبيين فلا نبي بعده إلى يوم القيامة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و الخليفة و ولي الأمر من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للناس بالخلف من بعده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يرى شخصه و لا يحل ذكره باسمه حتى يخرج فيملأ الأرض قسطاً و عدلًا كما ملئت ظلماً و 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أقررت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المسألة في القبر حق، و إن الجنة حق و إن النار حق، و الصراط حق، و الميزان حق، و إن الساعة آتية لا ريب فيها، و إن الله يبعث من في القبور،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الأمر بالمعروف و النهي عن</w:t>
      </w:r>
    </w:p>
    <w:p>
      <w:pPr>
        <w:pStyle w:val="BookText"/>
        <w:rPr/>
      </w:pPr>
      <w:r>
        <w:rPr>
          <w:rFonts w:ascii="Amiri" w:hAnsi="Amiri" w:eastAsia="Amiri" w:cs="Amiri"/>
          <w:color w:val="111111"/>
          <w:sz w:val="28"/>
          <w:sz w:val="28"/>
          <w:szCs w:val="28"/>
          <w:rtl w:val="true"/>
          <w:lang w:bidi="ar-SA"/>
        </w:rPr>
        <w:t xml:space="preserve">المنكر،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القسم هذا و الله دين الله الذي ارتضاه لعباده، فأثبت عليه، ثبتك الله بالقول الثابت في الحياة الدنيا و في الآخرة</w:t>
      </w:r>
    </w:p>
    <w:p>
      <w:pPr>
        <w:pStyle w:val="BookText"/>
        <w:rPr/>
      </w:pPr>
      <w:r>
        <w:rPr>
          <w:rStyle w:val="FootnoteAnchor"/>
          <w:rtl w:val="true"/>
        </w:rPr>
        <w:footnoteReference w:id="48"/>
      </w:r>
      <w:r>
        <w:rPr>
          <w:rFonts w:ascii="Amiri" w:hAnsi="Amiri" w:eastAsia="Amiri" w:cs="Amiri"/>
          <w:color w:val="111111"/>
          <w:sz w:val="28"/>
          <w:sz w:val="28"/>
          <w:szCs w:val="28"/>
          <w:rtl w:val="true"/>
          <w:lang w:bidi="ar-SA"/>
        </w:rPr>
        <w:t xml:space="preserve">فهذا الحديث كما ترى ينادي بأوضح دلالة على أن مجرد التصديق بهذه المعارف هو دين الله الذي ارتضاه لعباده و لم يسأله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إظهاره اعتقاده بذلك عن الدليل على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إيمانه متوقفاً وراء ما ذكر على معرفة الدليل لما قبل منه ذلك إلا بعد إقامة الدليل على كل منها، و لما حكم بأنه بمجرد ذلك دين الله الذي ارتضاه لعباده و دعي له بالثبات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فمتى اعتقد المكلف معنى ما دلت عليه كلمة الشهادة و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علم ثبوته عنه فلا ريب في إيمانه، نعم بقي الإشكال في بعض 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الضعيفة العقول ممن لا يعرف الله تعالى إلا بمجرد هذه الترجمة حتى لو سئل عنه من هو؟ فربّما قال محمد أو علي كما شاهدناه من بعضهم، أو لا يفرق بين النبي و الإمام، أو لا يعرف الأئمة كملا، أو لا يعرف من المعارف أصلا فضلا عن التصديق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مثل هؤلاء لا يحكم بإيمانهم بل هم بحسب الأحكام الدنيوية من جملة المسلمين، و في الآخرة من المرجئين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إعطائهم من الزكاة المشروطة بإيمان المستحق إشكال و 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فإن شرطه الإسلام لا الإيمان كما استفاضت به الأخبار، و اشتراط الإيمان وقع غفلة من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حكمهم بإسلام المخالفين مع ترادف الأخبار بالمنع من مناكحتهم و قد أوضحنا ذلك بما لا مزيد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الشهاب الثاقب في بيان معنى الناصب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الأحوط أن لا يعطى من هؤلاء المستضعفين شيئاً من الزكاة أو الخمس إلا بعد تلقينهم المعارف الخمس </w:t>
      </w:r>
      <w:r>
        <w:rPr>
          <w:rStyle w:val="FootnoteAnchor"/>
          <w:rtl w:val="true"/>
        </w:rPr>
        <w:footnoteReference w:id="49"/>
      </w:r>
      <w:r>
        <w:rPr>
          <w:rFonts w:ascii="Amiri" w:hAnsi="Amiri" w:eastAsia="Amiri" w:cs="Amiri"/>
          <w:color w:val="111111"/>
          <w:sz w:val="28"/>
          <w:sz w:val="28"/>
          <w:szCs w:val="28"/>
          <w:rtl w:val="true"/>
          <w:lang w:bidi="ar-SA"/>
        </w:rPr>
        <w:t>و تصديقهم بذلك</w:t>
      </w:r>
      <w:r>
        <w:rPr>
          <w:rFonts w:eastAsia="Amiri" w:cs="Amiri" w:ascii="Amiri" w:hAnsi="Amiri"/>
          <w:color w:val="111111"/>
          <w:sz w:val="28"/>
          <w:szCs w:val="28"/>
          <w:rtl w:val="true"/>
          <w:lang w:bidi="ar-SA"/>
        </w:rPr>
        <w:t>.</w:t>
      </w:r>
      <w:bookmarkStart w:id="31" w:name="pg19660_223183"/>
    </w:p>
    <w:p>
      <w:pPr>
        <w:pStyle w:val="Heading2"/>
        <w:numPr>
          <w:ilvl w:val="1"/>
          <w:numId w:val="1"/>
        </w:numPr>
        <w:rPr/>
      </w:pPr>
      <w:bookmarkStart w:id="32" w:name="__RefHeading___Toc2241415_2314609296"/>
      <w:bookmarkStart w:id="33" w:name="_Toc11"/>
      <w:bookmarkEnd w:id="31"/>
      <w:bookmarkEnd w:id="32"/>
      <w:r>
        <w:rPr>
          <w:rtl w:val="true"/>
        </w:rPr>
        <w:t>المسألة الثامنة في حكم القاصد للمسافة</w:t>
      </w:r>
      <w:bookmarkEnd w:id="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أيده الله تعالى بالتوفيق و سقاه رحيق </w:t>
      </w:r>
      <w:r>
        <w:rPr>
          <w:rStyle w:val="FootnoteAnchor"/>
          <w:rtl w:val="true"/>
        </w:rPr>
        <w:footnoteReference w:id="50"/>
      </w:r>
      <w:r>
        <w:rPr>
          <w:rFonts w:ascii="Amiri" w:hAnsi="Amiri" w:eastAsia="Amiri" w:cs="Amiri"/>
          <w:color w:val="111111"/>
          <w:sz w:val="28"/>
          <w:sz w:val="28"/>
          <w:szCs w:val="28"/>
          <w:rtl w:val="true"/>
          <w:lang w:bidi="ar-SA"/>
        </w:rPr>
        <w:t xml:space="preserve">التحقيق و ما اعتقادكم في القاصد للأربعة الفراسخ و الرجوع في يومه أو في ضمن العشرة، فهل يجب عليه التقصير كما هو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كما هو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أقواله أو الإتمام كما هو المشهور؟</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سبحانه نستمد الهداية للصواب أن تفصيل القول في هذا المقال على وجه يسهل الأخذ به لجملة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إنه لما اختلفت الأخبار الواردة في تحديد المسافة الموجبة للتقصير، فبين ما دل على أنها ثمانية فراسخ، و ما دل على أنها أربعة اختلفت أنظار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بينهما على الأقوال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تقييد أخبار الأربعة بالرجوع ليومه فيتحتم التقصير عندهم مع إرادة الرجوع ليومه و الإتمام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إرادة الرجوع ليومه و التخيير مع عدم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المنقول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في من لا يحضره الفقيه، و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منع من التقصير في الصوم و خصّه بالصلاة فيكون هذا ثالث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أخبار الأربعة على التخيير، يعني أن قاصد الأربعة إلى ما دون الثمانية فيتخير بين القصر و الإتمام يرجع ليومه أو يرجع بالكلية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الأكثر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بالرجوع ليومه، كما في القول الأول إلا أنه يتخيّر بين القصر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أشار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فهمه من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كتابي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تأمل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الأربعة ما لم ينقطع سفره بأحد القواطع المقررة من نية إقامة العشرة أو مضي ثلاثين يوماً متردداً أو وصول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الأظهر من الأخبار، و عليه تنطبق على وجه لا يعتريه ذلل و لا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المسافة الموجبة للتقصير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ثمانية فراسخ لا غير لكنها أعم من أن يكون متصلة ذهاباً أو ملفقة من الذهاب و الإياب فكما أن القاصد ثمانية متصلة لو جلس على رأس أربعة منها مثلا أياماً من غير أن ينقطع سفره بأحد القواطع المتقدمة فإن حكمه التقصير لبقائه على حكم السفر فكذلك حكم من جلس على رأس الأربعة التي هي محل البحث فإنه ما لم ينقطع سفره بأحد القواطع المذكورة فهو على حكم السفر، و لا فرق بين الصورتين إلا التلفيق في هذه و عدمه في تلك و إلا فالكل مشترك في قصد ثمانية فراسخ، و إلى هذا القول مال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هذا القول و يدفع ما عداه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تضمنت الإنكار الشديد و التوبيخ الأكيد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الإتمام في خروجهم إلى عرفات مع أنها على أربعة فراسخ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الخروج للحج كما صرحت به تلك الأخبار مع القطع بعدم الرجوع ليؤمهم مضافاً إلى نهي السائل بزيادة على ذلك عن الإتمام و أمره بالتقصير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مما يدفع القول بالتقييد بالرجوع ليومه كما عليه الأكثر في عدم رجوع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ليؤمهم كما عرفت، و يدفع أيضاً القول بالتخيير لعدم مجامعته لما عرفت من الذم و الإنكار عليهم في الإتمام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 سفر أشدّ منه لا تتم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جنح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اختيار التخيير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ينافي ذلك نهي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نجيب عنها بالحمل على الكراهة أو على أن المنهي عنه الإتمام على وجه اللزوم انتهى </w:t>
      </w:r>
      <w:r>
        <w:rPr>
          <w:rStyle w:val="FootnoteAnchor"/>
          <w:rtl w:val="true"/>
        </w:rPr>
        <w:footnoteReference w:id="51"/>
      </w:r>
      <w:r>
        <w:rPr>
          <w:rFonts w:ascii="Amiri" w:hAnsi="Amiri" w:eastAsia="Amiri" w:cs="Amiri"/>
          <w:color w:val="111111"/>
          <w:sz w:val="28"/>
          <w:sz w:val="28"/>
          <w:szCs w:val="28"/>
          <w:rtl w:val="true"/>
          <w:lang w:bidi="ar-SA"/>
        </w:rPr>
        <w:t xml:space="preserve">محتمل لو لم يكن في المقام إلا مجرد النهي خاصة أما مع إردافه بالأمر بالتقصير و التسجيل على مخالفة ذلك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سفر أشدّ منه فهو أصرح دلالة على تحريم الإتمام في المقام من أن يخفى على ذوي الأفهام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حينئذ فإن كان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نقل عنه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المعنى الذي ذكرناه فلا ريب في حسن نسبته لآل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المفهوم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وجه لتقييده بالرجوع لما دون العشرة إذ يجوز أن لا يرجع إلا بعد عشرين</w:t>
      </w:r>
    </w:p>
    <w:p>
      <w:pPr>
        <w:pStyle w:val="BookText"/>
        <w:rPr/>
      </w:pPr>
      <w:r>
        <w:rPr>
          <w:rFonts w:ascii="Amiri" w:hAnsi="Amiri" w:eastAsia="Amiri" w:cs="Amiri"/>
          <w:color w:val="111111"/>
          <w:sz w:val="28"/>
          <w:sz w:val="28"/>
          <w:szCs w:val="28"/>
          <w:rtl w:val="true"/>
          <w:lang w:bidi="ar-SA"/>
        </w:rPr>
        <w:t>يوماً و لم ينقطع سفره بنية إقامة، و لا وصول منزل، فإنه يبقى على حكم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يدل على هذا القول أيضاً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رجل 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يلحق رجلا على رأس ميل فلم يزل يتبعه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فراسخ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يفطر إذا أراد الرجوع و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يقصر و لا يفطر لأنه خرج من منزله و ليس يريد السفر ثمانية فراسخ، إنما خرج يريد أن يلحق صاحبه في بعض الطريق فتهادى به السير إلى الموضع الذي بغله، و لو أنه خرج من منزله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ذهاباً و جائياً لكان عليه أن ينوي من الليل سفراً و الإفطار، فإن هو أصبح و لم ينو السفر فبدأ له بعد أن أصبح في السفر قصّر و لم يفطر يومه ذلك</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ascii="Amiri" w:hAnsi="Amiri" w:eastAsia="Amiri" w:cs="Amiri"/>
          <w:color w:val="111111"/>
          <w:sz w:val="28"/>
          <w:sz w:val="28"/>
          <w:szCs w:val="28"/>
          <w:rtl w:val="true"/>
          <w:lang w:bidi="ar-SA"/>
        </w:rPr>
        <w:t xml:space="preserve">و أنت خبير 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و لا يفطر جواباً عن سؤال الحكم في رجوعه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أربعة فراسخ في الرد على من قال بالتخيير في قصد الأربعة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خرج من منزله إلخ، مع قوله سابقاً لأنه خرج من منزله و ليس يريد ثمانية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قصد الأربعة</w:t>
      </w:r>
    </w:p>
    <w:p>
      <w:pPr>
        <w:pStyle w:val="BookText"/>
        <w:rPr/>
      </w:pPr>
      <w:r>
        <w:rPr>
          <w:rFonts w:ascii="Amiri" w:hAnsi="Amiri" w:eastAsia="Amiri" w:cs="Amiri"/>
          <w:color w:val="111111"/>
          <w:sz w:val="28"/>
          <w:sz w:val="28"/>
          <w:szCs w:val="28"/>
          <w:rtl w:val="true"/>
          <w:lang w:bidi="ar-SA"/>
        </w:rPr>
        <w:t>مع نية الرجوع قصد للثمانية كما حققناه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أنه مجرد قصد الأربعة مع إرادة الرجوع مطلقاً كاف في التقصير إذ لا تقييد فيه بيوم، كما يدعونه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عليه أن ينوي من الليل إلخ، صريح في تحتم التقصير و ردّ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أصبح إلخ، فالظاهر أن معناه أنه متى أصبح يعني متى لا ينوي السفر إلا بعد مضي الزمان الذي يطلق عليه الصبح و هو بعد دخول الظهر فإنه يجب عليه المضي في صوم ذلك اليوم و إن وجب عليه التقصير في الصلاة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فالأحوط لمن قصد الأربعة مطلقاً الجمع بين الفريضتين قصراً و إتماماً و الله العالم</w:t>
      </w:r>
      <w:r>
        <w:rPr>
          <w:rFonts w:eastAsia="Amiri" w:cs="Amiri" w:ascii="Amiri" w:hAnsi="Amiri"/>
          <w:color w:val="111111"/>
          <w:sz w:val="28"/>
          <w:szCs w:val="28"/>
          <w:rtl w:val="true"/>
          <w:lang w:bidi="ar-SA"/>
        </w:rPr>
        <w:t>.</w:t>
      </w:r>
      <w:bookmarkStart w:id="34" w:name="pg19660_223190"/>
    </w:p>
    <w:p>
      <w:pPr>
        <w:pStyle w:val="Heading2"/>
        <w:numPr>
          <w:ilvl w:val="1"/>
          <w:numId w:val="1"/>
        </w:numPr>
        <w:rPr/>
      </w:pPr>
      <w:bookmarkStart w:id="35" w:name="__RefHeading___Toc2241417_2314609296"/>
      <w:bookmarkStart w:id="36" w:name="_Toc12"/>
      <w:bookmarkEnd w:id="34"/>
      <w:bookmarkEnd w:id="35"/>
      <w:r>
        <w:rPr>
          <w:rtl w:val="true"/>
        </w:rPr>
        <w:t>المسألة التاسعة في اشتراط العدالة في مستحق الزكاة</w:t>
      </w:r>
      <w:bookmarkEnd w:id="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أدام الله تعالى توفيقه و سهل إلى سبل الفضائل و الفواضل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العدالة شرط في مستحق الزكاة أو لا، و كذا الخمس؟</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الهادي إلى جادة الصواب أن الأظهر عدم اشتراط ذلك في كل من الموضعين لعدم الدليل عليه، بل عموم الأخبار و إطلاقها في كلا الموضعين ينادي بالعدم مؤيداً ذلك بدلالة الأخبار أيضاً على إعطاء الأطفال و الأيتام من ذلك مع أن العدالة منتفية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داود الصيرمي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إعطاء الزكاة لشارب الخمر، و الظاهر أنها مستند من منع من إعطاء الزكاة لمرتكب الكبائر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الأحوط الوقوف على ما تضمنته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bookmarkStart w:id="37" w:name="pg19660_223191"/>
    </w:p>
    <w:p>
      <w:pPr>
        <w:pStyle w:val="Heading2"/>
        <w:numPr>
          <w:ilvl w:val="1"/>
          <w:numId w:val="1"/>
        </w:numPr>
        <w:rPr/>
      </w:pPr>
      <w:bookmarkStart w:id="38" w:name="__RefHeading___Toc2241419_2314609296"/>
      <w:bookmarkStart w:id="39" w:name="_Toc13"/>
      <w:bookmarkEnd w:id="37"/>
      <w:bookmarkEnd w:id="38"/>
      <w:r>
        <w:rPr>
          <w:rtl w:val="true"/>
        </w:rPr>
        <w:t>المسألة العاشرة في مرتبة الفقاهة</w:t>
      </w:r>
      <w:bookmarkEnd w:id="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أيده الله تعالى بتأييده و سدده بتسديده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يجوز لعبدكم العمل بما يفهمه من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تمكنه من معرفة صحة الحديث و ضعفه و لو بمراجعة كتب الرجال و كذا الاطلاع غالباً على الأقوال و الاحتياط مع الإمكان أم العمل موقوف على معرفة العلوم التي ذكروها أهل التقليد و الاجتهاد كالأصول و غيرها و هل نجيب إذا سألنا بالمسائل الخلافية مع الأمر بالاحتياط أم لا؟ أفتونا بجميع ذلك مثابين مأجورين بحق محمد و آله الخيرة البررة صلوات الله عليهم أجمعين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سبحانه نستمد الهداية للصواب أن ما ذكروه أصحابنا الأصوليون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توقف العلم و العمل للفقيه على تلك العلوم</w:t>
      </w:r>
    </w:p>
    <w:p>
      <w:pPr>
        <w:pStyle w:val="BookText"/>
        <w:rPr/>
      </w:pPr>
      <w:r>
        <w:rPr>
          <w:rFonts w:ascii="Amiri" w:hAnsi="Amiri" w:eastAsia="Amiri" w:cs="Amiri"/>
          <w:color w:val="111111"/>
          <w:sz w:val="28"/>
          <w:sz w:val="28"/>
          <w:szCs w:val="28"/>
          <w:rtl w:val="true"/>
          <w:lang w:bidi="ar-SA"/>
        </w:rPr>
        <w:t xml:space="preserve">أمر لا نعرف له مستندا بل ظاهر الأخبار ترده كأمرهم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للشيعة البعيدي الشقة عنهم بالرجوع إلى جملة من رواتهم، و جملة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ما عدا العربية و اللغة من تلك العلوم غير متعارف في تلك الأزمان و لا معول عليها بين أولئك الأعيان، بل مدارهم مجرد الرواية عن أهل الذكر صلوات الله عليهم مشافهة أو بوسائط و لو من تلك الأصول المتداولة بينهم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ريب أن ممارسة هذه العلوم مما يفيد زيادة في القوة التي بها تستنبط معاني تلك الأخبار و الملكة التي عليها في ذلك المعوّل و المدار لكن العمدة التامة في ذلك زيادة على ما هنالك هو التقميص بقميص الورع و التقوى و الفوز بحظ الوافر منه و النصيب الأقوى و الملازمة على جملة الطاعات و العبادات، و الانزجار عن جملة المنهيات من المحرمات و المكروهات، فإن ذلك في الفيض من الفياض من أعظم الأسباب لمن أخذ به و ارتاض، وَ الَّذِينَ جٰاهَدُوا فِينٰا لَنَهْدِيَنَّهُمْ سُبُلَنٰا </w:t>
      </w:r>
      <w:r>
        <w:rPr>
          <w:rStyle w:val="FootnoteAnchor"/>
          <w:rtl w:val="true"/>
        </w:rPr>
        <w:footnoteReference w:id="53"/>
      </w:r>
      <w:r>
        <w:rPr>
          <w:rFonts w:ascii="Amiri" w:hAnsi="Amiri" w:eastAsia="Amiri" w:cs="Amiri"/>
          <w:color w:val="111111"/>
          <w:sz w:val="28"/>
          <w:sz w:val="28"/>
          <w:szCs w:val="28"/>
          <w:rtl w:val="true"/>
          <w:lang w:bidi="ar-SA"/>
        </w:rPr>
        <w:t>ثم إن مثل سيدنا أدام الله تعالى إجلاله و أعلى في درجات العلا إقباله ممن لا يشك في ورعه و تقواه و احتياطه في عمله و فتواه، فإذا تبادر إلى ذهنه الشريف، و انتقش بلوح فهمه المنيف شي‌ء من معاني تلك الأخبار الحسان مع النظر في السند و لو بمراجعة الكتب المدونة في ذلك الشأن فلا بأس بالعمل بذلك، لكن الواجب مع ذلك مراجعة كتب أصحابنا الاستدلالية فإنها مما تعين أعظم الإعانة على ذلك، فإنها في الحقيقة كالشروح للأخبار</w:t>
      </w:r>
    </w:p>
    <w:p>
      <w:pPr>
        <w:pStyle w:val="BookText"/>
        <w:rPr/>
      </w:pPr>
      <w:r>
        <w:rPr>
          <w:rFonts w:ascii="Amiri" w:hAnsi="Amiri" w:eastAsia="Amiri" w:cs="Amiri"/>
          <w:color w:val="111111"/>
          <w:sz w:val="28"/>
          <w:sz w:val="28"/>
          <w:szCs w:val="28"/>
          <w:rtl w:val="true"/>
          <w:lang w:bidi="ar-SA"/>
        </w:rPr>
        <w:t>في التنبيه على معانيها و الجمع بين مختلفاتها، و مع ذلك فالواجب التتبع بجملة كتب الأخبار العالية المنار، و عدم الاقتصار على مجرد الكتب الأربعة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الأمالي و كتاب 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من الكتب التي 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المجلسي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جزاه الله تعالى أفضل الجزاء في دار القرار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كثيراً من الأحكام التي شنّع جملة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 بها ممن تقدمهم بكونها خالية عن المستند وجدت مستنداتها في هذه الكتب</w:t>
      </w:r>
    </w:p>
    <w:p>
      <w:pPr>
        <w:pStyle w:val="BookText"/>
        <w:rPr/>
      </w:pPr>
      <w:r>
        <w:rPr>
          <w:rFonts w:ascii="Amiri" w:hAnsi="Amiri" w:eastAsia="Amiri" w:cs="Amiri"/>
          <w:color w:val="111111"/>
          <w:sz w:val="28"/>
          <w:sz w:val="28"/>
          <w:szCs w:val="28"/>
          <w:rtl w:val="true"/>
          <w:lang w:bidi="ar-SA"/>
        </w:rPr>
        <w:t xml:space="preserve">المشار إليها </w:t>
      </w:r>
      <w:r>
        <w:rPr>
          <w:rStyle w:val="FootnoteAnchor"/>
          <w:rtl w:val="true"/>
        </w:rPr>
        <w:footnoteReference w:id="54"/>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الشهيد الثاني في درايته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 الاستدلال في هذه الكتب الأربعة خاصة لا وجه له، فإن استفاضة الكتب المشار إليها و تواتر نقلها عن مصنفيها أمر لا ينكر و ظاهر لا يستر،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مرتبة من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على الفقيه استفراغ الوسع في تحصيل تلك الأدلة من مظانها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من معادنها، و ربما وجد الخبر في هذه الكتب الأربعة مطلقاً أو مجملا أو عاماً، و له مقيد أو مفصل أو مخصص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الواجب أيضاً النظر في مختلفات الأخبار و الجمع بينها بالقواعد المقررة عن أهل العصمة صلوات الله عليهم بعد إعطاء التأمل حقه في معرفة الاختلاف و كونه على وجه لا يمكن التطبيق فيه بينها و الائتلاف، فإن كثيراً من أخبار ترى في بادي النظر متنافية، و إذا تأملت في معانيها و قراءتها حق التأمل وجدتها مؤتلفة متصافية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بنقل الخلافات في المسائل، فلا ثمرة مهمة فيه للسائل نعم في أمره بالاحتياط وقوف على سواء الصراط كما قد استفاضت به الروايات عموماً و خصوصاً و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عبد الرحمن بن الحجاح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رجلين أصابا صيداً و هما محرمان، الجزاء بينهما؟ أم على كل واحد منهما 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عليهما أن يجزي كل واحد منهما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أصحابنا سألني عن ذلك فلم أدر ما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أصبتم مثل هذا فلم تدروا فعليكم بالاحتياط حتى تسألوا عنه فتعلموا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 قد استوفينا جملة من الأخبار الواردة في هذا المضمار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المسائل الشيرازية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لنقطع الكلام حامدين للملك العلام على مزيد فضله التام، الذي من أعظم الفوز بسعادة الإتمام، مصلين على خيرته من الأنام محمد و آله أشرف ذوي العقول و الأحلام، سائلين منه سبحانه العفو عن فوات الأقلام و الصفح عن زلات الأقدام راجين منه تعالى شأنه الحشر في زمرة سادتنا و أئمتنا عليهم أفضل الصلاة و السلام، مع الوالدين و الوالد، بل و جملة إخواننا الكرام،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حميم في هذه الدار فنسأله أن يلحقنا بهم في دار القرار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المأمول من ذلك الأخ الشفي و المهذب الأبلغي، بل من جملة الإخوان الناظرين في هذه السطور، و المتأملين بهذا المسطور أن يسدلوا ذيول التسامح على ما يجدونه من القصور و الخلل و يصححوا ما عثروا عليه من الخطأ و الخطل بعد إعطاء التأمل حقه في المقام، و التدبر فيما اشتمل عليه من النقض و الإبرام و الله سبحانه أن يصمني بالتوفيق و يجعله لي خير صاحب و 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كتبه بيمناه الداثرة أعطاه الله تعالى كتابه بها في الدار الآخرة فقير ربه الكريم و أسير جوده العظيم يوسف بن أحمد بن إبراهيم الدرازي البحراني حامداً مصلياً مسلماً مستغفراً، بتاريخ سلخ شهر ربيع المولود من السنة السادسة و الخمسين بعد المائة و الألف من الهجرة النبوية على هاجرها و آله أفضل الصلاة و التحية آمين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بقلم الفقير إلى الله الغني محمد بن علي من خط مصنفها حفظه الله تعالى من الآفات في كربلاء المعلى بتاريخ يوم الخميس سادس عشر شهر رجب الأصب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أجوبة المسائل البهبهانية الذي سألها السيد عبد الله البلادي أصلا و البهبهاني موطناً لعلامة الدهور و فهامة العصور الشيخ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الدرازي، على يد الفاني الجاني أبو أحمد بن أحمد البحراني العصفوري وفقه الله لمراضيه و جنبه معاصيه بتاريخ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الخامس من شهر ربيع المولود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به تبتدأ الأسماء و به تختتم الأشياء</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الهجري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الفروع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أيضاً جاء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منه في موضع آخر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الخوف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في الباب الرابع</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الثاني في 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عيون الأخبار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الوضوء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الطبع الحجري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الكافي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عمر بن حنظلة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في المقنع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و رواه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الفروع أيضاً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الفروع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رواه أيضاً المفيد في المقنعة مرسلا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كتاب البرهان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كتاب التوحيد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كتاب التوحيد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العدل و النبوة و الإمامة و المعاد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 بمعنى الخالص الصافي الذي لا شوب فيه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كتاب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المشار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الخصال و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إكمال الدين و إتمام النعمة و معاني الأخبار و التوحيد و قرب الإسناد و الفقه الرضوي دعائم الإسلام و تفسير القمي و تفسير العياشي و الكافي لأبي الصلاح الحلبي و بشارة المصطفى لشيعة المرتضى و الوسائل، و المستدرك إلخ</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في كتاب الكافي الفروع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12563</Words>
  <Characters>50457</Characters>
  <CharactersWithSpaces>62569</CharactersWithSpaces>
  <Paragraphs>508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2026-08-26T01:24:22Z</dcterms:created>
  <dc:creator>ghaemiyeh.com</dc:creator>
  <dc:description/>
  <dc:language>en-US</dc:language>
  <cp:lastModifiedBy/>
  <dcterms:modified xsi:type="dcterms:W3CDTF">2026-08-26T04:55:05Z</dcterms:modified>
  <cp:revision>1</cp:revision>
  <dc:subject/>
  <dc:title>اجوبه المسائل البهبهانیه التی سالها السید عبدالله البلادی البحرانی</dc:title>
</cp:coreProperties>
</file>

<file path=docProps/custom.xml><?xml version="1.0" encoding="utf-8"?>
<Properties xmlns="http://schemas.openxmlformats.org/officeDocument/2006/custom-properties" xmlns:vt="http://schemas.openxmlformats.org/officeDocument/2006/docPropsVTypes"/>
</file>