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القواعد الفقهیة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9425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49425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494261_1280447820">
            <w:r>
              <w:rPr>
                <w:webHidden/>
                <w:rStyle w:val="IndexLink"/>
                <w:rtl w:val="true"/>
              </w:rPr>
              <w:t>قاعدة القرعة والاستخارة</w:t>
            </w:r>
            <w:r>
              <w:rPr>
                <w:rStyle w:val="IndexLink"/>
                <w:rtl w:val="true"/>
              </w:rPr>
              <w:tab/>
            </w:r>
            <w:r>
              <w:rPr>
                <w:rStyle w:val="IndexLink"/>
              </w:rPr>
              <w:t>14</w:t>
            </w:r>
          </w:hyperlink>
        </w:p>
        <w:p>
          <w:pPr>
            <w:pStyle w:val="Contents3"/>
            <w:tabs>
              <w:tab w:val="clear" w:pos="8459"/>
              <w:tab w:val="right" w:pos="9026" w:leader="dot"/>
            </w:tabs>
            <w:rPr/>
          </w:pPr>
          <w:hyperlink w:anchor="__RefHeading___Toc17494263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494265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18</w:t>
            </w:r>
          </w:hyperlink>
        </w:p>
        <w:p>
          <w:pPr>
            <w:pStyle w:val="Contents3"/>
            <w:tabs>
              <w:tab w:val="clear" w:pos="8459"/>
              <w:tab w:val="right" w:pos="9026" w:leader="dot"/>
            </w:tabs>
            <w:rPr/>
          </w:pPr>
          <w:hyperlink w:anchor="__RefHeading___Toc17494267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18</w:t>
            </w:r>
          </w:hyperlink>
        </w:p>
        <w:p>
          <w:pPr>
            <w:pStyle w:val="Contents3"/>
            <w:tabs>
              <w:tab w:val="clear" w:pos="8459"/>
              <w:tab w:val="right" w:pos="9026" w:leader="dot"/>
            </w:tabs>
            <w:rPr/>
          </w:pPr>
          <w:hyperlink w:anchor="__RefHeading___Toc17494269_1280447820">
            <w:r>
              <w:rPr>
                <w:webHidden/>
                <w:rStyle w:val="IndexLink"/>
              </w:rPr>
              <w:t>3</w:t>
            </w:r>
            <w:r>
              <w:rPr>
                <w:rStyle w:val="IndexLink"/>
                <w:rtl w:val="true"/>
              </w:rPr>
              <w:t xml:space="preserve"> - </w:t>
            </w:r>
            <w:r>
              <w:rPr>
                <w:rStyle w:val="IndexLink"/>
                <w:rtl w:val="true"/>
              </w:rPr>
              <w:t>عموم القاعدة لما لا تعين له واقعا</w:t>
            </w:r>
            <w:r>
              <w:rPr>
                <w:rStyle w:val="IndexLink"/>
                <w:rtl w:val="true"/>
              </w:rPr>
              <w:tab/>
            </w:r>
            <w:r>
              <w:rPr>
                <w:rStyle w:val="IndexLink"/>
              </w:rPr>
              <w:t>23</w:t>
            </w:r>
          </w:hyperlink>
        </w:p>
        <w:p>
          <w:pPr>
            <w:pStyle w:val="Contents3"/>
            <w:tabs>
              <w:tab w:val="clear" w:pos="8459"/>
              <w:tab w:val="right" w:pos="9026" w:leader="dot"/>
            </w:tabs>
            <w:rPr/>
          </w:pPr>
          <w:hyperlink w:anchor="__RefHeading___Toc17494271_1280447820">
            <w:r>
              <w:rPr>
                <w:webHidden/>
                <w:rStyle w:val="IndexLink"/>
              </w:rPr>
              <w:t>4</w:t>
            </w:r>
            <w:r>
              <w:rPr>
                <w:rStyle w:val="IndexLink"/>
                <w:rtl w:val="true"/>
              </w:rPr>
              <w:t xml:space="preserve"> - </w:t>
            </w:r>
            <w:r>
              <w:rPr>
                <w:rStyle w:val="IndexLink"/>
                <w:rtl w:val="true"/>
              </w:rPr>
              <w:t>عموم القاعدة لغير باب التنازع والقضاء</w:t>
            </w:r>
            <w:r>
              <w:rPr>
                <w:rStyle w:val="IndexLink"/>
                <w:rtl w:val="true"/>
              </w:rPr>
              <w:tab/>
            </w:r>
            <w:r>
              <w:rPr>
                <w:rStyle w:val="IndexLink"/>
              </w:rPr>
              <w:t>25</w:t>
            </w:r>
          </w:hyperlink>
        </w:p>
        <w:p>
          <w:pPr>
            <w:pStyle w:val="Contents3"/>
            <w:tabs>
              <w:tab w:val="clear" w:pos="8459"/>
              <w:tab w:val="right" w:pos="9026" w:leader="dot"/>
            </w:tabs>
            <w:rPr/>
          </w:pPr>
          <w:hyperlink w:anchor="__RefHeading___Toc17494273_1280447820">
            <w:r>
              <w:rPr>
                <w:webHidden/>
                <w:rStyle w:val="IndexLink"/>
              </w:rPr>
              <w:t>5</w:t>
            </w:r>
            <w:r>
              <w:rPr>
                <w:rStyle w:val="IndexLink"/>
                <w:rtl w:val="true"/>
              </w:rPr>
              <w:t xml:space="preserve"> - </w:t>
            </w:r>
            <w:r>
              <w:rPr>
                <w:rStyle w:val="IndexLink"/>
                <w:rtl w:val="true"/>
              </w:rPr>
              <w:t>القرعة أصل أو أمارة</w:t>
            </w:r>
            <w:r>
              <w:rPr>
                <w:rStyle w:val="IndexLink"/>
                <w:rtl w:val="true"/>
              </w:rPr>
              <w:tab/>
            </w:r>
            <w:r>
              <w:rPr>
                <w:rStyle w:val="IndexLink"/>
              </w:rPr>
              <w:t>26</w:t>
            </w:r>
          </w:hyperlink>
        </w:p>
        <w:p>
          <w:pPr>
            <w:pStyle w:val="Contents3"/>
            <w:tabs>
              <w:tab w:val="clear" w:pos="8459"/>
              <w:tab w:val="right" w:pos="9026" w:leader="dot"/>
            </w:tabs>
            <w:rPr/>
          </w:pPr>
          <w:hyperlink w:anchor="__RefHeading___Toc17494275_1280447820">
            <w:r>
              <w:rPr>
                <w:webHidden/>
                <w:rStyle w:val="IndexLink"/>
              </w:rPr>
              <w:t>6</w:t>
            </w:r>
            <w:r>
              <w:rPr>
                <w:rStyle w:val="IndexLink"/>
                <w:rtl w:val="true"/>
              </w:rPr>
              <w:t xml:space="preserve"> - </w:t>
            </w:r>
            <w:r>
              <w:rPr>
                <w:rStyle w:val="IndexLink"/>
                <w:rtl w:val="true"/>
              </w:rPr>
              <w:t>اختصاص القرعة بالامام</w:t>
            </w:r>
            <w:r>
              <w:rPr>
                <w:rStyle w:val="IndexLink"/>
                <w:rtl w:val="true"/>
              </w:rPr>
              <w:tab/>
            </w:r>
            <w:r>
              <w:rPr>
                <w:rStyle w:val="IndexLink"/>
              </w:rPr>
              <w:t>27</w:t>
            </w:r>
          </w:hyperlink>
        </w:p>
        <w:p>
          <w:pPr>
            <w:pStyle w:val="Contents3"/>
            <w:tabs>
              <w:tab w:val="clear" w:pos="8459"/>
              <w:tab w:val="right" w:pos="9026" w:leader="dot"/>
            </w:tabs>
            <w:rPr/>
          </w:pPr>
          <w:hyperlink w:anchor="__RefHeading___Toc17494277_1280447820">
            <w:r>
              <w:rPr>
                <w:webHidden/>
                <w:rStyle w:val="IndexLink"/>
              </w:rPr>
              <w:t>7</w:t>
            </w:r>
            <w:r>
              <w:rPr>
                <w:rStyle w:val="IndexLink"/>
                <w:rtl w:val="true"/>
              </w:rPr>
              <w:t xml:space="preserve"> - </w:t>
            </w:r>
            <w:r>
              <w:rPr>
                <w:rStyle w:val="IndexLink"/>
                <w:rtl w:val="true"/>
              </w:rPr>
              <w:t>القرعة رخصة أو عزيمة</w:t>
            </w:r>
            <w:r>
              <w:rPr>
                <w:rStyle w:val="IndexLink"/>
                <w:rtl w:val="true"/>
              </w:rPr>
              <w:tab/>
            </w:r>
            <w:r>
              <w:rPr>
                <w:rStyle w:val="IndexLink"/>
              </w:rPr>
              <w:t>29</w:t>
            </w:r>
          </w:hyperlink>
        </w:p>
        <w:p>
          <w:pPr>
            <w:pStyle w:val="Contents3"/>
            <w:tabs>
              <w:tab w:val="clear" w:pos="8459"/>
              <w:tab w:val="right" w:pos="9026" w:leader="dot"/>
            </w:tabs>
            <w:rPr/>
          </w:pPr>
          <w:hyperlink w:anchor="__RefHeading___Toc17494279_1280447820">
            <w:r>
              <w:rPr>
                <w:webHidden/>
                <w:rStyle w:val="IndexLink"/>
              </w:rPr>
              <w:t>8</w:t>
            </w:r>
            <w:r>
              <w:rPr>
                <w:rStyle w:val="IndexLink"/>
                <w:rtl w:val="true"/>
              </w:rPr>
              <w:t xml:space="preserve"> - </w:t>
            </w:r>
            <w:r>
              <w:rPr>
                <w:rStyle w:val="IndexLink"/>
                <w:rtl w:val="true"/>
              </w:rPr>
              <w:t>مورد القرعة</w:t>
            </w:r>
            <w:r>
              <w:rPr>
                <w:rStyle w:val="IndexLink"/>
                <w:rtl w:val="true"/>
              </w:rPr>
              <w:tab/>
            </w:r>
            <w:r>
              <w:rPr>
                <w:rStyle w:val="IndexLink"/>
              </w:rPr>
              <w:t>30</w:t>
            </w:r>
          </w:hyperlink>
        </w:p>
        <w:p>
          <w:pPr>
            <w:pStyle w:val="Contents3"/>
            <w:tabs>
              <w:tab w:val="clear" w:pos="8459"/>
              <w:tab w:val="right" w:pos="9026" w:leader="dot"/>
            </w:tabs>
            <w:rPr/>
          </w:pPr>
          <w:hyperlink w:anchor="__RefHeading___Toc17494281_1280447820">
            <w:r>
              <w:rPr>
                <w:webHidden/>
                <w:rStyle w:val="IndexLink"/>
              </w:rPr>
              <w:t>9</w:t>
            </w:r>
            <w:r>
              <w:rPr>
                <w:rStyle w:val="IndexLink"/>
                <w:rtl w:val="true"/>
              </w:rPr>
              <w:t xml:space="preserve"> - </w:t>
            </w:r>
            <w:r>
              <w:rPr>
                <w:rStyle w:val="IndexLink"/>
                <w:rtl w:val="true"/>
              </w:rPr>
              <w:t>كيفية القرعة</w:t>
            </w:r>
            <w:r>
              <w:rPr>
                <w:rStyle w:val="IndexLink"/>
                <w:rtl w:val="true"/>
              </w:rPr>
              <w:tab/>
            </w:r>
            <w:r>
              <w:rPr>
                <w:rStyle w:val="IndexLink"/>
              </w:rPr>
              <w:t>33</w:t>
            </w:r>
          </w:hyperlink>
        </w:p>
        <w:p>
          <w:pPr>
            <w:pStyle w:val="Contents3"/>
            <w:tabs>
              <w:tab w:val="clear" w:pos="8459"/>
              <w:tab w:val="right" w:pos="9026" w:leader="dot"/>
            </w:tabs>
            <w:rPr/>
          </w:pPr>
          <w:hyperlink w:anchor="__RefHeading___Toc17494283_1280447820">
            <w:r>
              <w:rPr>
                <w:webHidden/>
                <w:rStyle w:val="IndexLink"/>
              </w:rPr>
              <w:t>10</w:t>
            </w:r>
            <w:r>
              <w:rPr>
                <w:rStyle w:val="IndexLink"/>
                <w:rtl w:val="true"/>
              </w:rPr>
              <w:t xml:space="preserve"> - </w:t>
            </w:r>
            <w:r>
              <w:rPr>
                <w:rStyle w:val="IndexLink"/>
                <w:rtl w:val="true"/>
              </w:rPr>
              <w:t xml:space="preserve">الاستخارة بين نصوص أهل البيت </w:t>
            </w:r>
            <w:r>
              <w:rPr>
                <w:rStyle w:val="IndexLink"/>
                <w:rtl w:val="true"/>
              </w:rPr>
              <w:t xml:space="preserve">: </w:t>
            </w:r>
            <w:r>
              <w:rPr>
                <w:rStyle w:val="IndexLink"/>
                <w:rtl w:val="true"/>
              </w:rPr>
              <w:t>والمتشرّعة</w:t>
            </w:r>
            <w:r>
              <w:rPr>
                <w:rStyle w:val="IndexLink"/>
                <w:rtl w:val="true"/>
              </w:rPr>
              <w:tab/>
            </w:r>
            <w:r>
              <w:rPr>
                <w:rStyle w:val="IndexLink"/>
              </w:rPr>
              <w:t>33</w:t>
            </w:r>
          </w:hyperlink>
        </w:p>
        <w:p>
          <w:pPr>
            <w:pStyle w:val="Contents4"/>
            <w:tabs>
              <w:tab w:val="clear" w:pos="8176"/>
              <w:tab w:val="right" w:pos="9026" w:leader="dot"/>
            </w:tabs>
            <w:rPr/>
          </w:pPr>
          <w:hyperlink w:anchor="__RefHeading___Toc17494285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7494287_1280447820">
            <w:r>
              <w:rPr>
                <w:webHidden/>
                <w:rStyle w:val="IndexLink"/>
                <w:rtl w:val="true"/>
              </w:rPr>
              <w:t>التساؤل الأوّل</w:t>
            </w:r>
            <w:r>
              <w:rPr>
                <w:rStyle w:val="IndexLink"/>
                <w:rtl w:val="true"/>
              </w:rPr>
              <w:tab/>
            </w:r>
            <w:r>
              <w:rPr>
                <w:rStyle w:val="IndexLink"/>
              </w:rPr>
              <w:t>36</w:t>
            </w:r>
          </w:hyperlink>
        </w:p>
        <w:p>
          <w:pPr>
            <w:pStyle w:val="Contents4"/>
            <w:tabs>
              <w:tab w:val="clear" w:pos="8176"/>
              <w:tab w:val="right" w:pos="9026" w:leader="dot"/>
            </w:tabs>
            <w:rPr/>
          </w:pPr>
          <w:hyperlink w:anchor="__RefHeading___Toc17494289_1280447820">
            <w:r>
              <w:rPr>
                <w:webHidden/>
                <w:rStyle w:val="IndexLink"/>
                <w:rtl w:val="true"/>
              </w:rPr>
              <w:t>التساؤل الثاني</w:t>
            </w:r>
            <w:r>
              <w:rPr>
                <w:rStyle w:val="IndexLink"/>
                <w:rtl w:val="true"/>
              </w:rPr>
              <w:tab/>
            </w:r>
            <w:r>
              <w:rPr>
                <w:rStyle w:val="IndexLink"/>
              </w:rPr>
              <w:t>39</w:t>
            </w:r>
          </w:hyperlink>
        </w:p>
        <w:p>
          <w:pPr>
            <w:pStyle w:val="Contents4"/>
            <w:tabs>
              <w:tab w:val="clear" w:pos="8176"/>
              <w:tab w:val="right" w:pos="9026" w:leader="dot"/>
            </w:tabs>
            <w:rPr/>
          </w:pPr>
          <w:hyperlink w:anchor="__RefHeading___Toc17494291_1280447820">
            <w:r>
              <w:rPr>
                <w:webHidden/>
                <w:rStyle w:val="IndexLink"/>
                <w:rtl w:val="true"/>
              </w:rPr>
              <w:t>التساؤل الثالث</w:t>
            </w:r>
            <w:r>
              <w:rPr>
                <w:rStyle w:val="IndexLink"/>
                <w:rtl w:val="true"/>
              </w:rPr>
              <w:tab/>
            </w:r>
            <w:r>
              <w:rPr>
                <w:rStyle w:val="IndexLink"/>
              </w:rPr>
              <w:t>40</w:t>
            </w:r>
          </w:hyperlink>
        </w:p>
        <w:p>
          <w:pPr>
            <w:pStyle w:val="Contents4"/>
            <w:tabs>
              <w:tab w:val="clear" w:pos="8176"/>
              <w:tab w:val="right" w:pos="9026" w:leader="dot"/>
            </w:tabs>
            <w:rPr/>
          </w:pPr>
          <w:hyperlink w:anchor="__RefHeading___Toc17494293_1280447820">
            <w:r>
              <w:rPr>
                <w:webHidden/>
                <w:rStyle w:val="IndexLink"/>
                <w:rtl w:val="true"/>
              </w:rPr>
              <w:t>مناقشة ابن إدريس</w:t>
            </w:r>
            <w:r>
              <w:rPr>
                <w:rStyle w:val="IndexLink"/>
                <w:rtl w:val="true"/>
              </w:rPr>
              <w:tab/>
            </w:r>
            <w:r>
              <w:rPr>
                <w:rStyle w:val="IndexLink"/>
              </w:rPr>
              <w:t>43</w:t>
            </w:r>
          </w:hyperlink>
        </w:p>
        <w:p>
          <w:pPr>
            <w:pStyle w:val="Contents3"/>
            <w:tabs>
              <w:tab w:val="clear" w:pos="8459"/>
              <w:tab w:val="right" w:pos="9026" w:leader="dot"/>
            </w:tabs>
            <w:rPr/>
          </w:pPr>
          <w:hyperlink w:anchor="__RefHeading___Toc17494295_1280447820">
            <w:r>
              <w:rPr>
                <w:webHidden/>
                <w:rStyle w:val="IndexLink"/>
              </w:rPr>
              <w:t>11</w:t>
            </w:r>
            <w:r>
              <w:rPr>
                <w:rStyle w:val="IndexLink"/>
                <w:rtl w:val="true"/>
              </w:rPr>
              <w:t xml:space="preserve"> - </w:t>
            </w:r>
            <w:r>
              <w:rPr>
                <w:rStyle w:val="IndexLink"/>
                <w:rtl w:val="true"/>
              </w:rPr>
              <w:t>تطبيقات لقاعدة القرعة</w:t>
            </w:r>
            <w:r>
              <w:rPr>
                <w:rStyle w:val="IndexLink"/>
                <w:rtl w:val="true"/>
              </w:rPr>
              <w:tab/>
            </w:r>
            <w:r>
              <w:rPr>
                <w:rStyle w:val="IndexLink"/>
              </w:rPr>
              <w:t>43</w:t>
            </w:r>
          </w:hyperlink>
        </w:p>
        <w:p>
          <w:pPr>
            <w:pStyle w:val="Contents2"/>
            <w:tabs>
              <w:tab w:val="clear" w:pos="8743"/>
              <w:tab w:val="right" w:pos="9026" w:leader="dot"/>
            </w:tabs>
            <w:rPr/>
          </w:pPr>
          <w:hyperlink w:anchor="__RefHeading___Toc17494297_1280447820">
            <w:r>
              <w:rPr>
                <w:webHidden/>
                <w:rStyle w:val="IndexLink"/>
                <w:rtl w:val="true"/>
              </w:rPr>
              <w:t>قاعدة الطهارة</w:t>
            </w:r>
            <w:r>
              <w:rPr>
                <w:rStyle w:val="IndexLink"/>
                <w:rtl w:val="true"/>
              </w:rPr>
              <w:tab/>
            </w:r>
            <w:r>
              <w:rPr>
                <w:rStyle w:val="IndexLink"/>
              </w:rPr>
              <w:t>46</w:t>
            </w:r>
          </w:hyperlink>
        </w:p>
        <w:p>
          <w:pPr>
            <w:pStyle w:val="Contents3"/>
            <w:tabs>
              <w:tab w:val="clear" w:pos="8459"/>
              <w:tab w:val="right" w:pos="9026" w:leader="dot"/>
            </w:tabs>
            <w:rPr/>
          </w:pPr>
          <w:hyperlink w:anchor="__RefHeading___Toc17494299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7494301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49</w:t>
            </w:r>
          </w:hyperlink>
        </w:p>
        <w:p>
          <w:pPr>
            <w:pStyle w:val="Contents3"/>
            <w:tabs>
              <w:tab w:val="clear" w:pos="8459"/>
              <w:tab w:val="right" w:pos="9026" w:leader="dot"/>
            </w:tabs>
            <w:rPr/>
          </w:pPr>
          <w:hyperlink w:anchor="__RefHeading___Toc17494303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49</w:t>
            </w:r>
          </w:hyperlink>
        </w:p>
        <w:p>
          <w:pPr>
            <w:pStyle w:val="Contents4"/>
            <w:tabs>
              <w:tab w:val="clear" w:pos="8176"/>
              <w:tab w:val="right" w:pos="9026" w:leader="dot"/>
            </w:tabs>
            <w:rPr/>
          </w:pPr>
          <w:hyperlink w:anchor="__RefHeading___Toc17494305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7494307_1280447820">
            <w:r>
              <w:rPr>
                <w:webHidden/>
                <w:rStyle w:val="IndexLink"/>
                <w:rtl w:val="true"/>
              </w:rPr>
              <w:t>الاشكال في سند موثقة عمّار</w:t>
            </w:r>
            <w:r>
              <w:rPr>
                <w:rStyle w:val="IndexLink"/>
                <w:rtl w:val="true"/>
              </w:rPr>
              <w:tab/>
            </w:r>
            <w:r>
              <w:rPr>
                <w:rStyle w:val="IndexLink"/>
              </w:rPr>
              <w:t>54</w:t>
            </w:r>
          </w:hyperlink>
        </w:p>
        <w:p>
          <w:pPr>
            <w:pStyle w:val="Contents3"/>
            <w:tabs>
              <w:tab w:val="clear" w:pos="8459"/>
              <w:tab w:val="right" w:pos="9026" w:leader="dot"/>
            </w:tabs>
            <w:rPr/>
          </w:pPr>
          <w:hyperlink w:anchor="__RefHeading___Toc17494309_1280447820">
            <w:r>
              <w:rPr>
                <w:webHidden/>
                <w:rStyle w:val="IndexLink"/>
              </w:rPr>
              <w:t>3</w:t>
            </w:r>
            <w:r>
              <w:rPr>
                <w:rStyle w:val="IndexLink"/>
                <w:rtl w:val="true"/>
              </w:rPr>
              <w:t xml:space="preserve"> - </w:t>
            </w:r>
            <w:r>
              <w:rPr>
                <w:rStyle w:val="IndexLink"/>
                <w:rtl w:val="true"/>
              </w:rPr>
              <w:t>عموم القاعدة للشك في النجاسة الذاتية</w:t>
            </w:r>
            <w:r>
              <w:rPr>
                <w:rStyle w:val="IndexLink"/>
                <w:rtl w:val="true"/>
              </w:rPr>
              <w:tab/>
            </w:r>
            <w:r>
              <w:rPr>
                <w:rStyle w:val="IndexLink"/>
              </w:rPr>
              <w:t>56</w:t>
            </w:r>
          </w:hyperlink>
        </w:p>
        <w:p>
          <w:pPr>
            <w:pStyle w:val="Contents3"/>
            <w:tabs>
              <w:tab w:val="clear" w:pos="8459"/>
              <w:tab w:val="right" w:pos="9026" w:leader="dot"/>
            </w:tabs>
            <w:rPr/>
          </w:pPr>
          <w:hyperlink w:anchor="__RefHeading___Toc17494311_1280447820">
            <w:r>
              <w:rPr>
                <w:webHidden/>
                <w:rStyle w:val="IndexLink"/>
              </w:rPr>
              <w:t>4</w:t>
            </w:r>
            <w:r>
              <w:rPr>
                <w:rStyle w:val="IndexLink"/>
                <w:rtl w:val="true"/>
              </w:rPr>
              <w:t xml:space="preserve"> - </w:t>
            </w:r>
            <w:r>
              <w:rPr>
                <w:rStyle w:val="IndexLink"/>
                <w:rtl w:val="true"/>
              </w:rPr>
              <w:t>عموم القاعدة لمورد استصحاب النجاسة</w:t>
            </w:r>
            <w:r>
              <w:rPr>
                <w:rStyle w:val="IndexLink"/>
                <w:rtl w:val="true"/>
              </w:rPr>
              <w:tab/>
            </w:r>
            <w:r>
              <w:rPr>
                <w:rStyle w:val="IndexLink"/>
              </w:rPr>
              <w:t>57</w:t>
            </w:r>
          </w:hyperlink>
        </w:p>
        <w:p>
          <w:pPr>
            <w:pStyle w:val="Contents3"/>
            <w:tabs>
              <w:tab w:val="clear" w:pos="8459"/>
              <w:tab w:val="right" w:pos="9026" w:leader="dot"/>
            </w:tabs>
            <w:rPr/>
          </w:pPr>
          <w:hyperlink w:anchor="__RefHeading___Toc17494313_1280447820">
            <w:r>
              <w:rPr>
                <w:webHidden/>
                <w:rStyle w:val="IndexLink"/>
              </w:rPr>
              <w:t>5</w:t>
            </w:r>
            <w:r>
              <w:rPr>
                <w:rStyle w:val="IndexLink"/>
                <w:rtl w:val="true"/>
              </w:rPr>
              <w:t xml:space="preserve"> - </w:t>
            </w:r>
            <w:r>
              <w:rPr>
                <w:rStyle w:val="IndexLink"/>
                <w:rtl w:val="true"/>
              </w:rPr>
              <w:t>شمول القاعدة لموارد الشبهة الحكمية</w:t>
            </w:r>
            <w:r>
              <w:rPr>
                <w:rStyle w:val="IndexLink"/>
                <w:rtl w:val="true"/>
              </w:rPr>
              <w:tab/>
            </w:r>
            <w:r>
              <w:rPr>
                <w:rStyle w:val="IndexLink"/>
              </w:rPr>
              <w:t>59</w:t>
            </w:r>
          </w:hyperlink>
        </w:p>
        <w:p>
          <w:pPr>
            <w:pStyle w:val="Contents3"/>
            <w:tabs>
              <w:tab w:val="clear" w:pos="8459"/>
              <w:tab w:val="right" w:pos="9026" w:leader="dot"/>
            </w:tabs>
            <w:rPr/>
          </w:pPr>
          <w:hyperlink w:anchor="__RefHeading___Toc17494315_1280447820">
            <w:r>
              <w:rPr>
                <w:webHidden/>
                <w:rStyle w:val="IndexLink"/>
              </w:rPr>
              <w:t>6</w:t>
            </w:r>
            <w:r>
              <w:rPr>
                <w:rStyle w:val="IndexLink"/>
                <w:rtl w:val="true"/>
              </w:rPr>
              <w:t xml:space="preserve"> - </w:t>
            </w:r>
            <w:r>
              <w:rPr>
                <w:rStyle w:val="IndexLink"/>
                <w:rtl w:val="true"/>
              </w:rPr>
              <w:t>قاعدة الطهارة حكم ظاهري أو واقعي</w:t>
            </w:r>
            <w:r>
              <w:rPr>
                <w:rStyle w:val="IndexLink"/>
                <w:rtl w:val="true"/>
              </w:rPr>
              <w:tab/>
            </w:r>
            <w:r>
              <w:rPr>
                <w:rStyle w:val="IndexLink"/>
              </w:rPr>
              <w:t>60</w:t>
            </w:r>
          </w:hyperlink>
        </w:p>
        <w:p>
          <w:pPr>
            <w:pStyle w:val="Contents3"/>
            <w:tabs>
              <w:tab w:val="clear" w:pos="8459"/>
              <w:tab w:val="right" w:pos="9026" w:leader="dot"/>
            </w:tabs>
            <w:rPr/>
          </w:pPr>
          <w:hyperlink w:anchor="__RefHeading___Toc17494317_1280447820">
            <w:r>
              <w:rPr>
                <w:webHidden/>
                <w:rStyle w:val="IndexLink"/>
              </w:rPr>
              <w:t>7</w:t>
            </w:r>
            <w:r>
              <w:rPr>
                <w:rStyle w:val="IndexLink"/>
                <w:rtl w:val="true"/>
              </w:rPr>
              <w:t xml:space="preserve"> - </w:t>
            </w:r>
            <w:r>
              <w:rPr>
                <w:rStyle w:val="IndexLink"/>
                <w:rtl w:val="true"/>
              </w:rPr>
              <w:t>شرطية الطهارة ومانعية النجاسة</w:t>
            </w:r>
            <w:r>
              <w:rPr>
                <w:rStyle w:val="IndexLink"/>
                <w:rtl w:val="true"/>
              </w:rPr>
              <w:tab/>
            </w:r>
            <w:r>
              <w:rPr>
                <w:rStyle w:val="IndexLink"/>
              </w:rPr>
              <w:t>62</w:t>
            </w:r>
          </w:hyperlink>
        </w:p>
        <w:p>
          <w:pPr>
            <w:pStyle w:val="Contents3"/>
            <w:tabs>
              <w:tab w:val="clear" w:pos="8459"/>
              <w:tab w:val="right" w:pos="9026" w:leader="dot"/>
            </w:tabs>
            <w:rPr/>
          </w:pPr>
          <w:hyperlink w:anchor="__RefHeading___Toc17494319_1280447820">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63</w:t>
            </w:r>
          </w:hyperlink>
        </w:p>
        <w:p>
          <w:pPr>
            <w:pStyle w:val="Contents2"/>
            <w:tabs>
              <w:tab w:val="clear" w:pos="8743"/>
              <w:tab w:val="right" w:pos="9026" w:leader="dot"/>
            </w:tabs>
            <w:rPr/>
          </w:pPr>
          <w:hyperlink w:anchor="__RefHeading___Toc17494321_1280447820">
            <w:r>
              <w:rPr>
                <w:webHidden/>
                <w:rStyle w:val="IndexLink"/>
                <w:rtl w:val="true"/>
              </w:rPr>
              <w:t>قاعدة الالزام</w:t>
            </w:r>
            <w:r>
              <w:rPr>
                <w:rStyle w:val="IndexLink"/>
                <w:rtl w:val="true"/>
              </w:rPr>
              <w:tab/>
            </w:r>
            <w:r>
              <w:rPr>
                <w:rStyle w:val="IndexLink"/>
              </w:rPr>
              <w:t>64</w:t>
            </w:r>
          </w:hyperlink>
        </w:p>
        <w:p>
          <w:pPr>
            <w:pStyle w:val="Contents3"/>
            <w:tabs>
              <w:tab w:val="clear" w:pos="8459"/>
              <w:tab w:val="right" w:pos="9026" w:leader="dot"/>
            </w:tabs>
            <w:rPr/>
          </w:pPr>
          <w:hyperlink w:anchor="__RefHeading___Toc17494323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7494325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67</w:t>
            </w:r>
          </w:hyperlink>
        </w:p>
        <w:p>
          <w:pPr>
            <w:pStyle w:val="Contents3"/>
            <w:tabs>
              <w:tab w:val="clear" w:pos="8459"/>
              <w:tab w:val="right" w:pos="9026" w:leader="dot"/>
            </w:tabs>
            <w:rPr/>
          </w:pPr>
          <w:hyperlink w:anchor="__RefHeading___Toc17494327_1280447820">
            <w:r>
              <w:rPr>
                <w:webHidden/>
                <w:rStyle w:val="IndexLink"/>
              </w:rPr>
              <w:t>2</w:t>
            </w:r>
            <w:r>
              <w:rPr>
                <w:rStyle w:val="IndexLink"/>
                <w:rtl w:val="true"/>
              </w:rPr>
              <w:t xml:space="preserve"> - </w:t>
            </w:r>
            <w:r>
              <w:rPr>
                <w:rStyle w:val="IndexLink"/>
                <w:rtl w:val="true"/>
              </w:rPr>
              <w:t>قاعدتا الالزام والامضاء</w:t>
            </w:r>
            <w:r>
              <w:rPr>
                <w:rStyle w:val="IndexLink"/>
                <w:rtl w:val="true"/>
              </w:rPr>
              <w:tab/>
            </w:r>
            <w:r>
              <w:rPr>
                <w:rStyle w:val="IndexLink"/>
              </w:rPr>
              <w:t>68</w:t>
            </w:r>
          </w:hyperlink>
        </w:p>
        <w:p>
          <w:pPr>
            <w:pStyle w:val="Contents3"/>
            <w:tabs>
              <w:tab w:val="clear" w:pos="8459"/>
              <w:tab w:val="right" w:pos="9026" w:leader="dot"/>
            </w:tabs>
            <w:rPr/>
          </w:pPr>
          <w:hyperlink w:anchor="__RefHeading___Toc17494329_1280447820">
            <w:r>
              <w:rPr>
                <w:webHidden/>
                <w:rStyle w:val="IndexLink"/>
              </w:rPr>
              <w:t>3</w:t>
            </w:r>
            <w:r>
              <w:rPr>
                <w:rStyle w:val="IndexLink"/>
                <w:rtl w:val="true"/>
              </w:rPr>
              <w:t xml:space="preserve"> - </w:t>
            </w:r>
            <w:r>
              <w:rPr>
                <w:rStyle w:val="IndexLink"/>
                <w:rtl w:val="true"/>
              </w:rPr>
              <w:t>مدرك القاعدة</w:t>
            </w:r>
            <w:r>
              <w:rPr>
                <w:rStyle w:val="IndexLink"/>
                <w:rtl w:val="true"/>
              </w:rPr>
              <w:tab/>
            </w:r>
            <w:r>
              <w:rPr>
                <w:rStyle w:val="IndexLink"/>
              </w:rPr>
              <w:t>69</w:t>
            </w:r>
          </w:hyperlink>
        </w:p>
        <w:p>
          <w:pPr>
            <w:pStyle w:val="Contents3"/>
            <w:tabs>
              <w:tab w:val="clear" w:pos="8459"/>
              <w:tab w:val="right" w:pos="9026" w:leader="dot"/>
            </w:tabs>
            <w:rPr/>
          </w:pPr>
          <w:hyperlink w:anchor="__RefHeading___Toc17494331_1280447820">
            <w:r>
              <w:rPr>
                <w:webHidden/>
                <w:rStyle w:val="IndexLink"/>
              </w:rPr>
              <w:t>4</w:t>
            </w:r>
            <w:r>
              <w:rPr>
                <w:rStyle w:val="IndexLink"/>
                <w:rtl w:val="true"/>
              </w:rPr>
              <w:t xml:space="preserve"> - </w:t>
            </w:r>
            <w:r>
              <w:rPr>
                <w:rStyle w:val="IndexLink"/>
                <w:rtl w:val="true"/>
              </w:rPr>
              <w:t>اباحة أو صحّة واقعية</w:t>
            </w:r>
            <w:r>
              <w:rPr>
                <w:rStyle w:val="IndexLink"/>
                <w:rtl w:val="true"/>
              </w:rPr>
              <w:tab/>
            </w:r>
            <w:r>
              <w:rPr>
                <w:rStyle w:val="IndexLink"/>
              </w:rPr>
              <w:t>72</w:t>
            </w:r>
          </w:hyperlink>
        </w:p>
        <w:p>
          <w:pPr>
            <w:pStyle w:val="Contents3"/>
            <w:tabs>
              <w:tab w:val="clear" w:pos="8459"/>
              <w:tab w:val="right" w:pos="9026" w:leader="dot"/>
            </w:tabs>
            <w:rPr/>
          </w:pPr>
          <w:hyperlink w:anchor="__RefHeading___Toc17494333_1280447820">
            <w:r>
              <w:rPr>
                <w:webHidden/>
                <w:rStyle w:val="IndexLink"/>
              </w:rPr>
              <w:t>5</w:t>
            </w:r>
            <w:r>
              <w:rPr>
                <w:rStyle w:val="IndexLink"/>
                <w:rtl w:val="true"/>
              </w:rPr>
              <w:t xml:space="preserve"> - </w:t>
            </w:r>
            <w:r>
              <w:rPr>
                <w:rStyle w:val="IndexLink"/>
                <w:rtl w:val="true"/>
              </w:rPr>
              <w:t>عموم القاعدة لسائر ذوي الأديان</w:t>
            </w:r>
            <w:r>
              <w:rPr>
                <w:rStyle w:val="IndexLink"/>
                <w:rtl w:val="true"/>
              </w:rPr>
              <w:tab/>
            </w:r>
            <w:r>
              <w:rPr>
                <w:rStyle w:val="IndexLink"/>
              </w:rPr>
              <w:t>75</w:t>
            </w:r>
          </w:hyperlink>
        </w:p>
        <w:p>
          <w:pPr>
            <w:pStyle w:val="Contents3"/>
            <w:tabs>
              <w:tab w:val="clear" w:pos="8459"/>
              <w:tab w:val="right" w:pos="9026" w:leader="dot"/>
            </w:tabs>
            <w:rPr/>
          </w:pPr>
          <w:hyperlink w:anchor="__RefHeading___Toc17494335_1280447820">
            <w:r>
              <w:rPr>
                <w:webHidden/>
                <w:rStyle w:val="IndexLink"/>
              </w:rPr>
              <w:t>6</w:t>
            </w:r>
            <w:r>
              <w:rPr>
                <w:rStyle w:val="IndexLink"/>
                <w:rtl w:val="true"/>
              </w:rPr>
              <w:t xml:space="preserve"> - </w:t>
            </w:r>
            <w:r>
              <w:rPr>
                <w:rStyle w:val="IndexLink"/>
                <w:rtl w:val="true"/>
              </w:rPr>
              <w:t>مصاديق لقاعدة الالزام</w:t>
            </w:r>
            <w:r>
              <w:rPr>
                <w:rStyle w:val="IndexLink"/>
                <w:rtl w:val="true"/>
              </w:rPr>
              <w:tab/>
            </w:r>
            <w:r>
              <w:rPr>
                <w:rStyle w:val="IndexLink"/>
              </w:rPr>
              <w:t>76</w:t>
            </w:r>
          </w:hyperlink>
        </w:p>
        <w:p>
          <w:pPr>
            <w:pStyle w:val="Contents3"/>
            <w:tabs>
              <w:tab w:val="clear" w:pos="8459"/>
              <w:tab w:val="right" w:pos="9026" w:leader="dot"/>
            </w:tabs>
            <w:rPr/>
          </w:pPr>
          <w:hyperlink w:anchor="__RefHeading___Toc17494337_1280447820">
            <w:r>
              <w:rPr>
                <w:webHidden/>
                <w:rStyle w:val="IndexLink"/>
              </w:rPr>
              <w:t>7</w:t>
            </w:r>
            <w:r>
              <w:rPr>
                <w:rStyle w:val="IndexLink"/>
                <w:rtl w:val="true"/>
              </w:rPr>
              <w:t xml:space="preserve"> - </w:t>
            </w:r>
            <w:r>
              <w:rPr>
                <w:rStyle w:val="IndexLink"/>
                <w:rtl w:val="true"/>
              </w:rPr>
              <w:t>تطبيقات</w:t>
            </w:r>
            <w:r>
              <w:rPr>
                <w:rStyle w:val="IndexLink"/>
                <w:rtl w:val="true"/>
              </w:rPr>
              <w:tab/>
            </w:r>
            <w:r>
              <w:rPr>
                <w:rStyle w:val="IndexLink"/>
              </w:rPr>
              <w:t>78</w:t>
            </w:r>
          </w:hyperlink>
        </w:p>
        <w:p>
          <w:pPr>
            <w:pStyle w:val="Contents2"/>
            <w:tabs>
              <w:tab w:val="clear" w:pos="8743"/>
              <w:tab w:val="right" w:pos="9026" w:leader="dot"/>
            </w:tabs>
            <w:rPr/>
          </w:pPr>
          <w:hyperlink w:anchor="__RefHeading___Toc17494339_1280447820">
            <w:r>
              <w:rPr>
                <w:webHidden/>
                <w:rStyle w:val="IndexLink"/>
                <w:rtl w:val="true"/>
              </w:rPr>
              <w:t>قاعدة سوق المسلمين</w:t>
            </w:r>
            <w:r>
              <w:rPr>
                <w:rStyle w:val="IndexLink"/>
                <w:rtl w:val="true"/>
              </w:rPr>
              <w:tab/>
            </w:r>
            <w:r>
              <w:rPr>
                <w:rStyle w:val="IndexLink"/>
              </w:rPr>
              <w:t>80</w:t>
            </w:r>
          </w:hyperlink>
        </w:p>
        <w:p>
          <w:pPr>
            <w:pStyle w:val="Contents3"/>
            <w:tabs>
              <w:tab w:val="clear" w:pos="8459"/>
              <w:tab w:val="right" w:pos="9026" w:leader="dot"/>
            </w:tabs>
            <w:rPr/>
          </w:pPr>
          <w:hyperlink w:anchor="__RefHeading___Toc17494341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7494343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83</w:t>
            </w:r>
          </w:hyperlink>
        </w:p>
        <w:p>
          <w:pPr>
            <w:pStyle w:val="Contents3"/>
            <w:tabs>
              <w:tab w:val="clear" w:pos="8459"/>
              <w:tab w:val="right" w:pos="9026" w:leader="dot"/>
            </w:tabs>
            <w:rPr/>
          </w:pPr>
          <w:hyperlink w:anchor="__RefHeading___Toc17494345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84</w:t>
            </w:r>
          </w:hyperlink>
        </w:p>
        <w:p>
          <w:pPr>
            <w:pStyle w:val="Contents3"/>
            <w:tabs>
              <w:tab w:val="clear" w:pos="8459"/>
              <w:tab w:val="right" w:pos="9026" w:leader="dot"/>
            </w:tabs>
            <w:rPr/>
          </w:pPr>
          <w:hyperlink w:anchor="__RefHeading___Toc17494347_1280447820">
            <w:r>
              <w:rPr>
                <w:webHidden/>
                <w:rStyle w:val="IndexLink"/>
              </w:rPr>
              <w:t>3</w:t>
            </w:r>
            <w:r>
              <w:rPr>
                <w:rStyle w:val="IndexLink"/>
                <w:rtl w:val="true"/>
              </w:rPr>
              <w:t xml:space="preserve"> - </w:t>
            </w:r>
            <w:r>
              <w:rPr>
                <w:rStyle w:val="IndexLink"/>
                <w:rtl w:val="true"/>
              </w:rPr>
              <w:t>يد المسلم</w:t>
            </w:r>
            <w:r>
              <w:rPr>
                <w:rStyle w:val="IndexLink"/>
                <w:rtl w:val="true"/>
              </w:rPr>
              <w:tab/>
            </w:r>
            <w:r>
              <w:rPr>
                <w:rStyle w:val="IndexLink"/>
              </w:rPr>
              <w:t>86</w:t>
            </w:r>
          </w:hyperlink>
        </w:p>
        <w:p>
          <w:pPr>
            <w:pStyle w:val="Contents3"/>
            <w:tabs>
              <w:tab w:val="clear" w:pos="8459"/>
              <w:tab w:val="right" w:pos="9026" w:leader="dot"/>
            </w:tabs>
            <w:rPr/>
          </w:pPr>
          <w:hyperlink w:anchor="__RefHeading___Toc17494349_1280447820">
            <w:r>
              <w:rPr>
                <w:webHidden/>
                <w:rStyle w:val="IndexLink"/>
              </w:rPr>
              <w:t>4</w:t>
            </w:r>
            <w:r>
              <w:rPr>
                <w:rStyle w:val="IndexLink"/>
                <w:rtl w:val="true"/>
              </w:rPr>
              <w:t xml:space="preserve"> - </w:t>
            </w:r>
            <w:r>
              <w:rPr>
                <w:rStyle w:val="IndexLink"/>
                <w:rtl w:val="true"/>
              </w:rPr>
              <w:t>السوق امارة</w:t>
            </w:r>
            <w:r>
              <w:rPr>
                <w:rStyle w:val="IndexLink"/>
                <w:rtl w:val="true"/>
              </w:rPr>
              <w:tab/>
            </w:r>
            <w:r>
              <w:rPr>
                <w:rStyle w:val="IndexLink"/>
              </w:rPr>
              <w:t>87</w:t>
            </w:r>
          </w:hyperlink>
        </w:p>
        <w:p>
          <w:pPr>
            <w:pStyle w:val="Contents3"/>
            <w:tabs>
              <w:tab w:val="clear" w:pos="8459"/>
              <w:tab w:val="right" w:pos="9026" w:leader="dot"/>
            </w:tabs>
            <w:rPr/>
          </w:pPr>
          <w:hyperlink w:anchor="__RefHeading___Toc17494351_1280447820">
            <w:r>
              <w:rPr>
                <w:webHidden/>
                <w:rStyle w:val="IndexLink"/>
              </w:rPr>
              <w:t>5</w:t>
            </w:r>
            <w:r>
              <w:rPr>
                <w:rStyle w:val="IndexLink"/>
                <w:rtl w:val="true"/>
              </w:rPr>
              <w:t xml:space="preserve"> - </w:t>
            </w:r>
            <w:r>
              <w:rPr>
                <w:rStyle w:val="IndexLink"/>
                <w:rtl w:val="true"/>
              </w:rPr>
              <w:t>تحليل نكتة امارية السوق</w:t>
            </w:r>
            <w:r>
              <w:rPr>
                <w:rStyle w:val="IndexLink"/>
                <w:rtl w:val="true"/>
              </w:rPr>
              <w:tab/>
            </w:r>
            <w:r>
              <w:rPr>
                <w:rStyle w:val="IndexLink"/>
              </w:rPr>
              <w:t>89</w:t>
            </w:r>
          </w:hyperlink>
        </w:p>
        <w:p>
          <w:pPr>
            <w:pStyle w:val="Contents3"/>
            <w:tabs>
              <w:tab w:val="clear" w:pos="8459"/>
              <w:tab w:val="right" w:pos="9026" w:leader="dot"/>
            </w:tabs>
            <w:rPr/>
          </w:pPr>
          <w:hyperlink w:anchor="__RefHeading___Toc17494353_1280447820">
            <w:r>
              <w:rPr>
                <w:webHidden/>
                <w:rStyle w:val="IndexLink"/>
              </w:rPr>
              <w:t>6</w:t>
            </w:r>
            <w:r>
              <w:rPr>
                <w:rStyle w:val="IndexLink"/>
                <w:rtl w:val="true"/>
              </w:rPr>
              <w:t xml:space="preserve"> - </w:t>
            </w:r>
            <w:r>
              <w:rPr>
                <w:rStyle w:val="IndexLink"/>
                <w:rtl w:val="true"/>
              </w:rPr>
              <w:t>لا فرق بين فرق المسلمين</w:t>
            </w:r>
            <w:r>
              <w:rPr>
                <w:rStyle w:val="IndexLink"/>
                <w:rtl w:val="true"/>
              </w:rPr>
              <w:tab/>
            </w:r>
            <w:r>
              <w:rPr>
                <w:rStyle w:val="IndexLink"/>
              </w:rPr>
              <w:t>92</w:t>
            </w:r>
          </w:hyperlink>
        </w:p>
        <w:p>
          <w:pPr>
            <w:pStyle w:val="Contents3"/>
            <w:tabs>
              <w:tab w:val="clear" w:pos="8459"/>
              <w:tab w:val="right" w:pos="9026" w:leader="dot"/>
            </w:tabs>
            <w:rPr/>
          </w:pPr>
          <w:hyperlink w:anchor="__RefHeading___Toc17494355_1280447820">
            <w:r>
              <w:rPr>
                <w:webHidden/>
                <w:rStyle w:val="IndexLink"/>
              </w:rPr>
              <w:t>7</w:t>
            </w:r>
            <w:r>
              <w:rPr>
                <w:rStyle w:val="IndexLink"/>
                <w:rtl w:val="true"/>
              </w:rPr>
              <w:t xml:space="preserve"> - </w:t>
            </w:r>
            <w:r>
              <w:rPr>
                <w:rStyle w:val="IndexLink"/>
                <w:rtl w:val="true"/>
              </w:rPr>
              <w:t>مصنوع أرض الإسلام</w:t>
            </w:r>
            <w:r>
              <w:rPr>
                <w:rStyle w:val="IndexLink"/>
                <w:rtl w:val="true"/>
              </w:rPr>
              <w:tab/>
            </w:r>
            <w:r>
              <w:rPr>
                <w:rStyle w:val="IndexLink"/>
              </w:rPr>
              <w:t>94</w:t>
            </w:r>
          </w:hyperlink>
        </w:p>
        <w:p>
          <w:pPr>
            <w:pStyle w:val="Contents4"/>
            <w:tabs>
              <w:tab w:val="clear" w:pos="8176"/>
              <w:tab w:val="right" w:pos="9026" w:leader="dot"/>
            </w:tabs>
            <w:rPr/>
          </w:pPr>
          <w:hyperlink w:anchor="__RefHeading___Toc17494357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7494359_1280447820">
            <w:r>
              <w:rPr>
                <w:webHidden/>
                <w:rStyle w:val="IndexLink"/>
                <w:rtl w:val="true"/>
              </w:rPr>
              <w:t>الخلاصة</w:t>
            </w:r>
            <w:r>
              <w:rPr>
                <w:rStyle w:val="IndexLink"/>
                <w:rtl w:val="true"/>
              </w:rPr>
              <w:tab/>
            </w:r>
            <w:r>
              <w:rPr>
                <w:rStyle w:val="IndexLink"/>
              </w:rPr>
              <w:t>94</w:t>
            </w:r>
          </w:hyperlink>
        </w:p>
        <w:p>
          <w:pPr>
            <w:pStyle w:val="Contents3"/>
            <w:tabs>
              <w:tab w:val="clear" w:pos="8459"/>
              <w:tab w:val="right" w:pos="9026" w:leader="dot"/>
            </w:tabs>
            <w:rPr/>
          </w:pPr>
          <w:hyperlink w:anchor="__RefHeading___Toc17494361_1280447820">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95</w:t>
            </w:r>
          </w:hyperlink>
        </w:p>
        <w:p>
          <w:pPr>
            <w:pStyle w:val="Contents2"/>
            <w:tabs>
              <w:tab w:val="clear" w:pos="8743"/>
              <w:tab w:val="right" w:pos="9026" w:leader="dot"/>
            </w:tabs>
            <w:rPr/>
          </w:pPr>
          <w:hyperlink w:anchor="__RefHeading___Toc17494363_1280447820">
            <w:r>
              <w:rPr>
                <w:webHidden/>
                <w:rStyle w:val="IndexLink"/>
                <w:rtl w:val="true"/>
              </w:rPr>
              <w:t>قاعدة السلطنة</w:t>
            </w:r>
            <w:r>
              <w:rPr>
                <w:rStyle w:val="IndexLink"/>
                <w:rtl w:val="true"/>
              </w:rPr>
              <w:tab/>
            </w:r>
            <w:r>
              <w:rPr>
                <w:rStyle w:val="IndexLink"/>
              </w:rPr>
              <w:t>98</w:t>
            </w:r>
          </w:hyperlink>
        </w:p>
        <w:p>
          <w:pPr>
            <w:pStyle w:val="Contents3"/>
            <w:tabs>
              <w:tab w:val="clear" w:pos="8459"/>
              <w:tab w:val="right" w:pos="9026" w:leader="dot"/>
            </w:tabs>
            <w:rPr/>
          </w:pPr>
          <w:hyperlink w:anchor="__RefHeading___Toc17494365_12804478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7494367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101</w:t>
            </w:r>
          </w:hyperlink>
        </w:p>
        <w:p>
          <w:pPr>
            <w:pStyle w:val="Contents3"/>
            <w:tabs>
              <w:tab w:val="clear" w:pos="8459"/>
              <w:tab w:val="right" w:pos="9026" w:leader="dot"/>
            </w:tabs>
            <w:rPr/>
          </w:pPr>
          <w:hyperlink w:anchor="__RefHeading___Toc17494369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102</w:t>
            </w:r>
          </w:hyperlink>
        </w:p>
        <w:p>
          <w:pPr>
            <w:pStyle w:val="Contents3"/>
            <w:tabs>
              <w:tab w:val="clear" w:pos="8459"/>
              <w:tab w:val="right" w:pos="9026" w:leader="dot"/>
            </w:tabs>
            <w:rPr/>
          </w:pPr>
          <w:hyperlink w:anchor="__RefHeading___Toc17494371_1280447820">
            <w:r>
              <w:rPr>
                <w:webHidden/>
                <w:rStyle w:val="IndexLink"/>
              </w:rPr>
              <w:t>3</w:t>
            </w:r>
            <w:r>
              <w:rPr>
                <w:rStyle w:val="IndexLink"/>
                <w:rtl w:val="true"/>
              </w:rPr>
              <w:t xml:space="preserve"> - </w:t>
            </w:r>
            <w:r>
              <w:rPr>
                <w:rStyle w:val="IndexLink"/>
                <w:rtl w:val="true"/>
              </w:rPr>
              <w:t>المحتملات في قاعدة السلطنة</w:t>
            </w:r>
            <w:r>
              <w:rPr>
                <w:rStyle w:val="IndexLink"/>
                <w:rtl w:val="true"/>
              </w:rPr>
              <w:tab/>
            </w:r>
            <w:r>
              <w:rPr>
                <w:rStyle w:val="IndexLink"/>
              </w:rPr>
              <w:t>105</w:t>
            </w:r>
          </w:hyperlink>
        </w:p>
        <w:p>
          <w:pPr>
            <w:pStyle w:val="Contents3"/>
            <w:tabs>
              <w:tab w:val="clear" w:pos="8459"/>
              <w:tab w:val="right" w:pos="9026" w:leader="dot"/>
            </w:tabs>
            <w:rPr/>
          </w:pPr>
          <w:hyperlink w:anchor="__RefHeading___Toc17494373_1280447820">
            <w:r>
              <w:rPr>
                <w:webHidden/>
                <w:rStyle w:val="IndexLink"/>
              </w:rPr>
              <w:t>4</w:t>
            </w:r>
            <w:r>
              <w:rPr>
                <w:rStyle w:val="IndexLink"/>
                <w:rtl w:val="true"/>
              </w:rPr>
              <w:t xml:space="preserve"> - </w:t>
            </w:r>
            <w:r>
              <w:rPr>
                <w:rStyle w:val="IndexLink"/>
                <w:rtl w:val="true"/>
              </w:rPr>
              <w:t>حدود قاعدة السلطنة</w:t>
            </w:r>
            <w:r>
              <w:rPr>
                <w:rStyle w:val="IndexLink"/>
                <w:rtl w:val="true"/>
              </w:rPr>
              <w:tab/>
            </w:r>
            <w:r>
              <w:rPr>
                <w:rStyle w:val="IndexLink"/>
              </w:rPr>
              <w:t>109</w:t>
            </w:r>
          </w:hyperlink>
        </w:p>
        <w:p>
          <w:pPr>
            <w:pStyle w:val="Contents3"/>
            <w:tabs>
              <w:tab w:val="clear" w:pos="8459"/>
              <w:tab w:val="right" w:pos="9026" w:leader="dot"/>
            </w:tabs>
            <w:rPr/>
          </w:pPr>
          <w:hyperlink w:anchor="__RefHeading___Toc17494375_1280447820">
            <w:r>
              <w:rPr>
                <w:webHidden/>
                <w:rStyle w:val="IndexLink"/>
              </w:rPr>
              <w:t>5</w:t>
            </w:r>
            <w:r>
              <w:rPr>
                <w:rStyle w:val="IndexLink"/>
                <w:rtl w:val="true"/>
              </w:rPr>
              <w:t xml:space="preserve"> - </w:t>
            </w:r>
            <w:r>
              <w:rPr>
                <w:rStyle w:val="IndexLink"/>
                <w:rtl w:val="true"/>
              </w:rPr>
              <w:t>التسلّط على الحقوق</w:t>
            </w:r>
            <w:r>
              <w:rPr>
                <w:rStyle w:val="IndexLink"/>
                <w:rtl w:val="true"/>
              </w:rPr>
              <w:tab/>
            </w:r>
            <w:r>
              <w:rPr>
                <w:rStyle w:val="IndexLink"/>
              </w:rPr>
              <w:t>111</w:t>
            </w:r>
          </w:hyperlink>
        </w:p>
        <w:p>
          <w:pPr>
            <w:pStyle w:val="Contents3"/>
            <w:tabs>
              <w:tab w:val="clear" w:pos="8459"/>
              <w:tab w:val="right" w:pos="9026" w:leader="dot"/>
            </w:tabs>
            <w:rPr/>
          </w:pPr>
          <w:hyperlink w:anchor="__RefHeading___Toc17494377_1280447820">
            <w:r>
              <w:rPr>
                <w:webHidden/>
                <w:rStyle w:val="IndexLink"/>
              </w:rPr>
              <w:t>6</w:t>
            </w:r>
            <w:r>
              <w:rPr>
                <w:rStyle w:val="IndexLink"/>
                <w:rtl w:val="true"/>
              </w:rPr>
              <w:t xml:space="preserve"> - </w:t>
            </w:r>
            <w:r>
              <w:rPr>
                <w:rStyle w:val="IndexLink"/>
                <w:rtl w:val="true"/>
              </w:rPr>
              <w:t>التسلّط على النفس والأعضاء</w:t>
            </w:r>
            <w:r>
              <w:rPr>
                <w:rStyle w:val="IndexLink"/>
                <w:rtl w:val="true"/>
              </w:rPr>
              <w:tab/>
            </w:r>
            <w:r>
              <w:rPr>
                <w:rStyle w:val="IndexLink"/>
              </w:rPr>
              <w:t>113</w:t>
            </w:r>
          </w:hyperlink>
        </w:p>
        <w:p>
          <w:pPr>
            <w:pStyle w:val="Contents3"/>
            <w:tabs>
              <w:tab w:val="clear" w:pos="8459"/>
              <w:tab w:val="right" w:pos="9026" w:leader="dot"/>
            </w:tabs>
            <w:rPr/>
          </w:pPr>
          <w:hyperlink w:anchor="__RefHeading___Toc17494379_1280447820">
            <w:r>
              <w:rPr>
                <w:webHidden/>
                <w:rStyle w:val="IndexLink"/>
              </w:rPr>
              <w:t>7</w:t>
            </w:r>
            <w:r>
              <w:rPr>
                <w:rStyle w:val="IndexLink"/>
                <w:rtl w:val="true"/>
              </w:rPr>
              <w:t xml:space="preserve"> - </w:t>
            </w:r>
            <w:r>
              <w:rPr>
                <w:rStyle w:val="IndexLink"/>
                <w:rtl w:val="true"/>
              </w:rPr>
              <w:t>السلطنة والضرر</w:t>
            </w:r>
            <w:r>
              <w:rPr>
                <w:rStyle w:val="IndexLink"/>
                <w:rtl w:val="true"/>
              </w:rPr>
              <w:tab/>
            </w:r>
            <w:r>
              <w:rPr>
                <w:rStyle w:val="IndexLink"/>
              </w:rPr>
              <w:t>116</w:t>
            </w:r>
          </w:hyperlink>
        </w:p>
        <w:p>
          <w:pPr>
            <w:pStyle w:val="Contents3"/>
            <w:tabs>
              <w:tab w:val="clear" w:pos="8459"/>
              <w:tab w:val="right" w:pos="9026" w:leader="dot"/>
            </w:tabs>
            <w:rPr/>
          </w:pPr>
          <w:hyperlink w:anchor="__RefHeading___Toc17494381_1280447820">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117</w:t>
            </w:r>
          </w:hyperlink>
        </w:p>
        <w:p>
          <w:pPr>
            <w:pStyle w:val="Contents2"/>
            <w:tabs>
              <w:tab w:val="clear" w:pos="8743"/>
              <w:tab w:val="right" w:pos="9026" w:leader="dot"/>
            </w:tabs>
            <w:rPr/>
          </w:pPr>
          <w:hyperlink w:anchor="__RefHeading___Toc17494383_1280447820">
            <w:r>
              <w:rPr>
                <w:webHidden/>
                <w:rStyle w:val="IndexLink"/>
                <w:rtl w:val="true"/>
              </w:rPr>
              <w:t>قاعدة الميسور</w:t>
            </w:r>
            <w:r>
              <w:rPr>
                <w:rStyle w:val="IndexLink"/>
                <w:rtl w:val="true"/>
              </w:rPr>
              <w:tab/>
            </w:r>
            <w:r>
              <w:rPr>
                <w:rStyle w:val="IndexLink"/>
              </w:rPr>
              <w:t>120</w:t>
            </w:r>
          </w:hyperlink>
        </w:p>
        <w:p>
          <w:pPr>
            <w:pStyle w:val="Contents3"/>
            <w:tabs>
              <w:tab w:val="clear" w:pos="8459"/>
              <w:tab w:val="right" w:pos="9026" w:leader="dot"/>
            </w:tabs>
            <w:rPr/>
          </w:pPr>
          <w:hyperlink w:anchor="__RefHeading___Toc17494385_128044782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7494387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124</w:t>
            </w:r>
          </w:hyperlink>
        </w:p>
        <w:p>
          <w:pPr>
            <w:pStyle w:val="Contents3"/>
            <w:tabs>
              <w:tab w:val="clear" w:pos="8459"/>
              <w:tab w:val="right" w:pos="9026" w:leader="dot"/>
            </w:tabs>
            <w:rPr/>
          </w:pPr>
          <w:hyperlink w:anchor="__RefHeading___Toc17494389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125</w:t>
            </w:r>
          </w:hyperlink>
        </w:p>
        <w:p>
          <w:pPr>
            <w:pStyle w:val="Contents4"/>
            <w:tabs>
              <w:tab w:val="clear" w:pos="8176"/>
              <w:tab w:val="right" w:pos="9026" w:leader="dot"/>
            </w:tabs>
            <w:rPr/>
          </w:pPr>
          <w:hyperlink w:anchor="__RefHeading___Toc17494391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7494393_1280447820">
            <w:r>
              <w:rPr>
                <w:webHidden/>
                <w:rStyle w:val="IndexLink"/>
                <w:rtl w:val="true"/>
              </w:rPr>
              <w:t>الرواية الاولى</w:t>
            </w:r>
            <w:r>
              <w:rPr>
                <w:rStyle w:val="IndexLink"/>
                <w:rtl w:val="true"/>
              </w:rPr>
              <w:tab/>
            </w:r>
            <w:r>
              <w:rPr>
                <w:rStyle w:val="IndexLink"/>
              </w:rPr>
              <w:t>126</w:t>
            </w:r>
          </w:hyperlink>
        </w:p>
        <w:p>
          <w:pPr>
            <w:pStyle w:val="Contents4"/>
            <w:tabs>
              <w:tab w:val="clear" w:pos="8176"/>
              <w:tab w:val="right" w:pos="9026" w:leader="dot"/>
            </w:tabs>
            <w:rPr/>
          </w:pPr>
          <w:hyperlink w:anchor="__RefHeading___Toc17494395_1280447820">
            <w:r>
              <w:rPr>
                <w:webHidden/>
                <w:rStyle w:val="IndexLink"/>
                <w:rtl w:val="true"/>
              </w:rPr>
              <w:t>الرواية الثانية والثالثة</w:t>
            </w:r>
            <w:r>
              <w:rPr>
                <w:rStyle w:val="IndexLink"/>
                <w:rtl w:val="true"/>
              </w:rPr>
              <w:tab/>
            </w:r>
            <w:r>
              <w:rPr>
                <w:rStyle w:val="IndexLink"/>
              </w:rPr>
              <w:t>129</w:t>
            </w:r>
          </w:hyperlink>
        </w:p>
        <w:p>
          <w:pPr>
            <w:pStyle w:val="Contents3"/>
            <w:tabs>
              <w:tab w:val="clear" w:pos="8459"/>
              <w:tab w:val="right" w:pos="9026" w:leader="dot"/>
            </w:tabs>
            <w:rPr/>
          </w:pPr>
          <w:hyperlink w:anchor="__RefHeading___Toc17494397_1280447820">
            <w:r>
              <w:rPr>
                <w:webHidden/>
                <w:rStyle w:val="IndexLink"/>
              </w:rPr>
              <w:t>3</w:t>
            </w:r>
            <w:r>
              <w:rPr>
                <w:rStyle w:val="IndexLink"/>
                <w:rtl w:val="true"/>
              </w:rPr>
              <w:t xml:space="preserve"> - </w:t>
            </w:r>
            <w:r>
              <w:rPr>
                <w:rStyle w:val="IndexLink"/>
                <w:rtl w:val="true"/>
              </w:rPr>
              <w:t>الاستصحاب والقاعدة</w:t>
            </w:r>
            <w:r>
              <w:rPr>
                <w:rStyle w:val="IndexLink"/>
                <w:rtl w:val="true"/>
              </w:rPr>
              <w:tab/>
            </w:r>
            <w:r>
              <w:rPr>
                <w:rStyle w:val="IndexLink"/>
              </w:rPr>
              <w:t>129</w:t>
            </w:r>
          </w:hyperlink>
        </w:p>
        <w:p>
          <w:pPr>
            <w:pStyle w:val="Contents4"/>
            <w:tabs>
              <w:tab w:val="clear" w:pos="8176"/>
              <w:tab w:val="right" w:pos="9026" w:leader="dot"/>
            </w:tabs>
            <w:rPr/>
          </w:pPr>
          <w:hyperlink w:anchor="__RefHeading___Toc17494399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7494401_1280447820">
            <w:r>
              <w:rPr>
                <w:webHidden/>
                <w:rStyle w:val="IndexLink"/>
                <w:rtl w:val="true"/>
              </w:rPr>
              <w:t>ملاحظة مشتركة</w:t>
            </w:r>
            <w:r>
              <w:rPr>
                <w:rStyle w:val="IndexLink"/>
                <w:rtl w:val="true"/>
              </w:rPr>
              <w:tab/>
            </w:r>
            <w:r>
              <w:rPr>
                <w:rStyle w:val="IndexLink"/>
              </w:rPr>
              <w:t>132</w:t>
            </w:r>
          </w:hyperlink>
        </w:p>
        <w:p>
          <w:pPr>
            <w:pStyle w:val="Contents3"/>
            <w:tabs>
              <w:tab w:val="clear" w:pos="8459"/>
              <w:tab w:val="right" w:pos="9026" w:leader="dot"/>
            </w:tabs>
            <w:rPr/>
          </w:pPr>
          <w:hyperlink w:anchor="__RefHeading___Toc17494403_1280447820">
            <w:r>
              <w:rPr>
                <w:webHidden/>
                <w:rStyle w:val="IndexLink"/>
              </w:rPr>
              <w:t>4</w:t>
            </w:r>
            <w:r>
              <w:rPr>
                <w:rStyle w:val="IndexLink"/>
                <w:rtl w:val="true"/>
              </w:rPr>
              <w:t xml:space="preserve"> - </w:t>
            </w:r>
            <w:r>
              <w:rPr>
                <w:rStyle w:val="IndexLink"/>
                <w:rtl w:val="true"/>
              </w:rPr>
              <w:t>اطلاق الأدلّة الأوّلية والقاعدة</w:t>
            </w:r>
            <w:r>
              <w:rPr>
                <w:rStyle w:val="IndexLink"/>
                <w:rtl w:val="true"/>
              </w:rPr>
              <w:tab/>
            </w:r>
            <w:r>
              <w:rPr>
                <w:rStyle w:val="IndexLink"/>
              </w:rPr>
              <w:t>132</w:t>
            </w:r>
          </w:hyperlink>
        </w:p>
        <w:p>
          <w:pPr>
            <w:pStyle w:val="Contents3"/>
            <w:tabs>
              <w:tab w:val="clear" w:pos="8459"/>
              <w:tab w:val="right" w:pos="9026" w:leader="dot"/>
            </w:tabs>
            <w:rPr/>
          </w:pPr>
          <w:hyperlink w:anchor="__RefHeading___Toc17494405_1280447820">
            <w:r>
              <w:rPr>
                <w:webHidden/>
                <w:rStyle w:val="IndexLink"/>
              </w:rPr>
              <w:t>5</w:t>
            </w:r>
            <w:r>
              <w:rPr>
                <w:rStyle w:val="IndexLink"/>
                <w:rtl w:val="true"/>
              </w:rPr>
              <w:t xml:space="preserve"> - </w:t>
            </w:r>
            <w:r>
              <w:rPr>
                <w:rStyle w:val="IndexLink"/>
                <w:rtl w:val="true"/>
              </w:rPr>
              <w:t>تطبيقات</w:t>
            </w:r>
            <w:r>
              <w:rPr>
                <w:rStyle w:val="IndexLink"/>
                <w:rtl w:val="true"/>
              </w:rPr>
              <w:tab/>
            </w:r>
            <w:r>
              <w:rPr>
                <w:rStyle w:val="IndexLink"/>
              </w:rPr>
              <w:t>133</w:t>
            </w:r>
          </w:hyperlink>
        </w:p>
        <w:p>
          <w:pPr>
            <w:pStyle w:val="Contents2"/>
            <w:tabs>
              <w:tab w:val="clear" w:pos="8743"/>
              <w:tab w:val="right" w:pos="9026" w:leader="dot"/>
            </w:tabs>
            <w:rPr/>
          </w:pPr>
          <w:hyperlink w:anchor="__RefHeading___Toc17494407_1280447820">
            <w:r>
              <w:rPr>
                <w:webHidden/>
                <w:rStyle w:val="IndexLink"/>
                <w:rtl w:val="true"/>
              </w:rPr>
              <w:t>قاعدة على اليد</w:t>
            </w:r>
            <w:r>
              <w:rPr>
                <w:rStyle w:val="IndexLink"/>
                <w:rtl w:val="true"/>
              </w:rPr>
              <w:tab/>
            </w:r>
            <w:r>
              <w:rPr>
                <w:rStyle w:val="IndexLink"/>
              </w:rPr>
              <w:t>136</w:t>
            </w:r>
          </w:hyperlink>
        </w:p>
        <w:p>
          <w:pPr>
            <w:pStyle w:val="Contents3"/>
            <w:tabs>
              <w:tab w:val="clear" w:pos="8459"/>
              <w:tab w:val="right" w:pos="9026" w:leader="dot"/>
            </w:tabs>
            <w:rPr/>
          </w:pPr>
          <w:hyperlink w:anchor="__RefHeading___Toc17494409_12804478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7494411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139</w:t>
            </w:r>
          </w:hyperlink>
        </w:p>
        <w:p>
          <w:pPr>
            <w:pStyle w:val="Contents3"/>
            <w:tabs>
              <w:tab w:val="clear" w:pos="8459"/>
              <w:tab w:val="right" w:pos="9026" w:leader="dot"/>
            </w:tabs>
            <w:rPr/>
          </w:pPr>
          <w:hyperlink w:anchor="__RefHeading___Toc17494413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141</w:t>
            </w:r>
          </w:hyperlink>
        </w:p>
        <w:p>
          <w:pPr>
            <w:pStyle w:val="Contents3"/>
            <w:tabs>
              <w:tab w:val="clear" w:pos="8459"/>
              <w:tab w:val="right" w:pos="9026" w:leader="dot"/>
            </w:tabs>
            <w:rPr/>
          </w:pPr>
          <w:hyperlink w:anchor="__RefHeading___Toc17494415_1280447820">
            <w:r>
              <w:rPr>
                <w:webHidden/>
                <w:rStyle w:val="IndexLink"/>
              </w:rPr>
              <w:t>3</w:t>
            </w:r>
            <w:r>
              <w:rPr>
                <w:rStyle w:val="IndexLink"/>
                <w:rtl w:val="true"/>
              </w:rPr>
              <w:t xml:space="preserve"> - </w:t>
            </w:r>
            <w:r>
              <w:rPr>
                <w:rStyle w:val="IndexLink"/>
                <w:rtl w:val="true"/>
              </w:rPr>
              <w:t>حكم وضعي أو تكليفي</w:t>
            </w:r>
            <w:r>
              <w:rPr>
                <w:rStyle w:val="IndexLink"/>
                <w:rtl w:val="true"/>
              </w:rPr>
              <w:tab/>
            </w:r>
            <w:r>
              <w:rPr>
                <w:rStyle w:val="IndexLink"/>
              </w:rPr>
              <w:t>145</w:t>
            </w:r>
          </w:hyperlink>
        </w:p>
        <w:p>
          <w:pPr>
            <w:pStyle w:val="Contents3"/>
            <w:tabs>
              <w:tab w:val="clear" w:pos="8459"/>
              <w:tab w:val="right" w:pos="9026" w:leader="dot"/>
            </w:tabs>
            <w:rPr/>
          </w:pPr>
          <w:hyperlink w:anchor="__RefHeading___Toc17494417_1280447820">
            <w:r>
              <w:rPr>
                <w:webHidden/>
                <w:rStyle w:val="IndexLink"/>
              </w:rPr>
              <w:t>4</w:t>
            </w:r>
            <w:r>
              <w:rPr>
                <w:rStyle w:val="IndexLink"/>
                <w:rtl w:val="true"/>
              </w:rPr>
              <w:t xml:space="preserve"> - </w:t>
            </w:r>
            <w:r>
              <w:rPr>
                <w:rStyle w:val="IndexLink"/>
                <w:rtl w:val="true"/>
              </w:rPr>
              <w:t>ضمان المنافع والاعمال</w:t>
            </w:r>
            <w:r>
              <w:rPr>
                <w:rStyle w:val="IndexLink"/>
                <w:rtl w:val="true"/>
              </w:rPr>
              <w:tab/>
            </w:r>
            <w:r>
              <w:rPr>
                <w:rStyle w:val="IndexLink"/>
              </w:rPr>
              <w:t>147</w:t>
            </w:r>
          </w:hyperlink>
        </w:p>
        <w:p>
          <w:pPr>
            <w:pStyle w:val="Contents3"/>
            <w:tabs>
              <w:tab w:val="clear" w:pos="8459"/>
              <w:tab w:val="right" w:pos="9026" w:leader="dot"/>
            </w:tabs>
            <w:rPr/>
          </w:pPr>
          <w:hyperlink w:anchor="__RefHeading___Toc17494419_1280447820">
            <w:r>
              <w:rPr>
                <w:webHidden/>
                <w:rStyle w:val="IndexLink"/>
              </w:rPr>
              <w:t>5</w:t>
            </w:r>
            <w:r>
              <w:rPr>
                <w:rStyle w:val="IndexLink"/>
                <w:rtl w:val="true"/>
              </w:rPr>
              <w:t xml:space="preserve"> - </w:t>
            </w:r>
            <w:r>
              <w:rPr>
                <w:rStyle w:val="IndexLink"/>
                <w:rtl w:val="true"/>
              </w:rPr>
              <w:t>المثل أو القيمة وبدل الحيلولة واجرة الرد</w:t>
            </w:r>
            <w:r>
              <w:rPr>
                <w:rStyle w:val="IndexLink"/>
                <w:rtl w:val="true"/>
              </w:rPr>
              <w:tab/>
            </w:r>
            <w:r>
              <w:rPr>
                <w:rStyle w:val="IndexLink"/>
              </w:rPr>
              <w:t>148</w:t>
            </w:r>
          </w:hyperlink>
        </w:p>
        <w:p>
          <w:pPr>
            <w:pStyle w:val="Contents3"/>
            <w:tabs>
              <w:tab w:val="clear" w:pos="8459"/>
              <w:tab w:val="right" w:pos="9026" w:leader="dot"/>
            </w:tabs>
            <w:rPr/>
          </w:pPr>
          <w:hyperlink w:anchor="__RefHeading___Toc17494421_1280447820">
            <w:r>
              <w:rPr>
                <w:webHidden/>
                <w:rStyle w:val="IndexLink"/>
              </w:rPr>
              <w:t>6</w:t>
            </w:r>
            <w:r>
              <w:rPr>
                <w:rStyle w:val="IndexLink"/>
                <w:rtl w:val="true"/>
              </w:rPr>
              <w:t xml:space="preserve"> - </w:t>
            </w:r>
            <w:r>
              <w:rPr>
                <w:rStyle w:val="IndexLink"/>
                <w:rtl w:val="true"/>
              </w:rPr>
              <w:t>عموم القاعدة للجاهل والصغير</w:t>
            </w:r>
            <w:r>
              <w:rPr>
                <w:rStyle w:val="IndexLink"/>
                <w:rtl w:val="true"/>
              </w:rPr>
              <w:tab/>
            </w:r>
            <w:r>
              <w:rPr>
                <w:rStyle w:val="IndexLink"/>
              </w:rPr>
              <w:t>150</w:t>
            </w:r>
          </w:hyperlink>
        </w:p>
        <w:p>
          <w:pPr>
            <w:pStyle w:val="Contents3"/>
            <w:tabs>
              <w:tab w:val="clear" w:pos="8459"/>
              <w:tab w:val="right" w:pos="9026" w:leader="dot"/>
            </w:tabs>
            <w:rPr/>
          </w:pPr>
          <w:hyperlink w:anchor="__RefHeading___Toc17494423_1280447820">
            <w:r>
              <w:rPr>
                <w:webHidden/>
                <w:rStyle w:val="IndexLink"/>
              </w:rPr>
              <w:t>7</w:t>
            </w:r>
            <w:r>
              <w:rPr>
                <w:rStyle w:val="IndexLink"/>
                <w:rtl w:val="true"/>
              </w:rPr>
              <w:t xml:space="preserve"> - </w:t>
            </w:r>
            <w:r>
              <w:rPr>
                <w:rStyle w:val="IndexLink"/>
                <w:rtl w:val="true"/>
              </w:rPr>
              <w:t>استثناء يد الامانة والاحسان</w:t>
            </w:r>
            <w:r>
              <w:rPr>
                <w:rStyle w:val="IndexLink"/>
                <w:rtl w:val="true"/>
              </w:rPr>
              <w:tab/>
            </w:r>
            <w:r>
              <w:rPr>
                <w:rStyle w:val="IndexLink"/>
              </w:rPr>
              <w:t>150</w:t>
            </w:r>
          </w:hyperlink>
        </w:p>
        <w:p>
          <w:pPr>
            <w:pStyle w:val="Contents3"/>
            <w:tabs>
              <w:tab w:val="clear" w:pos="8459"/>
              <w:tab w:val="right" w:pos="9026" w:leader="dot"/>
            </w:tabs>
            <w:rPr/>
          </w:pPr>
          <w:hyperlink w:anchor="__RefHeading___Toc17494425_1280447820">
            <w:r>
              <w:rPr>
                <w:webHidden/>
                <w:rStyle w:val="IndexLink"/>
              </w:rPr>
              <w:t>8</w:t>
            </w:r>
            <w:r>
              <w:rPr>
                <w:rStyle w:val="IndexLink"/>
                <w:rtl w:val="true"/>
              </w:rPr>
              <w:t xml:space="preserve"> - </w:t>
            </w:r>
            <w:r>
              <w:rPr>
                <w:rStyle w:val="IndexLink"/>
                <w:rtl w:val="true"/>
              </w:rPr>
              <w:t>أسباب اخرى للضمان</w:t>
            </w:r>
            <w:r>
              <w:rPr>
                <w:rStyle w:val="IndexLink"/>
                <w:rtl w:val="true"/>
              </w:rPr>
              <w:tab/>
            </w:r>
            <w:r>
              <w:rPr>
                <w:rStyle w:val="IndexLink"/>
              </w:rPr>
              <w:t>152</w:t>
            </w:r>
          </w:hyperlink>
        </w:p>
        <w:p>
          <w:pPr>
            <w:pStyle w:val="Contents3"/>
            <w:tabs>
              <w:tab w:val="clear" w:pos="8459"/>
              <w:tab w:val="right" w:pos="9026" w:leader="dot"/>
            </w:tabs>
            <w:rPr/>
          </w:pPr>
          <w:hyperlink w:anchor="__RefHeading___Toc17494427_1280447820">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154</w:t>
            </w:r>
          </w:hyperlink>
        </w:p>
        <w:p>
          <w:pPr>
            <w:pStyle w:val="Contents2"/>
            <w:tabs>
              <w:tab w:val="clear" w:pos="8743"/>
              <w:tab w:val="right" w:pos="9026" w:leader="dot"/>
            </w:tabs>
            <w:rPr/>
          </w:pPr>
          <w:hyperlink w:anchor="__RefHeading___Toc17494429_1280447820">
            <w:r>
              <w:rPr>
                <w:webHidden/>
                <w:rStyle w:val="IndexLink"/>
                <w:rtl w:val="true"/>
              </w:rPr>
              <w:t>قاعدة الغرور</w:t>
            </w:r>
            <w:r>
              <w:rPr>
                <w:rStyle w:val="IndexLink"/>
                <w:rtl w:val="true"/>
              </w:rPr>
              <w:tab/>
            </w:r>
            <w:r>
              <w:rPr>
                <w:rStyle w:val="IndexLink"/>
              </w:rPr>
              <w:t>156</w:t>
            </w:r>
          </w:hyperlink>
        </w:p>
        <w:p>
          <w:pPr>
            <w:pStyle w:val="Contents3"/>
            <w:tabs>
              <w:tab w:val="clear" w:pos="8459"/>
              <w:tab w:val="right" w:pos="9026" w:leader="dot"/>
            </w:tabs>
            <w:rPr/>
          </w:pPr>
          <w:hyperlink w:anchor="__RefHeading___Toc17494431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7494433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159</w:t>
            </w:r>
          </w:hyperlink>
        </w:p>
        <w:p>
          <w:pPr>
            <w:pStyle w:val="Contents3"/>
            <w:tabs>
              <w:tab w:val="clear" w:pos="8459"/>
              <w:tab w:val="right" w:pos="9026" w:leader="dot"/>
            </w:tabs>
            <w:rPr/>
          </w:pPr>
          <w:hyperlink w:anchor="__RefHeading___Toc17494435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161</w:t>
            </w:r>
          </w:hyperlink>
        </w:p>
        <w:p>
          <w:pPr>
            <w:pStyle w:val="Contents4"/>
            <w:tabs>
              <w:tab w:val="clear" w:pos="8176"/>
              <w:tab w:val="right" w:pos="9026" w:leader="dot"/>
            </w:tabs>
            <w:rPr/>
          </w:pPr>
          <w:hyperlink w:anchor="__RefHeading___Toc17494437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7494439_1280447820">
            <w:r>
              <w:rPr>
                <w:webHidden/>
                <w:rStyle w:val="IndexLink"/>
                <w:rtl w:val="true"/>
              </w:rPr>
              <w:t>الوجه الأوّل</w:t>
            </w:r>
            <w:r>
              <w:rPr>
                <w:rStyle w:val="IndexLink"/>
                <w:rtl w:val="true"/>
              </w:rPr>
              <w:tab/>
            </w:r>
            <w:r>
              <w:rPr>
                <w:rStyle w:val="IndexLink"/>
              </w:rPr>
              <w:t>161</w:t>
            </w:r>
          </w:hyperlink>
        </w:p>
        <w:p>
          <w:pPr>
            <w:pStyle w:val="Contents4"/>
            <w:tabs>
              <w:tab w:val="clear" w:pos="8176"/>
              <w:tab w:val="right" w:pos="9026" w:leader="dot"/>
            </w:tabs>
            <w:rPr/>
          </w:pPr>
          <w:hyperlink w:anchor="__RefHeading___Toc17494441_1280447820">
            <w:r>
              <w:rPr>
                <w:webHidden/>
                <w:rStyle w:val="IndexLink"/>
                <w:rtl w:val="true"/>
              </w:rPr>
              <w:t>الوجه الثاني</w:t>
            </w:r>
            <w:r>
              <w:rPr>
                <w:rStyle w:val="IndexLink"/>
                <w:rtl w:val="true"/>
              </w:rPr>
              <w:tab/>
            </w:r>
            <w:r>
              <w:rPr>
                <w:rStyle w:val="IndexLink"/>
              </w:rPr>
              <w:t>162</w:t>
            </w:r>
          </w:hyperlink>
        </w:p>
        <w:p>
          <w:pPr>
            <w:pStyle w:val="Contents3"/>
            <w:tabs>
              <w:tab w:val="clear" w:pos="8459"/>
              <w:tab w:val="right" w:pos="9026" w:leader="dot"/>
            </w:tabs>
            <w:rPr/>
          </w:pPr>
          <w:hyperlink w:anchor="__RefHeading___Toc17494443_1280447820">
            <w:r>
              <w:rPr>
                <w:webHidden/>
                <w:rStyle w:val="IndexLink"/>
              </w:rPr>
              <w:t>3</w:t>
            </w:r>
            <w:r>
              <w:rPr>
                <w:rStyle w:val="IndexLink"/>
                <w:rtl w:val="true"/>
              </w:rPr>
              <w:t xml:space="preserve"> - </w:t>
            </w:r>
            <w:r>
              <w:rPr>
                <w:rStyle w:val="IndexLink"/>
                <w:rtl w:val="true"/>
              </w:rPr>
              <w:t>قاعدة التسبيب</w:t>
            </w:r>
            <w:r>
              <w:rPr>
                <w:rStyle w:val="IndexLink"/>
                <w:rtl w:val="true"/>
              </w:rPr>
              <w:tab/>
            </w:r>
            <w:r>
              <w:rPr>
                <w:rStyle w:val="IndexLink"/>
              </w:rPr>
              <w:t>165</w:t>
            </w:r>
          </w:hyperlink>
        </w:p>
        <w:p>
          <w:pPr>
            <w:pStyle w:val="Contents3"/>
            <w:tabs>
              <w:tab w:val="clear" w:pos="8459"/>
              <w:tab w:val="right" w:pos="9026" w:leader="dot"/>
            </w:tabs>
            <w:rPr/>
          </w:pPr>
          <w:hyperlink w:anchor="__RefHeading___Toc17494445_1280447820">
            <w:r>
              <w:rPr>
                <w:webHidden/>
                <w:rStyle w:val="IndexLink"/>
              </w:rPr>
              <w:t>4</w:t>
            </w:r>
            <w:r>
              <w:rPr>
                <w:rStyle w:val="IndexLink"/>
                <w:rtl w:val="true"/>
              </w:rPr>
              <w:t xml:space="preserve"> - </w:t>
            </w:r>
            <w:r>
              <w:rPr>
                <w:rStyle w:val="IndexLink"/>
                <w:rtl w:val="true"/>
              </w:rPr>
              <w:t>اعتبار الجهل في صحة التمسك بالقاعدة</w:t>
            </w:r>
            <w:r>
              <w:rPr>
                <w:rStyle w:val="IndexLink"/>
                <w:rtl w:val="true"/>
              </w:rPr>
              <w:tab/>
            </w:r>
            <w:r>
              <w:rPr>
                <w:rStyle w:val="IndexLink"/>
              </w:rPr>
              <w:t>169</w:t>
            </w:r>
          </w:hyperlink>
        </w:p>
        <w:p>
          <w:pPr>
            <w:pStyle w:val="Contents3"/>
            <w:tabs>
              <w:tab w:val="clear" w:pos="8459"/>
              <w:tab w:val="right" w:pos="9026" w:leader="dot"/>
            </w:tabs>
            <w:rPr/>
          </w:pPr>
          <w:hyperlink w:anchor="__RefHeading___Toc17494447_1280447820">
            <w:r>
              <w:rPr>
                <w:webHidden/>
                <w:rStyle w:val="IndexLink"/>
              </w:rPr>
              <w:t>5</w:t>
            </w:r>
            <w:r>
              <w:rPr>
                <w:rStyle w:val="IndexLink"/>
                <w:rtl w:val="true"/>
              </w:rPr>
              <w:t xml:space="preserve"> - </w:t>
            </w:r>
            <w:r>
              <w:rPr>
                <w:rStyle w:val="IndexLink"/>
                <w:rtl w:val="true"/>
              </w:rPr>
              <w:t>تطبيقات</w:t>
            </w:r>
            <w:r>
              <w:rPr>
                <w:rStyle w:val="IndexLink"/>
                <w:rtl w:val="true"/>
              </w:rPr>
              <w:tab/>
            </w:r>
            <w:r>
              <w:rPr>
                <w:rStyle w:val="IndexLink"/>
              </w:rPr>
              <w:t>170</w:t>
            </w:r>
          </w:hyperlink>
        </w:p>
        <w:p>
          <w:pPr>
            <w:pStyle w:val="Contents2"/>
            <w:tabs>
              <w:tab w:val="clear" w:pos="8743"/>
              <w:tab w:val="right" w:pos="9026" w:leader="dot"/>
            </w:tabs>
            <w:rPr/>
          </w:pPr>
          <w:hyperlink w:anchor="__RefHeading___Toc17494449_1280447820">
            <w:r>
              <w:rPr>
                <w:webHidden/>
                <w:rStyle w:val="IndexLink"/>
                <w:rtl w:val="true"/>
              </w:rPr>
              <w:t>قاعدتا الاقرار</w:t>
            </w:r>
            <w:r>
              <w:rPr>
                <w:rStyle w:val="IndexLink"/>
                <w:rtl w:val="true"/>
              </w:rPr>
              <w:tab/>
            </w:r>
            <w:r>
              <w:rPr>
                <w:rStyle w:val="IndexLink"/>
              </w:rPr>
              <w:t>172</w:t>
            </w:r>
          </w:hyperlink>
        </w:p>
        <w:p>
          <w:pPr>
            <w:pStyle w:val="Contents3"/>
            <w:tabs>
              <w:tab w:val="clear" w:pos="8459"/>
              <w:tab w:val="right" w:pos="9026" w:leader="dot"/>
            </w:tabs>
            <w:rPr/>
          </w:pPr>
          <w:hyperlink w:anchor="__RefHeading___Toc17494451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7494453_1280447820">
            <w:r>
              <w:rPr>
                <w:webHidden/>
                <w:rStyle w:val="IndexLink"/>
              </w:rPr>
              <w:t>1</w:t>
            </w:r>
            <w:r>
              <w:rPr>
                <w:rStyle w:val="IndexLink"/>
                <w:rtl w:val="true"/>
              </w:rPr>
              <w:t xml:space="preserve"> - </w:t>
            </w:r>
            <w:r>
              <w:rPr>
                <w:rStyle w:val="IndexLink"/>
                <w:rtl w:val="true"/>
              </w:rPr>
              <w:t>مضمون القاعدتين</w:t>
            </w:r>
            <w:r>
              <w:rPr>
                <w:rStyle w:val="IndexLink"/>
                <w:rtl w:val="true"/>
              </w:rPr>
              <w:tab/>
            </w:r>
            <w:r>
              <w:rPr>
                <w:rStyle w:val="IndexLink"/>
              </w:rPr>
              <w:t>176</w:t>
            </w:r>
          </w:hyperlink>
        </w:p>
        <w:p>
          <w:pPr>
            <w:pStyle w:val="Contents3"/>
            <w:tabs>
              <w:tab w:val="clear" w:pos="8459"/>
              <w:tab w:val="right" w:pos="9026" w:leader="dot"/>
            </w:tabs>
            <w:rPr/>
          </w:pPr>
          <w:hyperlink w:anchor="__RefHeading___Toc17494455_1280447820">
            <w:r>
              <w:rPr>
                <w:webHidden/>
                <w:rStyle w:val="IndexLink"/>
              </w:rPr>
              <w:t>2</w:t>
            </w:r>
            <w:r>
              <w:rPr>
                <w:rStyle w:val="IndexLink"/>
                <w:rtl w:val="true"/>
              </w:rPr>
              <w:t xml:space="preserve"> - </w:t>
            </w:r>
            <w:r>
              <w:rPr>
                <w:rStyle w:val="IndexLink"/>
                <w:rtl w:val="true"/>
              </w:rPr>
              <w:t>قاعدة واحدة أو قاعدتان</w:t>
            </w:r>
            <w:r>
              <w:rPr>
                <w:rStyle w:val="IndexLink"/>
                <w:rtl w:val="true"/>
              </w:rPr>
              <w:tab/>
            </w:r>
            <w:r>
              <w:rPr>
                <w:rStyle w:val="IndexLink"/>
              </w:rPr>
              <w:t>177</w:t>
            </w:r>
          </w:hyperlink>
        </w:p>
        <w:p>
          <w:pPr>
            <w:pStyle w:val="Contents3"/>
            <w:tabs>
              <w:tab w:val="clear" w:pos="8459"/>
              <w:tab w:val="right" w:pos="9026" w:leader="dot"/>
            </w:tabs>
            <w:rPr/>
          </w:pPr>
          <w:hyperlink w:anchor="__RefHeading___Toc17494457_1280447820">
            <w:r>
              <w:rPr>
                <w:webHidden/>
                <w:rStyle w:val="IndexLink"/>
              </w:rPr>
              <w:t>3</w:t>
            </w:r>
            <w:r>
              <w:rPr>
                <w:rStyle w:val="IndexLink"/>
                <w:rtl w:val="true"/>
              </w:rPr>
              <w:t xml:space="preserve"> - </w:t>
            </w:r>
            <w:r>
              <w:rPr>
                <w:rStyle w:val="IndexLink"/>
                <w:rtl w:val="true"/>
              </w:rPr>
              <w:t>مدرك القاعدة</w:t>
            </w:r>
            <w:r>
              <w:rPr>
                <w:rStyle w:val="IndexLink"/>
                <w:rtl w:val="true"/>
              </w:rPr>
              <w:tab/>
            </w:r>
            <w:r>
              <w:rPr>
                <w:rStyle w:val="IndexLink"/>
              </w:rPr>
              <w:t>179</w:t>
            </w:r>
          </w:hyperlink>
        </w:p>
        <w:p>
          <w:pPr>
            <w:pStyle w:val="Contents3"/>
            <w:tabs>
              <w:tab w:val="clear" w:pos="8459"/>
              <w:tab w:val="right" w:pos="9026" w:leader="dot"/>
            </w:tabs>
            <w:rPr/>
          </w:pPr>
          <w:hyperlink w:anchor="__RefHeading___Toc17494459_1280447820">
            <w:r>
              <w:rPr>
                <w:webHidden/>
                <w:rStyle w:val="IndexLink"/>
              </w:rPr>
              <w:t>4</w:t>
            </w:r>
            <w:r>
              <w:rPr>
                <w:rStyle w:val="IndexLink"/>
                <w:rtl w:val="true"/>
              </w:rPr>
              <w:t xml:space="preserve"> - </w:t>
            </w:r>
            <w:r>
              <w:rPr>
                <w:rStyle w:val="IndexLink"/>
                <w:rtl w:val="true"/>
              </w:rPr>
              <w:t>استثناءات من قاعدة قبول الاقرار</w:t>
            </w:r>
            <w:r>
              <w:rPr>
                <w:rStyle w:val="IndexLink"/>
                <w:rtl w:val="true"/>
              </w:rPr>
              <w:tab/>
            </w:r>
            <w:r>
              <w:rPr>
                <w:rStyle w:val="IndexLink"/>
              </w:rPr>
              <w:t>183</w:t>
            </w:r>
          </w:hyperlink>
        </w:p>
        <w:p>
          <w:pPr>
            <w:pStyle w:val="Contents3"/>
            <w:tabs>
              <w:tab w:val="clear" w:pos="8459"/>
              <w:tab w:val="right" w:pos="9026" w:leader="dot"/>
            </w:tabs>
            <w:rPr/>
          </w:pPr>
          <w:hyperlink w:anchor="__RefHeading___Toc17494461_1280447820">
            <w:r>
              <w:rPr>
                <w:webHidden/>
                <w:rStyle w:val="IndexLink"/>
              </w:rPr>
              <w:t>5</w:t>
            </w:r>
            <w:r>
              <w:rPr>
                <w:rStyle w:val="IndexLink"/>
                <w:rtl w:val="true"/>
              </w:rPr>
              <w:t xml:space="preserve"> - </w:t>
            </w:r>
            <w:r>
              <w:rPr>
                <w:rStyle w:val="IndexLink"/>
                <w:rtl w:val="true"/>
              </w:rPr>
              <w:t>الاقرار بالدلالة الالتزامية</w:t>
            </w:r>
            <w:r>
              <w:rPr>
                <w:rStyle w:val="IndexLink"/>
                <w:rtl w:val="true"/>
              </w:rPr>
              <w:tab/>
            </w:r>
            <w:r>
              <w:rPr>
                <w:rStyle w:val="IndexLink"/>
              </w:rPr>
              <w:t>184</w:t>
            </w:r>
          </w:hyperlink>
        </w:p>
        <w:p>
          <w:pPr>
            <w:pStyle w:val="Contents3"/>
            <w:tabs>
              <w:tab w:val="clear" w:pos="8459"/>
              <w:tab w:val="right" w:pos="9026" w:leader="dot"/>
            </w:tabs>
            <w:rPr/>
          </w:pPr>
          <w:hyperlink w:anchor="__RefHeading___Toc17494463_1280447820">
            <w:r>
              <w:rPr>
                <w:webHidden/>
                <w:rStyle w:val="IndexLink"/>
              </w:rPr>
              <w:t>6</w:t>
            </w:r>
            <w:r>
              <w:rPr>
                <w:rStyle w:val="IndexLink"/>
                <w:rtl w:val="true"/>
              </w:rPr>
              <w:t xml:space="preserve"> - </w:t>
            </w:r>
            <w:r>
              <w:rPr>
                <w:rStyle w:val="IndexLink"/>
                <w:rtl w:val="true"/>
              </w:rPr>
              <w:t>التفكيك في الاقرار الواحد</w:t>
            </w:r>
            <w:r>
              <w:rPr>
                <w:rStyle w:val="IndexLink"/>
                <w:rtl w:val="true"/>
              </w:rPr>
              <w:tab/>
            </w:r>
            <w:r>
              <w:rPr>
                <w:rStyle w:val="IndexLink"/>
              </w:rPr>
              <w:t>184</w:t>
            </w:r>
          </w:hyperlink>
        </w:p>
        <w:p>
          <w:pPr>
            <w:pStyle w:val="Contents3"/>
            <w:tabs>
              <w:tab w:val="clear" w:pos="8459"/>
              <w:tab w:val="right" w:pos="9026" w:leader="dot"/>
            </w:tabs>
            <w:rPr/>
          </w:pPr>
          <w:hyperlink w:anchor="__RefHeading___Toc17494465_1280447820">
            <w:r>
              <w:rPr>
                <w:webHidden/>
                <w:rStyle w:val="IndexLink"/>
              </w:rPr>
              <w:t>7</w:t>
            </w:r>
            <w:r>
              <w:rPr>
                <w:rStyle w:val="IndexLink"/>
                <w:rtl w:val="true"/>
              </w:rPr>
              <w:t xml:space="preserve"> - </w:t>
            </w:r>
            <w:r>
              <w:rPr>
                <w:rStyle w:val="IndexLink"/>
                <w:rtl w:val="true"/>
              </w:rPr>
              <w:t>اختصاص القبول بموارد السلطنة الفعلية</w:t>
            </w:r>
            <w:r>
              <w:rPr>
                <w:rStyle w:val="IndexLink"/>
                <w:rtl w:val="true"/>
              </w:rPr>
              <w:tab/>
            </w:r>
            <w:r>
              <w:rPr>
                <w:rStyle w:val="IndexLink"/>
              </w:rPr>
              <w:t>186</w:t>
            </w:r>
          </w:hyperlink>
        </w:p>
        <w:p>
          <w:pPr>
            <w:pStyle w:val="Contents3"/>
            <w:tabs>
              <w:tab w:val="clear" w:pos="8459"/>
              <w:tab w:val="right" w:pos="9026" w:leader="dot"/>
            </w:tabs>
            <w:rPr/>
          </w:pPr>
          <w:hyperlink w:anchor="__RefHeading___Toc17494467_1280447820">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186</w:t>
            </w:r>
          </w:hyperlink>
        </w:p>
        <w:p>
          <w:pPr>
            <w:pStyle w:val="Contents2"/>
            <w:tabs>
              <w:tab w:val="clear" w:pos="8743"/>
              <w:tab w:val="right" w:pos="9026" w:leader="dot"/>
            </w:tabs>
            <w:rPr/>
          </w:pPr>
          <w:hyperlink w:anchor="__RefHeading___Toc17494469_1280447820">
            <w:r>
              <w:rPr>
                <w:webHidden/>
                <w:rStyle w:val="IndexLink"/>
                <w:rtl w:val="true"/>
              </w:rPr>
              <w:t>قاعدة الفراش</w:t>
            </w:r>
            <w:r>
              <w:rPr>
                <w:rStyle w:val="IndexLink"/>
                <w:rtl w:val="true"/>
              </w:rPr>
              <w:tab/>
            </w:r>
            <w:r>
              <w:rPr>
                <w:rStyle w:val="IndexLink"/>
              </w:rPr>
              <w:t>188</w:t>
            </w:r>
          </w:hyperlink>
        </w:p>
        <w:p>
          <w:pPr>
            <w:pStyle w:val="Contents3"/>
            <w:tabs>
              <w:tab w:val="clear" w:pos="8459"/>
              <w:tab w:val="right" w:pos="9026" w:leader="dot"/>
            </w:tabs>
            <w:rPr/>
          </w:pPr>
          <w:hyperlink w:anchor="__RefHeading___Toc17494471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7494473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192</w:t>
            </w:r>
          </w:hyperlink>
        </w:p>
        <w:p>
          <w:pPr>
            <w:pStyle w:val="Contents3"/>
            <w:tabs>
              <w:tab w:val="clear" w:pos="8459"/>
              <w:tab w:val="right" w:pos="9026" w:leader="dot"/>
            </w:tabs>
            <w:rPr/>
          </w:pPr>
          <w:hyperlink w:anchor="__RefHeading___Toc17494475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192</w:t>
            </w:r>
          </w:hyperlink>
        </w:p>
        <w:p>
          <w:pPr>
            <w:pStyle w:val="Contents3"/>
            <w:tabs>
              <w:tab w:val="clear" w:pos="8459"/>
              <w:tab w:val="right" w:pos="9026" w:leader="dot"/>
            </w:tabs>
            <w:rPr/>
          </w:pPr>
          <w:hyperlink w:anchor="__RefHeading___Toc17494477_1280447820">
            <w:r>
              <w:rPr>
                <w:webHidden/>
                <w:rStyle w:val="IndexLink"/>
              </w:rPr>
              <w:t>3</w:t>
            </w:r>
            <w:r>
              <w:rPr>
                <w:rStyle w:val="IndexLink"/>
                <w:rtl w:val="true"/>
              </w:rPr>
              <w:t xml:space="preserve"> - </w:t>
            </w:r>
            <w:r>
              <w:rPr>
                <w:rStyle w:val="IndexLink"/>
                <w:rtl w:val="true"/>
              </w:rPr>
              <w:t>ألفاظ حديث الفراش ومعناه</w:t>
            </w:r>
            <w:r>
              <w:rPr>
                <w:rStyle w:val="IndexLink"/>
                <w:rtl w:val="true"/>
              </w:rPr>
              <w:tab/>
            </w:r>
            <w:r>
              <w:rPr>
                <w:rStyle w:val="IndexLink"/>
              </w:rPr>
              <w:t>195</w:t>
            </w:r>
          </w:hyperlink>
        </w:p>
        <w:p>
          <w:pPr>
            <w:pStyle w:val="Contents3"/>
            <w:tabs>
              <w:tab w:val="clear" w:pos="8459"/>
              <w:tab w:val="right" w:pos="9026" w:leader="dot"/>
            </w:tabs>
            <w:rPr/>
          </w:pPr>
          <w:hyperlink w:anchor="__RefHeading___Toc17494479_1280447820">
            <w:r>
              <w:rPr>
                <w:webHidden/>
                <w:rStyle w:val="IndexLink"/>
              </w:rPr>
              <w:t>4</w:t>
            </w:r>
            <w:r>
              <w:rPr>
                <w:rStyle w:val="IndexLink"/>
                <w:rtl w:val="true"/>
              </w:rPr>
              <w:t xml:space="preserve"> - </w:t>
            </w:r>
            <w:r>
              <w:rPr>
                <w:rStyle w:val="IndexLink"/>
                <w:rtl w:val="true"/>
              </w:rPr>
              <w:t>بم يتحقق الفراش</w:t>
            </w:r>
            <w:r>
              <w:rPr>
                <w:rStyle w:val="IndexLink"/>
                <w:rtl w:val="true"/>
              </w:rPr>
              <w:tab/>
            </w:r>
            <w:r>
              <w:rPr>
                <w:rStyle w:val="IndexLink"/>
              </w:rPr>
              <w:t>195</w:t>
            </w:r>
          </w:hyperlink>
        </w:p>
        <w:p>
          <w:pPr>
            <w:pStyle w:val="Contents3"/>
            <w:tabs>
              <w:tab w:val="clear" w:pos="8459"/>
              <w:tab w:val="right" w:pos="9026" w:leader="dot"/>
            </w:tabs>
            <w:rPr/>
          </w:pPr>
          <w:hyperlink w:anchor="__RefHeading___Toc17494481_1280447820">
            <w:r>
              <w:rPr>
                <w:webHidden/>
                <w:rStyle w:val="IndexLink"/>
              </w:rPr>
              <w:t>5</w:t>
            </w:r>
            <w:r>
              <w:rPr>
                <w:rStyle w:val="IndexLink"/>
                <w:rtl w:val="true"/>
              </w:rPr>
              <w:t xml:space="preserve"> - </w:t>
            </w:r>
            <w:r>
              <w:rPr>
                <w:rStyle w:val="IndexLink"/>
                <w:rtl w:val="true"/>
              </w:rPr>
              <w:t>مصاديق متعددة للفراش</w:t>
            </w:r>
            <w:r>
              <w:rPr>
                <w:rStyle w:val="IndexLink"/>
                <w:rtl w:val="true"/>
              </w:rPr>
              <w:tab/>
            </w:r>
            <w:r>
              <w:rPr>
                <w:rStyle w:val="IndexLink"/>
              </w:rPr>
              <w:t>197</w:t>
            </w:r>
          </w:hyperlink>
        </w:p>
        <w:p>
          <w:pPr>
            <w:pStyle w:val="Contents3"/>
            <w:tabs>
              <w:tab w:val="clear" w:pos="8459"/>
              <w:tab w:val="right" w:pos="9026" w:leader="dot"/>
            </w:tabs>
            <w:rPr/>
          </w:pPr>
          <w:hyperlink w:anchor="__RefHeading___Toc17494483_1280447820">
            <w:r>
              <w:rPr>
                <w:webHidden/>
                <w:rStyle w:val="IndexLink"/>
              </w:rPr>
              <w:t>6</w:t>
            </w:r>
            <w:r>
              <w:rPr>
                <w:rStyle w:val="IndexLink"/>
                <w:rtl w:val="true"/>
              </w:rPr>
              <w:t xml:space="preserve"> - </w:t>
            </w:r>
            <w:r>
              <w:rPr>
                <w:rStyle w:val="IndexLink"/>
                <w:rtl w:val="true"/>
              </w:rPr>
              <w:t>الدوران بين الفراشين</w:t>
            </w:r>
            <w:r>
              <w:rPr>
                <w:rStyle w:val="IndexLink"/>
                <w:rtl w:val="true"/>
              </w:rPr>
              <w:tab/>
            </w:r>
            <w:r>
              <w:rPr>
                <w:rStyle w:val="IndexLink"/>
              </w:rPr>
              <w:t>199</w:t>
            </w:r>
          </w:hyperlink>
        </w:p>
        <w:p>
          <w:pPr>
            <w:pStyle w:val="Contents3"/>
            <w:tabs>
              <w:tab w:val="clear" w:pos="8459"/>
              <w:tab w:val="right" w:pos="9026" w:leader="dot"/>
            </w:tabs>
            <w:rPr/>
          </w:pPr>
          <w:hyperlink w:anchor="__RefHeading___Toc17494485_1280447820">
            <w:r>
              <w:rPr>
                <w:webHidden/>
                <w:rStyle w:val="IndexLink"/>
              </w:rPr>
              <w:t>7</w:t>
            </w:r>
            <w:r>
              <w:rPr>
                <w:rStyle w:val="IndexLink"/>
                <w:rtl w:val="true"/>
              </w:rPr>
              <w:t xml:space="preserve"> - </w:t>
            </w:r>
            <w:r>
              <w:rPr>
                <w:rStyle w:val="IndexLink"/>
                <w:rtl w:val="true"/>
              </w:rPr>
              <w:t>القيافة وقاعدة الفراش</w:t>
            </w:r>
            <w:r>
              <w:rPr>
                <w:rStyle w:val="IndexLink"/>
                <w:rtl w:val="true"/>
              </w:rPr>
              <w:tab/>
            </w:r>
            <w:r>
              <w:rPr>
                <w:rStyle w:val="IndexLink"/>
              </w:rPr>
              <w:t>201</w:t>
            </w:r>
          </w:hyperlink>
        </w:p>
        <w:p>
          <w:pPr>
            <w:pStyle w:val="Contents3"/>
            <w:tabs>
              <w:tab w:val="clear" w:pos="8459"/>
              <w:tab w:val="right" w:pos="9026" w:leader="dot"/>
            </w:tabs>
            <w:rPr/>
          </w:pPr>
          <w:hyperlink w:anchor="__RefHeading___Toc17494487_1280447820">
            <w:r>
              <w:rPr>
                <w:webHidden/>
                <w:rStyle w:val="IndexLink"/>
              </w:rPr>
              <w:t>8</w:t>
            </w:r>
            <w:r>
              <w:rPr>
                <w:rStyle w:val="IndexLink"/>
                <w:rtl w:val="true"/>
              </w:rPr>
              <w:t xml:space="preserve"> - </w:t>
            </w:r>
            <w:r>
              <w:rPr>
                <w:rStyle w:val="IndexLink"/>
                <w:rtl w:val="true"/>
              </w:rPr>
              <w:t>أبو حنيفة وبعض آرائه</w:t>
            </w:r>
            <w:r>
              <w:rPr>
                <w:rStyle w:val="IndexLink"/>
                <w:rtl w:val="true"/>
              </w:rPr>
              <w:tab/>
            </w:r>
            <w:r>
              <w:rPr>
                <w:rStyle w:val="IndexLink"/>
              </w:rPr>
              <w:t>204</w:t>
            </w:r>
          </w:hyperlink>
        </w:p>
        <w:p>
          <w:pPr>
            <w:pStyle w:val="Contents3"/>
            <w:tabs>
              <w:tab w:val="clear" w:pos="8459"/>
              <w:tab w:val="right" w:pos="9026" w:leader="dot"/>
            </w:tabs>
            <w:rPr/>
          </w:pPr>
          <w:hyperlink w:anchor="__RefHeading___Toc17494489_1280447820">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205</w:t>
            </w:r>
          </w:hyperlink>
        </w:p>
        <w:p>
          <w:pPr>
            <w:pStyle w:val="Contents2"/>
            <w:tabs>
              <w:tab w:val="clear" w:pos="8743"/>
              <w:tab w:val="right" w:pos="9026" w:leader="dot"/>
            </w:tabs>
            <w:rPr/>
          </w:pPr>
          <w:hyperlink w:anchor="__RefHeading___Toc17494491_1280447820">
            <w:r>
              <w:rPr>
                <w:webHidden/>
                <w:rStyle w:val="IndexLink"/>
                <w:rtl w:val="true"/>
              </w:rPr>
              <w:t>فهرس الكتاب</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0_208200"/>
      <w:bookmarkStart w:id="1" w:name="pg19390_208200"/>
      <w:bookmarkEnd w:id="1"/>
    </w:p>
    <w:p>
      <w:pPr>
        <w:pStyle w:val="Heading2"/>
        <w:numPr>
          <w:ilvl w:val="1"/>
          <w:numId w:val="1"/>
        </w:numPr>
        <w:rPr/>
      </w:pPr>
      <w:bookmarkStart w:id="2" w:name="pg19390_208200"/>
      <w:bookmarkStart w:id="3" w:name="__RefHeading___Toc174942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الفقه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القواعد الفقهية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الإيرواني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942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تمهيدية في القواعد الفقهية </w:t>
      </w:r>
    </w:p>
    <w:p>
      <w:pPr>
        <w:pStyle w:val="BookText"/>
        <w:rPr/>
      </w:pPr>
      <w:r>
        <w:rPr>
          <w:rFonts w:ascii="Amiri" w:hAnsi="Amiri" w:eastAsia="Amiri" w:cs="Amiri"/>
          <w:color w:val="111111"/>
          <w:sz w:val="28"/>
          <w:sz w:val="28"/>
          <w:szCs w:val="28"/>
          <w:rtl w:val="true"/>
          <w:lang w:bidi="ar-SA"/>
        </w:rPr>
        <w:t>مؤسسة الفقه للطباعة والنشر</w:t>
      </w:r>
    </w:p>
    <w:p>
      <w:pPr>
        <w:pStyle w:val="BookText"/>
        <w:rPr/>
      </w:pPr>
      <w:r>
        <w:rPr>
          <w:rFonts w:ascii="Amiri" w:hAnsi="Amiri" w:eastAsia="Amiri" w:cs="Amiri"/>
          <w:color w:val="111111"/>
          <w:sz w:val="28"/>
          <w:sz w:val="28"/>
          <w:szCs w:val="28"/>
          <w:rtl w:val="true"/>
          <w:lang w:bidi="ar-SA"/>
        </w:rPr>
        <w:t>دروس تمهيدية</w:t>
      </w:r>
    </w:p>
    <w:p>
      <w:pPr>
        <w:pStyle w:val="BookText"/>
        <w:rPr/>
      </w:pPr>
      <w:r>
        <w:rPr>
          <w:rFonts w:ascii="Amiri" w:hAnsi="Amiri" w:eastAsia="Amiri" w:cs="Amiri"/>
          <w:color w:val="111111"/>
          <w:sz w:val="28"/>
          <w:sz w:val="28"/>
          <w:szCs w:val="28"/>
          <w:rtl w:val="true"/>
          <w:lang w:bidi="ar-SA"/>
        </w:rPr>
        <w:t>في القواعد الفقيه</w:t>
      </w:r>
    </w:p>
    <w:p>
      <w:pPr>
        <w:pStyle w:val="BookText"/>
        <w:rPr/>
      </w:pPr>
      <w:r>
        <w:rPr>
          <w:rFonts w:ascii="Amiri" w:hAnsi="Amiri" w:eastAsia="Amiri" w:cs="Amiri"/>
          <w:color w:val="111111"/>
          <w:sz w:val="28"/>
          <w:sz w:val="28"/>
          <w:szCs w:val="28"/>
          <w:rtl w:val="true"/>
          <w:lang w:bidi="ar-SA"/>
        </w:rPr>
        <w:t>الجز 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الإيرواني </w:t>
      </w:r>
    </w:p>
    <w:p>
      <w:pPr>
        <w:pStyle w:val="BookText"/>
        <w:rPr/>
      </w:pPr>
      <w:r>
        <w:rPr>
          <w:rFonts w:ascii="Amiri" w:hAnsi="Amiri" w:eastAsia="Amiri" w:cs="Amiri"/>
          <w:color w:val="111111"/>
          <w:sz w:val="28"/>
          <w:sz w:val="28"/>
          <w:szCs w:val="28"/>
          <w:rtl w:val="true"/>
          <w:lang w:bidi="ar-SA"/>
        </w:rPr>
        <w:t>دار الفقه للطباعة والنشر</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تمهيدية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الإيرواني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964-91559-2-9 (2 VOL.SET)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964-499-039-2 (VOL.2)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7734873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اشرف الخلق محمد وعلى اهل بيته الطيبين الطاهرين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90_208208"/>
      <w:bookmarkStart w:id="8" w:name="pg19390_208208"/>
      <w:bookmarkEnd w:id="8"/>
    </w:p>
    <w:p>
      <w:pPr>
        <w:pStyle w:val="Heading2"/>
        <w:numPr>
          <w:ilvl w:val="1"/>
          <w:numId w:val="1"/>
        </w:numPr>
        <w:rPr/>
      </w:pPr>
      <w:bookmarkStart w:id="9" w:name="pg19390_208208"/>
      <w:bookmarkStart w:id="10" w:name="__RefHeading___Toc17494261_1280447820"/>
      <w:bookmarkStart w:id="11" w:name="_Toc3"/>
      <w:bookmarkEnd w:id="9"/>
      <w:bookmarkEnd w:id="10"/>
      <w:r>
        <w:rPr>
          <w:rtl w:val="true"/>
        </w:rPr>
        <w:t>قاعدة القرعة والاستخارة</w:t>
      </w:r>
      <w:bookmarkEnd w:id="11"/>
    </w:p>
    <w:p>
      <w:pPr>
        <w:pStyle w:val="Heading3"/>
        <w:numPr>
          <w:ilvl w:val="2"/>
          <w:numId w:val="1"/>
        </w:numPr>
        <w:rPr/>
      </w:pPr>
      <w:bookmarkStart w:id="12" w:name="__RefHeading___Toc17494263_1280447820"/>
      <w:bookmarkStart w:id="13" w:name="_Toc4"/>
      <w:bookmarkEnd w:id="12"/>
      <w:r>
        <w:rPr>
          <w:rtl w:val="true"/>
        </w:rPr>
        <w:t>اشارة</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لما لا تعين له واقعا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لغير باب التنازع والقضاء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أصل أو أمارة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القرعة بالامام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رخصة أو عزيمة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القرعة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القرعة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بين نصوص أهل البيت  عليهم‌ السلام والمتشرّعة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لقاعدة القرعة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القواعد التي تعرّض لها الأعلام في الاصول تارة والفقه اخرى قاعدة القرعة، فالشيخ النراقي في كتابه عوائد الأيّام </w:t>
      </w:r>
      <w:r>
        <w:rPr>
          <w:rStyle w:val="FootnoteAnchor"/>
          <w:rtl w:val="true"/>
        </w:rPr>
        <w:footnoteReference w:id="2"/>
      </w:r>
      <w:r>
        <w:rPr>
          <w:rFonts w:ascii="Amiri" w:hAnsi="Amiri" w:eastAsia="Amiri" w:cs="Amiri"/>
          <w:color w:val="111111"/>
          <w:sz w:val="28"/>
          <w:sz w:val="28"/>
          <w:szCs w:val="28"/>
          <w:rtl w:val="true"/>
          <w:lang w:bidi="ar-SA"/>
        </w:rPr>
        <w:t>تعرّض للقاعدة المذكورة ضمن نقاط وبحث 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بعده تلميذه الشيخ الأعظم في الرسائل </w:t>
      </w:r>
      <w:r>
        <w:rPr>
          <w:rStyle w:val="FootnoteAnchor"/>
          <w:rtl w:val="true"/>
        </w:rPr>
        <w:footnoteReference w:id="3"/>
      </w:r>
      <w:r>
        <w:rPr>
          <w:rFonts w:ascii="Amiri" w:hAnsi="Amiri" w:eastAsia="Amiri" w:cs="Amiri"/>
          <w:color w:val="111111"/>
          <w:sz w:val="28"/>
          <w:sz w:val="28"/>
          <w:szCs w:val="28"/>
          <w:rtl w:val="true"/>
          <w:lang w:bidi="ar-SA"/>
        </w:rPr>
        <w:t>فتعرّض لها في أواخر مبحث الاستصحاب بشكل مختصر وضمن ثلاثة أسطر تحت عنوان ان الاستصحاب إذا اجتمع مع القرعة فأيّهما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بقية الاصوليين فتعرّضوا لها من الزاوية المذكورة وبشكل مختصر في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الاصول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الفقه فتعرّضوا لها في مناسبات مختلفة وبشكل عابر من قبيل ان العبد الذي يجوز له الزواج بأربع اماء بالعقد الدائم لو كان عنده </w:t>
      </w:r>
    </w:p>
    <w:p>
      <w:pPr>
        <w:pStyle w:val="BookText"/>
        <w:rPr/>
      </w:pPr>
      <w:r>
        <w:rPr>
          <w:rFonts w:ascii="Amiri" w:hAnsi="Amiri" w:eastAsia="Amiri" w:cs="Amiri"/>
          <w:color w:val="111111"/>
          <w:sz w:val="28"/>
          <w:sz w:val="28"/>
          <w:szCs w:val="28"/>
          <w:rtl w:val="true"/>
          <w:lang w:bidi="ar-SA"/>
        </w:rPr>
        <w:t xml:space="preserve">أربع اماء وصار حرّا فعليه طلاق ثنتين اما بتعيين ذلك من خلال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القرعة على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ابرز احتمال مرجعية القرعة أخذوا بالبحث العابر عنها ومن الزاوية التي يهمهم التعرّض لها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البحث بشكل متكامل أو شبه متكامل فلم نعثر عليه في الكتب الفقهية والاصولية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القرعة تذكر في كتب الحديث في أبواب متعدّدة وبمناسبات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الحر العاملي ان يجمع شطرا كبيرا منها في كتاب القضاء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الاستخارة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من مصاديق القرعة أو قريبة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تعرض في الكتب الاصولية وانّما تذكر في الكتب الفقهية في كتاب الصلاة عند البحث عن أقسام الصلاة المستحبة التي منها صلاة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الحر العاملي الأحاديث المرتبطة بذلك في كتاب الصلاة في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يقع البحث عن القاعدة المذكورة ضمن النقاط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لما لا تعين له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لغير باب التنازع والقضاء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أصل أو أمارة</w:t>
      </w:r>
      <w:r>
        <w:rPr>
          <w:rFonts w:eastAsia="Amiri" w:cs="Amiri" w:ascii="Amiri" w:hAnsi="Amiri"/>
          <w:color w:val="111111"/>
          <w:sz w:val="28"/>
          <w:szCs w:val="28"/>
          <w:rtl w:val="true"/>
          <w:lang w:bidi="ar-SA"/>
        </w:rPr>
        <w:t xml:space="preserve">. </w:t>
      </w:r>
      <w:bookmarkStart w:id="14" w:name="pg19390_208212"/>
    </w:p>
    <w:p>
      <w:pPr>
        <w:pStyle w:val="BookText"/>
        <w:rPr/>
      </w:pPr>
      <w:bookmarkEnd w:id="1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القرعة بالامام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رخصة أو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بين نصوص أهل البيت  عليهم‌ السلام والمتشرّعة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لقاعدة القرعة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494265_1280447820"/>
      <w:bookmarkStart w:id="16" w:name="_Toc5"/>
      <w:bookmarkEnd w:id="15"/>
      <w:r>
        <w:rPr/>
        <w:t>1</w:t>
      </w:r>
      <w:r>
        <w:rPr>
          <w:rtl w:val="true"/>
        </w:rPr>
        <w:t xml:space="preserve"> - </w:t>
      </w:r>
      <w:r>
        <w:rPr>
          <w:rtl w:val="true"/>
        </w:rPr>
        <w:t>مضمون القاعدة</w:t>
      </w:r>
      <w:bookmarkEnd w:id="16"/>
    </w:p>
    <w:p>
      <w:pPr>
        <w:pStyle w:val="BookText"/>
        <w:rPr/>
      </w:pPr>
      <w:r>
        <w:rPr>
          <w:rFonts w:ascii="Amiri" w:hAnsi="Amiri" w:eastAsia="Amiri" w:cs="Amiri"/>
          <w:color w:val="111111"/>
          <w:sz w:val="28"/>
          <w:sz w:val="28"/>
          <w:szCs w:val="28"/>
          <w:rtl w:val="true"/>
          <w:lang w:bidi="ar-SA"/>
        </w:rPr>
        <w:t>لعل مضمون القاعدة واضح ، وهو ان الواقع إذا أشكل في مورد ولم يمكن تشخيصه من خلال أمارة أو أصل فيمكن المصير في تعيينه إلى الاقتراع وذلك بكتابة قطع متعددة وسحب واحدة منها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7494267_1280447820"/>
      <w:bookmarkStart w:id="18" w:name="_Toc6"/>
      <w:bookmarkEnd w:id="17"/>
      <w:r>
        <w:rPr/>
        <w:t>2</w:t>
      </w:r>
      <w:r>
        <w:rPr>
          <w:rtl w:val="true"/>
        </w:rPr>
        <w:t xml:space="preserve"> - </w:t>
      </w:r>
      <w:r>
        <w:rPr>
          <w:rtl w:val="true"/>
        </w:rPr>
        <w:t>مدرك القاعدة</w:t>
      </w:r>
      <w:bookmarkEnd w:id="18"/>
    </w:p>
    <w:p>
      <w:pPr>
        <w:pStyle w:val="BookText"/>
        <w:rPr/>
      </w:pPr>
      <w:r>
        <w:rPr>
          <w:rFonts w:ascii="Amiri" w:hAnsi="Amiri" w:eastAsia="Amiri" w:cs="Amiri"/>
          <w:color w:val="111111"/>
          <w:sz w:val="28"/>
          <w:sz w:val="28"/>
          <w:szCs w:val="28"/>
          <w:rtl w:val="true"/>
          <w:lang w:bidi="ar-SA"/>
        </w:rPr>
        <w:t>قد يستدل على حجية القرعة بالكتاب العزيز تارة وبالسنّة الشريفة ثانية وبسيرة العقلاء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فهو وان ادعي إلاّ ان ثبوته بنحو يكشف عن موافقة المعصوم  عليه‌ السلام قابل للتأمّل بعد احتمال الاستناد إلى المدارك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فالمهمّ هو المدارك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الكريم فقد استدل منه بآيتين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w:t>
      </w:r>
    </w:p>
    <w:p>
      <w:pPr>
        <w:pStyle w:val="BookText"/>
        <w:rPr/>
      </w:pPr>
      <w:r>
        <w:rPr>
          <w:rFonts w:ascii="Amiri" w:hAnsi="Amiri" w:eastAsia="Amiri" w:cs="Amiri"/>
          <w:color w:val="111111"/>
          <w:sz w:val="28"/>
          <w:sz w:val="28"/>
          <w:szCs w:val="28"/>
          <w:rtl w:val="true"/>
          <w:lang w:bidi="ar-SA"/>
        </w:rPr>
        <w:t xml:space="preserve">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ان يونس لما لم يجبه قومه إلاّ بالتكذيب والرد دعا عليهم بالعذاب وأوعدهم بنزوله عليهم وخرج من بينهم الى ساحل البحر وإذا بسفينة مشحونة فركب فيها ولم تتمكن السفينة من مواصلة سيرها اما لاعتراض الحوت لها وعدم اندفاعه الا بالقاء واحد لها لتلتقمه أو لزيادة وزنها الذي تحتاج معه الى القاء أحد الركّاب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الاتفاق على الاقتراع وخرجت القرعة باسم يونس وكان بذلك من المدحضين ، أي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يدلّل على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الاستدلال المذكور بالاعتراضين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تنقل قصّة وقعت في زمن غابر اشتملت على الاقتراع ، وذلك لا يدلّ على امضاء ما وقع فيها من أحداث حتى في تلك الشريعة فضلا عن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الكريمة صريحة في اشتراك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نبي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السكوت عن تأنيب الفعل يستفاد منه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المذكور لعلّه خاص بالشريعة السابقة ولا دليل على امضائه في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دلالة السكوت المتقدّمة يمكن التمسّك باستصحاب حكم الشريعة السابقة وعدم نسخه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الاعتراضان المذكوران غير تامّين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لَدَيْهِمْ إِذْ يُلْقُونَ أَقْلامَهُمْ أَيُّهُمْ يَكْفُلُ مَرْيَمَ وَما كُنْتَ لَدَيْهِمْ إِذْ يَخْتَصِمُونَ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فانّه ورد في الأخبار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اختين تزوجت الاولى بعمران أحد زعماء بني اسرائيل ولم تنجب أولادا فدعت اللّه سبحانه ان يرزقها مولودا فاستجاب دعاءها وأوحى سبحانه إلى عمران انّه سيهبه ولدا يشفي المرضى الذين لا يمكن علاجهم ويحيي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حملت حنة ظنّت انّه ذلك المولود فنذرته محرّرا لخدمة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وضعته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الذَّكَرُ كَالْأُنْثى وَإِنِّي سَمَّيْتُها مَرْيَمَ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وحينما حملتها إلى بيت المقدس أخذ علماء بني إسرائيل بالتنافس في الفوز بتربيتها لكونها من اسرة آل عمران المعروفة واتفقوا على الاقتراع وألقوا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السهام أو الأقلام التي كانوا يكتبون بها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 وغطس جميعها الا قلم زكريا فإنّه طفا ، وذلك ممّا يدل على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والاعتراضان السابقان يردان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الجواب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الاعتراض على الآيتين الكريمتين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تدلاّن على حجيّة القرعة بمعنى كونها المرجع المتعين من قبل الشرع المقدّس بحيث لا يمكن الحياد عنه إلى غيره عند تمشكل الأمر بل لعل ذلك من باب تسالم الخصوم على الرجوع لها والأخذ بمضمونها نظير ما إذا تمّ الاتفاق على الأخذ بحكم شريف العشيرة أو ما يشبه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محتمل في الآيتين ، ومعه لا يمكن التمسّك بهما لإثبات حجية القرعة </w:t>
      </w:r>
    </w:p>
    <w:p>
      <w:pPr>
        <w:pStyle w:val="BookText"/>
        <w:rPr/>
      </w:pPr>
      <w:r>
        <w:rPr>
          <w:rFonts w:ascii="Amiri" w:hAnsi="Amiri" w:eastAsia="Amiri" w:cs="Amiri"/>
          <w:color w:val="111111"/>
          <w:sz w:val="28"/>
          <w:sz w:val="28"/>
          <w:szCs w:val="28"/>
          <w:rtl w:val="true"/>
          <w:lang w:bidi="ar-SA"/>
        </w:rPr>
        <w:t>وكونها المرجع الشرعي المتعيّن عند تمشكل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ما أشرنا إليه من الاعتراض ان الآية الكريمة عبّرت بالادحاض 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هذا التعبير لا يتناسب والأخذ بوظيفة شرعية عينت من قبل الشرع للسير على طبقها عند تمشكل الأمر بخلاف ما إذا فرضنا ان الأخذ بها كان من باب تباني الخصوم عليها فان مثله لا حزازة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انها حتى لو دلّت على حجّية القرعة وتعينها من قبل الشارع كمرجع عند تمشكل الأمر فهي خاصة بموردها وليس لها اطلاق تدل بواسطته على مرجعية القرعة في غير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فالاستدلال بالآيتين الكريمتين على المطلوب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السنّة الشريفة فيمكن ان يدعى بلا مبالغة تواتر الأخبار الدالّة على حجيّة القرعة، بيد ان تواترها معنوي لا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تصنيفها إلى أخبار عامّة وأخبار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الأخبار العامّة فيمكن ان نمثّل لها بصحيحة محمّد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شي‌ء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تخطئ وتصيب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ودلالتها على العموم واضحة فانه وان لم يحدّد فيها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اختصاصه بمورد معين الا ان ذلك لا يمنع من استفادة العموم منها فان العبرة بعموم الجواب ولا يضر بذلك اختصاص السؤال بمورد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ورد على لسان الفقهاء من ان القرعة لكل أمر مشكل أو مشتبه فليس عليه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في دعائم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وأبي جعفر وأبي عبد اللّه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أوجبوا الحكم بالقرعة فيما اشكل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المذكورة ضعيفة السند ولا أقل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صحيحة محمّد بن حكيم فقد عبّر عنها في كلمات الاعلام بالرواية الذي هو مصطلح عادة للرواية الضعيفة ، إلاّ انّه يمكن تصحيحها ، فانّها بطريق الشيخ الطوسي وان كانت ضعيفة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توثيق في حقّه إلاّ انّها بطريق الشيخ الصدوق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التأمّل في محمّد بن حكيم نفسه باعتبار ان الشيخ والنجاشي وان ذكراه ولكنّهما لم يوثقاه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انّه يمكن توثيقه من خلال ما نقله الكشي بطريق صحيح عن حماد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الحسن  عليه‌ السلام يأمر محمّد بن حكيم ان يجالس أهل المدينة في مسجد رسول اللّه  صلی اللّه عليه وآله وسلم  وان يكلّمهم ويخاصمهم حتى كلّمهم في صاحب القبر فكان إذا انصرف إليه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وما قالوا لك ويرضى بذلك منه</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فإنّه ليس من المناسب للإمام  عليه‌ السلام ان يأمر شخصا بتمثيل المذهب الجعفري والتحدّث عن لسانه الا إذا كان له وثوق كامل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الخاصة فهي كثيرة تذكر كمثال لذلك صحيحة ابراهيم </w:t>
      </w:r>
      <w:bookmarkStart w:id="19" w:name="pg19390_208217"/>
    </w:p>
    <w:p>
      <w:pPr>
        <w:pStyle w:val="BookText"/>
        <w:rPr/>
      </w:pPr>
      <w:bookmarkEnd w:id="19"/>
      <w:r>
        <w:rPr>
          <w:rFonts w:ascii="Amiri" w:hAnsi="Amiri" w:eastAsia="Amiri" w:cs="Amiri"/>
          <w:color w:val="111111"/>
          <w:sz w:val="28"/>
          <w:sz w:val="28"/>
          <w:szCs w:val="28"/>
          <w:rtl w:val="true"/>
          <w:lang w:bidi="ar-SA"/>
        </w:rPr>
        <w:t xml:space="preserve">بن عمر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بينهم فمن أصابه القرعة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وبالامكان عدّها من الاخبار العامة بقرينة التعبير في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السيرة العقلائية فلا اشكال في انعقادها على العمل بالقرعة في الامور المشكلة والأمثلة في حياتنا الاجتماعية اليوم كثيرة فيقرع بين الطلاب في المدارس إذا زاد عددهم عن الحدّ المقرّر للقبول وبين من تقدّم بطلب الحج إذا زاد العدد ، وهكذا في أمثلة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السيرة حيث لا نحتمل حدوثها جديدا ولم يرد عنها ردع بل ورد ما يدل على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494269_1280447820"/>
      <w:bookmarkStart w:id="21" w:name="_Toc7"/>
      <w:bookmarkEnd w:id="20"/>
      <w:r>
        <w:rPr/>
        <w:t>3</w:t>
      </w:r>
      <w:r>
        <w:rPr>
          <w:rtl w:val="true"/>
        </w:rPr>
        <w:t xml:space="preserve"> - </w:t>
      </w:r>
      <w:r>
        <w:rPr>
          <w:rtl w:val="true"/>
        </w:rPr>
        <w:t>عموم القاعدة لما لا تعين له واقعا</w:t>
      </w:r>
      <w:bookmarkEnd w:id="21"/>
    </w:p>
    <w:p>
      <w:pPr>
        <w:pStyle w:val="BookText"/>
        <w:rPr/>
      </w:pPr>
      <w:r>
        <w:rPr>
          <w:rFonts w:ascii="Amiri" w:hAnsi="Amiri" w:eastAsia="Amiri" w:cs="Amiri"/>
          <w:color w:val="111111"/>
          <w:sz w:val="28"/>
          <w:sz w:val="28"/>
          <w:szCs w:val="28"/>
          <w:rtl w:val="true"/>
          <w:lang w:bidi="ar-SA"/>
        </w:rPr>
        <w:t>الشي‌ء المجهول تارة يكون متعيّنا واقعا ومبهما ظاهرا ، واخرى لا يكون له تعين حتى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 عبدا معيّنا من عبيده ثم اشتبه عليه بعد ذلك فهو من النحو الأول بينما لو اعتق من البداية عبدا غير معيّن من عبيده فهو من النحو الثاني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 المتيقن من أدلّة حجية القرعة ما إذا كان الشي‌ء متعينا واقعا وطرأ عليه الابهام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إذا كان الشي‌ء مبهما واقعا أيضا فقد وقع الخلاف بين الاعلام في شمول عموم أدلّة حجية القرعة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العراقي مثلا في نهاية الأفكار </w:t>
      </w:r>
      <w:r>
        <w:rPr>
          <w:rStyle w:val="FootnoteAnchor"/>
          <w:rtl w:val="true"/>
        </w:rPr>
        <w:footnoteReference w:id="11"/>
      </w:r>
      <w:r>
        <w:rPr>
          <w:rFonts w:ascii="Amiri" w:hAnsi="Amiri" w:eastAsia="Amiri" w:cs="Amiri"/>
          <w:color w:val="111111"/>
          <w:sz w:val="28"/>
          <w:sz w:val="28"/>
          <w:szCs w:val="28"/>
          <w:rtl w:val="true"/>
          <w:lang w:bidi="ar-SA"/>
        </w:rPr>
        <w:t xml:space="preserve">استدل على عدم الشمول بالقصور في المقتضي بتقريب 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أدلّة حجية القرعة لا يصدق عرفا إلاّ على ما هو متعيّن واقعا واشتبه وخفي ظاهرا واثباتا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المستمسك ان بعض الأحاديث الشريفة وان ورد فيما لا تعين له واقعا الا انّه خاص بمورده ولا عموم له ، فصحيحة ابراهيم السابقة مثلا وان كان موردها ذلك الا انّها خاصة بموردها وهو حرية أول مملوك ولا يمكن استفادة التعميم منها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انّهم في الموارد الاخرى يستعينون بضم مقدّمة خارجية وهي عدم القول بالفصل بينما في المقام لم يجروا على سيرتهم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الحكم بالتعميم ، فان السيرة العقلائية لها عموم من هذه الناحية ، والأمثلة المتقدّمة التي ذكرناها للسيرة العقلائية هي ذات واقع غير متعيّن في نفسه ، بل ان في نصوص أهل البيت  عليهم‌ السلام ما يدل على التعميم ، فصحيحة ابراهيم المتقدّمة مثلا وان كانت واردة في عتق أوّل مملوك وتختص بذلك الا ان ذيلها المعبر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التعميم وعدم الخصوصية لموردها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اختلاف رأي السيد الخوئي قدس‌سره فبينما اختار في </w:t>
      </w:r>
      <w:bookmarkStart w:id="22" w:name="pg19390_208219"/>
    </w:p>
    <w:p>
      <w:pPr>
        <w:pStyle w:val="BookText"/>
        <w:rPr/>
      </w:pPr>
      <w:bookmarkEnd w:id="22"/>
      <w:r>
        <w:rPr>
          <w:rFonts w:ascii="Amiri" w:hAnsi="Amiri" w:eastAsia="Amiri" w:cs="Amiri"/>
          <w:color w:val="111111"/>
          <w:sz w:val="28"/>
          <w:sz w:val="28"/>
          <w:szCs w:val="28"/>
          <w:rtl w:val="true"/>
          <w:lang w:bidi="ar-SA"/>
        </w:rPr>
        <w:t xml:space="preserve">مصباح الاصول الاختصاص اختار في مباني العروة الوثقى التعميم فلاحظ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7494271_1280447820"/>
      <w:bookmarkStart w:id="24" w:name="_Toc8"/>
      <w:bookmarkEnd w:id="23"/>
      <w:r>
        <w:rPr/>
        <w:t>4</w:t>
      </w:r>
      <w:r>
        <w:rPr>
          <w:rtl w:val="true"/>
        </w:rPr>
        <w:t xml:space="preserve"> - </w:t>
      </w:r>
      <w:r>
        <w:rPr>
          <w:rtl w:val="true"/>
        </w:rPr>
        <w:t>عموم القاعدة لغير باب التنازع والقضاء</w:t>
      </w:r>
      <w:bookmarkEnd w:id="24"/>
    </w:p>
    <w:p>
      <w:pPr>
        <w:pStyle w:val="BookText"/>
        <w:rPr/>
      </w:pPr>
      <w:r>
        <w:rPr>
          <w:rFonts w:ascii="Amiri" w:hAnsi="Amiri" w:eastAsia="Amiri" w:cs="Amiri"/>
          <w:color w:val="111111"/>
          <w:sz w:val="28"/>
          <w:sz w:val="28"/>
          <w:szCs w:val="28"/>
          <w:rtl w:val="true"/>
          <w:lang w:bidi="ar-SA"/>
        </w:rPr>
        <w:t>المورد المشكل الذي يراد فيه الرجوع الى القرعة تارة يكون مشتملا على التنازع ويحتاج في رفعه إلى القضاء الشرعي واخرى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اختلف شخصان في طفل كلّ منهما يدّعي انّه ولده وأقام البيّنة على ذلك أو اختلفا في دار كل منهما يدّعيها ولا يدله عليها رجعنا إلى القرعة لرفع الخصومة والنزاع وكان ذلك مثالا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فرض في مثال الطفل ان كل واحد من الشخصين لا يقول هو ولدي بل يقول لا أدري هو ولدي أو لا مع علمهما بأنّه لا يعدوهما وهو ابن احدهما جزما كان ذلك مثالا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المتقين من دليل حجية القرعة هو المورد الأوّل الذي فيه نزاع وخصومة وانما الكلام في عمومه للمورد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من تمسك الفقهاء في موارد مختلفة من باب القضاء بالقرعة اختصاصها بذلك وعدم حجيتها في غيره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التعميم فان بناء العقلاء لا يختص بذلك وهكذا صحيح محمد بن حكيم المتقدّم الذي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صحيح ابراهيم بن عمر المتقدّم </w:t>
      </w:r>
      <w:bookmarkStart w:id="25" w:name="pg19390_208220"/>
    </w:p>
    <w:p>
      <w:pPr>
        <w:pStyle w:val="BookText"/>
        <w:rPr/>
      </w:pPr>
      <w:bookmarkEnd w:id="25"/>
      <w:r>
        <w:rPr>
          <w:rFonts w:ascii="Amiri" w:hAnsi="Amiri" w:eastAsia="Amiri" w:cs="Amiri"/>
          <w:color w:val="111111"/>
          <w:sz w:val="28"/>
          <w:sz w:val="28"/>
          <w:szCs w:val="28"/>
          <w:rtl w:val="true"/>
          <w:lang w:bidi="ar-SA"/>
        </w:rPr>
        <w:t xml:space="preserve">الوارد في حرية أوّل مملوك يملكه يختص بحالة عدم النزاع والخصومة وناظر للمورد المذكور،وتعبير الامام  عليه‌ السلام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حجية القرعة فيما شابه المورد المذكور من الموارد التي ليس فيها نزاع ولا يختص به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7494273_1280447820"/>
      <w:bookmarkStart w:id="27" w:name="_Toc9"/>
      <w:bookmarkEnd w:id="26"/>
      <w:r>
        <w:rPr/>
        <w:t>5</w:t>
      </w:r>
      <w:r>
        <w:rPr>
          <w:rtl w:val="true"/>
        </w:rPr>
        <w:t xml:space="preserve"> - </w:t>
      </w:r>
      <w:r>
        <w:rPr>
          <w:rtl w:val="true"/>
        </w:rPr>
        <w:t>القرعة أصل أو أمارة</w:t>
      </w:r>
      <w:bookmarkEnd w:id="27"/>
    </w:p>
    <w:p>
      <w:pPr>
        <w:pStyle w:val="BookText"/>
        <w:rPr/>
      </w:pPr>
      <w:r>
        <w:rPr>
          <w:rFonts w:ascii="IRNazanin" w:hAnsi="IRNazanin" w:eastAsia="IRNazanin"/>
          <w:color w:val="111111"/>
          <w:sz w:val="28"/>
          <w:sz w:val="28"/>
          <w:szCs w:val="28"/>
          <w:rtl w:val="true"/>
          <w:lang w:bidi="fa-IR"/>
        </w:rPr>
        <w:t>نحن نعرف الفارق بين الأمارة والأصل فان ما جعله الشارع حجّة من جهة قوّة كاشفيته هو امارة والا فهو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الخلاف في القرعة وانها أمارة أو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بعض الأخبار يوحي بكونها أمارة ففي صحيحة أبي بصير عن أبي جعفر  عليه‌ السلام عن النبي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قوم تقارعوا ثمّ فوّضوا أمرهم الى اللّه إلاّ خرج سهم المق</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فانّه قد يستفاد منها كاشفيتها الظنّية بل القطعية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لا نرى له ثمرة مهمّة فان القرعة حتى لو كانت امارة لا تتقدّم على غيرها امارة كان أو أصلا بل جميع القواعد الاخرى من امارات واصول تتقدّم على القرعة باعتبار ان موضوع حجية القرعة هو الأمر المجهول ومع وجود قاعدة شرعية تحدّد الموقف الشرعي لا تبقى جهالة في المورد ليرجع الى القرعة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يمكن ظهور الثمرة بناء على حجيّة الامارة في لوازمها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المشهور من أعلام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القرعة لو كانت امارة ودلّت على شي‌ء كانت حجّة في لوازمها غير الشرعية </w:t>
      </w:r>
      <w:bookmarkStart w:id="28" w:name="pg19390_208221"/>
    </w:p>
    <w:p>
      <w:pPr>
        <w:pStyle w:val="BookText"/>
        <w:rPr/>
      </w:pPr>
      <w:bookmarkEnd w:id="28"/>
      <w:r>
        <w:rPr>
          <w:rFonts w:ascii="Amiri" w:hAnsi="Amiri" w:eastAsia="Amiri" w:cs="Amiri"/>
          <w:color w:val="111111"/>
          <w:sz w:val="28"/>
          <w:sz w:val="28"/>
          <w:szCs w:val="28"/>
          <w:rtl w:val="true"/>
          <w:lang w:bidi="ar-SA"/>
        </w:rPr>
        <w:t>بخلاف ما لو كانت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كون القرعة أصلا فان السيرة لو لاحظناها وجدنا ان العقلاء يأخذون بالقرعة لا من باب كاشفيتها بل من باب انّها الموقف العملي الأخير لحلّ المشكلة حيث لا حلّ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الصحيحة السابقة فلا دلالة لها على الأمارية إذ هي لا تدلّ على ان جعل الشارع الحجية لها ناشئ من كاشفيتها بل لعل المقصود انّها أصل ولم تعتبر الحجية لها من جهة الكشف غايته ان المتقارعين إذا أجروا القرعة وتوكلوا على اللّه سبحانه فهو من جهة انّهم أوكلوا أمرهم إليه يقرّر لها اصابة الواقع نظير من يدخل في عملية اصلاح بين طرفين طالبا بذلك رضا اللّه عزّ وجلّ فإنّه يسدّده ويجعل كلامه مؤثّرا ومواقفه مصيبة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نفسها تدلّ على ان تقدير اصابة الواقع لها مختص بحالة تفويض الأمر الى اللّه سبحانه ، وهل يحتمل التفصيل وان القرعة امارة في حالة تفويض الأمر الى اللّه عزّ وجلّ وأصل في غير الحالة المذكورة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7494275_1280447820"/>
      <w:bookmarkStart w:id="30" w:name="_Toc10"/>
      <w:bookmarkEnd w:id="29"/>
      <w:r>
        <w:rPr/>
        <w:t>6</w:t>
      </w:r>
      <w:r>
        <w:rPr>
          <w:rtl w:val="true"/>
        </w:rPr>
        <w:t xml:space="preserve"> - </w:t>
      </w:r>
      <w:r>
        <w:rPr>
          <w:rtl w:val="true"/>
        </w:rPr>
        <w:t>اختصاص القرعة بالامام</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كلام في ان القرعة هل هي من الوظائف الخاصة بالامام  عليه‌ السلام بحيث لا تحق لغيره أو تعمّ نوّابه المجتهدين أو تعمّ غيرهما أيضا؟ اختار الشيخ النراقي في عوائده </w:t>
      </w:r>
      <w:r>
        <w:rPr>
          <w:rStyle w:val="FootnoteAnchor"/>
          <w:rtl w:val="true"/>
        </w:rPr>
        <w:footnoteReference w:id="15"/>
      </w:r>
      <w:r>
        <w:rPr>
          <w:rFonts w:ascii="Amiri" w:hAnsi="Amiri" w:eastAsia="Amiri" w:cs="Amiri"/>
          <w:color w:val="111111"/>
          <w:sz w:val="28"/>
          <w:sz w:val="28"/>
          <w:szCs w:val="28"/>
          <w:rtl w:val="true"/>
          <w:lang w:bidi="ar-SA"/>
        </w:rPr>
        <w:t xml:space="preserve">كونها </w:t>
      </w:r>
    </w:p>
    <w:p>
      <w:pPr>
        <w:pStyle w:val="BookText"/>
        <w:rPr/>
      </w:pPr>
      <w:r>
        <w:rPr>
          <w:rFonts w:ascii="Amiri" w:hAnsi="Amiri" w:eastAsia="Amiri" w:cs="Amiri"/>
          <w:color w:val="111111"/>
          <w:sz w:val="28"/>
          <w:sz w:val="28"/>
          <w:szCs w:val="28"/>
          <w:rtl w:val="true"/>
          <w:lang w:bidi="ar-SA"/>
        </w:rPr>
        <w:t>وظيفة للإمام  عليه‌ السلام ونوّابه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التفصيل بين ما اذا كان هناك نزاع يحتاج حلّه الى قضاء الحاكم الشرعي وبين ما اذا لم يكن ذلك ، ففي الأوّل تكون وظيفة للحاكم كسائر ما يستعين به الحاكم في باب القضاء من البيّنة والقسم وفي الثاني لا يكون وظيفة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الخصومة بما انّه مطلوب شرعا ولا يحتمل اختصاص مطلوبيته بزمان حضور الامام  عليه‌ السلام فلا معنى معه لاحتمال كونها وظيفة خاصة بالامام  عليه‌ السلام بل ينبغي ثبوت ذلك لحكام الشرع أيضا كسائر ما يستعان به لحلّ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يكن هناك نزاع فلا موجب للاختصاص بالامام  عليه‌ السلام ولا بنوّابه وتكفينا عمومات حجية القرعة من بناء العقلاء واطلاق القرعة سنة وانّها لكل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ورد في مرسلة حمّاد عمّن ذكره عن أحدهما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كان له عدّة مماليك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فهو حرّ فعلّمه واحد منهم ثم مات المولى ولم يدر أيّهم الذي علّمه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يستخرجه إلاّ الامام لأنّ له على القرعة كلاما ودعاء لا يعلمه غيره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المرسلة مضافا الى ضعف سندها بالارسال يمكن ان تكون ناظرة الى باب النزاع والخصومة وانّه مع وجوده تكون عملية </w:t>
      </w:r>
      <w:bookmarkStart w:id="31" w:name="pg19390_208223"/>
    </w:p>
    <w:p>
      <w:pPr>
        <w:pStyle w:val="BookText"/>
        <w:rPr/>
      </w:pPr>
      <w:bookmarkEnd w:id="31"/>
      <w:r>
        <w:rPr>
          <w:rFonts w:ascii="Amiri" w:hAnsi="Amiri" w:eastAsia="Amiri" w:cs="Amiri"/>
          <w:color w:val="111111"/>
          <w:sz w:val="28"/>
          <w:sz w:val="28"/>
          <w:szCs w:val="28"/>
          <w:rtl w:val="true"/>
          <w:lang w:bidi="ar-SA"/>
        </w:rPr>
        <w:t>الاقتراع خاصة به ، انّها ناظرة الى ذلك والا فهل يحتمل عدم حجية القرعة في مثل زماننا وابقاء الخصومة والنزاع على ما 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يونس فمضافا الى ضعف سندها باسماعيل بن مرار الذي لم يرد في حقّه توثيق الا بناء على وثاقة جميع رجال كامل الزيارات ، ومضافا الى كون الرواية مقطوعة بمعنى ان المسؤول هو يونس دون الامام  عليه‌ السلام يمكن ان يقال بظهورها في الاستحباب بقرينة التعليل المذكور فيها فان الدعاء ليس لازما عند الاقتراع جزما ، ولو كان لازما يلزم اختصاص القرعة بزمان حضور الامام  عليه‌ السلام وهو أمر غير محتمل كما تقدّم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494277_1280447820"/>
      <w:bookmarkStart w:id="33" w:name="_Toc11"/>
      <w:bookmarkEnd w:id="32"/>
      <w:r>
        <w:rPr/>
        <w:t>7</w:t>
      </w:r>
      <w:r>
        <w:rPr>
          <w:rtl w:val="true"/>
        </w:rPr>
        <w:t xml:space="preserve"> - </w:t>
      </w:r>
      <w:r>
        <w:rPr>
          <w:rtl w:val="true"/>
        </w:rPr>
        <w:t>القرعة رخصة أو عزيمة</w:t>
      </w:r>
      <w:bookmarkEnd w:id="33"/>
    </w:p>
    <w:p>
      <w:pPr>
        <w:pStyle w:val="BookText"/>
        <w:rPr/>
      </w:pPr>
      <w:r>
        <w:rPr>
          <w:rFonts w:ascii="Amiri" w:hAnsi="Amiri" w:eastAsia="Amiri" w:cs="Amiri"/>
          <w:color w:val="111111"/>
          <w:sz w:val="28"/>
          <w:sz w:val="28"/>
          <w:szCs w:val="28"/>
          <w:rtl w:val="true"/>
          <w:lang w:bidi="ar-SA"/>
        </w:rPr>
        <w:t>وقع البحث في ان عملية الاقتراع في موارد تمشكل الأمر لازمة بحيث ليس للمكلف الحياد عنها أو جائزة يمكنه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عملية الاقتراع رخصة أو عزيمة؟</w:t>
      </w:r>
    </w:p>
    <w:p>
      <w:pPr>
        <w:pStyle w:val="BookText"/>
        <w:rPr/>
      </w:pPr>
      <w:r>
        <w:rPr>
          <w:rFonts w:ascii="Amiri" w:hAnsi="Amiri" w:eastAsia="Amiri" w:cs="Amiri"/>
          <w:color w:val="111111"/>
          <w:sz w:val="28"/>
          <w:sz w:val="28"/>
          <w:szCs w:val="28"/>
          <w:rtl w:val="true"/>
          <w:lang w:bidi="ar-SA"/>
        </w:rPr>
        <w:t xml:space="preserve">ولعل السبب الباعث على ذلك ان أدلّة مشروعية القرعة لا يفهم منها الالزام والحتمية فقولهم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الى اللّه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إلاّ الرجحان والمشروعية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والتساؤل السابق يأتي نفسه في نتيجة القرعة ، فلو تقارع الطرفان وعينت القرعة إحدى النتيجتين فهل يتحتم الأخذ بذلك؟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في الجواب عن كلا التساؤلين ان يفصّل بين ما إذا كان اتخاذ القرار على طبق القرعة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تنازع شخصان في طفل </w:t>
      </w:r>
      <w:bookmarkStart w:id="34" w:name="pg19390_208224"/>
    </w:p>
    <w:p>
      <w:pPr>
        <w:pStyle w:val="BookText"/>
        <w:rPr/>
      </w:pPr>
      <w:bookmarkEnd w:id="34"/>
      <w:r>
        <w:rPr>
          <w:rFonts w:ascii="Amiri" w:hAnsi="Amiri" w:eastAsia="Amiri" w:cs="Amiri"/>
          <w:color w:val="111111"/>
          <w:sz w:val="28"/>
          <w:sz w:val="28"/>
          <w:szCs w:val="28"/>
          <w:rtl w:val="true"/>
          <w:lang w:bidi="ar-SA"/>
        </w:rPr>
        <w:t xml:space="preserve">كل منهما يدّعي أنّه ولده أو كالمولود الذي ليس له فرج الذكور ولا فرج الاناث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الأخذ بها وبنتيجتها لازما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المناسب التفصيل بين وجود واقع مجهول يراد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الطفل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الأخذ بالقرعة وبنتيجتها لازما وبين ما إذا لم يكن واقع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قال أوّل عبد أملكه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وهن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قد يكون له تعين مجهول وبالرغم من ذلك لا يكون الأخذ بالقرعة لازما كالدار التي اختلف في ملكيتها شخصان وتصالحا على تقسيمها نصفين أو تنازل أحدهما للآخر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تعين للواقع وبالرغم من ذلك يلزم الأخذ بالقرعة ، كما لو نذر المكلّف اكرام أوّل داخل عليه فدخل عليه ثلاثة وهو لا يستطيع اكرام أكثر من واحد فان الأخذ بالقرعة لازم عليه بالرغم من عدم تعين الواقع</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494279_1280447820"/>
      <w:bookmarkStart w:id="36" w:name="_Toc12"/>
      <w:bookmarkEnd w:id="35"/>
      <w:r>
        <w:rPr/>
        <w:t>8</w:t>
      </w:r>
      <w:r>
        <w:rPr>
          <w:rtl w:val="true"/>
        </w:rPr>
        <w:t xml:space="preserve"> - </w:t>
      </w:r>
      <w:r>
        <w:rPr>
          <w:rtl w:val="true"/>
        </w:rPr>
        <w:t>مورد القرعة</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والمورد الذي تجري فيه القرعة هو كل موضوع فقد القواعد الشرعية القابلة لتعيين الحال فيه ، فانّا لو أخذنا سيرة العقلاء بنظر الاعتبار وجدنا ان العقلاء انّما يتمسكون بالقرعة في خصوص المورد المذكور ، ولا أقل هي دليل لبي يقتصر فيه على القدر المتيقن وهو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أخذنا النصوص بنظر الاعتبار وجدناها تحدّد موضوع </w:t>
      </w:r>
    </w:p>
    <w:p>
      <w:pPr>
        <w:pStyle w:val="BookText"/>
        <w:rPr/>
      </w:pPr>
      <w:r>
        <w:rPr>
          <w:rFonts w:ascii="Amiri" w:hAnsi="Amiri" w:eastAsia="Amiri" w:cs="Amiri"/>
          <w:color w:val="111111"/>
          <w:sz w:val="28"/>
          <w:sz w:val="28"/>
          <w:szCs w:val="28"/>
          <w:rtl w:val="true"/>
          <w:lang w:bidi="ar-SA"/>
        </w:rPr>
        <w:t>القرعة بالمجهول وهو لا يصدق مع امكان تعيين الحال من خلال قاعدة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الشبهات الحكمية لا يمكن تطبيق القرعة فيها ، فلو شككنا في حرمة التدخين أو نحو ذلك فلا يمكن الرجوع إليها لأنّه في مورد الشبهات الحكمية لا بدّ من وجود قاعدة تحدّد الموقف امّا بالبراءة فيما إذا كان الشك في أصل التكليف أو بالاحتياط فيما إذا كان الشك في المكلّف به أو بالتخيير فيما إذا كان الدوران بين المحذورين أو بالاستصحاب فيما إذا كان الشك في 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تجري القرعة في الشبهة الموضوعية التي يمكن تحديد الحال فيها من خلال قاعدة شرعية ، كما لو شككنا في ان الدار المتنازع فيها هي لزيد أو لعمرو وكان أحدهما صاحب يد أو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فينحصر مورد القرعة بالشبهات الموضوعية الفاقدة للقاعدة التي يمكن تحديد الموقف من خلالها ، كما لو اختلف شخصان في دار ولكل منهما بيّنة بلا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تتضح عدّة امور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صحّة ما ذكره الشيخ العراقي في نهاية الأفكار </w:t>
      </w:r>
      <w:r>
        <w:rPr>
          <w:rStyle w:val="FootnoteAnchor"/>
          <w:rtl w:val="true"/>
        </w:rPr>
        <w:footnoteReference w:id="18"/>
      </w:r>
      <w:r>
        <w:rPr>
          <w:rFonts w:ascii="Amiri" w:hAnsi="Amiri" w:eastAsia="Amiri" w:cs="Amiri"/>
          <w:color w:val="111111"/>
          <w:sz w:val="28"/>
          <w:sz w:val="28"/>
          <w:szCs w:val="28"/>
          <w:rtl w:val="true"/>
          <w:lang w:bidi="ar-SA"/>
        </w:rPr>
        <w:t xml:space="preserve">من ان القرعة انّما لا تجري في الشبهات الحكمية من جهة ظهور عنوان المجهول والمشتبه في كونه وصفا لذات الشي‌ء المردّد بين الأشياء وليس وصفا لحكمه ، ومن الواضح ان الاشتباه في موارد الشبهات الحكمية ليس في ذات الشي‌ء بل في حكمه ، فنحن نعلم مثلا ان هذا لحم </w:t>
      </w:r>
    </w:p>
    <w:p>
      <w:pPr>
        <w:pStyle w:val="BookText"/>
        <w:rPr/>
      </w:pPr>
      <w:r>
        <w:rPr>
          <w:rFonts w:ascii="Amiri" w:hAnsi="Amiri" w:eastAsia="Amiri" w:cs="Amiri"/>
          <w:color w:val="111111"/>
          <w:sz w:val="28"/>
          <w:sz w:val="28"/>
          <w:szCs w:val="28"/>
          <w:rtl w:val="true"/>
          <w:lang w:bidi="ar-SA"/>
        </w:rPr>
        <w:t>الأرنب وانّما نشك في حكمه وانّه يحرم أكله أو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الاشتباه بخصوص ما ذكر أوّل الكلام وعهدته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بامكانه التمسك لإخراج الشبهات الحكمية عن دليل القرعة بما ذكرناه من عدم صدق عنوان المجهول بعد امكان الاستعانة بقاعدة من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وغيره من القواعد والاصول متقدّم على القرعة بالورود ، بمعنى انّها بجريانها ترفع عنوان المجهول الذي هو موضوع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كلمات غير واحد من الاصوليين ان دليل القرعة لا يمكن التمسّك بعمومه في مورد إلاّ بعد الانجبار بعمل الأصحاب وذلك من جهة كثرة التخصيصات الطارئة عليه ، وحيث ان كثرة التخصيص أمر مستهجن فيكشف ذلك عن كون الموضوع لحجية القرعة معنى خاصا لا يلزم منه كثرة التخصيص ، وبما ان ذلك المعنى الخاص مجهول لنا فنبقى غير قادرين على التمسّك بعموم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في الرسائل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محله ان أدلّة القرعة لا يعمل بها بدون جبر عمومها بعمل الأصحاب أو جماعة منهم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محذور التخصيص الكثير غير وارد بعد اختصاص موضوع القرعة بالمجهول الذي لا يصدق مع امكان تطبيق أي قاعدة من القواعد الشرعية فان المورد المذكور نادر وقليل ولا يلزم </w:t>
      </w:r>
      <w:bookmarkStart w:id="37" w:name="pg19390_208227"/>
    </w:p>
    <w:p>
      <w:pPr>
        <w:pStyle w:val="BookText"/>
        <w:rPr/>
      </w:pPr>
      <w:bookmarkEnd w:id="37"/>
      <w:r>
        <w:rPr>
          <w:rFonts w:ascii="Amiri" w:hAnsi="Amiri" w:eastAsia="Amiri" w:cs="Amiri"/>
          <w:color w:val="111111"/>
          <w:sz w:val="28"/>
          <w:sz w:val="28"/>
          <w:szCs w:val="28"/>
          <w:rtl w:val="true"/>
          <w:lang w:bidi="ar-SA"/>
        </w:rPr>
        <w:t>من التزام القرعة فيه أي محذور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7494281_1280447820"/>
      <w:bookmarkStart w:id="39" w:name="_Toc13"/>
      <w:bookmarkEnd w:id="38"/>
      <w:r>
        <w:rPr/>
        <w:t>9</w:t>
      </w:r>
      <w:r>
        <w:rPr>
          <w:rtl w:val="true"/>
        </w:rPr>
        <w:t xml:space="preserve"> - </w:t>
      </w:r>
      <w:r>
        <w:rPr>
          <w:rtl w:val="true"/>
        </w:rPr>
        <w:t>كيفية القرعة</w:t>
      </w:r>
      <w:bookmarkEnd w:id="39"/>
    </w:p>
    <w:p>
      <w:pPr>
        <w:pStyle w:val="BookText"/>
        <w:rPr/>
      </w:pPr>
      <w:r>
        <w:rPr>
          <w:rFonts w:ascii="Amiri" w:hAnsi="Amiri" w:eastAsia="Amiri" w:cs="Amiri"/>
          <w:color w:val="111111"/>
          <w:sz w:val="28"/>
          <w:sz w:val="28"/>
          <w:szCs w:val="28"/>
          <w:rtl w:val="true"/>
          <w:lang w:bidi="ar-SA"/>
        </w:rPr>
        <w:t xml:space="preserve">ورد في بعض الروايات كيفيات خاصّة للقرعة وقراءة دعاء خاص عندها ، ففي صحيحة الفضيل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مولود ليس له ما للرجال ولا 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عليه الامام أو المقرع يكتب على سهم عبد اللّه وعلى سهم أمة اللّه ثم يقول الامام أو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أمر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ثم تجال السهام على ما خرج ورث عليه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الذي يقرأ النصوص يفهم ان الغرض لا يتعلّق بكيفية خاصة كما وان الدعاء ليس أمرا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الدعاء وسيلة مهمّة للتسديد والوصول الى الهدف في حياة المؤمن خصوصا في هذا المجال وبه يتحقق استمداد العاجز من القادر على كلّ شي‌ء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7494283_1280447820"/>
      <w:bookmarkStart w:id="41" w:name="_Toc14"/>
      <w:bookmarkEnd w:id="40"/>
      <w:r>
        <w:rPr/>
        <w:t>10</w:t>
      </w:r>
      <w:r>
        <w:rPr>
          <w:rtl w:val="true"/>
        </w:rPr>
        <w:t xml:space="preserve"> - </w:t>
      </w:r>
      <w:r>
        <w:rPr>
          <w:rtl w:val="true"/>
        </w:rPr>
        <w:t xml:space="preserve">الاستخارة بين نصوص أهل البيت </w:t>
      </w:r>
      <w:r>
        <w:rPr>
          <w:rtl w:val="true"/>
        </w:rPr>
        <w:t xml:space="preserve">: </w:t>
      </w:r>
      <w:r>
        <w:rPr>
          <w:rtl w:val="true"/>
        </w:rPr>
        <w:t>والمتشرّعة</w:t>
      </w:r>
      <w:bookmarkEnd w:id="41"/>
    </w:p>
    <w:p>
      <w:pPr>
        <w:pStyle w:val="Heading4"/>
        <w:numPr>
          <w:ilvl w:val="3"/>
          <w:numId w:val="1"/>
        </w:numPr>
        <w:rPr/>
      </w:pPr>
      <w:bookmarkStart w:id="42" w:name="__RefHeading___Toc17494285_1280447820"/>
      <w:bookmarkStart w:id="43" w:name="_Toc15"/>
      <w:bookmarkEnd w:id="42"/>
      <w:r>
        <w:rPr>
          <w:rtl w:val="true"/>
        </w:rPr>
        <w:t>اشارة</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في البداية تعرّف معنى الاستخارة في اللغة ثم في نصوص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الاستخارة لغة تعني طلب الخيرة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واستخير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 اللّه الخير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النصوص فقد وردت الاستخارة فيها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المتقدّم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ذلك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دل على رجحان ان يكون ذلك بعد صلاة ركعتين ، ففي صحيحة عمرو بن حريث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واستغفر اللّه فو اللّه ما استخار اللّه مسلم إلاّ خار له البتة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نكتة مهمة في باب الآداب الاسلامية ، فالمؤمن متى ما أقدم على عمل كدرس أو تدريس أو زواج أو شراء دار أو ما شاكل ذلك طلب من اللّه سبحانه ان يقدّر له الخير والصلاح فيه ليكون بذلك لائقا ومعدا لمدّ يد المعونة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الصدوق باسناده عن هارون بن خارجة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مشاورة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فتستخير اللّه فيه أوّلا ثم تشاور فيه فانّه إذا بدأ باللّه أجرى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وسند الشيخ الصدوق الى هارون وان كان ضعيفا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بالصيرفي وبأبي سمينة لكنها صحيحة بطريق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الراجح للمؤمن ان يكرّر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طلب الخيرة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الامور المهمّة ، ففي حديث ناجية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أراد شراء العبد أو الدابة أو الحاجة الخفيفة أو الشي‌ء اليسير استخار اللّه فيه سبع مرّات فاذا كان أمرا جسيما استخار اللّه مائة مرّة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والرواية ضعيفة بناجية نفسه لعدم ثبوت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بمعنى طلب المشورة من اللّه سبحانه ، فالمؤمن إذا أقدم على عمل معين وهو لا يعرف ان فيه مصلحة أو لا يستشير اللّه عزّ وجلّ ليتعرّف من خلال ذلك وجود المصلحة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تتحقق الاستشارة من اللّه سبحانه؟ ذلك اما من خلال الرقاع أو المصحف الشريف أو بالقبض على مقدار من خرز المسبحة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غالب الطرق المذكورة روايات تتسم بشكل عام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مراجعة تلك الروايات في كتاب وسائل الشيعة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قام صاحب الجواهر والحدائق </w:t>
      </w:r>
      <w:r>
        <w:rPr>
          <w:rStyle w:val="FootnoteAnchor"/>
          <w:rtl w:val="true"/>
        </w:rPr>
        <w:footnoteReference w:id="27"/>
      </w:r>
      <w:r>
        <w:rPr>
          <w:rFonts w:ascii="Amiri" w:hAnsi="Amiri" w:eastAsia="Amiri" w:cs="Amiri"/>
          <w:color w:val="111111"/>
          <w:sz w:val="28"/>
          <w:sz w:val="28"/>
          <w:szCs w:val="28"/>
          <w:rtl w:val="true"/>
          <w:lang w:bidi="ar-SA"/>
        </w:rPr>
        <w:t>باستعراض مجموعة من تلك الطرق بل وألّف السيّد رضي الدين بن طاوس رسالة خاصّة في هذا المجال سمّاها برسالة الاستخارات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ان مسألة الاستخارة لم تختص بها معاجم الحديث الشيعية بل وردت في معاجم حديث العامة أيضا ، ففي كنز </w:t>
      </w:r>
      <w:bookmarkStart w:id="44" w:name="pg19390_208230"/>
    </w:p>
    <w:p>
      <w:pPr>
        <w:pStyle w:val="BookText"/>
        <w:rPr/>
      </w:pPr>
      <w:bookmarkEnd w:id="44"/>
      <w:r>
        <w:rPr>
          <w:rFonts w:ascii="IRNazanin" w:hAnsi="IRNazanin" w:eastAsia="IRNazanin"/>
          <w:color w:val="111111"/>
          <w:sz w:val="28"/>
          <w:sz w:val="28"/>
          <w:szCs w:val="28"/>
          <w:rtl w:val="true"/>
          <w:lang w:bidi="fa-IR"/>
        </w:rPr>
        <w:t xml:space="preserve">العمّال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هممت بأمر فاستخر ربّك فيه سبع مرّات ثم انظر الى الذي يسبق إلى قلبك فان الخير فيه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مستدرك الحاكم عن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ابن آدم استخارته الى اللّه، ومن شقاوة ابن آدم تركه استخارة اللّه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انها كما ترى ناظرة الى الاستخارة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اللمحة الموجزة عن الاستخارة نطرح تساؤلات ثلاثة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7494287_1280447820"/>
      <w:bookmarkStart w:id="46" w:name="_Toc16"/>
      <w:bookmarkEnd w:id="45"/>
      <w:r>
        <w:rPr>
          <w:rtl w:val="true"/>
        </w:rPr>
        <w:t>التساؤل الأوّل</w:t>
      </w:r>
      <w:bookmarkEnd w:id="46"/>
    </w:p>
    <w:p>
      <w:pPr>
        <w:pStyle w:val="BookText"/>
        <w:rPr/>
      </w:pPr>
      <w:r>
        <w:rPr>
          <w:rFonts w:ascii="Amiri" w:hAnsi="Amiri" w:eastAsia="Amiri" w:cs="Amiri"/>
          <w:color w:val="111111"/>
          <w:sz w:val="28"/>
          <w:sz w:val="28"/>
          <w:szCs w:val="28"/>
          <w:rtl w:val="true"/>
          <w:lang w:bidi="ar-SA"/>
        </w:rPr>
        <w:t>كيف نثبت اعتبار الاستخارة بشكلها المتداول اليوم بين المؤمنين؟</w:t>
      </w:r>
    </w:p>
    <w:p>
      <w:pPr>
        <w:pStyle w:val="BookText"/>
        <w:rPr/>
      </w:pPr>
      <w:r>
        <w:rPr>
          <w:rFonts w:ascii="Amiri" w:hAnsi="Amiri" w:eastAsia="Amiri" w:cs="Amiri"/>
          <w:color w:val="111111"/>
          <w:sz w:val="28"/>
          <w:sz w:val="28"/>
          <w:szCs w:val="28"/>
          <w:rtl w:val="true"/>
          <w:lang w:bidi="ar-SA"/>
        </w:rPr>
        <w:t xml:space="preserve">يمكن الاستعانة بالطريقين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بروايات القرعة ، ففي صحيحة محمد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فانّها باطلاقها تشمل كل مجهول بما فيه المورد الذي يقدم عليه المؤمن ويشك في وجود المصلحة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 القرعة لا تنحصر بكيفية معينة بل يمكن ان تتحقق من خلال المسبحة وغيرها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روايات القرعة الاخرى الناظرة الى حالة وجود التنازع من قبيل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تقارعوا ثم فوّضوا أمرهم الى اللّه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يمكن التمسك بها بعد الغاء خصوصية </w:t>
      </w:r>
    </w:p>
    <w:p>
      <w:pPr>
        <w:pStyle w:val="BookText"/>
        <w:rPr/>
      </w:pPr>
      <w:r>
        <w:rPr>
          <w:rFonts w:ascii="Amiri" w:hAnsi="Amiri" w:eastAsia="Amiri" w:cs="Amiri"/>
          <w:color w:val="111111"/>
          <w:sz w:val="28"/>
          <w:sz w:val="28"/>
          <w:szCs w:val="28"/>
          <w:rtl w:val="true"/>
          <w:lang w:bidi="ar-SA"/>
        </w:rPr>
        <w:t xml:space="preserve">النزاع ، فانّه يمكن ان يفهم منها ان تمام النكتة تمكن في وجود حق مجهول يراد تعرّفه ، وبتفويض الأمر الى اللّه سبحانه يمكن الوصول الى ذلك الحق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المصلحة وعدمها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الاقتراع الذي له أنحاء متعددة من جملتها الاستعانة بالمسبحة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لسنا بحاجة في اثبات مشروعية الاستخارة بأشكالها المتداولة اليوم إلى قيام دليل خاص بل تكفينا أدلّة الحث الشديد على الدعاء والتي تجعل منه عبادة بأسمى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اذ من الواضح ان الذي يقبض المسبحة ونحوها من وسائل الاستخارة يأخذ بالدعاء والالحاح على اللّه سبحانه في تشخيص واقع الأمر المجهول عليه ، وأي محذور في ان يطلب المؤمن أثناء دعائه تشخيص الواقع المجهول له من خلال المسبحة وغيرها؟</w:t>
      </w:r>
    </w:p>
    <w:p>
      <w:pPr>
        <w:pStyle w:val="BookText"/>
        <w:rPr/>
      </w:pPr>
      <w:r>
        <w:rPr>
          <w:rFonts w:ascii="Amiri" w:hAnsi="Amiri" w:eastAsia="Amiri" w:cs="Amiri"/>
          <w:color w:val="111111"/>
          <w:sz w:val="28"/>
          <w:sz w:val="28"/>
          <w:szCs w:val="28"/>
          <w:rtl w:val="true"/>
          <w:lang w:bidi="ar-SA"/>
        </w:rPr>
        <w:t>ان المسألة ما دامت مسألة دعاء فهي لا تحتاج بعد ذلك الى دليل خاص يدل على المشروعية وتكفي أدلّة مشروعية الدعاء ورجحانه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المسألة بعد هذا لا تبقى منحصرة بالمسبحة وبطريقة خاصة بل من حق المؤمن الاستعانة بأي وسيلة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هي المسبحة أو القرآن الكريم أو الرقاع الخاصة أو أي وسيلة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هو يدعو اللّه سبحانه ويطلب منه من خلال تلك الوسيلة الخاصة تشخيص الواقع المجهول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ما دامت القضية ترجع الى كونها مصداقا من مصاديق </w:t>
      </w:r>
    </w:p>
    <w:p>
      <w:pPr>
        <w:pStyle w:val="BookText"/>
        <w:rPr/>
      </w:pPr>
      <w:r>
        <w:rPr>
          <w:rFonts w:ascii="Amiri" w:hAnsi="Amiri" w:eastAsia="Amiri" w:cs="Amiri"/>
          <w:color w:val="111111"/>
          <w:sz w:val="28"/>
          <w:sz w:val="28"/>
          <w:szCs w:val="28"/>
          <w:rtl w:val="true"/>
          <w:lang w:bidi="ar-SA"/>
        </w:rPr>
        <w:t>الدعاء فمن الراجح اختيار الوقت المناسب والمكان المناسب والالحاح عليه سبحانه في اراءة الطريق من خلال المسبحة أو غيرها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والأجدر بالمؤمن ان يجمع بين كلا معنيي الاستخارة ، فاذا أراد الاقدام على قضية معينة وكان شاكّا في سلامة نتائجها استخار بالمعنى الثاني من خلال المسبحة أو غيرها فاذا تشخص له الموقف الذي يلزمه اتخاذه استخار اللّه سبحانه بالمعنى الأوّل بمعنى طلب تقدير الخير والموفقية في الموقف الذي صمم على اتخاذه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ان من أحسن وسائل الاستخارة بالمعنى الثاني وأقواها ان يدعو اللّه عزّ وجلّ أوّلا بتقدير الموفقية والخير فيما سوف يتخذه من موقف ويدعو منضما الى ذلك بأن يلهم سبحانه قلبه بما هو سداد فيفكر ويهتدي في تفكيره الى ذلك أو يسترشد بعض اخوانه فيوفقون في ارشاده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الطريق كما هو عقلائي في نفسه ويدخل تحت مصداقية الدعاء قد دلّت عليه بعض الروايات ، ففي رواية هارون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فتستخير اللّه فيه أوّلا ثم تشاور فيه فانه إذا بدأ باللّه أجرى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الامام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عرضت لأحدكم حاجة فليستشر اللّه ربّه فان أشار عليه اتبع وان لم يشر عليه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عقيب المكتوبة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47" w:name="pg19390_208233"/>
    </w:p>
    <w:p>
      <w:pPr>
        <w:pStyle w:val="BookText"/>
        <w:rPr/>
      </w:pPr>
      <w:bookmarkEnd w:id="47"/>
      <w:r>
        <w:rPr>
          <w:rFonts w:ascii="Amiri" w:hAnsi="Amiri" w:eastAsia="Amiri" w:cs="Amiri"/>
          <w:color w:val="111111"/>
          <w:sz w:val="28"/>
          <w:sz w:val="28"/>
          <w:szCs w:val="28"/>
          <w:rtl w:val="true"/>
          <w:lang w:bidi="ar-SA"/>
        </w:rPr>
        <w:t>خر لي مائة مرّة ثم يتوسّل بنا ويصلّي علينا ويستشفع بنا ثم تنظر ما يلهمك تفعله فهو الذي أشار عليك به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ان لا يغيب علينا ان الاستخارة بالمعنى الثاني بعد دخولها في مصداقية الدعاء فمن المناسب الاقتصار فيها على الحدود العقلائية للدعاء ، فكما لا يليق للعاقل ان يدعو بنزول مائدة عليه من السماء بل اللائق ان يدعو بالموفقية في سعيه وطلبه للرزق كذلك من المناسب اقتصاره في الاستخارة بالمعنى الثاني على مثل ذلك فيستخير عند تحيره وعدم معرفته بالمصلحة وعدم وجود من يمكنه الاستعانة به في مقام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ادخال الاستخارة بالمعنى الثاني في مصداقية الدعاء ينبغي الحكم باستحبابها كما يحكم باستحباب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من اللّه سبحانه بأن يرزق عبده أموالا وأولادا دعاء جزما فاذا حكم باستحباب مثله فليحكم باستحباب الاستخارة بالمعنى الثاني أيضا واذا لم يحكم باستحباب مثل ذاك لم يحكم باستحباب الاستخارة أيضا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7494289_1280447820"/>
      <w:bookmarkStart w:id="49" w:name="_Toc17"/>
      <w:bookmarkEnd w:id="48"/>
      <w:r>
        <w:rPr>
          <w:rtl w:val="true"/>
        </w:rPr>
        <w:t>التساؤل الثاني</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الصحيح ايكال أمر الاستخارة الى شخص ثان وعدم تصدي صاحب القضية نفسه لها كما هو المتداول بين المتشرعة من المؤمنين يومنا هذا؟ أجاب صاحب الجواهر عن ذلك بأولوية استخارة المؤمن نفسه لنفسه لخلو النصوص من الاشارة الى فكرة النيابة بل </w:t>
      </w:r>
      <w:bookmarkStart w:id="50" w:name="pg19390_208234"/>
    </w:p>
    <w:p>
      <w:pPr>
        <w:pStyle w:val="BookText"/>
        <w:rPr/>
      </w:pPr>
      <w:bookmarkEnd w:id="50"/>
      <w:r>
        <w:rPr>
          <w:rFonts w:ascii="Amiri" w:hAnsi="Amiri" w:eastAsia="Amiri" w:cs="Amiri"/>
          <w:color w:val="111111"/>
          <w:sz w:val="28"/>
          <w:sz w:val="28"/>
          <w:szCs w:val="28"/>
          <w:rtl w:val="true"/>
          <w:lang w:bidi="ar-SA"/>
        </w:rPr>
        <w:t xml:space="preserve">لعل الأصل يقتضي عدم مشروعية ذلك لأنّها من المستحبات المشتملة على التضرّع والدعاء ممّا لا يجري الاستنابة فيه وان تعارف في زماننا هذا بل وما تقدّمه بين العلماء فضلا عن العوام الاستنابة في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والمناسب الجزم بجواز ذلك لأنّ القضية ما دامت ترجع الى مصداقية الدعاء فما أجدر ان يكون الدعاء للمؤمن بلسان لم يرتكب به ذنبا فيدعو المؤمن لأخيه المؤمن من خلال المسبحة أو غيرها بارشاده الى طريق الصواب والموفقية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الأجدر من زاوية هو النيابة حيث توحي بأن الشخص لا يرى لنفسه اللياقة في التحدث وطلب الحاجة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العادة في ان طالب الحاجة من السلطان العظيم لا يتقدّم إليه بنفسه بل بواسطة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وان كان كما ورد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اناديه كلّما شئت لحاجتي وأخلو به حيث شئت لسري بغير شفيع فيقضي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تقديم الشفيع أكثر تأدّبا واحتراما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لإثبات جواز الاستنابة في الاستخارة لا نبقى بحاجة الى ما ذكره البعض من التمسك بأدلّة رجحان قضاء حاجة المؤمن بتقريب ان المؤمن إذا طلب من أخيه الاستخارة له فمن باب رجحان اجابة دعوته تشرع الاستخارة له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7494291_1280447820"/>
      <w:bookmarkStart w:id="52" w:name="_Toc18"/>
      <w:bookmarkEnd w:id="51"/>
      <w:r>
        <w:rPr>
          <w:rtl w:val="true"/>
        </w:rPr>
        <w:t>التساؤل الثالث</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يعترض على مشروعية الاستخارة بالنهي عن الاستقسام </w:t>
      </w:r>
    </w:p>
    <w:p>
      <w:pPr>
        <w:pStyle w:val="BookText"/>
        <w:rPr/>
      </w:pPr>
      <w:r>
        <w:rPr>
          <w:rFonts w:ascii="Amiri" w:hAnsi="Amiri" w:eastAsia="Amiri" w:cs="Amiri"/>
          <w:color w:val="111111"/>
          <w:sz w:val="28"/>
          <w:sz w:val="28"/>
          <w:szCs w:val="28"/>
          <w:rtl w:val="true"/>
          <w:lang w:bidi="ar-SA"/>
        </w:rPr>
        <w:t xml:space="preserve">بالأزلام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 </w:t>
      </w:r>
      <w:r>
        <w:rPr>
          <w:rStyle w:val="FootnoteAnchor"/>
          <w:rtl w:val="true"/>
        </w:rPr>
        <w:footnoteReference w:id="36"/>
      </w:r>
      <w:r>
        <w:rPr>
          <w:rFonts w:ascii="Amiri" w:hAnsi="Amiri" w:eastAsia="Amiri" w:cs="Amiri"/>
          <w:color w:val="111111"/>
          <w:sz w:val="28"/>
          <w:sz w:val="28"/>
          <w:szCs w:val="28"/>
          <w:rtl w:val="true"/>
          <w:lang w:bidi="ar-SA"/>
        </w:rPr>
        <w:t>حيث قيل ان المراد به النهي عمّا كان متداولا زمن الجاهلية من الضرب بالسهام لاستعلام الخير والشر في الأفعال وتمييز النافع من الضار، فمن يريد سفرا أو زواجا أو ما شاكل ذلك يضرب بالسهام لتشخيص ما فيه الخير فيعمل به، والاستخارة المتداولة يومنا هذا من خلال الرقاع أو غيرها لتمييز ما فيه المصلحة عمّا ليس فيه ليست إلاّ كالاستقسام بالأزلام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تسليم المحقّق الأردبيلي في كتابه زبدة البيان بهذا الاعتراض وحكمه بحرمة بعض أقسام الاستخارة المشابهة للاستقسام بالأزلام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قد يعترض على مشروعية الاستخارة بالنهي عن التفؤل بالقرآن الكريم الوارد في رواية الشيخ الكليني عن عدّة من أصحابنا عن سهل بن زياد عن محمّد بن عيسى عن بعض رجاله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قد يعترض على الاستخارة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مناقشة الاعتراض الأوّل بأن المقصود بالاستقسام بالأزلام هو الميسر الذي قيل عنه بأنّه عبارة عن شراء جزور </w:t>
      </w:r>
    </w:p>
    <w:p>
      <w:pPr>
        <w:pStyle w:val="BookText"/>
        <w:rPr/>
      </w:pPr>
      <w:r>
        <w:rPr>
          <w:rFonts w:ascii="Amiri" w:hAnsi="Amiri" w:eastAsia="Amiri" w:cs="Amiri"/>
          <w:color w:val="111111"/>
          <w:sz w:val="28"/>
          <w:sz w:val="28"/>
          <w:szCs w:val="28"/>
          <w:rtl w:val="true"/>
          <w:lang w:bidi="ar-SA"/>
        </w:rPr>
        <w:t>وتقسيمها الى عشرة أقسام سبعة ذات نصيب وثلاثة بلا نصيب ويكتب ذلك على سهام عشرة ، ومن خرج له أحد السهام السبعة دفعت له حصّة من الجزور بلا ثمن مقابل ، ومن خرج له أحد السهام الثلاثة تكفّل بدفع ثلث قيمة الجزور من دون ان يحصل على شي‌ء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المقصود من الاستقسام بالأزلام هو ما ذكر دون التفسير المتقدّم بقرينة سياق الآية فان جميع ما ذكر فيها هو من أقسام اللحوم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انطباق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الثاني الذي ذكرناه واضح وليس فيه أي عناية لأنّه تطلب قسمة الجزور من خلال الأزلام وبواسطتها ، وهذا بخلافه على المعنى الأوّل فانه وان كانت فيه استعانة بالأزلام ولكن ليس فيه استقسام ولا قسمة ولا طلب للأقسام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عن كلتا هاتين القرينتين فيكفينا الشك واحتمال ارادة المعنى الثاني لأننا أثبتنا فيما سبق مشروعية الاستخارة بواسطة أدلّة مشروعية القرعة وأدلّة مشروعية الدعاء ، وبعد ثبوت المقتضي للمشروعية يشك في وجود المانع والمعارض ، وحيث انّه مجمل وذو احتمالين فلا يمكن التمسّك به وتبقى أدلّة المشروعية بلا معارض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ويمكن مناقشة الاعتراض الثاني بأن الرواية الناهية عن التفؤل بالقرآن الكريم مضافا الى ضعف سندها بالارسال لا بدّ من حملها على النهي عن التفؤل بمعنى محاولة تعرّف الحوادث المستقبلية من سرور وخيرات من دون تعميم للاستخارة بمعنى محاولة تعرّف </w:t>
      </w:r>
      <w:bookmarkStart w:id="53" w:name="pg19390_208237"/>
    </w:p>
    <w:p>
      <w:pPr>
        <w:pStyle w:val="BookText"/>
        <w:rPr/>
      </w:pPr>
      <w:bookmarkEnd w:id="53"/>
      <w:r>
        <w:rPr>
          <w:rFonts w:ascii="Amiri" w:hAnsi="Amiri" w:eastAsia="Amiri" w:cs="Amiri"/>
          <w:color w:val="111111"/>
          <w:sz w:val="28"/>
          <w:sz w:val="28"/>
          <w:szCs w:val="28"/>
          <w:rtl w:val="true"/>
          <w:lang w:bidi="ar-SA"/>
        </w:rPr>
        <w:t xml:space="preserve">وجود مصلحة أو مفسدة في ايقاع فعل معين بقرينة رواية اليسع القمي التي تحث على الاستخارة بالقرآن الكريم بلسان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وافتتح المصحف فانظر الى أوّل ما ترى فيه فخذ به إن شاء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7494293_1280447820"/>
      <w:bookmarkStart w:id="55" w:name="_Toc19"/>
      <w:bookmarkEnd w:id="54"/>
      <w:r>
        <w:rPr>
          <w:rtl w:val="true"/>
        </w:rPr>
        <w:t>مناقشة ابن إدريس</w:t>
      </w:r>
      <w:bookmarkEnd w:id="55"/>
    </w:p>
    <w:p>
      <w:pPr>
        <w:pStyle w:val="BookText"/>
        <w:rPr/>
      </w:pPr>
      <w:r>
        <w:rPr>
          <w:rFonts w:ascii="Amiri" w:hAnsi="Amiri" w:eastAsia="Amiri" w:cs="Amiri"/>
          <w:color w:val="111111"/>
          <w:sz w:val="28"/>
          <w:sz w:val="28"/>
          <w:szCs w:val="28"/>
          <w:rtl w:val="true"/>
          <w:lang w:bidi="ar-SA"/>
        </w:rPr>
        <w:t>رفض ابن إدريس بعض أقسام الاستخارة واقتصر على الاستخارة ذات الصلاة والدعاء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في ذلك الى ان رواة بقيّة الأقسام فطحية لا يعتمد على روايتهم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على ذلك المحقق الحلّي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الرقاع فيتضمن افعل ولا تفعل وفي خبره الشذوذ فلا عبرة بها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اتضح لنا من خلال ما تقدّم اننا في غنى عن خبر صحيح لإثبات كل نوع من أنواع الاستخارة بعد كونها جميعا من مصاديق الدعاء والتوجه الى اللّه سبحانه في جعل الرقاع ونحوها وسيلة لتعرّف وجدان الفعل الذي يراد الاقدام عليه للمصلحة أو المفسدة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494295_1280447820"/>
      <w:bookmarkStart w:id="57" w:name="_Toc20"/>
      <w:bookmarkEnd w:id="56"/>
      <w:r>
        <w:rPr/>
        <w:t>11</w:t>
      </w:r>
      <w:r>
        <w:rPr>
          <w:rtl w:val="true"/>
        </w:rPr>
        <w:t xml:space="preserve"> - </w:t>
      </w:r>
      <w:r>
        <w:rPr>
          <w:rtl w:val="true"/>
        </w:rPr>
        <w:t>تطبيقات لقاعدة القرعة</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اختلط مال شخص بمال آخر فما هو الحكم؟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عقد على امرأة معينة ثم حصل له التردّد فيها بين ثنتين فما هو الحكم؟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الامارة مقدّمة على الأصل إلاّ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 من الغنم تحقق وطء واحد منها من دون امكان تشخيصه فما هو حكمه؟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المكلف بأنّه نذر شيئا ولا يدري ما هو فما هو حكمه؟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بنجاسة أحد انائين فلما ذا لا يستعان بالقرعة لتشخيصه؟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شخص مقتول وادّعى اثنان ان كل واحد منهما هو القاتل وهكذا لو تحقّقت سرقة وادّعاها اثنان فما هو الحكم؟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لدينا اناءان احدهما نجس والآخر طاهر وعلمنا بوقوع نجاسة في أحدهما فهل يمكن تطبيق قاعدة القرعة؟ ولما ذا؟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9390_208240"/>
      <w:bookmarkStart w:id="59" w:name="pg19390_208240"/>
      <w:bookmarkEnd w:id="59"/>
    </w:p>
    <w:p>
      <w:pPr>
        <w:pStyle w:val="Heading2"/>
        <w:numPr>
          <w:ilvl w:val="1"/>
          <w:numId w:val="1"/>
        </w:numPr>
        <w:rPr/>
      </w:pPr>
      <w:bookmarkStart w:id="60" w:name="pg19390_208240"/>
      <w:bookmarkStart w:id="61" w:name="__RefHeading___Toc17494297_1280447820"/>
      <w:bookmarkStart w:id="62" w:name="_Toc21"/>
      <w:bookmarkEnd w:id="60"/>
      <w:bookmarkEnd w:id="61"/>
      <w:r>
        <w:rPr>
          <w:rtl w:val="true"/>
        </w:rPr>
        <w:t>قاعدة الطهارة</w:t>
      </w:r>
      <w:bookmarkEnd w:id="62"/>
    </w:p>
    <w:p>
      <w:pPr>
        <w:pStyle w:val="Heading3"/>
        <w:numPr>
          <w:ilvl w:val="2"/>
          <w:numId w:val="1"/>
        </w:numPr>
        <w:rPr/>
      </w:pPr>
      <w:bookmarkStart w:id="63" w:name="__RefHeading___Toc17494299_1280447820"/>
      <w:bookmarkStart w:id="64" w:name="_Toc22"/>
      <w:bookmarkEnd w:id="63"/>
      <w:r>
        <w:rPr>
          <w:rtl w:val="true"/>
        </w:rPr>
        <w:t>اشارة</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للشك في النجاسة الذاتية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لمورد استصحاب النجاسة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القاعدة لموارد الشبهة الحكمية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الطهارة حكم ظاهري أو واقعي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 الطهارة أو مانعية النجاسة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المسلمة التي لم يقع فيها خلاف في الجملة قاعدة الطهارة ، ولئن كان هناك تشكيك فهو في سعتها وحدودها لا في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يبحثها الاعلام بشكل تفصيلي ومستقل بل يمرون عليها مرّ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السيد اليزدي في العروة الوثقى بعد ان أنهى استعراض النجاسات ذكر في المسألة الثانية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طاهر سواء كانت الشبهة لاحتمال كونه من الأعيان النجسة أو لاحتمال تنجسه مع كونه من الأعيان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الاعلام في مقام التعليق بأن قاعدة الطهارة مسلمة لموثقة عمّار وغيرها من دون فرق بين أقسام الشبهة ، والحال ان صاحب الحدائق في المقدّمة الحادية عشرة أشار الى وجود خلاف في الشبهة الحكمية كما سيأتي إن شاء اللّه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للفقه قواعد تدور عليها رحاه فمن تلك قاعدة الطهارة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عنها يقع ضمن النقاط التالية </w:t>
      </w:r>
      <w:r>
        <w:rPr>
          <w:rFonts w:eastAsia="Amiri" w:cs="Amiri" w:ascii="Amiri" w:hAnsi="Amiri"/>
          <w:color w:val="111111"/>
          <w:sz w:val="28"/>
          <w:szCs w:val="28"/>
          <w:rtl w:val="true"/>
          <w:lang w:bidi="ar-SA"/>
        </w:rPr>
        <w:t xml:space="preserve">: </w:t>
      </w:r>
      <w:bookmarkStart w:id="65" w:name="pg19390_208243"/>
    </w:p>
    <w:p>
      <w:pPr>
        <w:pStyle w:val="BookText"/>
        <w:rPr/>
      </w:pPr>
      <w:bookmarkEnd w:id="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للشك في النجاسة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لمورد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القاعدة لموارد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الطهارة حكم ظاهري أو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 الطهارة أو مانعية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7494301_1280447820"/>
      <w:bookmarkStart w:id="67" w:name="_Toc23"/>
      <w:bookmarkEnd w:id="66"/>
      <w:r>
        <w:rPr/>
        <w:t>1</w:t>
      </w:r>
      <w:r>
        <w:rPr>
          <w:rtl w:val="true"/>
        </w:rPr>
        <w:t xml:space="preserve"> - </w:t>
      </w:r>
      <w:r>
        <w:rPr>
          <w:rtl w:val="true"/>
        </w:rPr>
        <w:t>مضمون القاعدة</w:t>
      </w:r>
      <w:bookmarkEnd w:id="67"/>
    </w:p>
    <w:p>
      <w:pPr>
        <w:pStyle w:val="BookText"/>
        <w:rPr/>
      </w:pPr>
      <w:r>
        <w:rPr>
          <w:rFonts w:ascii="Amiri" w:hAnsi="Amiri" w:eastAsia="Amiri" w:cs="Amiri"/>
          <w:color w:val="111111"/>
          <w:sz w:val="28"/>
          <w:sz w:val="28"/>
          <w:szCs w:val="28"/>
          <w:rtl w:val="true"/>
          <w:lang w:bidi="ar-SA"/>
        </w:rPr>
        <w:t>ان مضمون القاعدة واضح ، وهو الحكم بطهارة كل شي‌ء يشك في طهارته وتحتمل نجاسته بنحو الحكم الظاهري المغيى بالعلم بالنجاسة ، فمتى ما تحقق العلم بالنجاسة ارتفع الحكم بالطهارة ومتى لم يتحقق لم يرتفع وكان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المقصود الحكم على الأشياء بالطهارة في مرحلة الواقع بل الحكم عليها بذلك في مرحلة الظاهر ، أي ما دام لا يعلم بالطهارة والنجاسة واقعا ، ومتى ما علم اما بالطهارة واقعا أو بالنجاسة واقعا كان المدار على ذلك العلم دون قاعدة الطهارة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7494303_1280447820"/>
      <w:bookmarkStart w:id="69" w:name="_Toc24"/>
      <w:bookmarkEnd w:id="68"/>
      <w:r>
        <w:rPr/>
        <w:t>2</w:t>
      </w:r>
      <w:r>
        <w:rPr>
          <w:rtl w:val="true"/>
        </w:rPr>
        <w:t xml:space="preserve"> - </w:t>
      </w:r>
      <w:r>
        <w:rPr>
          <w:rtl w:val="true"/>
        </w:rPr>
        <w:t>مدرك القاعدة</w:t>
      </w:r>
      <w:bookmarkEnd w:id="69"/>
    </w:p>
    <w:p>
      <w:pPr>
        <w:pStyle w:val="Heading4"/>
        <w:numPr>
          <w:ilvl w:val="3"/>
          <w:numId w:val="1"/>
        </w:numPr>
        <w:rPr/>
      </w:pPr>
      <w:bookmarkStart w:id="70" w:name="__RefHeading___Toc17494305_1280447820"/>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يمكن الاستدلال على القاعدة المذكورة بأمور أربعة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بموثقة عمّار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w:t>
      </w:r>
    </w:p>
    <w:p>
      <w:pPr>
        <w:pStyle w:val="BookText"/>
        <w:rPr/>
      </w:pPr>
      <w:r>
        <w:rPr>
          <w:rFonts w:ascii="Amiri" w:hAnsi="Amiri" w:eastAsia="Amiri" w:cs="Amiri"/>
          <w:color w:val="111111"/>
          <w:sz w:val="28"/>
          <w:sz w:val="28"/>
          <w:szCs w:val="28"/>
          <w:rtl w:val="true"/>
          <w:lang w:bidi="ar-SA"/>
        </w:rPr>
        <w:t>حتى تعلم انّه قذر ، فاذا علمت فقد قذر ، وما لم تعلم فليس عليك</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ما يمكن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ببعض الروايات الخاصة التي قد يتصيد من مجموعها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معتبرة حمّاد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حفص بن غياث عن جعفر عن أبيه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ابالي أبول أصابني أو ماء إذا لم أعلم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الشك وعدم العلم في الحكم بالطهارة ، وهذا ليس الا عبارة اخرى عن مضمون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الفأرة والدجاجة والحمام وأشباهها تطأ العذرة ثم تطأ الثوب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استبان من أثره شي‌ء فاغلسه وإلاّ فلا بأس</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فان الحكم بعدم وجوب الغسل عند عدم الاستبانة لا وجه له إلاّ الاستناد الى قاعدة الطهارة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عمّار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يجد في انائه فأرة وقد توضأ من ذلك الاناء مرارا أو اغتسل منه أو غسل ثيابه وقد كانت الفأرة متسلخة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رآها في الاناء قبل ان يغتسل أو يتوضأ أو يغسل ثيابه ثم يفعل ذلك بعد ما رآها في الاناء فعليه ان يغسل ثيابه </w:t>
      </w:r>
    </w:p>
    <w:p>
      <w:pPr>
        <w:pStyle w:val="BookText"/>
        <w:rPr/>
      </w:pPr>
      <w:r>
        <w:rPr>
          <w:rFonts w:ascii="Amiri" w:hAnsi="Amiri" w:eastAsia="Amiri" w:cs="Amiri"/>
          <w:color w:val="111111"/>
          <w:sz w:val="28"/>
          <w:sz w:val="28"/>
          <w:szCs w:val="28"/>
          <w:rtl w:val="true"/>
          <w:lang w:bidi="ar-SA"/>
        </w:rPr>
        <w:t>ويغسل كلّ ما أصابه ذلك الماء ويعيد الوضوء والصلاة ، وان كان انّما رآها بعد ما فرغ من ذلك وفعله فلا يمس من ذلك الماء شيئا وليس عليه شي‌ء لأنّه لا 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ان يكون انّما سقطت فيه تلك الساعة التي رآها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فان ابراز احتمال السقوط تلك الساعة انّما ينفع بناء على تمامية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بالروايات الخاصّة المذكورة على قاعدة الطهارة يتم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خصوصية المورد بتنقيح المناط وإلاّ بقيت خاصة بموردها ، وانحصار المستند في الحكم بالطهارة بقاعدة الطهارة وعدم وجود مدرك آخر كاستصحاب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تم الشرط الأوّل فالثاني غير تام لاحتمال أن يكون حكم الامام  عليه‌ السلام بالطهارة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كلّه طاهر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استصحاب طهارة الماء الثابتة في بداية تولده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عدم مبالاة أمير المؤمنين  عليه‌ السلام في الرواية الثانية مستندا الى استصحاب الطهارة الثابتة قبل احتمال اصابة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عدم لزوم الغسل عند عدم استبانة شي‌ء من الأثر في الثوب مستندا الى استصحاب طهارة الثوب أو عدم اصابة النجاسة له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والوجه في عدم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استصحاب بقاء النجاسة في رجل الحيوان ان كان مجرّد إثبات بقاء النجاسة في رجل الحيوان ولو لم تكن مصيبة للثوب فذلك لغو وبلا فائدة ، وان كان الغرض من ذلك إثبات تحقّق اصابة النجاسة للثوب فذلك لا يتمّ إلاّ بناء على حجيّة الأصل المثبت ، إذ لا دليل شرعي يدلّ على أنّ النجاسة إذا كانت باقية في رجل الحيوان فهي مصيبة للثوب وانّما ذلك ثابت بالملازمة العادية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عدم غسل الثياب في موثقة</w:t>
      </w:r>
    </w:p>
    <w:p>
      <w:pPr>
        <w:pStyle w:val="BookText"/>
        <w:rPr/>
      </w:pPr>
      <w:r>
        <w:rPr>
          <w:rFonts w:ascii="Amiri" w:hAnsi="Amiri" w:eastAsia="Amiri" w:cs="Amiri"/>
          <w:color w:val="111111"/>
          <w:sz w:val="28"/>
          <w:sz w:val="28"/>
          <w:szCs w:val="28"/>
          <w:rtl w:val="true"/>
          <w:lang w:bidi="ar-SA"/>
        </w:rPr>
        <w:t>عمّار مستندا الى استصحاب طهارة الماء ما دام لم يتيقّن بوقوع الفأرة فيه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وسلّمنا بتمامية الشرطين المتقدّمين ومن ثمّ تسليم امكان اقتناص قاعدة الطهارة من الموارد المذكورة فيمكن أن يقال ان المستفاد من الموارد المذكورة ثبوت قاعدة الطهارة في الجملة ولا يمكن استفادة التعميم لموارد الشك في الطهارة بنحو الشبهة الحكمية أو لموارد الشك في النجاسة الذاتية ، وهذا بخلافه على المستند الأوّل فانّه يمكن التمسك باطلاقه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بدعوى ان عادة الشارع قد جرت على بيان النجاسات ولم تجر على بيان الامور الطاهرة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نجس أو ذاك نجس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أو ذاك طاهر فان بيان الامور الطاهرة غير ممكن لعدم انحصارها بخلاف الامور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ما قيل في باب اصالة البراءة من ان عادة الشارع قد جرت على بيان المحرمات دون المباحات ، فمن عدم بيانه لحرمة شي‌ء يفهم كونه مباحا ، وهكذا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الشك في النجاسة يرجع أحيانا إلى الشك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اريد أكل شي‌ء مشكوك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أصل البراءة بلا حاجة الى اجراء أصل الطهارة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اريد الصلاة أو الطواف في الشي‌ء المشكوك أمكن اجراء البراءة عن تقيد الصلاة الواجبة والطواف الواجب بعدم لبس المشكوك ، </w:t>
      </w:r>
    </w:p>
    <w:p>
      <w:pPr>
        <w:pStyle w:val="BookText"/>
        <w:rPr/>
      </w:pPr>
      <w:r>
        <w:rPr>
          <w:rFonts w:ascii="Amiri" w:hAnsi="Amiri" w:eastAsia="Amiri" w:cs="Amiri"/>
          <w:color w:val="111111"/>
          <w:sz w:val="28"/>
          <w:sz w:val="28"/>
          <w:szCs w:val="28"/>
          <w:rtl w:val="true"/>
          <w:lang w:bidi="ar-SA"/>
        </w:rPr>
        <w:t xml:space="preserve">كما هو الحال في لبس ما يشك في كونه من أجزاء ما لا يؤكل لحمه ، فكما تجري البراءة عن تقيد الصلاة أو الطواف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المانعية انحلالية بعدد افراد المانع ، والصلاة مقيّدة بعدم كل واحد من الموانع ، والشك في نجاسة المشكوك شك في حدوث مانع جديد ومن ثمّ شك في حدوث تقييد جديد ، وأصل البراءة يقتضي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المدرك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وان كان وجيها ولكنّه خاص بما إذا كان الشك في الطهارة بنحو الشبهة الحكمية بأن شك في ان العصير العنبي إذا غلى هل حكم الشارع عليه بالنجاسة أو لا ، والأرنب هل حكم الشارع عليه بالنجاسة أو لا ، وهكذا ، ولا يتم في الشبهات الموضوعية ، كما لو شك في ان هذا الثوب طاهر أو نجس وذاك الماء طاهر أو نجس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بالاستصحاب بأن يقال ان النجاسة نشك في جعلها للشي‌ء المشكوك ، ومقتضى الأصل عدم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ينفع في الموارد التي تكون النجاسة فيها مانعا دون الموارد التي تكون فيها الطهارة شرطا فانّه بالأصل يمكن نفي مانعية النجاسة ولا يمكن اثبات شرطية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مدارك أربعة لإثبات قاعدة الطهارة ، والمهم منها كما عرفنا هو الأوّل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التسالم فلا يمكن الاستناد إليه لاحتمال مدركيته بل يجزم بذلك</w:t>
      </w:r>
      <w:r>
        <w:rPr>
          <w:rFonts w:eastAsia="Amiri" w:cs="Amiri" w:ascii="Amiri" w:hAnsi="Amiri"/>
          <w:color w:val="111111"/>
          <w:sz w:val="28"/>
          <w:szCs w:val="28"/>
          <w:rtl w:val="true"/>
          <w:lang w:bidi="ar-SA"/>
        </w:rPr>
        <w:t xml:space="preserve">. </w:t>
      </w:r>
      <w:bookmarkStart w:id="72" w:name="pg19390_208248"/>
    </w:p>
    <w:p>
      <w:pPr>
        <w:pStyle w:val="Heading4"/>
        <w:numPr>
          <w:ilvl w:val="3"/>
          <w:numId w:val="1"/>
        </w:numPr>
        <w:rPr/>
      </w:pPr>
      <w:bookmarkStart w:id="73" w:name="__RefHeading___Toc17494307_1280447820"/>
      <w:bookmarkStart w:id="74" w:name="_Toc26"/>
      <w:bookmarkEnd w:id="72"/>
      <w:bookmarkEnd w:id="73"/>
      <w:r>
        <w:rPr>
          <w:rtl w:val="true"/>
        </w:rPr>
        <w:t>الاشكال في سند موثقة عمّار</w:t>
      </w:r>
      <w:bookmarkEnd w:id="74"/>
    </w:p>
    <w:p>
      <w:pPr>
        <w:pStyle w:val="BookText"/>
        <w:rPr/>
      </w:pPr>
      <w:r>
        <w:rPr>
          <w:rFonts w:ascii="Amiri" w:hAnsi="Amiri" w:eastAsia="Amiri" w:cs="Amiri"/>
          <w:color w:val="111111"/>
          <w:sz w:val="28"/>
          <w:sz w:val="28"/>
          <w:szCs w:val="28"/>
          <w:rtl w:val="true"/>
          <w:lang w:bidi="ar-SA"/>
        </w:rPr>
        <w:t>عرفنا ان المدرك المهم لقاعدة الطهارة هو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والموثقة المذكورة طويلة ولم تذكر في الوسائل مجموعة بل ذكرت مقطّعة في أبواب مختلفة وانما ذكرت مجموعة في التهذيب </w:t>
      </w:r>
      <w:r>
        <w:rPr>
          <w:rStyle w:val="FootnoteAnchor"/>
          <w:rtl w:val="true"/>
        </w:rPr>
        <w:footnoteReference w:id="48"/>
      </w:r>
      <w:r>
        <w:rPr>
          <w:rFonts w:ascii="Amiri" w:hAnsi="Amiri" w:eastAsia="Amiri" w:cs="Amiri"/>
          <w:color w:val="111111"/>
          <w:sz w:val="28"/>
          <w:sz w:val="28"/>
          <w:szCs w:val="28"/>
          <w:rtl w:val="true"/>
          <w:lang w:bidi="ar-SA"/>
        </w:rPr>
        <w:t xml:space="preserve">وذكر في آخرها الجملة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قطعة منها في الاستبصار </w:t>
      </w:r>
      <w:r>
        <w:rPr>
          <w:rStyle w:val="FootnoteAnchor"/>
          <w:rtl w:val="true"/>
        </w:rPr>
        <w:footnoteReference w:id="49"/>
      </w:r>
      <w:r>
        <w:rPr>
          <w:rFonts w:ascii="Amiri" w:hAnsi="Amiri" w:eastAsia="Amiri" w:cs="Amiri"/>
          <w:color w:val="111111"/>
          <w:sz w:val="28"/>
          <w:sz w:val="28"/>
          <w:szCs w:val="28"/>
          <w:rtl w:val="true"/>
          <w:lang w:bidi="ar-SA"/>
        </w:rPr>
        <w:t>من دون أن تشتمل على الجملة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ذكرت قطعة منها في الكافي </w:t>
      </w:r>
      <w:r>
        <w:rPr>
          <w:rStyle w:val="FootnoteAnchor"/>
          <w:rtl w:val="true"/>
        </w:rPr>
        <w:footnoteReference w:id="50"/>
      </w:r>
      <w:r>
        <w:rPr>
          <w:rFonts w:ascii="Amiri" w:hAnsi="Amiri" w:eastAsia="Amiri" w:cs="Amiri"/>
          <w:color w:val="111111"/>
          <w:sz w:val="28"/>
          <w:sz w:val="28"/>
          <w:szCs w:val="28"/>
          <w:rtl w:val="true"/>
          <w:lang w:bidi="ar-SA"/>
        </w:rPr>
        <w:t>من دون أن تشتمل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بشكل مرسل في الفقيه </w:t>
      </w:r>
      <w:r>
        <w:rPr>
          <w:rStyle w:val="FootnoteAnchor"/>
          <w:rtl w:val="true"/>
        </w:rPr>
        <w:footnoteReference w:id="51"/>
      </w:r>
      <w:r>
        <w:rPr>
          <w:rFonts w:ascii="Amiri" w:hAnsi="Amiri" w:eastAsia="Amiri" w:cs="Amiri"/>
          <w:color w:val="111111"/>
          <w:sz w:val="28"/>
          <w:sz w:val="28"/>
          <w:szCs w:val="28"/>
          <w:rtl w:val="true"/>
          <w:lang w:bidi="ar-SA"/>
        </w:rPr>
        <w:t>من دون أن تشتمل على ما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ما يشتمل على الجملة المذكورة ليس إلاّ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 حظنا سند الرواية فيه وجدناه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يحيى عن أحمد بن الحسن بن علي بن فضال عن عمرو بن سعيد عن مصدق بن صدقة عن عمّار الساباطي عن أبي عبد اللّه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مشكلة في رجال السند بل كلّهم ثقات ما خلا أحمد بن يحيى المتوسط بين محمد بن أحمد بن يحيى وأحمد بن الحسن فانه لم </w:t>
      </w:r>
    </w:p>
    <w:p>
      <w:pPr>
        <w:pStyle w:val="BookText"/>
        <w:rPr/>
      </w:pPr>
      <w:r>
        <w:rPr>
          <w:rFonts w:ascii="Amiri" w:hAnsi="Amiri" w:eastAsia="Amiri" w:cs="Amiri"/>
          <w:color w:val="111111"/>
          <w:sz w:val="28"/>
          <w:sz w:val="28"/>
          <w:szCs w:val="28"/>
          <w:rtl w:val="true"/>
          <w:lang w:bidi="ar-SA"/>
        </w:rPr>
        <w:t>يعرف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بهذا الاسم أشخاص بعضهم ثقة وبعضهم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سند التهذيب فقط ولا يوجد في سند الاستبصار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غير مجد بعد عدم وجود الجملة المطلوبة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التغلب على المشكلة المذكورة بأن السند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 الشيخ في التهذيب والاستبصار عشرات المرّات </w:t>
      </w:r>
      <w:r>
        <w:rPr>
          <w:rStyle w:val="FootnoteAnchor"/>
          <w:rtl w:val="true"/>
        </w:rPr>
        <w:footnoteReference w:id="52"/>
      </w:r>
      <w:r>
        <w:rPr>
          <w:rFonts w:ascii="Amiri" w:hAnsi="Amiri" w:eastAsia="Amiri" w:cs="Amiri"/>
          <w:color w:val="111111"/>
          <w:sz w:val="28"/>
          <w:sz w:val="28"/>
          <w:szCs w:val="28"/>
          <w:rtl w:val="true"/>
          <w:lang w:bidi="ar-SA"/>
        </w:rPr>
        <w:t>وفي الكل ذكر من دون توسط أحمد بن يحيى بين محمد بن أحمد بن يحيى وأحمد بن الحسن وانّما ذكر متوسطا فقط في هذا المورد لا غير ، وهذا ممّا يحصّل الاطمئنان بأن ذكره قد حصل اشتباها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نفسه يمكن التغلب على المشكلة لو قيل بأن جامع أحاديث الشيعة قد أشار الى ان بعض نسخ التهذيب قد ذكر فيها الشخص المتوسط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يحيى هو المعاذي شيخ محمد بن أحمد بن يحيى ، وهو ممّن لم يوثق بل قد استثني من رجال نوادر الحكمة</w:t>
      </w:r>
      <w:r>
        <w:rPr>
          <w:rFonts w:eastAsia="Amiri" w:cs="Amiri" w:ascii="Amiri" w:hAnsi="Amiri"/>
          <w:color w:val="111111"/>
          <w:sz w:val="28"/>
          <w:szCs w:val="28"/>
          <w:rtl w:val="true"/>
          <w:lang w:bidi="ar-SA"/>
        </w:rPr>
        <w:t xml:space="preserve">. </w:t>
      </w:r>
      <w:bookmarkStart w:id="75" w:name="pg19390_208250"/>
    </w:p>
    <w:p>
      <w:pPr>
        <w:pStyle w:val="BookText"/>
        <w:rPr/>
      </w:pPr>
      <w:bookmarkEnd w:id="75"/>
      <w:r>
        <w:rPr>
          <w:rFonts w:ascii="Amiri" w:hAnsi="Amiri" w:eastAsia="Amiri" w:cs="Amiri"/>
          <w:color w:val="111111"/>
          <w:sz w:val="28"/>
          <w:sz w:val="28"/>
          <w:szCs w:val="28"/>
          <w:rtl w:val="true"/>
          <w:lang w:bidi="ar-SA"/>
        </w:rPr>
        <w:t xml:space="preserve">ان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يحيى وان كان شيخا لمحمد بن أحمد ويروي عنه إلاّ انّه يمكن حصول الاطمئنان بأن ذكره هنا قد حصل اشتباها لنفس ما ذكر سابقا خصوصا وانا لو رجعنا الى الموارد التي يروي فيها محمد بن أحمد عن محمد بن يحيى لوجدنا ان محمد بن يحيى لا يروي عن أحمد بن الحسن بل كل مورد ذكر فيه أحمد بن الحسن فهو متصل بمحمد بن أحمد بن يحيى من دون توسط شخص بينهما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494309_1280447820"/>
      <w:bookmarkStart w:id="77" w:name="_Toc27"/>
      <w:bookmarkEnd w:id="76"/>
      <w:r>
        <w:rPr/>
        <w:t>3</w:t>
      </w:r>
      <w:r>
        <w:rPr>
          <w:rtl w:val="true"/>
        </w:rPr>
        <w:t xml:space="preserve"> - </w:t>
      </w:r>
      <w:r>
        <w:rPr>
          <w:rtl w:val="true"/>
        </w:rPr>
        <w:t>عموم القاعدة للشك في النجاسة الذاتية</w:t>
      </w:r>
      <w:bookmarkEnd w:id="77"/>
    </w:p>
    <w:p>
      <w:pPr>
        <w:pStyle w:val="BookText"/>
        <w:rPr/>
      </w:pPr>
      <w:r>
        <w:rPr>
          <w:rFonts w:ascii="Amiri" w:hAnsi="Amiri" w:eastAsia="Amiri" w:cs="Amiri"/>
          <w:color w:val="111111"/>
          <w:sz w:val="28"/>
          <w:sz w:val="28"/>
          <w:szCs w:val="28"/>
          <w:rtl w:val="true"/>
          <w:lang w:bidi="ar-SA"/>
        </w:rPr>
        <w:t>النجاسة المشكوكة تكون عارضة تارة وذاتية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شككنا في تنجس الماء أو الثوب أو البدن وما شاكل ذلك بملاقاة البول ونحوه كان ذلك شكّا في النجاسة العارضة ، اما إذا شككنا في نجاسة الحديد أو الخمر أو الكافر وما شاكل ذلك كان ذلك شكّا في النجاسة الذاتية إذ شكنا في النجاسة لم يحصل من جهة احتمال طرو نجاسة عارضة بل لاحتمال كون الشي‌ء نجسا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يطرح في الكلمات تشكيك في عموم القاعدة لكلا النحوين إلاّ انّه قد يشكك في شمولها للشك في النجاسة الذاتية ويبرز احتمال اختصاصها بالشك في النجاسة العارضة بتقريب ان من المحتمل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ماضيا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انّه تقذر ، وبناء عليه تختص القاعدة بالأشياء التي يحتمل طرو القذارة عليها بعد ان لم تكن قذرة في نفسها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مجرد ابراز هذا الاحتمال لصيرورة الرواية مجملة </w:t>
      </w:r>
      <w:bookmarkStart w:id="78" w:name="pg19390_208251"/>
    </w:p>
    <w:p>
      <w:pPr>
        <w:pStyle w:val="BookText"/>
        <w:rPr/>
      </w:pPr>
      <w:bookmarkEnd w:id="78"/>
      <w:r>
        <w:rPr>
          <w:rFonts w:ascii="Amiri" w:hAnsi="Amiri" w:eastAsia="Amiri" w:cs="Amiri"/>
          <w:color w:val="111111"/>
          <w:sz w:val="28"/>
          <w:sz w:val="28"/>
          <w:szCs w:val="28"/>
          <w:rtl w:val="true"/>
          <w:lang w:bidi="ar-SA"/>
        </w:rPr>
        <w:t>وسقوطها عن قابلية الاستدلال بها في موارد الشك في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المقابلة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لا فعلا، بمعنى ان المتكلم لو كان يقصد الفعلية احتاج ذلك الى تحريك للحروف بشكل ملفت للسامع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ذلك ثابتا حقّا لنقله الراوي لنا تحفّظا منه على نقل كل ما هو ملفت للسامع</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7494311_1280447820"/>
      <w:bookmarkStart w:id="80" w:name="_Toc28"/>
      <w:bookmarkEnd w:id="79"/>
      <w:r>
        <w:rPr/>
        <w:t>4</w:t>
      </w:r>
      <w:r>
        <w:rPr>
          <w:rtl w:val="true"/>
        </w:rPr>
        <w:t xml:space="preserve"> - </w:t>
      </w:r>
      <w:r>
        <w:rPr>
          <w:rtl w:val="true"/>
        </w:rPr>
        <w:t>عموم القاعدة لمورد استصحاب النجاسة</w:t>
      </w:r>
      <w:bookmarkEnd w:id="80"/>
    </w:p>
    <w:p>
      <w:pPr>
        <w:pStyle w:val="BookText"/>
        <w:rPr/>
      </w:pPr>
      <w:r>
        <w:rPr>
          <w:rFonts w:ascii="Amiri" w:hAnsi="Amiri" w:eastAsia="Amiri" w:cs="Amiri"/>
          <w:color w:val="111111"/>
          <w:sz w:val="28"/>
          <w:sz w:val="28"/>
          <w:szCs w:val="28"/>
          <w:rtl w:val="true"/>
          <w:lang w:bidi="ar-SA"/>
        </w:rPr>
        <w:t>حالة المشكوك سابقا تارة يفرض هي الطهارة ويشك في عروض النجاسة عليه بعد ذلك ، واخرى يفرض العكس ، بأن تكون حالته السابقة هي النجاسة ثم يشك في عروض الطهارة عليه ، وثالثة يفترض الجهل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الحالة الاولى والثالثة فهما القدر المتيقن من مورد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مورد لاستصحاب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 في شمول القاعدة لها ، كما لو فرض ان الماء المتغيّر بالنجاسة زال تغيّره من قبل نفسه ، أو فرض ان ثوبنا المتنجس شككنا قد غسل وطهّر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التشكيك ما أشرنا اليه في البحث السابق ، فان من المحتمل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 أي كل شي‌ء طاهر حتى تعلم انه قد تقذر ، وواضح انه في مقامنا حيث يعلم ان الشي‌ء قد تقذر سابقا فيلزم أن لا يكون محكوما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الثمرة لهذا البحث بعد عدم امكان التمسّك </w:t>
      </w:r>
    </w:p>
    <w:p>
      <w:pPr>
        <w:pStyle w:val="BookText"/>
        <w:rPr/>
      </w:pPr>
      <w:r>
        <w:rPr>
          <w:rFonts w:ascii="Amiri" w:hAnsi="Amiri" w:eastAsia="Amiri" w:cs="Amiri"/>
          <w:color w:val="111111"/>
          <w:sz w:val="28"/>
          <w:sz w:val="28"/>
          <w:szCs w:val="28"/>
          <w:rtl w:val="true"/>
          <w:lang w:bidi="ar-SA"/>
        </w:rPr>
        <w:t>بقاعدة الطهارة عند كون الحالة السابقة هي النجاسة باعتبار ان استصحاب النجاسة مانع بالاتفاق من التمسك بقاعدة الطهارة؟</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تظهر فيما اذا لم يمكن جريان الاستصحاب من جهة المعارضة ، كما لو فرض ان الشي‌ء قد طرأت عليه سابقا حالتان الطهارة والنجاسة ولا يميّز المتقدّم عن المتأخّر فان الاستصحاب حيث لا يمكن جريانه للمعارضة فيبقى المجال مفتوحا لقاعدة الطهارة فتجري بناء على شمولها لموارد النجاسة المعلومة سابقا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بأن قاعدة الطهارة لو كانت تشمل موارد اليقين بالنجاسة سابقا فلما ذا علل الامام  عليه‌ السلام في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فيمن أعار ثوبه الذمي وهو يشرب الخمر ويأكل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تطهير الثوب عند استرجاعه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أعرته إيّاه وهو طاهر ولم تستيقن انّه نجسه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ان التعليل بكون الحالة السابقة هي الطهارة لا داعي له بعد جريان قاعدة الطهارة في موارد النجاسة السابقة بل المناسب التعليل بأنك ما دمت تشك في نجاسته بالفعل فاحكم بطهارته بلا حاجة الى ملاحظة حالته السابقة لأن في ملاحظتها اعمالا لعناية زائدة لا حاجة اليها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يأتي في صحيحة زرارة الثانية المذكورة في باب الاستصحاب حيث ان الامام  عليه‌ السلام علل عدم وجوب اعادة الصلاة في حق من ظن اصابة النجاسة لثوبه قبل الصلاة ثم رآها بعد الصلاة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كنت على يقين من طهارتك فشككت وليس ينبغي لك أن </w:t>
      </w:r>
      <w:bookmarkStart w:id="81" w:name="pg19390_208253"/>
    </w:p>
    <w:p>
      <w:pPr>
        <w:pStyle w:val="BookText"/>
        <w:rPr/>
      </w:pPr>
      <w:bookmarkEnd w:id="81"/>
      <w:r>
        <w:rPr>
          <w:rFonts w:ascii="Amiri" w:hAnsi="Amiri" w:eastAsia="Amiri" w:cs="Amiri"/>
          <w:color w:val="111111"/>
          <w:sz w:val="28"/>
          <w:sz w:val="28"/>
          <w:szCs w:val="28"/>
          <w:rtl w:val="true"/>
          <w:lang w:bidi="ar-SA"/>
        </w:rPr>
        <w:t>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فان اصالة الطهارة لو كانت تجري مع كون الحالة السابقة هي النجاسة فلا وجه لأخذ اليقين بالطهارة السابقة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يدل عليه العدول الى الاستصحاب انّه مع وجود حالة سابقة معلومة لا تصل النوبة الى قاعدة الطهارة ، ولعل ذلك ليس من جهة عدم وجود المقتضي لها بل من جهة وجود الحاكم وهو الاستصحاب</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494313_1280447820"/>
      <w:bookmarkStart w:id="83" w:name="_Toc29"/>
      <w:bookmarkEnd w:id="82"/>
      <w:r>
        <w:rPr/>
        <w:t>5</w:t>
      </w:r>
      <w:r>
        <w:rPr>
          <w:rtl w:val="true"/>
        </w:rPr>
        <w:t xml:space="preserve"> - </w:t>
      </w:r>
      <w:r>
        <w:rPr>
          <w:rtl w:val="true"/>
        </w:rPr>
        <w:t>شمول القاعدة لموارد الشبهة الحكمية</w:t>
      </w:r>
      <w:bookmarkEnd w:id="83"/>
    </w:p>
    <w:p>
      <w:pPr>
        <w:pStyle w:val="BookText"/>
        <w:rPr/>
      </w:pPr>
      <w:r>
        <w:rPr>
          <w:rFonts w:ascii="Amiri" w:hAnsi="Amiri" w:eastAsia="Amiri" w:cs="Amiri"/>
          <w:color w:val="111111"/>
          <w:sz w:val="28"/>
          <w:sz w:val="28"/>
          <w:szCs w:val="28"/>
          <w:rtl w:val="true"/>
          <w:lang w:bidi="ar-SA"/>
        </w:rPr>
        <w:t xml:space="preserve">الشك في الطهارة والنجاسة تارة يكون بنحو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الشك متعلقا بالحكم الشرعي الكلي كما اذا شك في تنجس الماء المضاف البالغ كرا أو اكرارا بملاقاة النجاسة له بمقدار رأس الابرة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بنحو الشبهة الموضوعية ، بمعنى كون الشك متعلّقا بالموضوع والحكم الجزئي ، كما لو حكمنا بتنجس المضاف بملاقاة النجاسة القليلة له ولكن شككنا في تحقق الملاقاة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المقدّمة الحادية عشرة من المقدّمات المذكورة في بداية الحدائق ان الأمين الأسترآبادي في فوائده المدنية قد اختار عدم جريان القاعدة إذا كان الشك بنحو الشبهة الحكمية ومال الشيخ يوسف نفسه الى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بان المتيقن من الموثقة ان احتمال اصابة النجاسة </w:t>
      </w:r>
      <w:bookmarkStart w:id="84" w:name="pg19390_208254"/>
    </w:p>
    <w:p>
      <w:pPr>
        <w:pStyle w:val="BookText"/>
        <w:rPr/>
      </w:pPr>
      <w:bookmarkEnd w:id="84"/>
      <w:r>
        <w:rPr>
          <w:rFonts w:ascii="Amiri" w:hAnsi="Amiri" w:eastAsia="Amiri" w:cs="Amiri"/>
          <w:color w:val="111111"/>
          <w:sz w:val="28"/>
          <w:sz w:val="28"/>
          <w:szCs w:val="28"/>
          <w:rtl w:val="true"/>
          <w:lang w:bidi="ar-SA"/>
        </w:rPr>
        <w:t xml:space="preserve">للشي‌ء الطاهر لا يعتنى له دفعا للوساوس الشيطانية والشكوك النفسانية ، وامّا تطبيقها في حالات الجهل بالحكم الشرعي فلا يخلو من الاشكال والجرأة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الموثقة حجة تنتفي معه الجرأة والاشكال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494315_1280447820"/>
      <w:bookmarkStart w:id="86" w:name="_Toc30"/>
      <w:bookmarkEnd w:id="85"/>
      <w:r>
        <w:rPr/>
        <w:t>6</w:t>
      </w:r>
      <w:r>
        <w:rPr>
          <w:rtl w:val="true"/>
        </w:rPr>
        <w:t xml:space="preserve"> - </w:t>
      </w:r>
      <w:r>
        <w:rPr>
          <w:rtl w:val="true"/>
        </w:rPr>
        <w:t>قاعدة الطهارة حكم ظاهري أو واقعي</w:t>
      </w:r>
      <w:bookmarkEnd w:id="86"/>
    </w:p>
    <w:p>
      <w:pPr>
        <w:pStyle w:val="BookText"/>
        <w:rPr/>
      </w:pPr>
      <w:r>
        <w:rPr>
          <w:rFonts w:ascii="Amiri" w:hAnsi="Amiri" w:eastAsia="Amiri" w:cs="Amiri"/>
          <w:color w:val="111111"/>
          <w:sz w:val="28"/>
          <w:sz w:val="28"/>
          <w:szCs w:val="28"/>
          <w:rtl w:val="true"/>
          <w:lang w:bidi="ar-SA"/>
        </w:rPr>
        <w:t>المعروف لدى الأصحاب ان قاعدة الطهارة تثبت طهارة ظاهرية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صاحب الحدائق اختار كون الطهارة واقعية لا ظاهرية </w:t>
      </w:r>
      <w:r>
        <w:rPr>
          <w:rStyle w:val="FootnoteAnchor"/>
          <w:rtl w:val="true"/>
        </w:rPr>
        <w:footnoteReference w:id="56"/>
      </w:r>
      <w:r>
        <w:rPr>
          <w:rFonts w:ascii="Amiri" w:hAnsi="Amiri" w:eastAsia="Amiri" w:cs="Amiri"/>
          <w:color w:val="111111"/>
          <w:sz w:val="28"/>
          <w:sz w:val="28"/>
          <w:szCs w:val="28"/>
          <w:rtl w:val="true"/>
          <w:lang w:bidi="ar-SA"/>
        </w:rPr>
        <w:t>، بمعنى ان من لا يعلم بكون الشي‌ء نجسا واقعا فهو طاهر في حقّه واقعا لا ظاهرا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ان من تناول النجس وهو لا يعلم بنجاسته ثم اطلع على ذلك فلا يلزمه تطهير فمه وملابسه وبدنه لأن ذلك النجس محكوم بالطهارة واقعا فترة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قدس‌سره على ذلك بلزوم العسر والحرج ومخالفة ظواهر الأخبار لو كان المجهول نجسا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التمسك بظاهر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القذارة تثبت عند العلم بها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المناسب ان يتمسّك بظاهر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وصف اخذ في القضية يحمل على إرادة الواقع منه دون الظاهر ، خصوصا ان المقابلة في المقام تستدعي ذلك أيضا فان وصف </w:t>
      </w:r>
    </w:p>
    <w:p>
      <w:pPr>
        <w:pStyle w:val="BookText"/>
        <w:rPr/>
      </w:pPr>
      <w:r>
        <w:rPr>
          <w:rFonts w:ascii="Amiri" w:hAnsi="Amiri" w:eastAsia="Amiri" w:cs="Amiri"/>
          <w:color w:val="111111"/>
          <w:sz w:val="28"/>
          <w:sz w:val="28"/>
          <w:szCs w:val="28"/>
          <w:rtl w:val="true"/>
          <w:lang w:bidi="ar-SA"/>
        </w:rPr>
        <w:t>القذر حيث يراد به القذر واقعا فالمناسب ان يراد من وصف النظيف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الموثقة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يدل على ان الشي‌ء قذر واقعا والعلم يتعلّق بما هو قذر واقعا ، واذا كان الشي‌ء قذرا واقعا فكيف يحكم عليه بكونه نظيفا واقعا ، انه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لو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ملحوظة بنحو المرآتية الى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المقصود منها الاشارة الى البول والمني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بذلك تناقض ولكن حمل الوصف المذكور على ذلك خلاف الظاهر ، خصوصا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منها المرآتية فمن المناسب ان لا يقصد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الحكم بالطهارة واقعيا ان الدم مثلا طاهر واقعا في حق شخص وهو الشاك ونجس واقعا في حق آخر وهو العالم ، والتفكيك الواقعي المذكور خلاف ما هو المرتكز لدى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الموثقة قالت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تعلم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تعلم فليس بقذر ، وهذا ممّا يدل على ان القذارة قد تكون ثابتة واقعا ولكنّها ليست منجزة على المكلف ما دام لا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للرأي المذكور لازما لا يمكن الالتزام به ، وهو ان قطرة بول لو أصابت ماء قليلا مثلا ولم نعلم بالاصابة حين تحققها بل بعد فترة فلا يحكم عليه بالتنجس لا قبل الالتفات الى الاصابة ولا بعد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عدم التنجس قبل الالتفات فلأجل ان قطرة البول آنذاك طاهرة واقعا فلا تكون موجبة للتنجس</w:t>
      </w:r>
      <w:r>
        <w:rPr>
          <w:rFonts w:eastAsia="Amiri" w:cs="Amiri" w:ascii="Amiri" w:hAnsi="Amiri"/>
          <w:color w:val="111111"/>
          <w:sz w:val="28"/>
          <w:szCs w:val="28"/>
          <w:rtl w:val="true"/>
          <w:lang w:bidi="ar-SA"/>
        </w:rPr>
        <w:t xml:space="preserve">. </w:t>
      </w:r>
      <w:bookmarkStart w:id="87" w:name="pg19390_208256"/>
    </w:p>
    <w:p>
      <w:pPr>
        <w:pStyle w:val="BookText"/>
        <w:rPr/>
      </w:pPr>
      <w:bookmarkEnd w:id="87"/>
      <w:r>
        <w:rPr>
          <w:rFonts w:ascii="Amiri" w:hAnsi="Amiri" w:eastAsia="Amiri" w:cs="Amiri"/>
          <w:color w:val="111111"/>
          <w:sz w:val="28"/>
          <w:sz w:val="28"/>
          <w:szCs w:val="28"/>
          <w:rtl w:val="true"/>
          <w:lang w:bidi="ar-SA"/>
        </w:rPr>
        <w:t>واما عدم التنجس بعد ذلك فلأنّه بعد الالتفات لا تتحقق اصابة جديدة للبول ، بل ان الاصابة قبل ذلك كانت اصابة للطاهر الواقعي وبعد ذلك لا اصابة جديدة لتوجب التنجس ، ومن ثمّ يلزم جواز شرب ذلك الماء وغسل الثياب المتنجسة به حتى بعد الالتفات</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494317_1280447820"/>
      <w:bookmarkStart w:id="89" w:name="_Toc31"/>
      <w:bookmarkEnd w:id="88"/>
      <w:r>
        <w:rPr/>
        <w:t>7</w:t>
      </w:r>
      <w:r>
        <w:rPr>
          <w:rtl w:val="true"/>
        </w:rPr>
        <w:t xml:space="preserve"> - </w:t>
      </w:r>
      <w:r>
        <w:rPr>
          <w:rtl w:val="true"/>
        </w:rPr>
        <w:t>شرطية الطهارة ومانعية النجاسة</w:t>
      </w:r>
      <w:bookmarkEnd w:id="89"/>
    </w:p>
    <w:p>
      <w:pPr>
        <w:pStyle w:val="BookText"/>
        <w:rPr/>
      </w:pPr>
      <w:r>
        <w:rPr>
          <w:rFonts w:ascii="Amiri" w:hAnsi="Amiri" w:eastAsia="Amiri" w:cs="Amiri"/>
          <w:color w:val="111111"/>
          <w:sz w:val="28"/>
          <w:sz w:val="28"/>
          <w:szCs w:val="28"/>
          <w:rtl w:val="true"/>
          <w:lang w:bidi="ar-SA"/>
        </w:rPr>
        <w:t>هناك كلام في ان الامور المشروطة بالطهارة كالصلاة وغيرها هل تكون الطهارة فيها شرطا أو ان النجاسة مانع؟</w:t>
      </w:r>
    </w:p>
    <w:p>
      <w:pPr>
        <w:pStyle w:val="BookText"/>
        <w:rPr/>
      </w:pPr>
      <w:r>
        <w:rPr>
          <w:rFonts w:ascii="Amiri" w:hAnsi="Amiri" w:eastAsia="Amiri" w:cs="Amiri"/>
          <w:color w:val="111111"/>
          <w:sz w:val="28"/>
          <w:sz w:val="28"/>
          <w:szCs w:val="28"/>
          <w:rtl w:val="true"/>
          <w:lang w:bidi="ar-SA"/>
        </w:rPr>
        <w:t xml:space="preserve">ربما يظهر من السيّد الخوئي في مصباح الاصول </w:t>
      </w:r>
      <w:r>
        <w:rPr>
          <w:rStyle w:val="FootnoteAnchor"/>
          <w:rtl w:val="true"/>
        </w:rPr>
        <w:footnoteReference w:id="57"/>
      </w:r>
      <w:r>
        <w:rPr>
          <w:rFonts w:ascii="Amiri" w:hAnsi="Amiri" w:eastAsia="Amiri" w:cs="Amiri"/>
          <w:color w:val="111111"/>
          <w:sz w:val="28"/>
          <w:sz w:val="28"/>
          <w:szCs w:val="28"/>
          <w:rtl w:val="true"/>
          <w:lang w:bidi="ar-SA"/>
        </w:rPr>
        <w:t>عند بحثه عن دلالة الصحيحة الثانية لزرارة على حجية الاستصحاب عدم الثمرة في النزاع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ذلك بأن اصالة الطهارة بناء على تماميتها تثبت الطهارة إذا كانت شرطا وتنفي النجاسة إذا كانت مانعا ، ومعه فلا ثمرة من هذه الناحية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بالامكان تصور الثمرة في موارد تقدّمت الاشارة الى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موارد الشك في النجاسة الذاتية إذا قلنا بعدم شمول قاعدة الطهارة لمثلها فباستصحاب عدم تشريع النجاسة يمكن نفي المانع وهو النجاسة ومن ثمّ تجوز الصلاة مع الشي‌ء المشكوك ويجوز تناوله ، بينما بناء على شرطية الطهارة لا يمكن احراز الشرط بالاستصحاب ومن ثمّ لا تجوز الصلاة معه ولا تناوله فان استصحاب </w:t>
      </w:r>
      <w:bookmarkStart w:id="90" w:name="pg19390_208257"/>
    </w:p>
    <w:p>
      <w:pPr>
        <w:pStyle w:val="BookText"/>
        <w:rPr/>
      </w:pPr>
      <w:bookmarkEnd w:id="90"/>
      <w:r>
        <w:rPr>
          <w:rFonts w:ascii="Amiri" w:hAnsi="Amiri" w:eastAsia="Amiri" w:cs="Amiri"/>
          <w:color w:val="111111"/>
          <w:sz w:val="28"/>
          <w:sz w:val="28"/>
          <w:szCs w:val="28"/>
          <w:rtl w:val="true"/>
          <w:lang w:bidi="ar-SA"/>
        </w:rPr>
        <w:t>العدم ينفي تشريع الطهارة ولا 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الاحتمالين هو الصحيح فهل الطهارة شرط أو النجاسة مانعة؟ 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تحقيق ذلك يقع على ذمّة الفقه عند البحث عن شرطية الطهارة في الصلاة أو جواز التناول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494319_1280447820"/>
      <w:bookmarkStart w:id="92" w:name="_Toc32"/>
      <w:bookmarkEnd w:id="91"/>
      <w:r>
        <w:rPr/>
        <w:t>8</w:t>
      </w:r>
      <w:r>
        <w:rPr>
          <w:rtl w:val="true"/>
        </w:rPr>
        <w:t xml:space="preserve"> - </w:t>
      </w:r>
      <w:r>
        <w:rPr>
          <w:rtl w:val="true"/>
        </w:rPr>
        <w:t>تطبيقات</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توجيه جواز تناول الأدوية المستوردة من بلاد الكفّار؟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تناول الحليب ومشتقاته إذا استورد من بلاد الكفار؟ وما الفرق بينه وبين اللحوم التي لا يجوز تناولها؟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 بعض من يذهب الى البلاد الكافرة عن ان مقاعد السيارات أيّام الشتاء تكون مبللة فهل يحكم بتنجسها؟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يذهب الشخص الى المرافق لقضاء الحاجة ويجد الماء واقفا على الأرض فما حكم ذلك الماء؟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اعتبار تعدد الغسل في الثوب المتنجس أو شك في اعتبار العصر فعند غسله مرّة أو بدون عصر سوف يشك في حصول الطهارة له فهل يمكن التمسك آنذاك بقاعدة الطهارة؟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عندنا اناءان علمنا بوقوع النجاسة في احدهما فتارة يفترض ان الحالة السابقة في كليهما مجهولة واخرى يفرض كونها معلومة وثالثة يفترض كونها معلومة في احدهما مجهولة في الآخر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هل يمكن التمسّك بقاعدة الطهارة في الحالات المذكورة؟ </w:t>
      </w:r>
      <w:bookmarkStart w:id="93" w:name="pg19390_208258"/>
    </w:p>
    <w:p>
      <w:pPr>
        <w:pStyle w:val="Heading2"/>
        <w:numPr>
          <w:ilvl w:val="1"/>
          <w:numId w:val="1"/>
        </w:numPr>
        <w:rPr/>
      </w:pPr>
      <w:bookmarkStart w:id="94" w:name="__RefHeading___Toc17494321_1280447820"/>
      <w:bookmarkStart w:id="95" w:name="_Toc33"/>
      <w:bookmarkEnd w:id="93"/>
      <w:bookmarkEnd w:id="94"/>
      <w:r>
        <w:rPr>
          <w:rtl w:val="true"/>
        </w:rPr>
        <w:t>قاعدة الالزام</w:t>
      </w:r>
      <w:bookmarkEnd w:id="95"/>
    </w:p>
    <w:p>
      <w:pPr>
        <w:pStyle w:val="Heading3"/>
        <w:numPr>
          <w:ilvl w:val="2"/>
          <w:numId w:val="1"/>
        </w:numPr>
        <w:rPr/>
      </w:pPr>
      <w:bookmarkStart w:id="96" w:name="__RefHeading___Toc17494323_1280447820"/>
      <w:bookmarkStart w:id="97" w:name="_Toc34"/>
      <w:bookmarkEnd w:id="96"/>
      <w:r>
        <w:rPr>
          <w:rtl w:val="true"/>
        </w:rPr>
        <w:t>اشارة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الالزام والامضاء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اباحة أو صحة واقعية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لسائر ذوي الأديان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لقاعدة الالزام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الالزام هي من القواعد التي لم يتعرّض لها في الفقه ولا في الاصول ببحث مستقل ، بل ولا توجد اشارة لها سوى في بعض التفريعات المذكورة في مسائل الطلاق والميراث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نقرأ في تراجم بعض الاعلام كتابة بحث خاص عنها ، ولكنّه مع الأسف لم يخرج الى عالم الطبع وبقي حبرا على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هناك إشارة مستقلة لها قد برزت إلى عالم الطبع فهي في الكتب المعدّة لبحث القواعد الفقهية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المذكورة وان لم تكن من القواعد المهمّة التي يحتاج إليها الفقيه في مواطن متعدّدة بل في مواطن نادرة ومعدودة كما سوف نلاحظ ولكن الاطلاع عليها وبحثها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عنها يقع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الالزام والامضاء</w:t>
      </w:r>
      <w:r>
        <w:rPr>
          <w:rFonts w:eastAsia="IRNazanin" w:cs="IRNazanin"/>
          <w:color w:val="111111"/>
          <w:sz w:val="28"/>
          <w:szCs w:val="28"/>
          <w:rtl w:val="true"/>
          <w:lang w:bidi="fa-IR"/>
        </w:rPr>
        <w:t xml:space="preserve">. </w:t>
      </w:r>
      <w:bookmarkStart w:id="98" w:name="pg19390_208261"/>
    </w:p>
    <w:p>
      <w:pPr>
        <w:pStyle w:val="BookText"/>
        <w:rPr/>
      </w:pPr>
      <w:bookmarkEnd w:id="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اباحة أو صحة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لسائر ذوي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لقاعدة الالزام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7494325_1280447820"/>
      <w:bookmarkStart w:id="100" w:name="_Toc35"/>
      <w:bookmarkEnd w:id="99"/>
      <w:r>
        <w:rPr/>
        <w:t>1</w:t>
      </w:r>
      <w:r>
        <w:rPr>
          <w:rtl w:val="true"/>
        </w:rPr>
        <w:t xml:space="preserve"> - </w:t>
      </w:r>
      <w:r>
        <w:rPr>
          <w:rtl w:val="true"/>
        </w:rPr>
        <w:t>مضمون القاعدة</w:t>
      </w:r>
      <w:bookmarkEnd w:id="100"/>
    </w:p>
    <w:p>
      <w:pPr>
        <w:pStyle w:val="BookText"/>
        <w:rPr/>
      </w:pPr>
      <w:r>
        <w:rPr>
          <w:rFonts w:ascii="Amiri" w:hAnsi="Amiri" w:eastAsia="Amiri" w:cs="Amiri"/>
          <w:color w:val="111111"/>
          <w:sz w:val="28"/>
          <w:sz w:val="28"/>
          <w:szCs w:val="28"/>
          <w:rtl w:val="true"/>
          <w:lang w:bidi="ar-SA"/>
        </w:rPr>
        <w:t xml:space="preserve">يقصد بالقاعدة المذكورة ان غير الشيعي إذا قام بفعل معين يعتقد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له معتقد لا يرتبط بالفعل كما ستأتي أمثلة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الشيعي لا يعتقد بصحته فله الحق في ترتيب الآثار التي هي في صالحه بالرغم من عدم اعتقاده بصحته الزاما للطرف المقابل بما يقتضيه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فالزواج مثلا بلا اشهاد عادلين صحيح عندنا وباطل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يشترطون الاشهاد في الزواج ولا يشترطونه في الطلاق على العكس منّا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عاميّا تزوج بلا اشهاد فهو باطل في معتقده وصحيح في معتقدنا ، وما دام باطلا في معتقده فلنا الزامه بذلك وترتيب آثار البطلان عليه التي منها جواز التزوج بتلك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الطلاق بلا اشهاد صحيح عندهم وباطل عندنا ، فلو طلّق غير الامامي زوجته فالطلاق وان كان باطلا بنظرنا وهي بعد باقية زوجة له إلاّ انّه من باب الزامه بمعتقده يصح لنا الزواج بتلك التي طلقها بلا اشهاد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والطلاق ثلاثا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عندنا وصحيح </w:t>
      </w:r>
      <w:bookmarkStart w:id="101" w:name="pg19390_208262"/>
    </w:p>
    <w:p>
      <w:pPr>
        <w:pStyle w:val="BookText"/>
        <w:rPr/>
      </w:pPr>
      <w:bookmarkEnd w:id="101"/>
      <w:r>
        <w:rPr>
          <w:rFonts w:ascii="Amiri" w:hAnsi="Amiri" w:eastAsia="Amiri" w:cs="Amiri"/>
          <w:color w:val="111111"/>
          <w:sz w:val="28"/>
          <w:sz w:val="28"/>
          <w:szCs w:val="28"/>
          <w:rtl w:val="true"/>
          <w:lang w:bidi="ar-SA"/>
        </w:rPr>
        <w:t>عندهم ، فلو طلّق العامي زوجته كذلك صحّ منّا الزواج بها الزاما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أمثلة اخرى تأتي الإشارة إليها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7494327_1280447820"/>
      <w:bookmarkStart w:id="103" w:name="_Toc36"/>
      <w:bookmarkEnd w:id="102"/>
      <w:r>
        <w:rPr/>
        <w:t>2</w:t>
      </w:r>
      <w:r>
        <w:rPr>
          <w:rtl w:val="true"/>
        </w:rPr>
        <w:t xml:space="preserve"> - </w:t>
      </w:r>
      <w:r>
        <w:rPr>
          <w:rtl w:val="true"/>
        </w:rPr>
        <w:t>قاعدتا الالزام والامضاء</w:t>
      </w:r>
      <w:bookmarkEnd w:id="103"/>
    </w:p>
    <w:p>
      <w:pPr>
        <w:pStyle w:val="BookText"/>
        <w:rPr/>
      </w:pPr>
      <w:r>
        <w:rPr>
          <w:rFonts w:ascii="Amiri" w:hAnsi="Amiri" w:eastAsia="Amiri" w:cs="Amiri"/>
          <w:color w:val="111111"/>
          <w:sz w:val="28"/>
          <w:sz w:val="28"/>
          <w:szCs w:val="28"/>
          <w:rtl w:val="true"/>
          <w:lang w:bidi="ar-SA"/>
        </w:rPr>
        <w:t>ونلفت النظر الى ان قاعدة الالزام هذه تغاير قاعدة امضاء ما لدى كل ذوي دين من احكام وقوانين ، وتلك القاعدة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فالكتابي إذا تزوج على طبق ما لديهم من قوانين حكم بصحّة ذلك الزواج ولم يحق لنا التزوّج بزوجته وتعاملنا معها معاملة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لقاعدة الالزام بل لقاعدة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طلّق الكتابي زوجته على طبق ما لديهم من قوانين امضي الطلاق وحكمنا بجواز زواجها من كتابي آخر لو تحاكموا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القاعدتين هو انّه في قاعدة الالزام يفترض ان الامامي يطبق القاعدة لينتفع من تطبيقها وليكون ذلك في صالحه بخلاف ذلك في قاعدة الامضاء فان نتيجة تطبيقها ليست في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الامامي إذا تزوج بغير الامامية بزواج هو باطل عندنا وصحيح عندهم فليس بالامكان تطبيق قاعدة الالزام بل لا بدّ من تطبيق قاعدة الامضاء ، ويلزم من ذلك الحكم بصحّة الزواج ومن ثمّ لا يجوز للإمامي 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نتيجة في غير صالحه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لو فرض في المثال المذكور نفسه ان الزواج المجرى كان باطلا عندهم وصحيحا عندنا فبالامكان تطبيق قاعدة الالزام وتزوج </w:t>
      </w:r>
      <w:bookmarkStart w:id="104" w:name="pg19390_208263"/>
    </w:p>
    <w:p>
      <w:pPr>
        <w:pStyle w:val="BookText"/>
        <w:rPr/>
      </w:pPr>
      <w:bookmarkEnd w:id="104"/>
      <w:r>
        <w:rPr>
          <w:rFonts w:ascii="Amiri" w:hAnsi="Amiri" w:eastAsia="Amiri" w:cs="Amiri"/>
          <w:color w:val="111111"/>
          <w:sz w:val="28"/>
          <w:sz w:val="28"/>
          <w:szCs w:val="28"/>
          <w:rtl w:val="true"/>
          <w:lang w:bidi="ar-SA"/>
        </w:rPr>
        <w:t>الامامي بتلك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نتيجة في صالحه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7494329_1280447820"/>
      <w:bookmarkStart w:id="106" w:name="_Toc37"/>
      <w:bookmarkEnd w:id="105"/>
      <w:r>
        <w:rPr/>
        <w:t>3</w:t>
      </w:r>
      <w:r>
        <w:rPr>
          <w:rtl w:val="true"/>
        </w:rPr>
        <w:t xml:space="preserve"> - </w:t>
      </w:r>
      <w:r>
        <w:rPr>
          <w:rtl w:val="true"/>
        </w:rPr>
        <w:t>مدرك القاعدة</w:t>
      </w:r>
      <w:bookmarkEnd w:id="106"/>
    </w:p>
    <w:p>
      <w:pPr>
        <w:pStyle w:val="BookText"/>
        <w:rPr/>
      </w:pPr>
      <w:r>
        <w:rPr>
          <w:rFonts w:ascii="Amiri" w:hAnsi="Amiri" w:eastAsia="Amiri" w:cs="Amiri"/>
          <w:color w:val="111111"/>
          <w:sz w:val="28"/>
          <w:sz w:val="28"/>
          <w:szCs w:val="28"/>
          <w:rtl w:val="true"/>
          <w:lang w:bidi="ar-SA"/>
        </w:rPr>
        <w:t xml:space="preserve">ذكر الحرّ العاملي مجموعتين من الروايات التي تصلح أن تشكّل مدركا للقاعدة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الطلاق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وان كانت متعددة إلاّ ان ما يدل منها على القاعدة الكليّة هو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بسنده الى الحسن بن محمد بن سماعة عن عبد اللّه بن جبلة عن غير واحد عن علي بن أبي حمزة انّه سأل أبا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على غير السنّة </w:t>
      </w:r>
      <w:r>
        <w:rPr>
          <w:rStyle w:val="FootnoteAnchor"/>
          <w:rtl w:val="true"/>
        </w:rPr>
        <w:footnoteReference w:id="58"/>
      </w:r>
      <w:r>
        <w:rPr>
          <w:rFonts w:ascii="Amiri" w:hAnsi="Amiri" w:eastAsia="Amiri" w:cs="Amiri"/>
          <w:color w:val="111111"/>
          <w:sz w:val="28"/>
          <w:sz w:val="28"/>
          <w:szCs w:val="28"/>
          <w:rtl w:val="true"/>
          <w:lang w:bidi="ar-SA"/>
        </w:rPr>
        <w:t xml:space="preserve">أيتزوّجها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من ذلك ما ألزموه أنفسهم وتزوجوهنّ فلا بأس بذلك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عن محمّد بن علي ماجيلويه عن محمّد بن يحيى عن أحمد بن محمد بن عيسى عن جعفر بن محمّد الأشعري عن أبيه 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يدين بدين قوم لزمته أحكامهم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يفهم من هذه الرواية النظر الى القاعدة الثانية ، أي امضاء ما لدى كل ذوي دين من قوانين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عن علي بن إبراهيم عن أبيه عن ابن أبي عمير عن عمر بن اذينة عن عبد اللّه بن محرز 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ترك ابنته واخته لأبيه وأمّه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لابنته وليس للأخت </w:t>
      </w:r>
    </w:p>
    <w:p>
      <w:pPr>
        <w:pStyle w:val="BookText"/>
        <w:rPr/>
      </w:pPr>
      <w:r>
        <w:rPr>
          <w:rFonts w:ascii="Amiri" w:hAnsi="Amiri" w:eastAsia="Amiri" w:cs="Amiri"/>
          <w:color w:val="111111"/>
          <w:sz w:val="28"/>
          <w:sz w:val="28"/>
          <w:szCs w:val="28"/>
          <w:rtl w:val="true"/>
          <w:lang w:bidi="ar-SA"/>
        </w:rPr>
        <w:t>من الأب والامّ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احتجنا الى هذا والميت رجل من هؤلاء الناس واخته مؤمنة عارفة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ما جاء به ابن محرز لنورا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تدل على ثبوت حق المقاصة النوعية وانه ما دام هم يأخذون منكم فأنتم خذوا منهم بالمقابل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عن علي بن الحسن بن فضال عن السندي بن محمد البزاز عن العلاء بن رزين القلاء عن محمد بن مسلم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كل ما يرونه حلالا وصحيحا يكون ممضيا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الوقفة القصيرة عند اسناد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الرواية الاولى ففيها مشكلتان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عن غير واحد ، وعلي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المشكلة الاولى فيمكن التغلّب عليها بناء على ان التعبير المذكور يدل على ثلاثة فما زاد واجتماع العدد المذكور على الكذب في نقل مثل الحكم المذكور بعيد جدّا ويحصل الاطمئنان بعدمه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البطائني فهو الرجل المشهور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والنجاشي بدون توثيق بل روى الكشي عن ابن فضال انّه كذّاب </w:t>
      </w:r>
    </w:p>
    <w:p>
      <w:pPr>
        <w:pStyle w:val="BookText"/>
        <w:rPr/>
      </w:pP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متهم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الامام الرضا  عليه‌ السلامان البطائني بعد موته أقعد في قبره فسئل عن الأئمة عليهم‌ السلام فاخبر بأسمائهم حتى انتهى إليّ فسئل فوقف فضرب على رأسه ضربة امتلأ قبره نارا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هذا الا ان بالامكان توثيقه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البطائني كان وكيلا للإمام الكاظم عليه‌ السلام في حفظ أمواله وأمينا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العاقل لا يقدم على جعل شخص أمينا على أمواله إلاّ إذا كان لديه في أعلى درجات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ثقة في مجال الأحاديث فقط فليس من المناسب للإمام  عليه‌ السلام الركون الى مثله وجعله أمينا على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الانحراف الذي حصل يلزم أن يكون قد تجدد بعد الوثاقة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تكون الروايات المنقولة عنه قد نقلت عنه قبل انحرافه إذ مثل هذا الانحراف العظيم يحقّق سببا لنفرة الخط المعتدل عنه ، فنقل الثقات عنه كاشف عن حصول ذلك قبل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وثاقته الثقات عنه ممّن قيل عنه انّه لا يروي الاّ عن ثقة كابن أبي عمير 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الشيخ في العدة عمل الطائفة برواياته إذا لم يكن لها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كذّاب متهم أو ملعون فيمكن حمله على فكرة الوقف التي حصلت منه وخيانته في الأموال المودعة لديه من قبل الامام الكاظم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الثانية فتصحيح سندها صعب فان ماجيلويه وان </w:t>
      </w:r>
      <w:bookmarkStart w:id="107" w:name="pg19390_208266"/>
    </w:p>
    <w:p>
      <w:pPr>
        <w:pStyle w:val="BookText"/>
        <w:rPr/>
      </w:pPr>
      <w:bookmarkEnd w:id="107"/>
      <w:r>
        <w:rPr>
          <w:rFonts w:ascii="Amiri" w:hAnsi="Amiri" w:eastAsia="Amiri" w:cs="Amiri"/>
          <w:color w:val="111111"/>
          <w:sz w:val="28"/>
          <w:sz w:val="28"/>
          <w:szCs w:val="28"/>
          <w:rtl w:val="true"/>
          <w:lang w:bidi="ar-SA"/>
        </w:rPr>
        <w:t>أمكن توثيقه من خلال شيخوخة الاجازة الا ان جعفر بن محمد الأشعري ووالده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الرواية الثالثة فقد يشكل في سندها من ناحية عبد اللّه بن محرز فانه لم يوثق الا ان تعبير زرارة بان على رواية عبد اللّه بن محرز نورا يمكن أن يسهّل الأمر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الرواية الرابعة فهي صحيحة السند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7494331_1280447820"/>
      <w:bookmarkStart w:id="109" w:name="_Toc38"/>
      <w:bookmarkEnd w:id="108"/>
      <w:r>
        <w:rPr/>
        <w:t>4</w:t>
      </w:r>
      <w:r>
        <w:rPr>
          <w:rtl w:val="true"/>
        </w:rPr>
        <w:t xml:space="preserve"> - </w:t>
      </w:r>
      <w:r>
        <w:rPr>
          <w:rtl w:val="true"/>
        </w:rPr>
        <w:t>اباحة أو صحّة واقعية</w:t>
      </w:r>
      <w:bookmarkEnd w:id="109"/>
    </w:p>
    <w:p>
      <w:pPr>
        <w:pStyle w:val="BookText"/>
        <w:rPr/>
      </w:pPr>
      <w:r>
        <w:rPr>
          <w:rFonts w:ascii="Amiri" w:hAnsi="Amiri" w:eastAsia="Amiri" w:cs="Amiri"/>
          <w:color w:val="111111"/>
          <w:sz w:val="28"/>
          <w:sz w:val="28"/>
          <w:szCs w:val="28"/>
          <w:rtl w:val="true"/>
          <w:lang w:bidi="ar-SA"/>
        </w:rPr>
        <w:t>اذا طلّق غير الشيعي زوجته بدون اشهاد فطلاقه صحيح في نظره ويجوز للشيعي ترتيب آثار الطلاق الصحيح عليه وذلك بالتزوج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غير الشيعي استبصر فهل تعود بذلك زوجيته السابقة أو لا؟</w:t>
      </w:r>
    </w:p>
    <w:p>
      <w:pPr>
        <w:pStyle w:val="BookText"/>
        <w:rPr/>
      </w:pPr>
      <w:r>
        <w:rPr>
          <w:rFonts w:ascii="Amiri" w:hAnsi="Amiri" w:eastAsia="Amiri" w:cs="Amiri"/>
          <w:color w:val="111111"/>
          <w:sz w:val="28"/>
          <w:sz w:val="28"/>
          <w:szCs w:val="28"/>
          <w:rtl w:val="true"/>
          <w:lang w:bidi="ar-SA"/>
        </w:rPr>
        <w:t>ومن الطبيعي يختص السؤال بحالة ما اذا لم تتزوج المطلقة ، واما لو تزوجت فلا يحتمل عود الزوجية باستبصاره إذ المفروض ان الزواج الثاني صحيح ، ولازم صحته زوال الزوجيّة الاولى ، ومع زوالها فعودها يحتاج الى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فيما اذا لم تتزوج المطلقة حتى استبصر زوجها فاذا استبصر فهل يحق له الرجوع اليها بدون عقد جديد؟ وأوضح من ذلك ما إذا فرضنا ان الزوجة استبصرت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طرح هذا كسؤال على السيد الحكيم قدس‌سره أيّام حياته فأجاب </w:t>
      </w:r>
    </w:p>
    <w:p>
      <w:pPr>
        <w:pStyle w:val="BookText"/>
        <w:rPr/>
      </w:pPr>
      <w:r>
        <w:rPr>
          <w:rFonts w:ascii="Amiri" w:hAnsi="Amiri" w:eastAsia="Amiri" w:cs="Amiri"/>
          <w:color w:val="111111"/>
          <w:sz w:val="28"/>
          <w:sz w:val="28"/>
          <w:szCs w:val="28"/>
          <w:rtl w:val="true"/>
          <w:lang w:bidi="ar-SA"/>
        </w:rPr>
        <w:t xml:space="preserve">بأنّها باقية زوجة له </w:t>
      </w:r>
      <w:r>
        <w:rPr>
          <w:rStyle w:val="FootnoteAnchor"/>
          <w:rtl w:val="true"/>
        </w:rPr>
        <w:footnoteReference w:id="65"/>
      </w:r>
      <w:r>
        <w:rPr>
          <w:rFonts w:ascii="Amiri" w:hAnsi="Amiri" w:eastAsia="Amiri" w:cs="Amiri"/>
          <w:color w:val="111111"/>
          <w:sz w:val="28"/>
          <w:sz w:val="28"/>
          <w:szCs w:val="28"/>
          <w:rtl w:val="true"/>
          <w:lang w:bidi="ar-SA"/>
        </w:rPr>
        <w:t xml:space="preserve">بينما أجاب الشيخ حسين الحلي بالنفي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الأوّل الى الشيخ حسن صاحب أنوار الفقاهة أيضا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 في الجواب يرجع الى الاختلاف فيما هو المستفاد من الروايات فهل المستفاد منها ان الطلاق الفاقد للشرائط باطل غايته ان الشيعي يباح له ترتيب آثار الصحة أو ان المستفاد منها صحة الطلاق واقعا ما دام صاحبه يعتقد بصحته فكأن الاعتقاد بالصحة يقلب الواقع من البطلان الى الصحة كالاضطرار الذي يقلب الحرام الى مباح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هو الأوّل فان مقتضى أدلّة شرطية الاشهاد في الطلاق ان الطلاق بلا اشهاد باطل ، وهذا من دون فرق بين كون الطلاق صادرا من امامي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مقتضى القاعدة الأولية بطلان الطلاق بلا اشهاد حتى في حقّ غير الامامي ، والخروج عن مقتضى القاعدة المذكورة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ذلك الدليل مجملا ويحتمل أن يكون المراد منه صحة الطلاق بلا اشهاد من غير الامامي واقعا وان يكون المراد منه مجرّد ترتيب آثار الصحة من دون أن يكون صحيحا واقعا فلا بدّ من التمسك بمقتضى القاعدة المذكورة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وباتضاح هذا نرجع الى روايات قاعدة الالزام لنلاحظ هل تدل على الصحة الواقعية أو على مجرّد ترتيب آثار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الرواية الاولى فأقصى ما تدل عليه هو حق الالزام وترتيب آثار الصحة إذ كلمة الالزام يفهم منها عرفا ان الطلاق باطل واقعا ولكنّه يجوز ترتيب آثار الصحة عليه الزاما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ان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عن هذا الظهور فلا أقل من اجمال الرواية وكونها ذات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واقعا ومجرّد ترتيب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اجمال الرواية يلزم الرجوع الى مقتضى القاعدة القاضي بالبطلان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الرواية الثالثة إذ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منهم كما يأخذون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يرادف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فيأتي فيه ما ذكرناه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الثانية فقد توحي بالصحة الواقعية 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الأحكام غير الالزام بها ولذلك قلنا يحتمل كون المقصود منها قاعدة الامضاء دون قاعدة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مضافا الى ضعف سندها يحتمل كون المقصود من اللزوم الالزام فانّه لا حزازة عرفا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الزموهم بأحكامهم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كلا الاحتمالين في الرواية تعود مجملة ، وبذلك يلزم الرجوع الى مقتضى القاعدة القاضي ببطلان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الرابعة فقد توحي بالصحة الواقعية أيضا لأنّها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ان ما يرونه حلالا يمضي عليهم ، وظاهر المضي المضي واقعا وكون الطلاق ماضيا وصحيحا واقعا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المحتمل كون المقصود الحلية للغير عليه لا له على الغير ، أي ان الطلاق ماض عليه وملزم به لا انه ماض له واقعا ، ومع كون الرواية ذات احتمالين يتعين التمسك بمقتضى القاعدة</w:t>
      </w:r>
      <w:r>
        <w:rPr>
          <w:rFonts w:eastAsia="Amiri" w:cs="Amiri" w:ascii="Amiri" w:hAnsi="Amiri"/>
          <w:color w:val="111111"/>
          <w:sz w:val="28"/>
          <w:szCs w:val="28"/>
          <w:rtl w:val="true"/>
          <w:lang w:bidi="ar-SA"/>
        </w:rPr>
        <w:t xml:space="preserve">. </w:t>
      </w:r>
      <w:bookmarkStart w:id="110" w:name="pg19390_208269"/>
    </w:p>
    <w:p>
      <w:pPr>
        <w:pStyle w:val="BookText"/>
        <w:rPr/>
      </w:pPr>
      <w:bookmarkEnd w:id="110"/>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الطلاق صحيحا واقعا فكيف يجوز للشيعي الزواج بالمرأة التي لم يتحقق طلاق الزوج لها؟ وهل يجوز الزواج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ان الشيعي متى ما تزوج تحقق الطلاق من حين وقوعه وكان التزوج كاشفا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عدم جواز التزوج بذات البعل ليس من الأحكام العقلية حتى لا تقبل التخصيص بل هو حكم شرعي قابل للاختصاص بغير موارد الالزام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هذا نجيب عن مثل موثق عبد الرحمن البصري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 لا تترك بغير زوج</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بتزوج المرأة قد يوحي بصحة الطلاق الواقع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الجواب عنه ما تقدّم من التمسك بفكرة الانكشاف أو التخصيص</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7494333_1280447820"/>
      <w:bookmarkStart w:id="112" w:name="_Toc39"/>
      <w:bookmarkEnd w:id="111"/>
      <w:r>
        <w:rPr/>
        <w:t>5</w:t>
      </w:r>
      <w:r>
        <w:rPr>
          <w:rtl w:val="true"/>
        </w:rPr>
        <w:t xml:space="preserve"> - </w:t>
      </w:r>
      <w:r>
        <w:rPr>
          <w:rtl w:val="true"/>
        </w:rPr>
        <w:t>عموم القاعدة لسائر ذوي الأديان</w:t>
      </w:r>
      <w:bookmarkEnd w:id="112"/>
    </w:p>
    <w:p>
      <w:pPr>
        <w:pStyle w:val="BookText"/>
        <w:rPr/>
      </w:pPr>
      <w:r>
        <w:rPr>
          <w:rFonts w:ascii="Amiri" w:hAnsi="Amiri" w:eastAsia="Amiri" w:cs="Amiri"/>
          <w:color w:val="111111"/>
          <w:sz w:val="28"/>
          <w:sz w:val="28"/>
          <w:szCs w:val="28"/>
          <w:rtl w:val="true"/>
          <w:lang w:bidi="ar-SA"/>
        </w:rPr>
        <w:t xml:space="preserve">وهل تعم القاعدة سائر ذوي الأديان؟ فلو فرض ان الكتابي طلّق زوجته طلاقا فاقدا للشروط عندنا فهل يجوز لنا الزواج بها؟ نعم لوجهين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المسلم من غير الشيعة إذا كان يلزم بذلك فبالاولى الزام غير المسلم</w:t>
      </w:r>
      <w:r>
        <w:rPr>
          <w:rFonts w:eastAsia="Amiri" w:cs="Amiri" w:ascii="Amiri" w:hAnsi="Amiri"/>
          <w:color w:val="111111"/>
          <w:sz w:val="28"/>
          <w:szCs w:val="28"/>
          <w:rtl w:val="true"/>
          <w:lang w:bidi="ar-SA"/>
        </w:rPr>
        <w:t xml:space="preserve">. </w:t>
      </w:r>
      <w:bookmarkStart w:id="113" w:name="pg19390_208270"/>
    </w:p>
    <w:p>
      <w:pPr>
        <w:pStyle w:val="BookText"/>
        <w:rPr/>
      </w:pPr>
      <w:bookmarkEnd w:id="1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صحيحة محمّد بن مسلم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ذوي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يعمّ الجميع</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494335_1280447820"/>
      <w:bookmarkStart w:id="115" w:name="_Toc40"/>
      <w:bookmarkEnd w:id="114"/>
      <w:r>
        <w:rPr/>
        <w:t>6</w:t>
      </w:r>
      <w:r>
        <w:rPr>
          <w:rtl w:val="true"/>
        </w:rPr>
        <w:t xml:space="preserve"> - </w:t>
      </w:r>
      <w:r>
        <w:rPr>
          <w:rtl w:val="true"/>
        </w:rPr>
        <w:t>مصاديق لقاعدة الالزام</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الامامية اعتبار الاشهاد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العامة وافق الامامية في ذلك ، وكثير منهم ذهب الى فساده ، وبعض منهم ذهب الى فساده على تقدير عدم الاعلان عنه ، فالمدار عنده على الاعلان وعدمه لا على الاشهاد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تزوّج رجل من العامة الذين يعتقدون بفساد العقد بدون اشهاد بامرأة من دون اشهاد فمن السائغ للإمامي الزواج بها تطبيقا لقاعدة الالزام حيث يرى الزوج فساد العقد بدون اشهاد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العامة جواز الجمع بين العمة وابنة أخيها وهكذا بين الخالة وابنة اختها بل متى ما تقارن العقدان فسدا معا ومتى ما تقدّم أحدهما بطل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الامامية فترى ان ادخال العمة والخالة عليهما لا محذور فيه ويصح العقدان ، واما ادخال بنت الاخ والاخت على العمة والخالة فلا يصح إلاّ برضا العمة والخالة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تزوج العامي بالعمة أو الخالة على بنت الأخ أو الاخت أو بالعكس أو تقارنا جاز للإمامي الزواج بالعمة والخالة بدون شرط وهكذا جاز له الزواج ببنت الأخ أو الاخت بشرط اذن العمة والخالة لو كان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العمة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 كل ذلك لقاعدة الالزام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إذا كانت يائسة أو صغيرة لا تجب عليها العدّة مع </w:t>
      </w:r>
    </w:p>
    <w:p>
      <w:pPr>
        <w:pStyle w:val="BookText"/>
        <w:rPr/>
      </w:pPr>
      <w:r>
        <w:rPr>
          <w:rFonts w:ascii="Amiri" w:hAnsi="Amiri" w:eastAsia="Amiri" w:cs="Amiri"/>
          <w:color w:val="111111"/>
          <w:sz w:val="28"/>
          <w:sz w:val="28"/>
          <w:szCs w:val="28"/>
          <w:rtl w:val="true"/>
          <w:lang w:bidi="ar-SA"/>
        </w:rPr>
        <w:t>الدخول بها لدى الامامية بينما تجب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كانت الزوجة شيعية أو تشيّعت </w:t>
      </w:r>
      <w:r>
        <w:rPr>
          <w:rStyle w:val="FootnoteAnchor"/>
          <w:rtl w:val="true"/>
        </w:rPr>
        <w:footnoteReference w:id="69"/>
      </w:r>
      <w:r>
        <w:rPr>
          <w:rFonts w:ascii="Amiri" w:hAnsi="Amiri" w:eastAsia="Amiri" w:cs="Amiri"/>
          <w:color w:val="111111"/>
          <w:sz w:val="28"/>
          <w:sz w:val="28"/>
          <w:szCs w:val="28"/>
          <w:rtl w:val="true"/>
          <w:lang w:bidi="ar-SA"/>
        </w:rPr>
        <w:t>فلها حق المطالبة بالنفقة أيّام العدّة باعتقادهم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الزوج شيعيا والزوجة المطلقة من غير الشيعة فله الحق في الرجوع إليها الزاما لها بالعدّة وبأحكامها التي منها جواز الرجوع إليها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الامامية ان التركة اذا فضل منها شي‌ء عن السهام المقررة المفروضة ردّ الفاضل على ذوي السهام بينما العامة ترى رده على عصبة الميت </w:t>
      </w:r>
      <w:r>
        <w:rPr>
          <w:rStyle w:val="FootnoteAnchor"/>
          <w:rtl w:val="true"/>
        </w:rPr>
        <w:footnoteReference w:id="70"/>
      </w:r>
      <w:r>
        <w:rPr>
          <w:rFonts w:ascii="Amiri" w:hAnsi="Amiri" w:eastAsia="Amiri" w:cs="Amiri"/>
          <w:color w:val="111111"/>
          <w:sz w:val="28"/>
          <w:sz w:val="28"/>
          <w:szCs w:val="28"/>
          <w:rtl w:val="true"/>
          <w:lang w:bidi="ar-SA"/>
        </w:rPr>
        <w:t>كالأخ أو الاخت أو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بطلان التعصيب لدى الامامية ، أي يرد الفاضل على ذوي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خلّف الميت أخا وبنتا فعلى رأي الامامية يدفع النصف الى البنت بالفريضة والباقي يرد عليها ، واما على رأي العامة فيدفع النصف الباقي الى الاخ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ان الأخ إذا كان من الامامية والبنت من غيرهم أخذ الأخ الباقي بمقتضى قاعدة الالزام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ترك الميت بنتا وعمّا فانّه لو كان العم إماميّا والبنت ليست كذلك جاز له أخذ النصف بالتعصيب طبقا لقاعدة الالزام</w:t>
      </w:r>
      <w:r>
        <w:rPr>
          <w:rFonts w:eastAsia="Amiri" w:cs="Amiri" w:ascii="Amiri" w:hAnsi="Amiri"/>
          <w:color w:val="111111"/>
          <w:sz w:val="28"/>
          <w:szCs w:val="28"/>
          <w:rtl w:val="true"/>
          <w:lang w:bidi="ar-SA"/>
        </w:rPr>
        <w:t xml:space="preserve">. </w:t>
      </w:r>
      <w:bookmarkStart w:id="116" w:name="pg19390_208272"/>
    </w:p>
    <w:p>
      <w:pPr>
        <w:pStyle w:val="BookText"/>
        <w:rPr/>
      </w:pPr>
      <w:bookmarkEnd w:id="11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ارث الزوجة يرى الامامية انها ترث من الأموال المنقولة ، واما الأموال غير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وما ثبت عليها من بناء وأشجار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ترث من الأرض شيئا وترث ممّا ثبتت عليها من قيمته دون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العامة فيرون انها ترث من جميع التركة بدون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كانت الزوجة من الشيعة بينما بقية الورثة من غيرهم فلها أخذ الربع أو الثمن من جميع التركة بقاعدة الالزام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494337_1280447820"/>
      <w:bookmarkStart w:id="118" w:name="_Toc41"/>
      <w:bookmarkEnd w:id="117"/>
      <w:r>
        <w:rPr/>
        <w:t>7</w:t>
      </w:r>
      <w:r>
        <w:rPr>
          <w:rtl w:val="true"/>
        </w:rPr>
        <w:t xml:space="preserve"> - </w:t>
      </w:r>
      <w:r>
        <w:rPr>
          <w:rtl w:val="true"/>
        </w:rPr>
        <w:t>تطبيقات</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تزوج الامامي بامرأة من العامة بدون اشهاد أثناء العقد فما هو الحكم اتجاه نفقتها وارثها لو مات زوجها أو أحد أولادها؟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فرض العكس بأن تزوجت الامامية بغير الامامي بدون اشهاد فما هي الأحكام المترتبة بمقتضى قاعدة الالزام؟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اماميا وله زوجة من العامة وطلّقها ثلاثا في مجلس واحد الذي هو باطل عندنا فهناك أحكام تثبت بمقتضى قاعدة الالزام وأحكام تثبت بقطع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كلا القسمين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الامامي إذا تزوج بامرأة عامية بدون اشهاد فهل يجوز له الزواج باختها تطبيقا لقاعدة الالزام؟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طلّق غير الامامي زوجته التي ليست هي بامامية أيضا فتارة نفترض ان شخصا ثالثا غير امامي أراد الزواج بها واخرى نفترض ان الثالث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الاولى يجوز زواج الثالث طبقا لأي قاعدة؟ وهكذا في الحالة الثانية يجوز زواج الثالث طبقا لأي قاعدة؟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غير الامامي بغير الامامية بعقد نفترضه تارة صحيحا عندهم واخرى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الاولى لا يجوز للإمامي الزواج بتلك المرأة بينما في الحالة الثانية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 وجه الفرق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أشياء لا يجوز بيعها لحرمة أكلها كالسمك الجري مثلا ، ولكن حيث يستحلها غير الامامي فهل يمكن الحكم بجواز بيعها عليه تطبيقا لقاعدة الالزام؟ </w:t>
      </w:r>
      <w:bookmarkStart w:id="119" w:name="pg19390_208274"/>
    </w:p>
    <w:p>
      <w:pPr>
        <w:pStyle w:val="Heading2"/>
        <w:numPr>
          <w:ilvl w:val="1"/>
          <w:numId w:val="1"/>
        </w:numPr>
        <w:rPr/>
      </w:pPr>
      <w:bookmarkStart w:id="120" w:name="__RefHeading___Toc17494339_1280447820"/>
      <w:bookmarkStart w:id="121" w:name="_Toc42"/>
      <w:bookmarkEnd w:id="119"/>
      <w:bookmarkEnd w:id="120"/>
      <w:r>
        <w:rPr>
          <w:rtl w:val="true"/>
        </w:rPr>
        <w:t>قاعدة سوق المسلمين</w:t>
      </w:r>
      <w:bookmarkEnd w:id="121"/>
    </w:p>
    <w:p>
      <w:pPr>
        <w:pStyle w:val="Heading3"/>
        <w:numPr>
          <w:ilvl w:val="2"/>
          <w:numId w:val="1"/>
        </w:numPr>
        <w:rPr/>
      </w:pPr>
      <w:bookmarkStart w:id="122" w:name="__RefHeading___Toc17494341_1280447820"/>
      <w:bookmarkStart w:id="123" w:name="_Toc43"/>
      <w:bookmarkEnd w:id="122"/>
      <w:r>
        <w:rPr>
          <w:rtl w:val="true"/>
        </w:rPr>
        <w:t>اشارة</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المسلم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امارة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نكتة امارية السوق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فرق المسلمين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أرض الإسلام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سوق المسلمين من القواعد المهمّة التي ينتفع بها كثيرا في مجال تعايش المسلمين بعضهم مع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حجية القاعدة المذكورة لا يمكن شراء اللحم من الأسواق والأكل منها لاحتمال عدم تذكيتها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الفقهاء عادة إلى هذه القاعدة عند بحثهم عن النجاسات فان احدها هو الميتة التي يراد بها كل حيوان زهقت روحه بدون تذكية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يذكرون مسألة اخرى وهي ان الحيوان الذي يشك في تذكيته محكوم بحرمة تناول لحمه إلاّ إذا اخذ من سوق المسلمين فإنّه محكوم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أيضا يأخذون بالبحث عن القاعدة المذكورة بشكل مختصر ومن بعض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البحث عنها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bookmarkStart w:id="124" w:name="pg19390_208277"/>
    </w:p>
    <w:p>
      <w:pPr>
        <w:pStyle w:val="BookText"/>
        <w:rPr/>
      </w:pPr>
      <w:bookmarkEnd w:id="1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نكتة امارية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فرق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أرض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7494343_1280447820"/>
      <w:bookmarkStart w:id="126" w:name="_Toc44"/>
      <w:bookmarkEnd w:id="125"/>
      <w:r>
        <w:rPr/>
        <w:t>1</w:t>
      </w:r>
      <w:r>
        <w:rPr>
          <w:rtl w:val="true"/>
        </w:rPr>
        <w:t xml:space="preserve"> - </w:t>
      </w:r>
      <w:r>
        <w:rPr>
          <w:rtl w:val="true"/>
        </w:rPr>
        <w:t>مضمون القاعدة</w:t>
      </w:r>
      <w:bookmarkEnd w:id="126"/>
    </w:p>
    <w:p>
      <w:pPr>
        <w:pStyle w:val="BookText"/>
        <w:rPr/>
      </w:pPr>
      <w:r>
        <w:rPr>
          <w:rFonts w:ascii="Amiri" w:hAnsi="Amiri" w:eastAsia="Amiri" w:cs="Amiri"/>
          <w:color w:val="111111"/>
          <w:sz w:val="28"/>
          <w:sz w:val="28"/>
          <w:szCs w:val="28"/>
          <w:rtl w:val="true"/>
          <w:lang w:bidi="ar-SA"/>
        </w:rPr>
        <w:t>يقصد من القاعدة المذكورة الحكم بامارية السوق على التذكية ، فان الحيوان إذا لم يذك لم يجز تناول لحمه ولا الصلاة مع جلده ، واذا شك في تذكيته حكم عليه بعدمها تمسّكا باستصحاب عدمها فان الحيوان حالة حياته لم يكن مذكى فاذا شك في حصولها له عند زهاق روحه استصحب ذلك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حجّة ويحكم على الحيوان بعدم التذكية ومن ثمّ بعدم جواز تناول لحمه ولا الصلاة في جلده بل وفي رأي المشهور يحكم بنجاسته وتنجس اليد والملابس باصابتها له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الاستصحاب محكّم ولا يجوز تجاوزه إلاّ إذا كان ذلك مأخوذا من سوق المسلمين فانه محكوم بالتذكية ومن ثمّ بحلية تناول اللحم وجواز الصلاة مع الجلد والطهارة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امارية سوق المسلمين تختص بهذا المجال وهو اثبات التذكية ، واما اثبات الملكية والطهارة فذلك أجنبي عن امارية السوق ، فلو فرض ان شخصا أراد شراء شي‌ء من سوق المسلمين وهو لا يدري </w:t>
      </w:r>
      <w:bookmarkStart w:id="127" w:name="pg19390_208278"/>
    </w:p>
    <w:p>
      <w:pPr>
        <w:pStyle w:val="BookText"/>
        <w:rPr/>
      </w:pPr>
      <w:bookmarkEnd w:id="127"/>
      <w:r>
        <w:rPr>
          <w:rFonts w:ascii="Amiri" w:hAnsi="Amiri" w:eastAsia="Amiri" w:cs="Amiri"/>
          <w:color w:val="111111"/>
          <w:sz w:val="28"/>
          <w:sz w:val="28"/>
          <w:szCs w:val="28"/>
          <w:rtl w:val="true"/>
          <w:lang w:bidi="ar-SA"/>
        </w:rPr>
        <w:t>ان ذلك الشي‌ء ملك للبائع أو لا ، أو شك في طهارته وعدمها فليس له جعل السوق امارة على الملكية أو الطهارة بل الملكية تثبت بقاعدة اليد ولو لم تكن يد مسلمة ، والطهارة تثبت بقاعدة الطهارة ولو لم تكن اليد مسلمة أيضا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7494345_1280447820"/>
      <w:bookmarkStart w:id="129" w:name="_Toc45"/>
      <w:bookmarkEnd w:id="128"/>
      <w:r>
        <w:rPr/>
        <w:t>2</w:t>
      </w:r>
      <w:r>
        <w:rPr>
          <w:rtl w:val="true"/>
        </w:rPr>
        <w:t xml:space="preserve"> - </w:t>
      </w:r>
      <w:r>
        <w:rPr>
          <w:rtl w:val="true"/>
        </w:rPr>
        <w:t>مدرك القاعدة</w:t>
      </w:r>
      <w:bookmarkEnd w:id="129"/>
    </w:p>
    <w:p>
      <w:pPr>
        <w:pStyle w:val="BookText"/>
        <w:rPr/>
      </w:pPr>
      <w:r>
        <w:rPr>
          <w:rFonts w:ascii="Amiri" w:hAnsi="Amiri" w:eastAsia="Amiri" w:cs="Amiri"/>
          <w:color w:val="111111"/>
          <w:sz w:val="28"/>
          <w:sz w:val="28"/>
          <w:szCs w:val="28"/>
          <w:rtl w:val="true"/>
          <w:lang w:bidi="ar-SA"/>
        </w:rPr>
        <w:t xml:space="preserve">يمكن الاستدلال على القاعدة المذكورة بالوجوه الثلاثة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 فاننا نذهب الى السوق ونشتري اللحم ونتعامل معه معاملة المذكى بالرغم من ان القصاب الذي نشتري منه ذلك لا نجزم بتذكيته للحيوان بل نحتمل اما انّه لم يذكه رأسا أو ذكّاه لا على الوجه الشرعي المضبوط ، ومن تحرّج عن الشراء والأكل عدّ منحرفا عن الاتجاه العام الذي يسير عليه المسلمون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لا نحتمل كونها متجددة وحاصلة في العصر المتأخّر ، كيف وهل يحتمل ان المسلمين في عصر الأئمة  عليهم‌ السلام لم يكونوا ليشتروا اللحم من السوق ، أو هل يحتمل انهم كانوا يجزمون بأن جميع القصابين في ذلك العهد يجرون التذكية على وجهها الشرعي المضبوط من دون احتمال تخلّف أحدهم عن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سلمنا بانعقاد هذه السيرة فلا نحتاج الى اثبات حجيتها بفكرة الامضاء من خلال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نكون بحاجة الى ذلك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بدون ذلك لأن افتراض كونها سيرة متشرّعة نفسه يستبطن افتراض كونها متلقاة من الشرع المقدّس وإلاّ لم تكن سيرة 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عدم حجية سوق المسلمين اختلال النظام إذ يلزم ان يذبح كل فرد مسلم الحيوان لنفسه ولا يجوز له شراء اللحم من السوق والأكل منه لأن احتمال عدم التذكية ما دام موجودا فبالاستصحاب يثبت عدم تذكية الحيوان المشكوك ومن ثمّ عدم جواز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هذا المجال عدّة روايات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فضيل وزرارة ومحمد بن مسلم حيث سألوا أبا جعفر  عليه‌ السلام عن شراء اللّحوم من الأسواق ولا يدرى ما صنع القصّابون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وصحيحة السند حيث يرويها الكليني عن علي بن إبراهيم عن أبيه عن ابن أبي عمير عن عمر بن اذينة عن فضيل وزرارة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العبد الصالح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غير أهل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والدلالة والسند جيّدان فان الشيخ الطوسي يرويها بسنده الى سعد عن ايوب بن نوح عن عبد اللّه بن المغيرة عن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الى سعد صحيح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السوق فيشتري </w:t>
      </w:r>
      <w:bookmarkStart w:id="130" w:name="pg19390_208280"/>
    </w:p>
    <w:p>
      <w:pPr>
        <w:pStyle w:val="BookText"/>
        <w:rPr/>
      </w:pPr>
      <w:bookmarkEnd w:id="130"/>
      <w:r>
        <w:rPr>
          <w:rFonts w:ascii="Amiri" w:hAnsi="Amiri" w:eastAsia="Amiri" w:cs="Amiri"/>
          <w:color w:val="111111"/>
          <w:sz w:val="28"/>
          <w:sz w:val="28"/>
          <w:szCs w:val="28"/>
          <w:rtl w:val="true"/>
          <w:lang w:bidi="ar-SA"/>
        </w:rPr>
        <w:t xml:space="preserve">جبّة فراء لا يدري أذكية هي أم غير ذكية أيصلّي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 ان أبا 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 ان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ذم السؤال والفحص حذرا من ايقاع المؤمن نفسه في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السند أيضا لأن الشيخ يرويها بسنده الصحيح إلى ابن محبوب عن أحمد بن محمد </w:t>
      </w:r>
      <w:r>
        <w:rPr>
          <w:rStyle w:val="FootnoteAnchor"/>
          <w:rtl w:val="true"/>
        </w:rPr>
        <w:footnoteReference w:id="74"/>
      </w:r>
      <w:r>
        <w:rPr>
          <w:rFonts w:ascii="Amiri" w:hAnsi="Amiri" w:eastAsia="Amiri" w:cs="Amiri"/>
          <w:color w:val="111111"/>
          <w:sz w:val="28"/>
          <w:sz w:val="28"/>
          <w:szCs w:val="28"/>
          <w:rtl w:val="true"/>
          <w:lang w:bidi="ar-SA"/>
        </w:rPr>
        <w:t>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مضمرة ولعل المسؤول ليس هو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البزنطي حيث انّه من أجلّة الأصحاب الذين لا يليق بهم الرواية عن غير الامام  عليه‌ السلام فيتعيّن أن يكون المسؤول هو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امكان تطبيق البيان العام الذي ذكرناه سابقا لحجية جميع المضمرات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اخرى في هذا المجال يمكن ملاحظتها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في كتاب وسائل الشيعة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7494347_1280447820"/>
      <w:bookmarkStart w:id="132" w:name="_Toc46"/>
      <w:bookmarkEnd w:id="131"/>
      <w:r>
        <w:rPr/>
        <w:t>3</w:t>
      </w:r>
      <w:r>
        <w:rPr>
          <w:rtl w:val="true"/>
        </w:rPr>
        <w:t xml:space="preserve"> - </w:t>
      </w:r>
      <w:r>
        <w:rPr>
          <w:rtl w:val="true"/>
        </w:rPr>
        <w:t>يد المسلم</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اللحم تارة نأخذه من سوق المسلمين ، وهذا كما عرفنا محكوم بالتذكية ، واخرى نأخذه من يد شخص مسلم بهدية أو شراء من دون أن يمرّ ذلك الأخذ بسوق المسلمين ، كما لو أخذناه </w:t>
      </w:r>
      <w:bookmarkStart w:id="133" w:name="pg19390_208281"/>
    </w:p>
    <w:p>
      <w:pPr>
        <w:pStyle w:val="BookText"/>
        <w:rPr/>
      </w:pPr>
      <w:bookmarkEnd w:id="133"/>
      <w:r>
        <w:rPr>
          <w:rFonts w:ascii="Amiri" w:hAnsi="Amiri" w:eastAsia="Amiri" w:cs="Amiri"/>
          <w:color w:val="111111"/>
          <w:sz w:val="28"/>
          <w:sz w:val="28"/>
          <w:szCs w:val="28"/>
          <w:rtl w:val="true"/>
          <w:lang w:bidi="ar-SA"/>
        </w:rPr>
        <w:t>منه في البلاد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 المسلم كسوق المسلمين امارة على التذكية؟</w:t>
      </w:r>
    </w:p>
    <w:p>
      <w:pPr>
        <w:pStyle w:val="BookText"/>
        <w:rPr/>
      </w:pPr>
      <w:r>
        <w:rPr>
          <w:rFonts w:ascii="Amiri" w:hAnsi="Amiri" w:eastAsia="Amiri" w:cs="Amiri"/>
          <w:color w:val="111111"/>
          <w:sz w:val="28"/>
          <w:sz w:val="28"/>
          <w:szCs w:val="28"/>
          <w:rtl w:val="true"/>
          <w:lang w:bidi="ar-SA"/>
        </w:rPr>
        <w:t>اننا لو رجعنا الى الروايات نجدها تعبّر بكلمة السوق إلاّ انّه بالرغم من ذلك يمكن الحكم بالايجاب باعتبار ان الامارية التي ثبتت لسوق المسلمين لا نحتمل اعتبارها له بما هو بناء خاص يشتمل على محلات معدودة وانما اعتبرت له من جهة كونه المحل الذي يضم المسلمين والكاشف عن كون اليد المأخوذ منها يدا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الامارة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يد المسلم دون السوق نفسها وانما السوق امارة على الامارة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7494349_1280447820"/>
      <w:bookmarkStart w:id="135" w:name="_Toc47"/>
      <w:bookmarkEnd w:id="134"/>
      <w:r>
        <w:rPr/>
        <w:t>4</w:t>
      </w:r>
      <w:r>
        <w:rPr>
          <w:rtl w:val="true"/>
        </w:rPr>
        <w:t xml:space="preserve"> - </w:t>
      </w:r>
      <w:r>
        <w:rPr>
          <w:rtl w:val="true"/>
        </w:rPr>
        <w:t>السوق امارة</w:t>
      </w:r>
      <w:bookmarkEnd w:id="135"/>
    </w:p>
    <w:p>
      <w:pPr>
        <w:pStyle w:val="BookText"/>
        <w:rPr/>
      </w:pPr>
      <w:r>
        <w:rPr>
          <w:rFonts w:ascii="Amiri" w:hAnsi="Amiri" w:eastAsia="Amiri" w:cs="Amiri"/>
          <w:color w:val="111111"/>
          <w:sz w:val="28"/>
          <w:sz w:val="28"/>
          <w:szCs w:val="28"/>
          <w:rtl w:val="true"/>
          <w:lang w:bidi="ar-SA"/>
        </w:rPr>
        <w:t>من يقرأ الروايات السابقة يفهم منها بوضوح ان السوق ليس امارة تعبدا ولا لنكتة عقلائية بل هو امارة لنكتة عقلائية وهي كاشفيته عن كون البائع مسلما ، وكاشفية يده عن كونها تطبق الشرائط الشرعية للتذكية بدقة وبالكامل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الكاشفتين تستند الى نكتة الغلبة ، فانّه لما كان الغالب في السوق تواجد المسلمين فيه فوجود المحل في السوق يكشف عن كون صاحبه مسلما ، ولما كان الغالب على المسلمين التحفّظ على الشروط الشرعية للتذكية فالأخذ من اليد المحكوم بإسلامها يكشف عن تحقق الشروط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السوق يكشف عن كون اليد المأخوذ منها يدا مسلمة لأجل الغلبة ، والأخذ من اليد المسلمة يكشف عن تحقّق الشروط الشرعية </w:t>
      </w:r>
    </w:p>
    <w:p>
      <w:pPr>
        <w:pStyle w:val="BookText"/>
        <w:rPr/>
      </w:pPr>
      <w:r>
        <w:rPr>
          <w:rFonts w:ascii="Amiri" w:hAnsi="Amiri" w:eastAsia="Amiri" w:cs="Amiri"/>
          <w:color w:val="111111"/>
          <w:sz w:val="28"/>
          <w:sz w:val="28"/>
          <w:szCs w:val="28"/>
          <w:rtl w:val="true"/>
          <w:lang w:bidi="ar-SA"/>
        </w:rPr>
        <w:t>لأجل الغلبة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كون حجية السوق من الناحية المذكورة وليس لنكتة تعبدية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السوق لا يكون امارة على التذكية إلاّ إذا كان الطابع العام على أصحاب السوق الإسلام بحيث كان الكل أو الأغلب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الكل أو الأغلب من غير المسلمين فلا يكون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اطلاق كلمة السوق في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السوق بما هو سوق وبقطع النظر عن كونه سوق المسلمين لا يحتمل اماريته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وبقطع النظر عن ذلك يمكن أن نستفيد اعتبار غلبة المسلمين من خلال التصريح بالتقييد المذكور في الرواية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أيضا ان السوق الإسلامي إذا كان يستورد بعض الأحزمة والأحذية المصنوعة من جلود الحيوانات من بعض الدول الكافرة مع الجزم بعدم مبالاة المسلم المستورد بقضية التذكية بل تمام همّه تحصيل الأرباح لا غير فلا يجوز شراؤها استنادا إلى امارية السوق لأنّ السوق لا امارية له بعد ضعف المبالاة بتعاليم الإسلام أو انعدامها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أيضا ان السوق الاسلامي لو كنّا نجزم باشتمال بعض المحلاّت فيه على لحوم غير مذكاة وليس بامكاننا تشخيص ذلك المحل عن غيره فلا بدّ من هجر الشراء من تلك المحلات لسقوط السوق عن الامارية بعد العلم باشتماله على غير المذكى فان السوق امارة عند الشك في التذكية لا عند الجزم بعدمها</w:t>
      </w:r>
      <w:r>
        <w:rPr>
          <w:rFonts w:eastAsia="Amiri" w:cs="Amiri" w:ascii="Amiri" w:hAnsi="Amiri"/>
          <w:color w:val="111111"/>
          <w:sz w:val="28"/>
          <w:szCs w:val="28"/>
          <w:rtl w:val="true"/>
          <w:lang w:bidi="ar-SA"/>
        </w:rPr>
        <w:t xml:space="preserve">. </w:t>
      </w:r>
      <w:bookmarkStart w:id="136" w:name="pg19390_208283"/>
    </w:p>
    <w:p>
      <w:pPr>
        <w:pStyle w:val="BookText"/>
        <w:rPr/>
      </w:pPr>
      <w:bookmarkEnd w:id="136"/>
      <w:r>
        <w:rPr>
          <w:rFonts w:ascii="Amiri" w:hAnsi="Amiri" w:eastAsia="Amiri" w:cs="Amiri"/>
          <w:color w:val="111111"/>
          <w:sz w:val="28"/>
          <w:sz w:val="28"/>
          <w:szCs w:val="28"/>
          <w:rtl w:val="true"/>
          <w:lang w:bidi="ar-SA"/>
        </w:rPr>
        <w:t xml:space="preserve">وبتسليم سقوط السوق عن الامارية فيما يجزم بعدم تذكيته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السوق على الحجية والامارية بلحاظ جميع المحلات باطل للعلم بسقوطه عن الحجية بلحاظ بعضها وهو ما يجزم باشتماله على غير المذكى ، وبقاؤه على الامارية بلحاظ بعض دون آخر ترجيح بلا مرجح فيلزم سقوطه عن الاعتبار بلحاظ أي فرد من المحلات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انّه قد يستفاد من موثقة إسحاق بن عمار المتقدّمة كفاية غلبة المسلمين في الحكم بالحلية إذ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غير أهل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أيضا ان يد المسلم انّما تكون امارة على التذكية فيما لو كان يتعامل مع ما هو تحت يده التعامل الخاص بالمذكى كعرض الجلود للبيع أو لبسها في الصلاة أو مسّها برطوبة وما شاكل ذلك ، اما إذا لم يكن له هذا التعامل ، كما إذا احتمل ان احتفاظه باللحم لأجل الالقاء في المزبلة أو الاحراق فلا تكون يده حجّة لفقدان الامارية في مثل الحالة المذكورة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494351_1280447820"/>
      <w:bookmarkStart w:id="138" w:name="_Toc48"/>
      <w:bookmarkEnd w:id="137"/>
      <w:r>
        <w:rPr/>
        <w:t>5</w:t>
      </w:r>
      <w:r>
        <w:rPr>
          <w:rtl w:val="true"/>
        </w:rPr>
        <w:t xml:space="preserve"> - </w:t>
      </w:r>
      <w:r>
        <w:rPr>
          <w:rtl w:val="true"/>
        </w:rPr>
        <w:t>تحليل نكتة امارية السوق</w:t>
      </w:r>
      <w:bookmarkEnd w:id="138"/>
    </w:p>
    <w:p>
      <w:pPr>
        <w:pStyle w:val="BookText"/>
        <w:rPr/>
      </w:pPr>
      <w:r>
        <w:rPr>
          <w:rFonts w:ascii="Amiri" w:hAnsi="Amiri" w:eastAsia="Amiri" w:cs="Amiri"/>
          <w:color w:val="111111"/>
          <w:sz w:val="28"/>
          <w:sz w:val="28"/>
          <w:szCs w:val="28"/>
          <w:rtl w:val="true"/>
          <w:lang w:bidi="ar-SA"/>
        </w:rPr>
        <w:t>من الواضح ان سوق المسلمين بما هو سوق المسلمين وبقطع النظر عن ضم نكتة اخرى لا عبرة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نحتمل ان حجية سوق المسلمين قضية تعبدية بشكل بحت وإلاّ يلزم ان اللحم المشكوك تذكيته إذا كان بيد الكافر فهو </w:t>
      </w:r>
    </w:p>
    <w:p>
      <w:pPr>
        <w:pStyle w:val="BookText"/>
        <w:rPr/>
      </w:pPr>
      <w:r>
        <w:rPr>
          <w:rFonts w:ascii="Amiri" w:hAnsi="Amiri" w:eastAsia="Amiri" w:cs="Amiri"/>
          <w:color w:val="111111"/>
          <w:sz w:val="28"/>
          <w:sz w:val="28"/>
          <w:szCs w:val="28"/>
          <w:rtl w:val="true"/>
          <w:lang w:bidi="ar-SA"/>
        </w:rPr>
        <w:t xml:space="preserve">محرم ولكن بمجرّد أن يدفعه الكافر الى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المبالي بتعاليم الشريعة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حلالا ، فعملية النقل من هذه اليد إلى تلك توجب الحلية بالرغم من الجزم بعدم تحقيق اليد الثانية المسلمة عن قضية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بدّ من وجود نكتة عقلائية على أساسها تثبت الحجية لسوق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النكتة العقلائية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لما أشرنا إليه سابقا من ان تواجد المسلمين في السوق لما كان هو الطابع العام كان ذلك كاشفا عن كون يد البائع يدا مسلمة ، واليد المسلمة بدورها ولأجل الغلبة تكشف عن تحقق شروط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والسوق على هذا الأساس يكون امارة على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السوق كاشفا ابتداء عن تذكية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توسط الكاشفية عن اليد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الغالب فيما يتداول في سوق المسلمين كونه مذبوحا على الطريقة الاسلامية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بين هاتين النكتتين تظهر فيما لو كان صاحب أحد المحلات في سوق المسلمين كافرا ، فانه على النكتة الاولى لا يمكن الحكم بتذكية اللحم المشترى منه لأنّ السوق امارة على اسلام الذابح حالة الشك في كونه مسلما والمفروض الجزم بكفره بينما على النكتة الثانية يمكن الحكم بالتذكية لأنّ السوق بحكم غلبة تواجد المذكى فيه يكشف عن تذكية اللحم المشكوك الموجود فيه حتى ولو كان بيد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السوق كاشفا عن مرور مشكوك التذكية بيد المسلم من خلال البيع ونحوه ، والانتقال إلى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من خلال المرور باليد المسلمة لأن الكافر ما دام أحد الأفراد في السوق المسلمة فلا بدّ ان يكون وصول الدجاج ونحوه إلى يده قد تمّ من خلال الانتقال إليه من المذابح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فالسوق المسلمة على هذا كاشفة بنحو الاجمال عن وجود يد مسلمة قد مرّ الحيوان بها ، وتلك اليد المسلمة المعلومة بنحو الاجمال هي الامارة على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والسوق على هذه النكتة امارة على الامارة كما هو الحال على النكتة الاولى ولا فرق بينهما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بينهما تظهر فيما لو كان البائع في السوق المسلمة كافرا ولكن كنّا نحتمل ان اللحم الموجود عنده قد مرّ باليد المسلمة فإنّه على النكتة الاولى لا يحكم بالتذكية لأنّ حجية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كاشفيته عن اسلام البائع والمفروض في المقام الجزم بعدم اسلامه، بينما على النكتة الثالثة يحكم بالتذكية لكاشفية السوق عن مرور الحيوان باليد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بعد هذا الفرق بين النكتتين الأخيرتين واضحا إذ في مثال البائع الكافر يحكم بكون اللحم المأخوذ منه مذكى على النكتة الثانية حتى ولو علم بعدم سبق يد المسلم عليه بينما على النكتة الثالثة لا يحكم بذلك إلاّ مع احتمال سبق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الاستعراض لنكتة امارية سوق المسلمين يمكن الحكم بترجيح النكتة الاولى اما لأنّها هي المفهومة عرفا من خلال قراءة </w:t>
      </w:r>
      <w:bookmarkStart w:id="139" w:name="pg19390_208286"/>
    </w:p>
    <w:p>
      <w:pPr>
        <w:pStyle w:val="BookText"/>
        <w:rPr/>
      </w:pPr>
      <w:bookmarkEnd w:id="139"/>
      <w:r>
        <w:rPr>
          <w:rFonts w:ascii="Amiri" w:hAnsi="Amiri" w:eastAsia="Amiri" w:cs="Amiri"/>
          <w:color w:val="111111"/>
          <w:sz w:val="28"/>
          <w:sz w:val="28"/>
          <w:szCs w:val="28"/>
          <w:rtl w:val="true"/>
          <w:lang w:bidi="ar-SA"/>
        </w:rPr>
        <w:t>النصوص أو لأنّه بعد اجمالها وعدم تعين الاولى ينبغي الاقتصار على القدر المتيقن وهو الاولى لأنّه بناء عليها يلزم اعتبار كون البائع مسلما ولا يكون السوق حجّة في صورة العلم بعدم إسلام البائع بخلافه على الأخيرتين ، ومقتضى الاقتصار في مخالفة استصحاب عدم التذكية على المقدار المتيقن هو عدم الحكم بالتذكية إلاّ مع اسلام البائع</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7494353_1280447820"/>
      <w:bookmarkStart w:id="141" w:name="_Toc49"/>
      <w:bookmarkEnd w:id="140"/>
      <w:r>
        <w:rPr/>
        <w:t>6</w:t>
      </w:r>
      <w:r>
        <w:rPr>
          <w:rtl w:val="true"/>
        </w:rPr>
        <w:t xml:space="preserve"> - </w:t>
      </w:r>
      <w:r>
        <w:rPr>
          <w:rtl w:val="true"/>
        </w:rPr>
        <w:t>لا فرق بين فرق المسلمين</w:t>
      </w:r>
      <w:bookmarkEnd w:id="141"/>
    </w:p>
    <w:p>
      <w:pPr>
        <w:pStyle w:val="BookText"/>
        <w:rPr/>
      </w:pPr>
      <w:r>
        <w:rPr>
          <w:rFonts w:ascii="Amiri" w:hAnsi="Amiri" w:eastAsia="Amiri" w:cs="Amiri"/>
          <w:color w:val="111111"/>
          <w:sz w:val="28"/>
          <w:sz w:val="28"/>
          <w:szCs w:val="28"/>
          <w:rtl w:val="true"/>
          <w:lang w:bidi="ar-SA"/>
        </w:rPr>
        <w:t xml:space="preserve">وهل الحكم بامارية سوق المسلمين على التذكية يختص بما إذا كان مسلمو السوق من الامامية؟ كلا ، بل يعمّ ما إذا كانوا من الفرق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ذهاب كلّهم أو جلّهم إلى القول بطهارة جلد الميتة بالدبغ وحلية 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النصوص وعدم تقييد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بفرقة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الطابع العام على سوق المسلمين عصر صدور النصوص احتواؤها على الطوائف الاخرى غير الامامية ، وتخصيصها بهم دون غيرهم يلزم منه تخصيص الأكثر الذي هو 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ذهاب الفرق الاخرى من غير الامامية الى القول بطهارة جلد الميتة بالدبغ أو بحلية ذبائح أهل الكتاب لا يمنع من امارية سوق المسلمين للوجهين المتقدّمين خلافا لما ينسب الى العلاّمة الحلّي من عدم الحكم بالامارية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الصلاة في الفراء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w:t>
      </w:r>
    </w:p>
    <w:p>
      <w:pPr>
        <w:pStyle w:val="BookText"/>
        <w:rPr/>
      </w:pPr>
      <w:r>
        <w:rPr>
          <w:rFonts w:ascii="IRNazanin" w:hAnsi="IRNazanin" w:eastAsia="IRNazanin"/>
          <w:color w:val="111111"/>
          <w:sz w:val="28"/>
          <w:sz w:val="28"/>
          <w:szCs w:val="28"/>
          <w:rtl w:val="true"/>
          <w:lang w:bidi="fa-IR"/>
        </w:rPr>
        <w:t xml:space="preserve">رجلا صردا </w:t>
      </w:r>
      <w:r>
        <w:rPr>
          <w:rStyle w:val="FootnoteAnchor"/>
          <w:rtl w:val="true"/>
        </w:rPr>
        <w:footnoteReference w:id="76"/>
      </w:r>
      <w:r>
        <w:rPr>
          <w:rFonts w:ascii="Amiri" w:hAnsi="Amiri" w:eastAsia="Amiri" w:cs="Amiri"/>
          <w:color w:val="111111"/>
          <w:sz w:val="28"/>
          <w:sz w:val="28"/>
          <w:szCs w:val="28"/>
          <w:rtl w:val="true"/>
          <w:lang w:bidi="ar-SA"/>
        </w:rPr>
        <w:t xml:space="preserve">لا يدفئه فراء الحجاز لأنّ دباغها بالقرظ </w:t>
      </w:r>
      <w:r>
        <w:rPr>
          <w:rStyle w:val="FootnoteAnchor"/>
          <w:rtl w:val="true"/>
        </w:rPr>
        <w:footnoteReference w:id="77"/>
      </w:r>
      <w:r>
        <w:rPr>
          <w:rFonts w:ascii="Amiri" w:hAnsi="Amiri" w:eastAsia="Amiri" w:cs="Amiri"/>
          <w:color w:val="111111"/>
          <w:sz w:val="28"/>
          <w:sz w:val="28"/>
          <w:szCs w:val="28"/>
          <w:rtl w:val="true"/>
          <w:lang w:bidi="ar-SA"/>
        </w:rPr>
        <w:t xml:space="preserve">فكان يبعث الى العراق فيؤتى ممّا قبلكم بالفرو فيلبسه فاذا حضرت الصلاة ألقاه وألقى القميص الذي يليه فكان يسأل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يستحلون لباس الجلود الميتة ويزعمون ان دباغه ذكاته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 الرحمن بن الحجاج قلت لأبي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أدخل سوق المسلمين أعني هذا الخلق الذين يدعون الإسلام فاشتري منهم الفراء للتجارة فأقول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هي ذكية؟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فهل يصلح لي أن أبيعها على انّها ذكية؟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لا بأس أن تبيعها وتقول قد شرط لي الذي اشتريتها منه انّها 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أفسد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استحلال أهل العراق للميتة وزعموا ان دباغ جلد الميتة ذكاته ثم لم يرضوا ان يكذبوا في ذلك إلاّ على رسول اللّه  صلی اللّه عليه وآله وسلم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الاولى ضعفها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القاء الامام  عليه‌ السلام للفرو فعل وهو مجمل إذ لعل ذلك صدر منه من باب الرجحان دون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والسندي لاشتمال الطريق على جملة من المجاهيل كما يتضح من خلال المراجعة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الثانية ضعفها الدلالي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أقصى ما تدل عليه عدم </w:t>
      </w:r>
      <w:bookmarkStart w:id="142" w:name="pg19390_208288"/>
    </w:p>
    <w:p>
      <w:pPr>
        <w:pStyle w:val="BookText"/>
        <w:rPr/>
      </w:pPr>
      <w:bookmarkEnd w:id="142"/>
      <w:r>
        <w:rPr>
          <w:rFonts w:ascii="Amiri" w:hAnsi="Amiri" w:eastAsia="Amiri" w:cs="Amiri"/>
          <w:color w:val="111111"/>
          <w:sz w:val="28"/>
          <w:sz w:val="28"/>
          <w:szCs w:val="28"/>
          <w:rtl w:val="true"/>
          <w:lang w:bidi="ar-SA"/>
        </w:rPr>
        <w:t xml:space="preserve">جواز الشهادة والتعهد بكون المشكوك مذكى ولا تدل على الحكم عليه بعدم كونه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7494355_1280447820"/>
      <w:bookmarkStart w:id="144" w:name="_Toc50"/>
      <w:bookmarkEnd w:id="143"/>
      <w:r>
        <w:rPr/>
        <w:t>7</w:t>
      </w:r>
      <w:r>
        <w:rPr>
          <w:rtl w:val="true"/>
        </w:rPr>
        <w:t xml:space="preserve"> - </w:t>
      </w:r>
      <w:r>
        <w:rPr>
          <w:rtl w:val="true"/>
        </w:rPr>
        <w:t>مصنوع أرض الإسلام</w:t>
      </w:r>
      <w:bookmarkEnd w:id="144"/>
    </w:p>
    <w:p>
      <w:pPr>
        <w:pStyle w:val="Heading4"/>
        <w:numPr>
          <w:ilvl w:val="3"/>
          <w:numId w:val="1"/>
        </w:numPr>
        <w:rPr/>
      </w:pPr>
      <w:bookmarkStart w:id="145" w:name="__RefHeading___Toc17494357_1280447820"/>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قد يعيش المسلم أحيانا في بلاد كافرة ويجد الأحزمة أو الأحذية المصنوعة من الجلود في أسواقها ، ان أمثال تلك محكوم عليها بمقتضى استصحاب عدم التذكية بكونها غير مذكاة ومن ثمّ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وتنجس الرجل عند ملاقاتها لها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 نستثني من ذلك ما إذا كان قد كتب على الجلد بأنّه قد صنع في تركيا مثلا التي هي من البلدان الاسلامية ، انّه في مثل هذه الحالة إذا لم يحصل الاطمئنان الكامل بصدق الكتابة وحقانيتها فلا يجوز الاتكال عليها ، واما إذا حصل ذلك جاز الاتكال عليها والحكم بالتذكية ومن ثمّ الطهارة إذ يثبت بذلك كونه مصنوعا في أرض الإسلام ، وهو كاف في الحكم بالتذكية ولا يتوقف الحكم بها على الأخذ من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موثقة إسحاق بن عمار المتقدّمة عند بيان مدرك القاعدة إذ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بالصلاة في الفراء اليماني وفيما صنع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المدعى بوضوح</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7494359_1280447820"/>
      <w:bookmarkStart w:id="148" w:name="_Toc52"/>
      <w:bookmarkEnd w:id="147"/>
      <w:r>
        <w:rPr>
          <w:rtl w:val="true"/>
        </w:rPr>
        <w:t>الخلاصة</w:t>
      </w:r>
      <w:bookmarkEnd w:id="1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مجموع كل هذا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الجلد أو اللحم الذي </w:t>
      </w:r>
      <w:bookmarkStart w:id="149" w:name="pg19390_208289"/>
    </w:p>
    <w:p>
      <w:pPr>
        <w:pStyle w:val="BookText"/>
        <w:rPr/>
      </w:pPr>
      <w:bookmarkEnd w:id="149"/>
      <w:r>
        <w:rPr>
          <w:rFonts w:ascii="Amiri" w:hAnsi="Amiri" w:eastAsia="Amiri" w:cs="Amiri"/>
          <w:color w:val="111111"/>
          <w:sz w:val="28"/>
          <w:sz w:val="28"/>
          <w:szCs w:val="28"/>
          <w:rtl w:val="true"/>
          <w:lang w:bidi="ar-SA"/>
        </w:rPr>
        <w:t>يشك في تذكيته محكوم بعدم التذكية استنادا الى 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لا يجوز تجاوزه إلاّ إذا قامت امارة شرعية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والامارة ذات أفراد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 ويد المسلم ، والصنع في أرض الإسلام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7494361_1280447820"/>
      <w:bookmarkStart w:id="151" w:name="_Toc53"/>
      <w:bookmarkEnd w:id="150"/>
      <w:r>
        <w:rPr/>
        <w:t>8</w:t>
      </w:r>
      <w:r>
        <w:rPr>
          <w:rtl w:val="true"/>
        </w:rPr>
        <w:t xml:space="preserve"> - </w:t>
      </w:r>
      <w:r>
        <w:rPr>
          <w:rtl w:val="true"/>
        </w:rPr>
        <w:t>تطبيقات</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تباع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كالأحزمة والأحذية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محلات البلدان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تارة نطمئن بسبق يد المسلم عليها واخرى نظن بذلك وثالثة نحتمل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الحالات الثلاث المذكورة؟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الأسماك التي تباع في أسواق البلاد الكافرة أو معلبات السمك التي تجلب منها وتباع في أسواق البلاد الاسلامية؟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في لندن كثيرون في هذه الفترة فهل يجوز الاستناد بعد هذا إلى أسواقها والحكم بالتذكية؟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بلد يشتمل على سوقين أحدهما مسلم والآخر ليس كذلك ولم نميّز هذا عن ذاك فهل يجوز الشراء من أحدهما؟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اشترينا أحزمة من بلاد اسلامية ولكن لا ندري هي مصنوعة فيها أو مستوردة من بلاد كافرة فما هو الحكم في مثل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البلاد المسلمة يباع في مطاعمها الدجاج المستورد من البلاد الكافرة هل يجوز لنا التناول منه؟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 كافرة فيها سوق كبير صاحب أحد المحلات فيه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المحل الوحيد الذي صاحبه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يبيع اللحوم فهل يجوز لنا الشراء منه؟ وما هي القاعدة التي نستند إليها في الجواز ان حكمنا به؟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له محل في شارع معين وليس في السوق ولا ندري هو مسلم أو لا ، والطابع العام على البلاد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اللحوم منه ولأي قاعدة؟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الاجبان أو الزبدة أو الحليب التي تباع في سوق البلاد الكافرة هل يجوز شراؤها وتناولها؟ ولما ذا؟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تباع معلبات الباذنجان وغيرها في أسواق البلاد الكافرة هل يجوز تناولها؟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اشترينا طعاما من البلاد الكافرة وهو يشتمل على مادة لا ندري هي من قسم اللحوم أو لا هل يجوز تناوله؟ ولما ذا؟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في بعض الدول الكافرة سوق للمسلمين ولكن المسيطر عليه وصاحب القوّة والنفوذ هم أشخاص من اليهود فهل يحكم بالتذكية على المشترى من ذلك السوق؟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9390_208292"/>
      <w:bookmarkStart w:id="153" w:name="pg19390_208292"/>
      <w:bookmarkEnd w:id="153"/>
    </w:p>
    <w:p>
      <w:pPr>
        <w:pStyle w:val="Heading2"/>
        <w:numPr>
          <w:ilvl w:val="1"/>
          <w:numId w:val="1"/>
        </w:numPr>
        <w:rPr/>
      </w:pPr>
      <w:bookmarkStart w:id="154" w:name="pg19390_208292"/>
      <w:bookmarkStart w:id="155" w:name="__RefHeading___Toc17494363_1280447820"/>
      <w:bookmarkStart w:id="156" w:name="_Toc54"/>
      <w:bookmarkEnd w:id="154"/>
      <w:bookmarkEnd w:id="155"/>
      <w:r>
        <w:rPr>
          <w:rtl w:val="true"/>
        </w:rPr>
        <w:t>قاعدة السلطنة</w:t>
      </w:r>
      <w:bookmarkEnd w:id="156"/>
    </w:p>
    <w:p>
      <w:pPr>
        <w:pStyle w:val="Heading3"/>
        <w:numPr>
          <w:ilvl w:val="2"/>
          <w:numId w:val="1"/>
        </w:numPr>
        <w:rPr/>
      </w:pPr>
      <w:bookmarkStart w:id="157" w:name="__RefHeading___Toc17494365_1280447820"/>
      <w:bookmarkStart w:id="158" w:name="_Toc55"/>
      <w:bookmarkEnd w:id="157"/>
      <w:r>
        <w:rPr>
          <w:rtl w:val="true"/>
        </w:rPr>
        <w:t>اشارة</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المحتملات في قاعدة السلطنة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قاعدة السلطنة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الحقوق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النفس والأعضاء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والضرر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المسلمة لدى الفقهاء والتي يذكرونها عادة في باب المعاملات قاعدة السلطنة ولكنّهم كعادتهم في بقية القواعد يكتفون بمجرّد الإشارة إليها والمرور عليها بلا بحث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ان المعاطاة تفيد الملك دون الاباحة ذكر الشيخ الأعظم في المكاسب ان من الوجوه التي قد يستدل بها على ذلك قاعدة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أشار الى امكان الاستدلال بها في مسألة ان الأصل في الملك عند الشك في كونه جائزا أو لازما هو اللزوم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موضع آخر يشار فيه الى القاعدة المذكورة وهو مسألة لا ضرر عند بحثهم عن حدودها وتفاصيلها ، فان أحد الأبحاث هناك مسألة تعارض قاعدة لا ضرر مع قاعدة السلطنة ، كما لو أراد شخص أن يحدث حماما في داره ولكنّه كان موجبا لتضرّر جاره ، فان قاعدة لا ضرر تنفي جواز الاضرار بالجار بينما قاعدة السلطنة تقضي بجواز </w:t>
      </w:r>
      <w:bookmarkStart w:id="159" w:name="pg19390_208295"/>
    </w:p>
    <w:p>
      <w:pPr>
        <w:pStyle w:val="BookText"/>
        <w:rPr/>
      </w:pPr>
      <w:bookmarkEnd w:id="159"/>
      <w:r>
        <w:rPr>
          <w:rFonts w:ascii="Amiri" w:hAnsi="Amiri" w:eastAsia="Amiri" w:cs="Amiri"/>
          <w:color w:val="111111"/>
          <w:sz w:val="28"/>
          <w:sz w:val="28"/>
          <w:szCs w:val="28"/>
          <w:rtl w:val="true"/>
          <w:lang w:bidi="ar-SA"/>
        </w:rPr>
        <w:t>ذلك وان لزم تضرّر الجار لأنّ ذلك مقتضى سلطنة المالك على ملكه ، وعند التعارض المذكور ما ذا يكون الموقف؟</w:t>
      </w:r>
    </w:p>
    <w:p>
      <w:pPr>
        <w:pStyle w:val="BookText"/>
        <w:rPr/>
      </w:pPr>
      <w:r>
        <w:rPr>
          <w:rFonts w:ascii="Amiri" w:hAnsi="Amiri" w:eastAsia="Amiri" w:cs="Amiri"/>
          <w:color w:val="111111"/>
          <w:sz w:val="28"/>
          <w:sz w:val="28"/>
          <w:szCs w:val="28"/>
          <w:rtl w:val="true"/>
          <w:lang w:bidi="ar-SA"/>
        </w:rPr>
        <w:t>ولكنهم في هذا الموضع وسابقه يكتفون بالاشارة الى قاعدة السلطنة من دون بيان مدركها وحدودها وما يرتبط بها من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وحديثنا عن القاعدة المذكورة يقع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المحتملات في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قاعدة السلطنة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النفس والأعضاء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494367_1280447820"/>
      <w:bookmarkStart w:id="161" w:name="_Toc56"/>
      <w:bookmarkEnd w:id="160"/>
      <w:r>
        <w:rPr/>
        <w:t>1</w:t>
      </w:r>
      <w:r>
        <w:rPr>
          <w:rtl w:val="true"/>
        </w:rPr>
        <w:t xml:space="preserve"> - </w:t>
      </w:r>
      <w:r>
        <w:rPr>
          <w:rtl w:val="true"/>
        </w:rPr>
        <w:t>مضمون القاعدة</w:t>
      </w:r>
      <w:bookmarkEnd w:id="161"/>
    </w:p>
    <w:p>
      <w:pPr>
        <w:pStyle w:val="BookText"/>
        <w:rPr/>
      </w:pPr>
      <w:r>
        <w:rPr>
          <w:rFonts w:ascii="Amiri" w:hAnsi="Amiri" w:eastAsia="Amiri" w:cs="Amiri"/>
          <w:color w:val="111111"/>
          <w:sz w:val="28"/>
          <w:sz w:val="28"/>
          <w:szCs w:val="28"/>
          <w:rtl w:val="true"/>
          <w:lang w:bidi="ar-SA"/>
        </w:rPr>
        <w:t>يقصد بقاعدة السلطنة ان كل مالك لشي‌ء هو مسلّط على التصرّف فيه بما يشاء ضمن الحدود الشرعية ، فله الحق في بيعه واهدائه وايجاره وأكله إلى غير ذلك من التصرّفات التي لم يثبت من الشريعة صدور منع عنها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المقصود من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منها ان المالك لشي‌ء لا يحق لغيره التصرّف فيه بدون رضاه وطيب نفسه فان ذلك ليس تمام المقصود من قاعدة السلطنة بل المقصود منها أوسع </w:t>
      </w:r>
      <w:bookmarkStart w:id="162" w:name="pg19390_208296"/>
    </w:p>
    <w:p>
      <w:pPr>
        <w:pStyle w:val="BookText"/>
        <w:rPr/>
      </w:pPr>
      <w:bookmarkEnd w:id="162"/>
      <w:r>
        <w:rPr>
          <w:rFonts w:ascii="Amiri" w:hAnsi="Amiri" w:eastAsia="Amiri" w:cs="Amiri"/>
          <w:color w:val="111111"/>
          <w:sz w:val="28"/>
          <w:sz w:val="28"/>
          <w:szCs w:val="28"/>
          <w:rtl w:val="true"/>
          <w:lang w:bidi="ar-SA"/>
        </w:rPr>
        <w:t>من ذلك وهو ان المالك لشي‌ء له حق التصرّف فيه بأي شكل شاء ، ولازم ذلك ان الغير لا يحق له التصرف فيه بدون رضاه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494369_1280447820"/>
      <w:bookmarkStart w:id="164" w:name="_Toc57"/>
      <w:bookmarkEnd w:id="163"/>
      <w:r>
        <w:rPr/>
        <w:t>2</w:t>
      </w:r>
      <w:r>
        <w:rPr>
          <w:rtl w:val="true"/>
        </w:rPr>
        <w:t xml:space="preserve"> - </w:t>
      </w:r>
      <w:r>
        <w:rPr>
          <w:rtl w:val="true"/>
        </w:rPr>
        <w:t>مدرك القاعدة</w:t>
      </w:r>
      <w:bookmarkEnd w:id="164"/>
    </w:p>
    <w:p>
      <w:pPr>
        <w:pStyle w:val="BookText"/>
        <w:rPr/>
      </w:pPr>
      <w:r>
        <w:rPr>
          <w:rFonts w:ascii="Amiri" w:hAnsi="Amiri" w:eastAsia="Amiri" w:cs="Amiri"/>
          <w:color w:val="111111"/>
          <w:sz w:val="28"/>
          <w:sz w:val="28"/>
          <w:szCs w:val="28"/>
          <w:rtl w:val="true"/>
          <w:lang w:bidi="ar-SA"/>
        </w:rPr>
        <w:t xml:space="preserve">المدرك المهم للقاعدة المذكورة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بكلا 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وسيرة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سيرة العقلاء فمن الواضح انعقادها على ذلك بحيث لو منع أحدهم من التصرف في ماله لهبّ العقلاء منددين بالمنع ورافضين لذلك التضييق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حكمهم بسلطنة كل انسان على ما يملكه يكاد يكون من البديهيات الأولية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السيرة المذكورة لا نحتمل حدوثها بعد عصر المعصوم  عليه‌ السلام ، كما ولا نحتمل الردع عنها فيثبت بذلك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سيرة المتشرعة فانعقادها بينهم وبشكل متصل بزمن المعصوم  عليه‌ السلام أمر لا يقبل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انها سيرة متشرعة بما هم متشرعة فيكفي نفس افتراض ذلك لحجيتها بلا حاجة إلى افتراض فكرة الامضاء المستكشفة بعدم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سيرة العقلاء حيث تحتاج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افتراض كونها سيرة متشرعة يستبطن تلقيها يدا بيد من المعصوم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ان الانسان ما دام حيّا فله الحق في أن يصنع بماله ما شاء من قبيل 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عطية الوالد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صحيحا فهو ماله يصنع به ما شاء ، </w:t>
      </w:r>
    </w:p>
    <w:p>
      <w:pPr>
        <w:pStyle w:val="BookText"/>
        <w:rPr/>
      </w:pPr>
      <w:r>
        <w:rPr>
          <w:rFonts w:ascii="Amiri" w:hAnsi="Amiri" w:eastAsia="Amiri" w:cs="Amiri"/>
          <w:color w:val="111111"/>
          <w:sz w:val="28"/>
          <w:sz w:val="28"/>
          <w:szCs w:val="28"/>
          <w:rtl w:val="true"/>
          <w:lang w:bidi="ar-SA"/>
        </w:rPr>
        <w:t>واما في مرضه فلا يصلح</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الحق في كلّ تصرّف شاء بلا اختصاص لذلك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على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أيضا بالإجماع أو بالحديث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بالنصوص الدالّة على عدم جواز التصرّف في أموال الآخرين بدون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فانّه يدل على اعتبار التراضي في صحّة التجارة فلا تصح التجارة بأموال شخص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فَإِنْ طِبْنَ لَكُمْ عَنْ شَيْ‌ءٍ مِنْهُ نَفْساً فَكُلُوهُ هَنِيئاً مَرِيئاً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فانّه يدل على عدم جواز أكل مهور النساء بلا طيب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الحديث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والكل قابل للتأمّل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الاجماع فلأنّه بعد انعقاد السيرة العقلائية فمن المحتمل قريبا استناد المجمعين الى السيرة المذكورة وليس ذلك لوصول الحكم لهم </w:t>
      </w:r>
    </w:p>
    <w:p>
      <w:pPr>
        <w:pStyle w:val="BookText"/>
        <w:rPr/>
      </w:pPr>
      <w:r>
        <w:rPr>
          <w:rFonts w:ascii="Amiri" w:hAnsi="Amiri" w:eastAsia="Amiri" w:cs="Amiri"/>
          <w:color w:val="111111"/>
          <w:sz w:val="28"/>
          <w:sz w:val="28"/>
          <w:szCs w:val="28"/>
          <w:rtl w:val="true"/>
          <w:lang w:bidi="ar-SA"/>
        </w:rPr>
        <w:t>من الامام  عليه‌ السلام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المشهور فهو ضعيف السند لأنّه لم يروه إلاّ الشيخ المجلسي في بحاره </w:t>
      </w:r>
      <w:r>
        <w:rPr>
          <w:rStyle w:val="FootnoteAnchor"/>
          <w:rtl w:val="true"/>
        </w:rPr>
        <w:footnoteReference w:id="86"/>
      </w:r>
      <w:r>
        <w:rPr>
          <w:rFonts w:ascii="Amiri" w:hAnsi="Amiri" w:eastAsia="Amiri" w:cs="Amiri"/>
          <w:color w:val="111111"/>
          <w:sz w:val="28"/>
          <w:sz w:val="28"/>
          <w:szCs w:val="28"/>
          <w:rtl w:val="true"/>
          <w:lang w:bidi="ar-SA"/>
        </w:rPr>
        <w:t>عن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الى المصدر الأصلي وجدنا ابن أبي جمهور الاحسائي صاحب العوالي يروي الحديث في مواضع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عن بعض كتب الأصحاب واخرى عن بعض كتب الشهيد وثالثة عن الفاضل المقداد ورابعة عن ابن فهد الحلي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والواسطة بين المنقول عنه والامام  عليه‌ السلام حيث انّها مجهولة فتسقط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الحديث في كتبنا الفقهية الاستدلالية ولكن بشكل مرسل أيضا فقد رواه العلاّمة الحلّي في المختلف </w:t>
      </w:r>
      <w:r>
        <w:rPr>
          <w:rStyle w:val="FootnoteAnchor"/>
          <w:rtl w:val="true"/>
        </w:rPr>
        <w:footnoteReference w:id="88"/>
      </w:r>
      <w:r>
        <w:rPr>
          <w:rFonts w:ascii="Amiri" w:hAnsi="Amiri" w:eastAsia="Amiri" w:cs="Amiri"/>
          <w:color w:val="111111"/>
          <w:sz w:val="28"/>
          <w:sz w:val="28"/>
          <w:szCs w:val="28"/>
          <w:rtl w:val="true"/>
          <w:lang w:bidi="ar-SA"/>
        </w:rPr>
        <w:t xml:space="preserve">والتذكرة </w:t>
      </w:r>
      <w:r>
        <w:rPr>
          <w:rStyle w:val="FootnoteAnchor"/>
          <w:rtl w:val="true"/>
        </w:rPr>
        <w:footnoteReference w:id="89"/>
      </w:r>
      <w:r>
        <w:rPr>
          <w:rFonts w:ascii="Amiri" w:hAnsi="Amiri" w:eastAsia="Amiri" w:cs="Amiri"/>
          <w:color w:val="111111"/>
          <w:sz w:val="28"/>
          <w:sz w:val="28"/>
          <w:szCs w:val="28"/>
          <w:rtl w:val="true"/>
          <w:lang w:bidi="ar-SA"/>
        </w:rPr>
        <w:t xml:space="preserve">والأردبيلي في مجمع الفائدة والبرهان </w:t>
      </w:r>
      <w:r>
        <w:rPr>
          <w:rStyle w:val="FootnoteAnchor"/>
          <w:rtl w:val="true"/>
        </w:rPr>
        <w:footnoteReference w:id="90"/>
      </w:r>
      <w:r>
        <w:rPr>
          <w:rFonts w:ascii="Amiri" w:hAnsi="Amiri" w:eastAsia="Amiri" w:cs="Amiri"/>
          <w:color w:val="111111"/>
          <w:sz w:val="28"/>
          <w:sz w:val="28"/>
          <w:szCs w:val="28"/>
          <w:rtl w:val="true"/>
          <w:lang w:bidi="ar-SA"/>
        </w:rPr>
        <w:t xml:space="preserve">والشهيد الثاني في مسالك الافهام </w:t>
      </w:r>
      <w:r>
        <w:rPr>
          <w:rStyle w:val="FootnoteAnchor"/>
          <w:rtl w:val="true"/>
        </w:rPr>
        <w:footnoteReference w:id="91"/>
      </w:r>
      <w:r>
        <w:rPr>
          <w:rFonts w:ascii="Amiri" w:hAnsi="Amiri" w:eastAsia="Amiri" w:cs="Amiri"/>
          <w:color w:val="111111"/>
          <w:sz w:val="28"/>
          <w:sz w:val="28"/>
          <w:szCs w:val="28"/>
          <w:rtl w:val="true"/>
          <w:lang w:bidi="ar-SA"/>
        </w:rPr>
        <w:t xml:space="preserve">وفخر المحققين في إيضاح الفوائد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في جميع الموارد المذكورة روي بشكل مرسل عن النبي  صلی اللّه عليه وآله وسلم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فالحديث ضعيف السند لإرساله ، ولا طريق لتصحيحه </w:t>
      </w:r>
      <w:bookmarkStart w:id="165" w:name="pg19390_208299"/>
    </w:p>
    <w:p>
      <w:pPr>
        <w:pStyle w:val="BookText"/>
        <w:rPr/>
      </w:pPr>
      <w:bookmarkEnd w:id="165"/>
      <w:r>
        <w:rPr>
          <w:rFonts w:ascii="Amiri" w:hAnsi="Amiri" w:eastAsia="Amiri" w:cs="Amiri"/>
          <w:color w:val="111111"/>
          <w:sz w:val="28"/>
          <w:sz w:val="28"/>
          <w:szCs w:val="28"/>
          <w:rtl w:val="true"/>
          <w:lang w:bidi="ar-SA"/>
        </w:rPr>
        <w:t>سوى دعوى انجباره اما بالشهرة الروائية أو بالشهرة الفتوائية ، ولكن ذلك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انجباره بالشهرة الروائية فباعتبار عدم تحقّق الشهرة المذكورة لأنّها انّما تتحقق بشهرة نقل الرواية في كتب الحديث وذلك لم يتحقق لأنّها لم تنقل في شي‌ء من كتب الحديث سوى عوالي اللآلي الذي هو معروف بالضعف لنقل الأحاديث فيه بشكل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انجباره بالشهرة الفتوائية فباعتبار ان ذلك موقوف على عمل الطبقة المتقدّمة من اعلامنا به ولا يكفي اشتهار العمل به بين الطبقة المتأخرة كالعلاّمة الحلي ومن بعده فان الكاشف عن حقانية الرواية وصدورها هو عمل الطبقة المتقدّمة المقاربة لعصر صدور النص ولا يكفي عمل الطبقة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النصوص الدالّة على اعتبار الرضا في جواز التصرف في أموال الآخرين فهي أجنبية عن المقام أو غير وافية بالمطلوب إذ أقصى ما تدل عليه ان غير المالك لا يجوز له التصرف في املاك غيره إلاّ برضاه ولا تدل على ان المالك يحق له التصرّف في ملكه بأي نحو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مهم المستند على قاعدة السلطنة هو السيرة والنصوص الدالّة على ان الإنسان ما دام حيّا له الحق أن يصنع بماله ما شاء</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494371_1280447820"/>
      <w:bookmarkStart w:id="167" w:name="_Toc58"/>
      <w:bookmarkEnd w:id="166"/>
      <w:r>
        <w:rPr/>
        <w:t>3</w:t>
      </w:r>
      <w:r>
        <w:rPr>
          <w:rtl w:val="true"/>
        </w:rPr>
        <w:t xml:space="preserve"> - </w:t>
      </w:r>
      <w:r>
        <w:rPr>
          <w:rtl w:val="true"/>
        </w:rPr>
        <w:t>المحتملات في قاعدة السلطنة</w:t>
      </w:r>
      <w:bookmarkEnd w:id="1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اثبات السلطنة للمالك بشكل مطلق بما في ذلك السلطنة على أسباب النقل والانتقال كالبيع والاجارة والهبة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في ذلك تفاصيل أسباب النقل ، فكل مالك مسلّط مثلا على بيع ماله بالعربية وبغيرها وبالقول وبالمعاطاة وبالماضوية وبغيرها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الى الهبة والاجارة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الاحتمال يمكن التمسّك بالقاعدة المذكورة لإثبات صحة البيع بالمعاطاة وبغير العربية وبغير الماضوية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يظهر هذا الاحتمال من صاحب الجواهر حيث استدل على شرعية المعاطاة المقصود بها الاباحة بعموم سلطنة الناس على أموالهم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اثبات السلطنة على أسباب النقل والانتقال من دون نظر إلى تفاصيلها ، فالمالك له حق بيع ماله واجارته وهبته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نظر إلى تفاصيل الأسباب ، فهي لا تدل على السلطنة على البيع بالمعاطاة أو بغير العربية أو بغير الماضوية وانّما تدل على السلطنة على أصل البيع وعلى أصل الاجارة وعلى أصل الهبة لا أكثر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الاحتمال هو المختار للشيخ الأعظم حيث ذكر في مبحث المعاطاة عند الاستدلال على شرعيتها وافادتها الملك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مسلّطون على أموالهم فلا دلالة فيه على المدعى لأنّ عمومه باعتبار أنواع السلطنة فهو انّما يجدي فيما إذا شك في ان هذا النوع من السلطنة ثابتة للمالك وماضية شرعا في حقّه أم لا ، </w:t>
      </w:r>
    </w:p>
    <w:p>
      <w:pPr>
        <w:pStyle w:val="BookText"/>
        <w:rPr/>
      </w:pPr>
      <w:r>
        <w:rPr>
          <w:rFonts w:ascii="Amiri" w:hAnsi="Amiri" w:eastAsia="Amiri" w:cs="Amiri"/>
          <w:color w:val="111111"/>
          <w:sz w:val="28"/>
          <w:sz w:val="28"/>
          <w:szCs w:val="28"/>
          <w:rtl w:val="true"/>
          <w:lang w:bidi="ar-SA"/>
        </w:rPr>
        <w:t>اما إذا قطعنا بأن سلطنة خاصة كتمليك ماله للغير نافذة في حقّه وماضية شرعا لكن شك في ان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نفي الحجر عن كل تصرف مشروع ، فالحديث لا يدل على شرعية البيع والسلطنة عليها ولا على شرعية الاجارة والسلطنة عليها 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يدل على ان البيع مثلا إذا كان مشروعا بقطع النظر عن حديث السلطنة فصدوره من المالك لا يتوقف على كسب الاجازة من الغير ، فالزوجة إذا أرادت هبة بعض أموالها أو بيعها فلا يتوقف ذلك على موافقة الزوج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الى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على هذا يدلّ على ان كل سبب ثبتت مشروعيته في نفسه فالمالك غير محجور عليه ولا يتوقف صحته على موافقة الآخرين ، اما ما هي الأسباب المشروعة فذلك ساكت عنه ولا يمكن من خلاله اثبات مشروعية هذا السبب وذاك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ظاهر الآخوند الخراساني في حاشيته على المكاسب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اثبات السلطنة بلحاظ التصرّفات غير الناقلة فيجوز للمالك ان يخيط ثوبه المملوك له ويجوز له أيضا ان </w:t>
      </w:r>
    </w:p>
    <w:p>
      <w:pPr>
        <w:pStyle w:val="BookText"/>
        <w:rPr/>
      </w:pPr>
      <w:r>
        <w:rPr>
          <w:rFonts w:ascii="Amiri" w:hAnsi="Amiri" w:eastAsia="Amiri" w:cs="Amiri"/>
          <w:color w:val="111111"/>
          <w:sz w:val="28"/>
          <w:sz w:val="28"/>
          <w:szCs w:val="28"/>
          <w:rtl w:val="true"/>
          <w:lang w:bidi="ar-SA"/>
        </w:rPr>
        <w:t>يضعه في هذا المكان أو ذاك وغير ذلك من التصرّفات غير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بيعه وهبته ونحو ذلك من الأسباب الناقلة فلا يدل على شرعيتها ، فان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والاضافة الخاصة المذكورة لا بدّ من انحفاظها بعد ذلك ، فمثل البيع والهبة لا يدل الحديث على شرعيتهما لأنه بذلك يزول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لا ينظر إلى حيثية ازالة المال عن الملك بل إلى كل تصرّف بعد انحفاظ الاضافة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ظاهر الشيخ الايرواني في حاشية المكاسب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احتمالات أربعة في مفاد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للنظر الى لفظ القاعدة وان الظاهر منه أي واحد من الاحتمالات المذكورة فان ذلك وجيه لو كان سند القاعدة باللفظ المذكور تامّا وصادرا من المعصوم  عليه‌ السلام ، اما بعد عدم تمامية السند وكون المدرك السيرة العقلائية والروايات الدالّة على ان الإنسان ما دام صحيحا له الحق ان يصنع بماله ما شاء فلا بدّ من ملاحظة ذلك دون لفظ حديث السلطنة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السيرة فالقدر المتيقن انعقادها على الاحتمال الثالث وان المالك ليس بمحجور عليه في التصرف في ملكه ولا تتوقف صحة تصرّفه على كسب موافقة الآخرين بعد ان كان السبب قد ثبتت شرعيته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يجزم بانعقاد السيرة عليه بخلاف الاحتمالين الأولين فإنّه لا جزم بانعقادها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الاقتصار على القدر المتيقن وهو الاحتمال الثالث عند الدوران بينه وبين الأولين</w:t>
      </w:r>
      <w:r>
        <w:rPr>
          <w:rFonts w:eastAsia="Amiri" w:cs="Amiri" w:ascii="Amiri" w:hAnsi="Amiri"/>
          <w:color w:val="111111"/>
          <w:sz w:val="28"/>
          <w:szCs w:val="28"/>
          <w:rtl w:val="true"/>
          <w:lang w:bidi="ar-SA"/>
        </w:rPr>
        <w:t xml:space="preserve">. </w:t>
      </w:r>
      <w:bookmarkStart w:id="168" w:name="pg19390_208303"/>
    </w:p>
    <w:p>
      <w:pPr>
        <w:pStyle w:val="BookText"/>
        <w:rPr/>
      </w:pPr>
      <w:bookmarkEnd w:id="168"/>
      <w:r>
        <w:rPr>
          <w:rFonts w:ascii="Amiri" w:hAnsi="Amiri" w:eastAsia="Amiri" w:cs="Amiri"/>
          <w:color w:val="111111"/>
          <w:sz w:val="28"/>
          <w:sz w:val="28"/>
          <w:szCs w:val="28"/>
          <w:rtl w:val="true"/>
          <w:lang w:bidi="ar-SA"/>
        </w:rPr>
        <w:t>واما الاحتمال الرابع فيجزم بعدم تقيد السيرة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يحتمل عدم انعقاد السيرة على جواز بيع المالك ملكه أو اهدائه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المدرك الثاني فلا يبعد نظره إلى الاحتمال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هو القدر المتيقن عند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ان كل مالك لشي‌ء له الحق ان يصنع به ما شاء ما دام صحيحا بلا حاجة إلى كسب الاجازة من غيره كأولاده وغيرهم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7494373_1280447820"/>
      <w:bookmarkStart w:id="170" w:name="_Toc59"/>
      <w:bookmarkEnd w:id="169"/>
      <w:r>
        <w:rPr/>
        <w:t>4</w:t>
      </w:r>
      <w:r>
        <w:rPr>
          <w:rtl w:val="true"/>
        </w:rPr>
        <w:t xml:space="preserve"> - </w:t>
      </w:r>
      <w:r>
        <w:rPr>
          <w:rtl w:val="true"/>
        </w:rPr>
        <w:t>حدود قاعدة السلطنة</w:t>
      </w:r>
      <w:bookmarkEnd w:id="170"/>
    </w:p>
    <w:p>
      <w:pPr>
        <w:pStyle w:val="BookText"/>
        <w:rPr/>
      </w:pPr>
      <w:r>
        <w:rPr>
          <w:rFonts w:ascii="Amiri" w:hAnsi="Amiri" w:eastAsia="Amiri" w:cs="Amiri"/>
          <w:color w:val="111111"/>
          <w:sz w:val="28"/>
          <w:sz w:val="28"/>
          <w:szCs w:val="28"/>
          <w:rtl w:val="true"/>
          <w:lang w:bidi="ar-SA"/>
        </w:rPr>
        <w:t xml:space="preserve">لم تمض الشريعة الاسلامية قاعدة السلطنة على اطلاقها بل أجرت عليها بعض التعديلات بنحو التخصيص أو التخصص ، ونذكر لذلك بعض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التبذير والاسراف ، فمن حق كل انسان أن يتصرّف في أمواله ما دام لم يصل تصرّفه حدّ الاسراف والتبذير وإلاّ منع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فليس من حق المالك لشي‌ء اتلافه بإلقائه في البحر أو احراقه بالنار وما شاكل ذلك من التصرّفات التي يصدق عليها عنوان السرف والتبذير ، ومثل المورد المذكور خارج عن قاعدة السلطنة بالتخصيص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الضرائب المالية ، فليس من حق المالك لأموال تتعلّق بها ضريبة الزكاة أو الخمس التصرّف فيها قبل اخراج </w:t>
      </w:r>
    </w:p>
    <w:p>
      <w:pPr>
        <w:pStyle w:val="BookText"/>
        <w:rPr/>
      </w:pPr>
      <w:r>
        <w:rPr>
          <w:rFonts w:ascii="Amiri" w:hAnsi="Amiri" w:eastAsia="Amiri" w:cs="Amiri"/>
          <w:color w:val="111111"/>
          <w:sz w:val="28"/>
          <w:sz w:val="28"/>
          <w:szCs w:val="28"/>
          <w:rtl w:val="true"/>
          <w:lang w:bidi="ar-SA"/>
        </w:rPr>
        <w:t>الضريبة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يرجع اما الى تخصيص قانون السلطنة ، بمعنى ان المالك للأموال المتعلق بها الضريبة هو مالك لها جميعا ولكنه ممنوع من التصرّف فيها قبل اخراج الضريبة ، أو إلى التخصص ، بمعنى ان المالك للأموال المتعلق بها الضريبة ليس هو مالكا لمجموعها بل هو مالك لما عدا مقدار الضريبة ، فمقدار الضريبة ليس مملوكا له بل هو مملوك لأربابها ، وذلك المقدار حيث انّه مشاع فيكون المالك ممنوعا من التصرّف باعتبار ان المال المشترك لا يجوز التصرف فيه إلاّ بموافقة جميع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صرف المال في المجال المحرم ، فليس من حق المالك أن يشتري بأمواله خمرا أو بعض آلات اللّهو والفساد أو بعض كتب الضلال أو اقراضه وبيعه بشكل ربوي وما شاكل ذلك ، فان قانون السلطنة قد طرأ عليه التخصيص في المجالات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الموت بالمقدار الزائد على الثلث ، فان من حق كل إنسان ما دام حيّا أن يهب جميع أمواله أو يوقفها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بعد موته فله الحق في أمواله بمقدار الثلث دون ما زاد ، فله الحق أن يوصي باهداء مقدار من أمواله بعد وفاته لبعض أصدقائه أو الفقراء ما دام ذلك لا يتجاوز مقدار الثلث وإلاّ توقف مضي الوصية على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روحه لا يرجع إلى التخصيص بل الى التخصيص ، بمعنى ان الشخص بعد وفاته لا يكون مالكا إلاّ بمقدار الثلث لا انّه مالك للمجموع ويمنع من التصرّف في المقدار الزائد على الثلث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مرض الموت ، فان المشهور اختار ان المالك إذا تمرّض </w:t>
      </w:r>
      <w:bookmarkStart w:id="171" w:name="pg19390_208305"/>
    </w:p>
    <w:p>
      <w:pPr>
        <w:pStyle w:val="BookText"/>
        <w:rPr/>
      </w:pPr>
      <w:bookmarkEnd w:id="171"/>
      <w:r>
        <w:rPr>
          <w:rFonts w:ascii="Amiri" w:hAnsi="Amiri" w:eastAsia="Amiri" w:cs="Amiri"/>
          <w:color w:val="111111"/>
          <w:sz w:val="28"/>
          <w:sz w:val="28"/>
          <w:szCs w:val="28"/>
          <w:rtl w:val="true"/>
          <w:lang w:bidi="ar-SA"/>
        </w:rPr>
        <w:t>بمرض الموت فليس من حقّه اهداء أمواله أو بيعها بأقل من ثمن المثل إلاّ إذا كان ذلك التصرّف في حدود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الشفعة ، فان لكل مالك لدار مشتركة بينه وبين غيره بيع حصّته متى ما أحب ، ولكن متى ما أراد بيعها لإنسان آخر غير الشريك فمن حق الشريك أن يعمل حق الشفعة ، بمعنى الزام المالك ببيعها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فالمالك إذا باع حصّته بثمن معيّن فمن حق الشريك متى ما اطّلع على البيع أن يقول أعملت حق الشفعة فيأخذ بذلك الحصة التي بيعت بعد دفع الثمن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المالك احداث حمّام مثلا في ملكه وكان ذلك موجبا للإضرار بجاره فإنّه ليس من حقّه ذلك ما دام الجار يتضرّر بذلك وهو لا يتضرّر بترك احداث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روحه إلى التخصيص كما هو واضح</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7494375_1280447820"/>
      <w:bookmarkStart w:id="173" w:name="_Toc60"/>
      <w:bookmarkEnd w:id="172"/>
      <w:r>
        <w:rPr/>
        <w:t>5</w:t>
      </w:r>
      <w:r>
        <w:rPr>
          <w:rtl w:val="true"/>
        </w:rPr>
        <w:t xml:space="preserve"> - </w:t>
      </w:r>
      <w:r>
        <w:rPr>
          <w:rtl w:val="true"/>
        </w:rPr>
        <w:t>التسلّط على الحقوق</w:t>
      </w:r>
      <w:bookmarkEnd w:id="1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ثبوت السلطنة للمالك على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سلطنة على الحقوق أيضا؟ فلو كان لشخص خيار المجلس فهل له سلطنة على اسقاطه؟ ولو ثبت له حق في مكان معيّن بسبب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 المباحات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السبق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سلطنة على اسقاطه؟ والزوجة لها حق النفقة والمبيت عندها هل لها سلطنة على اسقاطه؟ والعمّة والخالة لهما الحق في أن لا </w:t>
      </w:r>
    </w:p>
    <w:p>
      <w:pPr>
        <w:pStyle w:val="BookText"/>
        <w:rPr/>
      </w:pPr>
      <w:r>
        <w:rPr>
          <w:rFonts w:ascii="Amiri" w:hAnsi="Amiri" w:eastAsia="Amiri" w:cs="Amiri"/>
          <w:color w:val="111111"/>
          <w:sz w:val="28"/>
          <w:sz w:val="28"/>
          <w:szCs w:val="28"/>
          <w:rtl w:val="true"/>
          <w:lang w:bidi="ar-SA"/>
        </w:rPr>
        <w:t>يجيزا عقد بنت الأخ والاخت هل لهما سلطنة على اسقاطه؟ والزوج له حق الزواج بالثانية والثالثة والرابعة هل له سلطنة على اسقاطه؟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الحقوق قابل لذلك ، كما في الخيار وحق النفقة والمبيت وبعضها لا يقبل ذلك كالزواج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يصطلح على الثاني الذي لا يقبل الاسقاط بالحكم ، فجواز الزواج بالثانية حكم شرعي وليس حقّا ليقبل الاسقاط ، وهذا كما هو الحال في شرب الماء والحليب واشباه ذلك فان لكل انسان الحق في ذلك ولكنه لا يقبل الاسقاط ، وهو لأجل ذلك يكون في الحقيقة حكما شرعيّا وليس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فنخرج بهذه النتيجة ، وهي ان كل ما يقبل الاسقاط يكون حقّا وما لا يقبله يكون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نعود إلى التساؤل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صارت الحقوق قابلة للإسقاط وما هي النكتة في ذلك؟ فهل ذلك لقاعدة السلطنة وان كل إنسان كما هو مسلّط على أمواله مسلّط على حقوقه؟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استظهرنا من النص الشرعي ان هذا أو ذاك حق شرعي فهذا بنفسه يستبطن افتراض قابليته للإسقاط وإلاّ لم يكن حقّا بل حكما شرعيا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فالدليل على قابلية الحقوق للإسقاط هو نفس الدليل على تشريع الحقوق المذكورة بلا حاجة الى التماس دليل آخر من قاعدة السلطنة أو غيرها</w:t>
      </w:r>
      <w:r>
        <w:rPr>
          <w:rFonts w:eastAsia="Amiri" w:cs="Amiri" w:ascii="Amiri" w:hAnsi="Amiri"/>
          <w:color w:val="111111"/>
          <w:sz w:val="28"/>
          <w:szCs w:val="28"/>
          <w:rtl w:val="true"/>
          <w:lang w:bidi="ar-SA"/>
        </w:rPr>
        <w:t xml:space="preserve">. </w:t>
      </w:r>
      <w:bookmarkStart w:id="174" w:name="pg19390_208307"/>
    </w:p>
    <w:p>
      <w:pPr>
        <w:pStyle w:val="Heading3"/>
        <w:numPr>
          <w:ilvl w:val="2"/>
          <w:numId w:val="1"/>
        </w:numPr>
        <w:rPr/>
      </w:pPr>
      <w:bookmarkStart w:id="175" w:name="__RefHeading___Toc17494377_1280447820"/>
      <w:bookmarkStart w:id="176" w:name="_Toc61"/>
      <w:bookmarkEnd w:id="174"/>
      <w:bookmarkEnd w:id="175"/>
      <w:r>
        <w:rPr/>
        <w:t>6</w:t>
      </w:r>
      <w:r>
        <w:rPr>
          <w:rtl w:val="true"/>
        </w:rPr>
        <w:t xml:space="preserve"> - </w:t>
      </w:r>
      <w:r>
        <w:rPr>
          <w:rtl w:val="true"/>
        </w:rPr>
        <w:t>التسلّط على النفس والأعضاء</w:t>
      </w:r>
      <w:bookmarkEnd w:id="176"/>
    </w:p>
    <w:p>
      <w:pPr>
        <w:pStyle w:val="BookText"/>
        <w:rPr/>
      </w:pPr>
      <w:r>
        <w:rPr>
          <w:rFonts w:ascii="Amiri" w:hAnsi="Amiri" w:eastAsia="Amiri" w:cs="Amiri"/>
          <w:color w:val="111111"/>
          <w:sz w:val="28"/>
          <w:sz w:val="28"/>
          <w:szCs w:val="28"/>
          <w:rtl w:val="true"/>
          <w:lang w:bidi="ar-SA"/>
        </w:rPr>
        <w:t>هل الانسان مسلّط على نفسه وأعضائه كما هو مسلّط على أمواله؟ كلا ليس مسلّطا على ذلك ، فان السلطنة المذكورة لا دليل عليها ، ويكفي عدم الدليل للحكم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بدلالة الدليل على نفي السلطنة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الى النفس دلّ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على نفي السلطنة عليها وان الإنسان ليس له سلطنة على نفسه بإلقائها في التهلكة من خلال الانتحار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كالتبرّع بالكلية أو العين أو اليد 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على حرمة ذلك بأحد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بالسيرة العقلائية الجارية على التجنب عن كل ما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لم يردع عنها شرعا فتكون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العقلاء وان جرت على ما ذكر إلاّ انّها ليست بنحو الالزام بل قد يقدمون عليه إذا كان لداع عقلائي ، كالتبرع بالكلية لمن كان بحاجة ماسة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يقال بلزوم التجنب عمّا يوجب الضرر والحال ان لازم ذلك حرمة الأكل الزائد أو الجماع الكثير أو الخروج من المكان الدافئ إلى البارد وما شاكل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بحديث نفي الضرار حيث ورد في الحديث الشريف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وحيث ان إرادة النهي عن الاضرار من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قريب جدّا فيلزم الحكم بحرمة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إليه النهي المذكور تحريم الاضرار بالآخرين دون الاضرار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حرمة الجناية على النفس وظلمها بتقريب ان قطع مثل اليد أو الرجل نحو ظلم لها فيحرم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عنوان ظلم النفس فرع حرمة مثل قطع اليد في المرحلة السابقة،والمفروض فقدان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 صدق عنوان الظلم أوضح لو فرض ان الداعي للقطع كان عقلائيا كالتبرّع بالكلية للحفاظ على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ان علّة تحريم الخمر اضرارها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ضمّ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الخمر بعينها فقليلها وكثيرها حرام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الى ذلك يثبت ان كل ما كان مضرّا فلا فرق بين كثيره وقليله في التحريم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حكم خاص بالخمر ولا يمكن التعدّي منه إلى غيره لاحتمال وجود خصوصية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ببعض الروايات الدالة على ان علّة تحريم بعض المحرمات اضرارها ببدن الإنسان ، من قبيل رواية المفضل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الخمر والميتة والدم ولحم الخنزير؟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يضرّهم فنهاهم عنه وحرّمه عليهم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بتقريب ان علّة تحريم المحرّمات إذا كان هو الاضرار بالنفس فيلزم حرمة كل ما يوجب الضرر كقطع اليد أو الرجل وإلاّ لما صلح ان يكون علّة لتحريم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وان دلّ على حرمة الاضرار بالنفس ولكن لم يبين ان الضرر بأي درجة يكون محرّما ، وليس له اطلاق من هذه الناحية ليتمسك به ، ولعل المحرم حصّة خاصّة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بعض الأحاديث يستفاد منها عدم حرمة الاضرار بالنفس كالأحاديث التي ترشد الى رجحان عدم تناول بعض الأطعمة لكونها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كلّه يتضح عدم تمامية دليل على حرمة مطلق الاضرار بالنفس ليثبت من خلاله حرمة قطع الانسان بعض أعضائه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الاضرار بالنفس إذا كان بحدّ يعلم بمبغوضية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الانسان يديه ورجليه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 وإذا لم يكن بالحدّ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الدم من بعض الأعضاء أو التسبيب الى طرو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جائزا لا من باب التمسك بقاعدة السلطنة بل لأصل البراءة عن حرمة مثل ذلك</w:t>
      </w:r>
      <w:r>
        <w:rPr>
          <w:rFonts w:eastAsia="Amiri" w:cs="Amiri" w:ascii="Amiri" w:hAnsi="Amiri"/>
          <w:color w:val="111111"/>
          <w:sz w:val="28"/>
          <w:szCs w:val="28"/>
          <w:rtl w:val="true"/>
          <w:lang w:bidi="ar-SA"/>
        </w:rPr>
        <w:t xml:space="preserve">. </w:t>
      </w:r>
      <w:bookmarkStart w:id="177" w:name="pg19390_208310"/>
    </w:p>
    <w:p>
      <w:pPr>
        <w:pStyle w:val="BookText"/>
        <w:rPr/>
      </w:pPr>
      <w:bookmarkEnd w:id="177"/>
      <w:r>
        <w:rPr>
          <w:rFonts w:ascii="Amiri" w:hAnsi="Amiri" w:eastAsia="Amiri" w:cs="Amiri"/>
          <w:color w:val="111111"/>
          <w:sz w:val="28"/>
          <w:sz w:val="28"/>
          <w:szCs w:val="28"/>
          <w:rtl w:val="true"/>
          <w:lang w:bidi="ar-SA"/>
        </w:rPr>
        <w:t>اذن الاضرار بالنفس إذا لم يكن بالدرجة التي يعلم بمبغوضيتها شرعا فارتكابه جائز لا من باب سلطنة الانسان على نفسه وأعضائه ، فان السلطنة المذكورة لم تثبت ، بل لأننا ما دمنا نشك في حرمة مثل ذلك فمقتضى أصل البراءة الجواز</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494379_1280447820"/>
      <w:bookmarkStart w:id="179" w:name="_Toc62"/>
      <w:bookmarkEnd w:id="178"/>
      <w:r>
        <w:rPr/>
        <w:t>7</w:t>
      </w:r>
      <w:r>
        <w:rPr>
          <w:rtl w:val="true"/>
        </w:rPr>
        <w:t xml:space="preserve"> - </w:t>
      </w:r>
      <w:r>
        <w:rPr>
          <w:rtl w:val="true"/>
        </w:rPr>
        <w:t>السلطنة والضرر</w:t>
      </w:r>
      <w:bookmarkEnd w:id="179"/>
    </w:p>
    <w:p>
      <w:pPr>
        <w:pStyle w:val="BookText"/>
        <w:rPr/>
      </w:pPr>
      <w:r>
        <w:rPr>
          <w:rFonts w:ascii="Amiri" w:hAnsi="Amiri" w:eastAsia="Amiri" w:cs="Amiri"/>
          <w:color w:val="111111"/>
          <w:sz w:val="28"/>
          <w:sz w:val="28"/>
          <w:szCs w:val="28"/>
          <w:rtl w:val="true"/>
          <w:lang w:bidi="ar-SA"/>
        </w:rPr>
        <w:t>قد تتعارض أحيانا قاعدة السلطنة مع قاعدة نفي الضرر فما هو الموقف في مثل ذلك؟</w:t>
      </w:r>
    </w:p>
    <w:p>
      <w:pPr>
        <w:pStyle w:val="BookText"/>
        <w:rPr/>
      </w:pPr>
      <w:r>
        <w:rPr>
          <w:rFonts w:ascii="Amiri" w:hAnsi="Amiri" w:eastAsia="Amiri" w:cs="Amiri"/>
          <w:color w:val="111111"/>
          <w:sz w:val="28"/>
          <w:sz w:val="28"/>
          <w:szCs w:val="28"/>
          <w:rtl w:val="true"/>
          <w:lang w:bidi="ar-SA"/>
        </w:rPr>
        <w:t>فمثلا إذا أراد المالك أن يحدث في ملكه حمّاما أو بالوعة وكان ذلك موجبا للإضرار بالجار فسوف تتعارض قاعدة حرمة الاضرار بالجار مع قاعدة تسلّط المالك على ملكه ، فان مقتضى قاعدة السلطنة جواز احداث المالك للحمام أو البالوعة في ملكه بينما مقتضى قاعدة نفي الضرر عدم جواز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فأي من القاعدتين هو المقدّم؟</w:t>
      </w:r>
    </w:p>
    <w:p>
      <w:p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يفترض ان المالك لا يتضرّر من عدم احداث الحمام والبالوعة واخرى يتضرّر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المناسب عدم جواز احداث ذلك لحرمة الاضرار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بقاعدة السلطنة لقصورها عن شمول مثل الحالة المذكورة فان السلطنة الثابتة للمالك بالسيرة العقلائية قاصرة عن الشمول لما إذا كان اعمال السلطنة مستلزما للإضرار بالآخرين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موثقة سماعة الدالة على ان المالك ما دام حيّا صحيحا فله </w:t>
      </w:r>
      <w:bookmarkStart w:id="180" w:name="pg19390_208311"/>
    </w:p>
    <w:p>
      <w:pPr>
        <w:pStyle w:val="BookText"/>
        <w:rPr/>
      </w:pPr>
      <w:bookmarkEnd w:id="180"/>
      <w:r>
        <w:rPr>
          <w:rFonts w:ascii="Amiri" w:hAnsi="Amiri" w:eastAsia="Amiri" w:cs="Amiri"/>
          <w:color w:val="111111"/>
          <w:sz w:val="28"/>
          <w:sz w:val="28"/>
          <w:szCs w:val="28"/>
          <w:rtl w:val="true"/>
          <w:lang w:bidi="ar-SA"/>
        </w:rPr>
        <w:t xml:space="preserve">أن يصنع بماله ما شاء </w:t>
      </w:r>
      <w:r>
        <w:rPr>
          <w:rStyle w:val="FootnoteAnchor"/>
          <w:rtl w:val="true"/>
        </w:rPr>
        <w:footnoteReference w:id="104"/>
      </w:r>
      <w:r>
        <w:rPr>
          <w:rFonts w:ascii="Amiri" w:hAnsi="Amiri" w:eastAsia="Amiri" w:cs="Amiri"/>
          <w:color w:val="111111"/>
          <w:sz w:val="28"/>
          <w:sz w:val="28"/>
          <w:szCs w:val="28"/>
          <w:rtl w:val="true"/>
          <w:lang w:bidi="ar-SA"/>
        </w:rPr>
        <w:t>قاصرة عن الشمول لمثل هذه الحالة فانّها ليست في مقام البيان من الجهة المذكورة ، فلا تريد أن تقول ان له حقا في ان يصنع بماله ما شاء وان استلزم ذلك الاضرار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فرض تضرّر المالك من عدم احداثه للحمام والبالوعة فالمورد يدخل في تعارض الضررين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المالك وضرر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حيث لا دليل على حرمة احداث المالك لما ذكر في ملكه فلا يعود محذور في التمسّك بأصل البراءة لإثبات جواز ذلك</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494381_1280447820"/>
      <w:bookmarkStart w:id="182" w:name="_Toc63"/>
      <w:bookmarkEnd w:id="181"/>
      <w:r>
        <w:rPr/>
        <w:t>8</w:t>
      </w:r>
      <w:r>
        <w:rPr>
          <w:rtl w:val="true"/>
        </w:rPr>
        <w:t xml:space="preserve"> - </w:t>
      </w:r>
      <w:r>
        <w:rPr>
          <w:rtl w:val="true"/>
        </w:rPr>
        <w:t>تطبيقات</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حلية لحم الأرنب وكان لإنسان أرنب فهل يمكن التمسّك بقاعدة السلطنة لإثبات جواز أكله؟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شرطية معلومية العوضين في باب البيع فهل يمكن التمسك بقاعدة السلطنة لإثبات جواز البيع في حالة عدم معلومية العوضين؟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التمسك بقاعدة السلطنة لإثبات ان البيع المعاطاتي مفيد للتمليك دون مجرّد الاباحة؟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لزوم البيع المعاطاتي فهل يمكن التمسّك بقاعدة السلطنة لإثبات اللزوم؟ وبأي بيان؟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 الإنسان أن يتناول الأطعمة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بامكانه اسقاط الحق المذكور بقاعدة السلطنة؟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 الرجل الزواج بالثانية ، هل بامكانه اسقاط الحق المذكور؟ وإذا لم يمكنه ذلك فما هو الطريق لتوصل الزوجة الاولى إلى عدم تزوج زوجها بزوجة ثانية؟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التمسك بقاعدة السلطنة لإثبات جواز طلاق الزوجة نفسها إذا اشترط لها الزوج ذلك في العقد؟ وما هي الطريقة الشرعية للتوصل إلى ذلك إذا لم يمكن التمسّك بقاعدة السلطنة؟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نوجّه اخراج الدم من الرأس في عزاء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الضرب على الظهر بالسلاسل الحديدية؟ وهل الجواز موقوف على اثبات سلطنة الإنسان على جوارحه؟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9390_208314"/>
      <w:bookmarkStart w:id="184" w:name="pg19390_208314"/>
      <w:bookmarkEnd w:id="184"/>
    </w:p>
    <w:p>
      <w:pPr>
        <w:pStyle w:val="Heading2"/>
        <w:numPr>
          <w:ilvl w:val="1"/>
          <w:numId w:val="1"/>
        </w:numPr>
        <w:rPr/>
      </w:pPr>
      <w:bookmarkStart w:id="185" w:name="pg19390_208314"/>
      <w:bookmarkStart w:id="186" w:name="__RefHeading___Toc17494383_1280447820"/>
      <w:bookmarkStart w:id="187" w:name="_Toc64"/>
      <w:bookmarkEnd w:id="185"/>
      <w:bookmarkEnd w:id="186"/>
      <w:r>
        <w:rPr>
          <w:rtl w:val="true"/>
        </w:rPr>
        <w:t>قاعدة الميسور</w:t>
      </w:r>
      <w:bookmarkEnd w:id="187"/>
    </w:p>
    <w:p>
      <w:pPr>
        <w:pStyle w:val="Heading3"/>
        <w:numPr>
          <w:ilvl w:val="2"/>
          <w:numId w:val="1"/>
        </w:numPr>
        <w:rPr/>
      </w:pPr>
      <w:bookmarkStart w:id="188" w:name="__RefHeading___Toc17494385_1280447820"/>
      <w:bookmarkStart w:id="189" w:name="_Toc65"/>
      <w:bookmarkEnd w:id="188"/>
      <w:r>
        <w:rPr>
          <w:rtl w:val="true"/>
        </w:rPr>
        <w:t>اشارة</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والقاعدة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الأدلّة الأولية والقاعدة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القواعد المهمّة التي يستفيد منها الفقيه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تعذّر غسل الوجه في الوضوء تعيّن الاكتفاء بالباقي من دون انتقال الى التيمم ، واذا تعذّر غسل بعض المواضع في الغسل تعيّن الاكتفاء بالباقي من دون انتقال إلى التيمم أيضا ، وإذا تعذّر الامساك في تمام يوم الصوم تعيّن الاكتفاء بالباقي ، وهكذا في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الشيخ الأعظم في الرسائل القاعدة المذكورة في مبحث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الشك في جزئية جزء أو شرطية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انجر كلام الاصوليين إلى ما لو تعذّر جزء معين من أجزاء الواجب لسبب وآخر </w:t>
      </w:r>
      <w:r>
        <w:rPr>
          <w:rStyle w:val="FootnoteAnchor"/>
          <w:rtl w:val="true"/>
        </w:rPr>
        <w:footnoteReference w:id="105"/>
      </w:r>
      <w:r>
        <w:rPr>
          <w:rFonts w:ascii="Amiri" w:hAnsi="Amiri" w:eastAsia="Amiri" w:cs="Amiri"/>
          <w:color w:val="111111"/>
          <w:sz w:val="28"/>
          <w:sz w:val="28"/>
          <w:szCs w:val="28"/>
          <w:rtl w:val="true"/>
          <w:lang w:bidi="ar-SA"/>
        </w:rPr>
        <w:t>فهل يلزم الاتيان ببقية الأجزاء أو 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وجوب باقي الأجزاء وعدمه يرتبط بملاحظة ان جزئية الجزء </w:t>
      </w:r>
    </w:p>
    <w:p>
      <w:pPr>
        <w:pStyle w:val="BookText"/>
        <w:rPr/>
      </w:pPr>
      <w:r>
        <w:rPr>
          <w:rFonts w:ascii="Amiri" w:hAnsi="Amiri" w:eastAsia="Amiri" w:cs="Amiri"/>
          <w:color w:val="111111"/>
          <w:sz w:val="28"/>
          <w:sz w:val="28"/>
          <w:szCs w:val="28"/>
          <w:rtl w:val="true"/>
          <w:lang w:bidi="ar-SA"/>
        </w:rPr>
        <w:t>المتعذّر هل هي مختصة بحالة امكان الاتيان بالجزء أو هي مطلقة؟</w:t>
      </w:r>
    </w:p>
    <w:p>
      <w:pPr>
        <w:pStyle w:val="BookText"/>
        <w:rPr/>
      </w:pPr>
      <w:r>
        <w:rPr>
          <w:rFonts w:ascii="Amiri" w:hAnsi="Amiri" w:eastAsia="Amiri" w:cs="Amiri"/>
          <w:color w:val="111111"/>
          <w:sz w:val="28"/>
          <w:sz w:val="28"/>
          <w:szCs w:val="28"/>
          <w:rtl w:val="true"/>
          <w:lang w:bidi="ar-SA"/>
        </w:rPr>
        <w:t>فعلى تقدير اختصاصها بحالة الامكان يلزم الاتيان بالباقي لأنّه يعد كاملا ولم ينقص منه شي‌ء على التقدير المذكور ، بينما على تقدير عدم الاختصاص لا يلزم الاتيان بالباقي لأنّه ناقص ، والناقص لم يتعلّق به الوجوب وانّما تعلّق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انجر البحث إلى انّه هل يوجد أمر بالناقص بناء على كون جزئية الجزء المتعذّر مطلقة وغير خاصة بحالة التمكّن؟</w:t>
      </w:r>
    </w:p>
    <w:p>
      <w:pPr>
        <w:pStyle w:val="BookText"/>
        <w:rPr/>
      </w:pPr>
      <w:r>
        <w:rPr>
          <w:rFonts w:ascii="Amiri" w:hAnsi="Amiri" w:eastAsia="Amiri" w:cs="Amiri"/>
          <w:color w:val="111111"/>
          <w:sz w:val="28"/>
          <w:sz w:val="28"/>
          <w:szCs w:val="28"/>
          <w:rtl w:val="true"/>
          <w:lang w:bidi="ar-SA"/>
        </w:rPr>
        <w:t>وأحد الطرق التي طرحت ليثبت من خلالها الأمر بالناقص هي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انجر البحث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الأعظم تعرّض لقاعدة الميسور في مبحث الأقل والأكثر الارتباطيين للمناسبة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بقية الاصوليين يبحثون القاعدة المذكورة في المورد المذكور بالرغم من كونها أجنبية بتمام معنى الكلمة عن علم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القاعدة المذكورة قبل الشيخ الأعظم استاذه الشيخ النراقي في كتابه المعروف بعوائد الأيّام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منشأ البحث عن قاعدة الميسور في علم الاصول والتسلسل التاريخي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عن القاعدة المذكورة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bookmarkStart w:id="190" w:name="pg19390_208318"/>
    </w:p>
    <w:p>
      <w:pPr>
        <w:pStyle w:val="BookText"/>
        <w:rPr/>
      </w:pPr>
      <w:bookmarkEnd w:id="1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والقاعدة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الأدلّة الأولية والقاعدة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494387_1280447820"/>
      <w:bookmarkStart w:id="192" w:name="_Toc66"/>
      <w:bookmarkEnd w:id="191"/>
      <w:r>
        <w:rPr/>
        <w:t>1</w:t>
      </w:r>
      <w:r>
        <w:rPr>
          <w:rtl w:val="true"/>
        </w:rPr>
        <w:t xml:space="preserve"> - </w:t>
      </w:r>
      <w:r>
        <w:rPr>
          <w:rtl w:val="true"/>
        </w:rPr>
        <w:t>مضمون القاعدة</w:t>
      </w:r>
      <w:bookmarkEnd w:id="192"/>
    </w:p>
    <w:p>
      <w:pPr>
        <w:pStyle w:val="BookText"/>
        <w:rPr/>
      </w:pPr>
      <w:r>
        <w:rPr>
          <w:rFonts w:ascii="Amiri" w:hAnsi="Amiri" w:eastAsia="Amiri" w:cs="Amiri"/>
          <w:color w:val="111111"/>
          <w:sz w:val="28"/>
          <w:sz w:val="28"/>
          <w:szCs w:val="28"/>
          <w:rtl w:val="true"/>
          <w:lang w:bidi="ar-SA"/>
        </w:rPr>
        <w:t>يراد بالقاعدة المذكورة انّه لو كان لدينا واجب مركب من مجموعة أجزاء وتعذّر الاتيان ببعض تلك الأجزاء فمن اللازم الاتيان بالباقي فان الأجزاء الميسورة لا يسقط وجوبها بتعذّر الأجزاء التي تعسر الاتيان بها بالرغم من اقتضاء القاعدة الأولية لعدم وجوب الباقي لأن الأمر كان متعلّقا بالمركب الكامل التام ولم يتعلّق بالناقص ، فوجوب الناقص على هذا يحتاج إلى دليل خاص لأنّه مخالف للقاعدة الأولية ، وذلك الدليل الخاص هو قاعدة الميسور فانّها تثبت الأمر بالناقص وعدم سقوطه بسقوط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ان هذا البحث لا نحتاجه في مثل الصلاة لأنّه بتعذّر بعض أجزائها لا يسقط وجوب الباقي لقاعدة لا تسقط الصلاة بحال المستفادة من ضرورة الفقه ومن بعض الروايات الخاصّة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نحتاج إلى هذا البحث في غير الصلاة من الواجبات الاخرى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الى ان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ذو الأجزاء ، اما ما وجب بنحو العموم الافرادي فلا شك في عدم سقوط </w:t>
      </w:r>
      <w:bookmarkStart w:id="193" w:name="pg19390_208319"/>
    </w:p>
    <w:p>
      <w:pPr>
        <w:pStyle w:val="BookText"/>
        <w:rPr/>
      </w:pPr>
      <w:bookmarkEnd w:id="193"/>
      <w:r>
        <w:rPr>
          <w:rFonts w:ascii="Amiri" w:hAnsi="Amiri" w:eastAsia="Amiri" w:cs="Amiri"/>
          <w:color w:val="111111"/>
          <w:sz w:val="28"/>
          <w:sz w:val="28"/>
          <w:szCs w:val="28"/>
          <w:rtl w:val="true"/>
          <w:lang w:bidi="ar-SA"/>
        </w:rPr>
        <w:t>وجوب الباقي بتعذر البعض ، فاذا تعذّر صوم بعض الأيّام في شهر رمضان لم يسقط وجوب صوم الباقي لأنّ صوم كل يوم من أيّام الشهر واجب بوجوب مستقل ، ولا مجال لتوهم سقوط الوجوب في مثله بتعذّر صوم بعض الأيّام وإلاّ كان ذلك خلف فرض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وجب اكرام كل فرد من أفراد العلماء وتعذّر اكرام بعض فانّه لا يسقط وجوب اكرام الباقي لنفس النكتة المتقدّمة وبلا حاجة الى الاستعانة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مورد القاعدة الاجزاء الواجبة بوجوب واحد دون الافراد الواجب كل واحد منها بوجوب استقلالي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7494389_1280447820"/>
      <w:bookmarkStart w:id="195" w:name="_Toc67"/>
      <w:bookmarkEnd w:id="194"/>
      <w:r>
        <w:rPr/>
        <w:t>2</w:t>
      </w:r>
      <w:r>
        <w:rPr>
          <w:rtl w:val="true"/>
        </w:rPr>
        <w:t xml:space="preserve"> - </w:t>
      </w:r>
      <w:r>
        <w:rPr>
          <w:rtl w:val="true"/>
        </w:rPr>
        <w:t>مدرك القاعدة</w:t>
      </w:r>
      <w:bookmarkEnd w:id="195"/>
    </w:p>
    <w:p>
      <w:pPr>
        <w:pStyle w:val="Heading4"/>
        <w:numPr>
          <w:ilvl w:val="3"/>
          <w:numId w:val="1"/>
        </w:numPr>
        <w:rPr/>
      </w:pPr>
      <w:bookmarkStart w:id="196" w:name="__RefHeading___Toc17494391_1280447820"/>
      <w:bookmarkStart w:id="197" w:name="_Toc68"/>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قد يتصوّر ان القاعدة المذكورة بديهية لا تحتاج إلى دليل إذ من الواضح ان من تعذّر عليه قضاء قسم من دينه وتمكن من قضاء قسمه الآخر فلا يسقط وجوب قضاء الثاني بتعذّر الأوّل ، وهل يحتمل احتياج اثبات مثل ذلك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التصور المذكور خاطئ لأن ما ذكر وجيه في الافراد الواجبة بوجوبات مستقلة، وقد أشرنا الى عدم نظر القاعدة إلى ذلك بل للمركب الذي يتألف من أجزاء متعددة وجب مجموعها بوجوب واحد من دون استقلالية ، ومن الجلي ان ثبوت الوجوب للناقص بعد ما لم يكن هو المتعلّق له يحتاج إلى دليل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الاستدلال لها بروايات ثلاث </w:t>
      </w:r>
      <w:r>
        <w:rPr>
          <w:rFonts w:eastAsia="Amiri" w:cs="Amiri" w:ascii="Amiri" w:hAnsi="Amiri"/>
          <w:color w:val="111111"/>
          <w:sz w:val="28"/>
          <w:szCs w:val="28"/>
          <w:rtl w:val="true"/>
          <w:lang w:bidi="ar-SA"/>
        </w:rPr>
        <w:t xml:space="preserve">: </w:t>
      </w:r>
      <w:bookmarkStart w:id="198" w:name="pg19390_208320"/>
    </w:p>
    <w:p>
      <w:pPr>
        <w:pStyle w:val="Heading4"/>
        <w:numPr>
          <w:ilvl w:val="3"/>
          <w:numId w:val="1"/>
        </w:numPr>
        <w:rPr/>
      </w:pPr>
      <w:bookmarkStart w:id="199" w:name="__RefHeading___Toc17494393_1280447820"/>
      <w:bookmarkStart w:id="200" w:name="_Toc69"/>
      <w:bookmarkEnd w:id="198"/>
      <w:bookmarkEnd w:id="199"/>
      <w:r>
        <w:rPr>
          <w:rtl w:val="true"/>
        </w:rPr>
        <w:t>الرواية الاولى</w:t>
      </w:r>
      <w:bookmarkEnd w:id="200"/>
    </w:p>
    <w:p>
      <w:pPr>
        <w:pStyle w:val="BookText"/>
        <w:rPr/>
      </w:pPr>
      <w:r>
        <w:rPr>
          <w:rFonts w:ascii="Amiri" w:hAnsi="Amiri" w:eastAsia="Amiri" w:cs="Amiri"/>
          <w:color w:val="111111"/>
          <w:sz w:val="28"/>
          <w:sz w:val="28"/>
          <w:szCs w:val="28"/>
          <w:rtl w:val="true"/>
          <w:lang w:bidi="ar-SA"/>
        </w:rPr>
        <w:t xml:space="preserve">ما روي عن أمير المؤمنين  عليه‌ السلام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المشهور على الألسن إلاّ ان الوارد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دلالة الرواية واضحة إذ هي تدل باطلاقها على ان كل ميسور بما في ذلك اجزاء المركب الواحد لا تسقط بالمعسور ولا تختص بالواجبات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اشكل عليه بعدّة اشكالات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ناظرة إلى الافراد المتعددة الواجب كل واحد منها بوجوب مستقل لا للمركب من أجزاء متعددة التي وجبت بوجوب واحد ، والمهم اثبات نظرها الى الثاني وانه بتعذّر بعض الأجزاء لا يسقط وجوب الباقي دون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كونها ناظرة الى الأوّل التعبير الوارد فيها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السقوط فرع الثبوت السابق ، فمن وجب عليه صوم شهر وتعذّر عليه صوم عشرة أيّام فالعشرون الباقية يصح أن يقال عنها لا يسقط وجوبها الثابت لها سابقا ، فان كلّ يوم قد ثبت له وجوب مستقل ، وذلك الوجوب المستقل لا يسقط بتعذر صوم العشرة ، اما الأجزاء الواجبة بوجوب واحد فلا يصح مثل التعبير المذكور فيها لأن الأجزاء الباقية لم يثبت لها الوجوب سابقا كي يقال هو لا يسقط عنها بتعذّر بعض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كانت هي واجبة سابقا بوجوب ضمني وفي داخل وجوب المركب التام إلاّ ان ذلك قد سقط جزما عند سقوط الأمر بالكل لأنّه تابع له وفي ضمنه ، والمدعى ليس هو اثبات بقاء ذلك الوجوب الضمني فانه قد سقط ولا يحتمل بقاؤه وانما المدعى ثبوت وجوب نفسي استقلالي له ، وهذا الوجوب لم يكن ثابتا سابقا كي يحكم عليه بعدم السقوط ، وما كان ثابتا قد سقط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قد تبنّاه السيّد الخوئي </w:t>
      </w:r>
      <w:r>
        <w:rPr>
          <w:rStyle w:val="FootnoteAnchor"/>
          <w:rtl w:val="true"/>
        </w:rPr>
        <w:footnoteReference w:id="109"/>
      </w:r>
      <w:r>
        <w:rPr>
          <w:rFonts w:ascii="Amiri" w:hAnsi="Amiri" w:eastAsia="Amiri" w:cs="Amiri"/>
          <w:color w:val="111111"/>
          <w:sz w:val="28"/>
          <w:sz w:val="28"/>
          <w:szCs w:val="28"/>
          <w:rtl w:val="true"/>
          <w:lang w:bidi="ar-SA"/>
        </w:rPr>
        <w:t>وعلى أساسه ناقش 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ناقش الشيخ النراقي بذلك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الأعظم في الرسائل </w:t>
      </w:r>
      <w:r>
        <w:rPr>
          <w:rStyle w:val="FootnoteAnchor"/>
          <w:rtl w:val="true"/>
        </w:rPr>
        <w:footnoteReference w:id="111"/>
      </w:r>
      <w:r>
        <w:rPr>
          <w:rFonts w:ascii="Amiri" w:hAnsi="Amiri" w:eastAsia="Amiri" w:cs="Amiri"/>
          <w:color w:val="111111"/>
          <w:sz w:val="28"/>
          <w:sz w:val="28"/>
          <w:szCs w:val="28"/>
          <w:rtl w:val="true"/>
          <w:lang w:bidi="ar-SA"/>
        </w:rPr>
        <w:t xml:space="preserve">قد تعرّض لهذا الاشكال وأجاب عنه بجوابين كلاهما 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لم تقل لا يسقط حكم الميسور بسقوط حكم المعسور ليقال ان حكم الميسور الذي يراد ابقاؤه لم يكن ثابتا سابقا وما كان ثابتا قد سقط بل قالت نفس الميسور يبقى ثابتا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الذي يراد اثباته وان لم يكن ثابتا سابقا وما كان ثابتا سابقا قد سقط جزما إلاّ ان التفرقة بين الوجوبين وان احدهما ضمني سقط جزما والآخر استقلالي لم يكن ثابتا سابقا مبتنية على الدقة وإلاّ فالنظرة العرفية ترى الوجوب واحدا وترى ان الوجوب إذا لم يثبت للباقي فالتعبير عنه بأنّه قد سقط وجيه بالرغم من انّه بحسب الدقة لم يكن ثابتا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هاتان مناقشتان للشيخ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ورودها في الرواية وانّما ذلك متداول على الألسن بلا مستند بل الوارد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تبناه الآخوند في كفاية الاصول من احتمال نظر الرواية الى الافراد المتعددة التي وجب كل واحد منها بوجوب مستقل وليس الى المركب من أجزاء التي وجبت بوجوب واحد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لا يعتنى له بعد ثبوت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الكفاية أيضا من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الرجحان دون اللزوم لأنّ الرواية شاملة للمستحبات أيضا ولا اختصاص لها بالواجبات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عدم سقوط الميسور بما له من الحكم فان كان مستحبا فيبقى الاستحباب وان كان وجوبا يبقى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هذا اتضح ان دلالة الرواية على المطلوب تامة إلاّ ان المشكلة تبقى في سندها فانّها لم ترو إلاّ في كتاب عوالي اللئالي عن أمير المؤمنين  عليه‌ السلام بشكل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المذكور معروف بالضعف فكيف إذا اجتمع معه الارسال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التخلّص من الضعف السندي المذكور إلاّ بما ذكره الشيخ الأعظم في الرسائل وبعض من تأخّر عنه من الانجبار باشتهار التمسّك بها بين الأصحاب</w:t>
      </w:r>
      <w:r>
        <w:rPr>
          <w:rFonts w:eastAsia="Amiri" w:cs="Amiri" w:ascii="Amiri" w:hAnsi="Amiri"/>
          <w:color w:val="111111"/>
          <w:sz w:val="28"/>
          <w:szCs w:val="28"/>
          <w:rtl w:val="true"/>
          <w:lang w:bidi="ar-SA"/>
        </w:rPr>
        <w:t xml:space="preserve">. </w:t>
      </w:r>
      <w:bookmarkStart w:id="201" w:name="pg19390_208323"/>
    </w:p>
    <w:p>
      <w:pPr>
        <w:pStyle w:val="BookText"/>
        <w:rPr/>
      </w:pPr>
      <w:bookmarkEnd w:id="201"/>
      <w:r>
        <w:rPr>
          <w:rFonts w:ascii="Amiri" w:hAnsi="Amiri" w:eastAsia="Amiri" w:cs="Amiri"/>
          <w:color w:val="111111"/>
          <w:sz w:val="28"/>
          <w:sz w:val="28"/>
          <w:szCs w:val="28"/>
          <w:rtl w:val="true"/>
          <w:lang w:bidi="ar-SA"/>
        </w:rPr>
        <w:t>وتمكن المناقشة بأن الشهرة انّما تكون جابرة لو كانت ثابتة بين المتقدّمين دون ما لو كانت خاصة بالمتأخرين ، فان ما يمكن أن يورث الاطمئنان بحقانية الرواية هو الشهرة بين المتقدّمين دون الشهرة بين المتأخرين ، وفي المقام لم يشتهر التمسك بالرواية بين المتقدّمين كالشيخ الكليني والصدوق والطوسي فان أول من ذكرها هو ابن أبي جمهور الاحسائي في كتاب عوالي اللآلي الذي هو من أعلام القرن التاسع ومتأخر عن العلاّمة الحلّي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7494395_1280447820"/>
      <w:bookmarkStart w:id="203" w:name="_Toc70"/>
      <w:bookmarkEnd w:id="202"/>
      <w:r>
        <w:rPr>
          <w:rtl w:val="true"/>
        </w:rPr>
        <w:t>الرواية الثانية والثالثة</w:t>
      </w:r>
      <w:bookmarkEnd w:id="203"/>
    </w:p>
    <w:p>
      <w:pPr>
        <w:pStyle w:val="BookText"/>
        <w:rPr/>
      </w:pPr>
      <w:r>
        <w:rPr>
          <w:rFonts w:ascii="IRNazanin" w:hAnsi="IRNazanin" w:eastAsia="IRNazanin"/>
          <w:color w:val="111111"/>
          <w:sz w:val="28"/>
          <w:sz w:val="28"/>
          <w:szCs w:val="28"/>
          <w:rtl w:val="true"/>
          <w:lang w:bidi="fa-IR"/>
        </w:rPr>
        <w:t xml:space="preserve">واستدل أيضا بالحديث الوارد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وبالحديث الوارد عن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وكلاهما ضعيف السند إذ لم يرويا إلاّ في كتاب عوالي اللآلي </w:t>
      </w:r>
      <w:r>
        <w:rPr>
          <w:rStyle w:val="FootnoteAnchor"/>
          <w:rtl w:val="true"/>
        </w:rPr>
        <w:footnoteReference w:id="114"/>
      </w:r>
      <w:r>
        <w:rPr>
          <w:rFonts w:ascii="Amiri" w:hAnsi="Amiri" w:eastAsia="Amiri" w:cs="Amiri"/>
          <w:color w:val="111111"/>
          <w:sz w:val="28"/>
          <w:sz w:val="28"/>
          <w:szCs w:val="28"/>
          <w:rtl w:val="true"/>
          <w:lang w:bidi="ar-SA"/>
        </w:rPr>
        <w:t>بشكل مرسل لا مجال لدعوى الانجبار فيه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ضعف السند لا تبقى حاجة إلى البحث عن تمامية الدلالة وعدمها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7494397_1280447820"/>
      <w:bookmarkStart w:id="205" w:name="_Toc71"/>
      <w:bookmarkEnd w:id="204"/>
      <w:r>
        <w:rPr/>
        <w:t>3</w:t>
      </w:r>
      <w:r>
        <w:rPr>
          <w:rtl w:val="true"/>
        </w:rPr>
        <w:t xml:space="preserve"> - </w:t>
      </w:r>
      <w:r>
        <w:rPr>
          <w:rtl w:val="true"/>
        </w:rPr>
        <w:t>الاستصحاب والقاعدة</w:t>
      </w:r>
      <w:bookmarkEnd w:id="205"/>
    </w:p>
    <w:p>
      <w:pPr>
        <w:pStyle w:val="Heading4"/>
        <w:numPr>
          <w:ilvl w:val="3"/>
          <w:numId w:val="1"/>
        </w:numPr>
        <w:rPr/>
      </w:pPr>
      <w:bookmarkStart w:id="206" w:name="__RefHeading___Toc17494399_1280447820"/>
      <w:bookmarkStart w:id="207" w:name="_Toc72"/>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قد يحاول اثبات وجوب الاجزاء الميسورة من خلال الاستصحاب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يبدو ان التمسّك بالاستصحاب أمر غريب لأن الوجوب السابق الذي كان ثابتا للأجزاء الميسورة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وجوبها الضمني </w:t>
      </w:r>
    </w:p>
    <w:p>
      <w:pPr>
        <w:pStyle w:val="BookText"/>
        <w:rPr/>
      </w:pPr>
      <w:r>
        <w:rPr>
          <w:rFonts w:ascii="Amiri" w:hAnsi="Amiri" w:eastAsia="Amiri" w:cs="Amiri"/>
          <w:color w:val="111111"/>
          <w:sz w:val="28"/>
          <w:sz w:val="28"/>
          <w:szCs w:val="28"/>
          <w:rtl w:val="true"/>
          <w:lang w:bidi="ar-SA"/>
        </w:rPr>
        <w:t xml:space="preserve">الثابت ضمن وجوب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جزما لأنّه ثابت ضمن وجوب الكل فاذا سقط سقط ما في ضمنه ، والوجوب الذي يراد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النفسي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ثبوت له سابقا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كان سابقا لا يمكن استصحابه وما يراد استصحابه لم يكن ثابتا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اجراء الاستصحاب بحاجة الى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في هذا المجال ذكر عدّة بيانات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الاستصحاب في كلي الوجوب الجامع بين الضمني والاستقلالي ، ببيان ان الوجوب الضمني للاجزاء الميسورة كان ثابتا لها سابقا وهو وان سقط جزما إلاّ انّا نحتمل حلول الوجوب النفسي الاستقلالي محله فنستصحب الوجوب الكلي الجامع بين الوجوبين ولا نستصحب أحدهما بالخصوص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الضمني سقط جزما والوجوب الاستقلالي لم يكن ثابتا سابقا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هو استصحاب الكلي من القسم الثالث وهو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من القسم الثالث فلأن الفرض الجزم بارتفاع الفرد الأول من الوجوب الذي يتيقن بوجود الكلي ضمنه غايته يحتمل حدوث فرد ثان مقارنا لارتفاعه ، وذلك هو ملاك القسم الثالث من استصحاب الكلي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انّه لا يجري فباعتبار ان وجود الكلي في الخارج ليس وجودا مستقلاّ وانّما هو بوجود افراده وضمنها ، وهو ما يعبر عنه بكونه موجودا بالحصص فهناك حصص من الكلي بعدد الافراد وليس </w:t>
      </w:r>
    </w:p>
    <w:p>
      <w:pPr>
        <w:pStyle w:val="BookText"/>
        <w:rPr/>
      </w:pPr>
      <w:r>
        <w:rPr>
          <w:rFonts w:ascii="Amiri" w:hAnsi="Amiri" w:eastAsia="Amiri" w:cs="Amiri"/>
          <w:color w:val="111111"/>
          <w:sz w:val="28"/>
          <w:sz w:val="28"/>
          <w:szCs w:val="28"/>
          <w:rtl w:val="true"/>
          <w:lang w:bidi="ar-SA"/>
        </w:rPr>
        <w:t>وجوده واحدا ضمن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فالحصة من كلي الوجوب الثابتة ضمن الوجوب الضمني قد ارتفعت جزما والحصة الثانية من كلي الوجوب الثابتة ضمن الوجوب الاستقلالي لم تكن ثابتة سابقا لتستصحب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يجري استصحاب الكلي لعدم 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تتم الأركان لو فرض ان وجوده كان واحدا ضمن جميع الافراد فانّه آنذاك يقال ان ذلك الوجود الواحد للكلي كان ثابتا سابقا جزما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تعسّر بعض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بقائه فيستصحب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المبنى المذكور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المنسوب للرجل الهمداني الذي التقى به الشيخ الرئيس في مدينة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لازمه اتصاف الشي‌ء الواحد بالصفات المتقابلة كالموت والحياة والبياض والسواد والعلم والجهل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النفسي الاستقلالي فانه كان ثابتا قبلا جزما ويشك في ارتفاعه بتعذّر بعض الأجزاء فيستصحب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الاستصحاب للجزئي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النفسي الاستقلالي الذي كان ثابتا للمجموع قد ارتفع جزما ، والذي هو ثابت للميسور يشك في أصل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اريد ملاحظة الجامع بينهما صار الاستصحاب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القسم الثالث الذي تقدّم عدم جريانه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الاستقلالي الثابت للصلاة فيشار الى الصلاة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كانت واجبة وهي الآن يشك في وجوبها ، فانه </w:t>
      </w:r>
      <w:bookmarkStart w:id="208" w:name="pg19390_208326"/>
    </w:p>
    <w:p>
      <w:pPr>
        <w:pStyle w:val="BookText"/>
        <w:rPr/>
      </w:pPr>
      <w:bookmarkEnd w:id="208"/>
      <w:r>
        <w:rPr>
          <w:rFonts w:ascii="Amiri" w:hAnsi="Amiri" w:eastAsia="Amiri" w:cs="Amiri"/>
          <w:color w:val="111111"/>
          <w:sz w:val="28"/>
          <w:sz w:val="28"/>
          <w:szCs w:val="28"/>
          <w:rtl w:val="true"/>
          <w:lang w:bidi="ar-SA"/>
        </w:rPr>
        <w:t xml:space="preserve">بنقصان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المتعذّر قليلا وغير مقوم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الصلاة هي تلك الصلاة ويصح ان يشار إليها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سابقا واجبة والآن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للاستصحاب جيّد شريطة كون المتعذّر قليلا وغير مقوم لمفهوم الصلاة ، فانه بناء على هذا يكون موضوع الصلاة باقيا عرفا وتصح الاشارة إليه وانه كان متّصفا بالوجوب الاستقلالي سابقا والآن كذلك</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7494401_1280447820"/>
      <w:bookmarkStart w:id="210" w:name="_Toc73"/>
      <w:bookmarkEnd w:id="209"/>
      <w:r>
        <w:rPr>
          <w:rtl w:val="true"/>
        </w:rPr>
        <w:t>ملاحظة مشتركة</w:t>
      </w:r>
      <w:bookmarkEnd w:id="210"/>
    </w:p>
    <w:p>
      <w:pPr>
        <w:pStyle w:val="BookText"/>
        <w:rPr/>
      </w:pPr>
      <w:r>
        <w:rPr>
          <w:rFonts w:ascii="Amiri" w:hAnsi="Amiri" w:eastAsia="Amiri" w:cs="Amiri"/>
          <w:color w:val="111111"/>
          <w:sz w:val="28"/>
          <w:sz w:val="28"/>
          <w:szCs w:val="28"/>
          <w:rtl w:val="true"/>
          <w:lang w:bidi="ar-SA"/>
        </w:rPr>
        <w:t xml:space="preserve">هناك قضية لا بدّ من الالتفات إليها وهي ان الاستصحاب في هذه الوجوه الثلاثة لا يجري إلاّ إذا كان التعذّر قد طرأ بعد دخول وقت الواجب ، إذ بعد دخول الوقت يمكن أن يشار الى الصلاة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قليل واجبة والآن كذلك ، اما إذا كان التعذر قد طرأ قبل دخول الوقت فلا يجري إذ لا تمكن الاشارة الى الصلاة والحكم عليها بانها كانت واجبة قبلا ، بل حينما يدخل الوقت يشك في أصل حدوث الوجوب فيستصحب عدمه لا وجوده وبقاؤه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مشتركة ولا تختص بالوجه الثالث بل تعمّ جميع الوجوه الثلاثة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7494403_1280447820"/>
      <w:bookmarkStart w:id="212" w:name="_Toc74"/>
      <w:bookmarkEnd w:id="211"/>
      <w:r>
        <w:rPr/>
        <w:t>4</w:t>
      </w:r>
      <w:r>
        <w:rPr>
          <w:rtl w:val="true"/>
        </w:rPr>
        <w:t xml:space="preserve"> - </w:t>
      </w:r>
      <w:r>
        <w:rPr>
          <w:rtl w:val="true"/>
        </w:rPr>
        <w:t>اطلاق الأدلّة الأوّلية والقاعدة</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قاعدة الميسور لو تمّت فلا يصح التمسّك بها إلاّ بعد فقدان الاطلاق في الأدلة الأولية ، فمثلا إذا دلّ دليل وجوب الحج على ان الحج واجب مطلق ، بمعنى انه ثابت حتى في حالة تعذّر بعض الاجزاء فيلزم </w:t>
      </w:r>
      <w:bookmarkStart w:id="213" w:name="pg19390_208327"/>
    </w:p>
    <w:p>
      <w:pPr>
        <w:pStyle w:val="BookText"/>
        <w:rPr/>
      </w:pPr>
      <w:bookmarkEnd w:id="213"/>
      <w:r>
        <w:rPr>
          <w:rFonts w:ascii="Amiri" w:hAnsi="Amiri" w:eastAsia="Amiri" w:cs="Amiri"/>
          <w:color w:val="111111"/>
          <w:sz w:val="28"/>
          <w:sz w:val="28"/>
          <w:szCs w:val="28"/>
          <w:rtl w:val="true"/>
          <w:lang w:bidi="ar-SA"/>
        </w:rPr>
        <w:t>الأخذ باطلاق دليل الواجب المذكور ويثبت بذلك وجوب الحج في حالة تعذر بعض الاجزاء بدون أن تصل النوبة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إذا كان لدليل جزئية الجزء المتعذر اطلاق يثبت من خلاله ان الجزئية مطلقة وثابتة حتى في حالة التعذر فالمناسب الأخذ بالاطلاق المذكور ويثبت بذلك سقوط وجوب الواجب وعدم لزوم الاتيان بالميسور بدون أن تصل النوبة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الاطلاق ثابتا في كل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الواجب ودليل الجزء فالمناسب الأخذ باطلاق دليل الجزء والحكم بعدم وجوب الميسور فان دليل الجزء بمثابة المقيّد لدليل الواجب الذي هو بمثابة المطلق ، وكما ان أصل المقيّد مقدّم على المطلق بقانون الجمع بالتقييد كذلك اطلاق الدليل المقيّد مقدّم على اطلاق الدليل المطلق بنفس الملاك والنكتة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وصول النوبة إلى قاعدة الميسور يختص بحالة فقدان الاطلاق في دليل الواجب ودليل الجزء</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7494405_1280447820"/>
      <w:bookmarkStart w:id="215" w:name="_Toc75"/>
      <w:bookmarkEnd w:id="214"/>
      <w:r>
        <w:rPr/>
        <w:t>5</w:t>
      </w:r>
      <w:r>
        <w:rPr>
          <w:rtl w:val="true"/>
        </w:rPr>
        <w:t xml:space="preserve"> - </w:t>
      </w:r>
      <w:r>
        <w:rPr>
          <w:rtl w:val="true"/>
        </w:rPr>
        <w:t>تطبيقات</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الغسل يضرّ المكلف فهل بالامكان تطبيق قاعدة الميسور بناء على تماميتها لإثبات وجوب اراقة الماء على الملابس بدلا من اراقته على البدن؟ وبناء على عدم تماميتها هل يمكن اجراء الاستصحاب لإثبات ذلك؟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تخريج وضوء الجبيرة على طبق قاعدة الميسور بحيث تكفينا القاعدة المذكورة لإثبات مشروعيته بلا حاجة إلى دليل </w:t>
      </w:r>
    </w:p>
    <w:p>
      <w:pPr>
        <w:pStyle w:val="BookText"/>
        <w:rPr/>
      </w:pPr>
      <w:r>
        <w:rPr>
          <w:rFonts w:ascii="Amiri" w:hAnsi="Amiri" w:eastAsia="Amiri" w:cs="Amiri"/>
          <w:color w:val="111111"/>
          <w:sz w:val="28"/>
          <w:sz w:val="28"/>
          <w:szCs w:val="28"/>
          <w:rtl w:val="true"/>
          <w:lang w:bidi="ar-SA"/>
        </w:rPr>
        <w:t>خاص يدل على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بعض بدنه قطعة قير لا يمكنه إزالتها فما هي الوظيفة بلحاظ غسله ووضوئه؟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يجب تغسيله بماء السدر أوّلا ثم بماء الكافور ثم بالماء القراح فإذا تعذّر السدر أو الكافور فما هي الوظيفة؟ وإذا كان الماء المطلق مفقودا فهل تصل النوبة الى التغسيل بالماء المضاف؟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لم يصم عصيانا فترة طويلة من عمره ثم رجع وتاب ولم يمكنه قضاء تلك الفترة الطويلة أو التكفير عنها فما هو حكمه؟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390_208330"/>
      <w:bookmarkStart w:id="217" w:name="pg19390_208330"/>
      <w:bookmarkEnd w:id="217"/>
    </w:p>
    <w:p>
      <w:pPr>
        <w:pStyle w:val="Heading2"/>
        <w:numPr>
          <w:ilvl w:val="1"/>
          <w:numId w:val="1"/>
        </w:numPr>
        <w:rPr/>
      </w:pPr>
      <w:bookmarkStart w:id="218" w:name="pg19390_208330"/>
      <w:bookmarkStart w:id="219" w:name="__RefHeading___Toc17494407_1280447820"/>
      <w:bookmarkStart w:id="220" w:name="_Toc76"/>
      <w:bookmarkEnd w:id="218"/>
      <w:bookmarkEnd w:id="219"/>
      <w:r>
        <w:rPr>
          <w:rtl w:val="true"/>
        </w:rPr>
        <w:t>قاعدة على اليد</w:t>
      </w:r>
      <w:bookmarkEnd w:id="220"/>
    </w:p>
    <w:p>
      <w:pPr>
        <w:pStyle w:val="Heading3"/>
        <w:numPr>
          <w:ilvl w:val="2"/>
          <w:numId w:val="1"/>
        </w:numPr>
        <w:rPr/>
      </w:pPr>
      <w:bookmarkStart w:id="221" w:name="__RefHeading___Toc17494409_1280447820"/>
      <w:bookmarkStart w:id="222" w:name="_Toc77"/>
      <w:bookmarkEnd w:id="221"/>
      <w:r>
        <w:rPr>
          <w:rtl w:val="true"/>
        </w:rPr>
        <w:t>اشارة</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 أو تكليفي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المنافع والاعمال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أو القيمة وبدل الحيلولة واجرة الرد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للجاهل والصغير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يد الامانة والاحسان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اخرى للضمان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هناك قواعد تداولها الفقهاء في باب الضمان بصفتها مستندات لإثباته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وقاعدة الغرور ، وقاعدة الاقدام على الضمان ، وقاعدة الأمر بالاتلاف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القواعد بل من أهمّها قاعدة على اليد التي هي من القواعد المشهورة ويتداول ذكرها في مبحث الغصب ومبحث المقبوض بالعقد الفاسد ومبحث تعاقب الأيدي وعند التعرض لقاعدة ما يضمن بصحيحه يضمن بفاسده وما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مبحث الغصب يتعرّض الى ان الغاصب وكل من تعاقبت يده على المغصوب ضامن له لقاعدة على اليد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المنوال المذكور يتعرض لها في مبحث المقبوض بالعقد الفاسد باعتبار انّه باق على ملك مالكه السابق فكل من تعاقبت يده عليه يكون ضامنا له لقاعدة على اليد</w:t>
      </w:r>
      <w:r>
        <w:rPr>
          <w:rFonts w:eastAsia="Amiri" w:cs="Amiri" w:ascii="Amiri" w:hAnsi="Amiri"/>
          <w:color w:val="111111"/>
          <w:sz w:val="28"/>
          <w:szCs w:val="28"/>
          <w:rtl w:val="true"/>
          <w:lang w:bidi="ar-SA"/>
        </w:rPr>
        <w:t xml:space="preserve">. </w:t>
      </w:r>
      <w:bookmarkStart w:id="223" w:name="pg19390_208333"/>
    </w:p>
    <w:p>
      <w:pPr>
        <w:pStyle w:val="BookText"/>
        <w:rPr/>
      </w:pPr>
      <w:bookmarkEnd w:id="223"/>
      <w:r>
        <w:rPr>
          <w:rFonts w:ascii="Amiri" w:hAnsi="Amiri" w:eastAsia="Amiri" w:cs="Amiri"/>
          <w:color w:val="111111"/>
          <w:sz w:val="28"/>
          <w:sz w:val="28"/>
          <w:szCs w:val="28"/>
          <w:rtl w:val="true"/>
          <w:lang w:bidi="ar-SA"/>
        </w:rPr>
        <w:t xml:space="preserve">وفي قاعدة 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إلى قاعدة على اليد بصفتها مدركا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من الشيخ الأعظم قدس‌سره في مكاسبه الاشارة إليها في بعض الأبحاث المذكورة، ولكننا لا نقرأ في الكتاب المذكور ولا غيره من الكتب الفقهية أو الاصولية بحثا مستقلاّ ومتكاملا عنها بالرغم من شدّة الحاجة إليها وكثرة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تعرض لها الشيخ النراقي في عوائده </w:t>
      </w:r>
      <w:r>
        <w:rPr>
          <w:rStyle w:val="FootnoteAnchor"/>
          <w:rtl w:val="true"/>
        </w:rPr>
        <w:footnoteReference w:id="115"/>
      </w:r>
      <w:r>
        <w:rPr>
          <w:rFonts w:ascii="Amiri" w:hAnsi="Amiri" w:eastAsia="Amiri" w:cs="Amiri"/>
          <w:color w:val="111111"/>
          <w:sz w:val="28"/>
          <w:sz w:val="28"/>
          <w:szCs w:val="28"/>
          <w:rtl w:val="true"/>
          <w:lang w:bidi="ar-SA"/>
        </w:rPr>
        <w:t>ببحث مختصر لا يشفي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عنها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 أو تكليفي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المنافع والاعمال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أو القيمة وبدل الحيلولة واجرة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للجاهل والصغير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يد الامانة والاحسان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اخرى للضمان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7494411_1280447820"/>
      <w:bookmarkStart w:id="225" w:name="_Toc78"/>
      <w:bookmarkEnd w:id="224"/>
      <w:r>
        <w:rPr/>
        <w:t>1</w:t>
      </w:r>
      <w:r>
        <w:rPr>
          <w:rtl w:val="true"/>
        </w:rPr>
        <w:t xml:space="preserve"> - </w:t>
      </w:r>
      <w:r>
        <w:rPr>
          <w:rtl w:val="true"/>
        </w:rPr>
        <w:t>مضمون القاعدة</w:t>
      </w:r>
      <w:bookmarkEnd w:id="2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من قاعدة على اليد ان كل من استولى على مال غيره ووقع </w:t>
      </w:r>
    </w:p>
    <w:p>
      <w:pPr>
        <w:pStyle w:val="BookText"/>
        <w:rPr/>
      </w:pPr>
      <w:r>
        <w:rPr>
          <w:rFonts w:ascii="Amiri" w:hAnsi="Amiri" w:eastAsia="Amiri" w:cs="Amiri"/>
          <w:color w:val="111111"/>
          <w:sz w:val="28"/>
          <w:sz w:val="28"/>
          <w:szCs w:val="28"/>
          <w:rtl w:val="true"/>
          <w:lang w:bidi="ar-SA"/>
        </w:rPr>
        <w:t>تحت يده كان ضامنا له وان لم يتلف أو تلف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ركب شخص سيارة غيره من دون كسب موافقته كان ضامنا لها وملزما بإرجاعها إليه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تعيّب بعض أجهزتها أو سرقت منه ولو مع تحفظه الكامل عليها أو حدث زلزال فتلفت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لها في كل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في حالة اتلافها عن قصد وتعمّد يكون الضمان ثابتا لها بالاولى ولكن لا من باب القاعدة المذكورة بل لقاعدة اخرى يصطلح عليها قاعدة الاتلاف ، أي ان 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دائرة قاعدة على اليد تنحصر بما اذا لم يفرض تحقّق الاتلاف من قبل المستولي على العين عن قصد وتعمّد وإلاّ كان مدرك الضمان قاعدة الاتلاف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الالتفات الى انّه في حالة تعاقب الأيدي على العين تكون كل واحدة منها ضامنة لقاعدة على اليد ، ومن حق المالك الرجوع على كل واحدة منها وان كان التلف متحققا عند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الأيدي المتعاقبة كانت ثلاثا وتحقق التلف عند الثالثة فمن حق المالك الرجوع على الاولى أو الثانية أيضا فضلا عن الثالثة لتحقق الضمان باليد في حق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حالة بقاء العين سالمة عند الأول يكون ملزما بارجاعها وعليه كامل نفقات الارجاع 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اتضح الفارق بين قاعدة على اليد وقاعدة الاتلاف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علينا أن نستوضح الفارق بين قاعدة على اليد وقاعدة اليد التي تقدّمت الاشارة إليها في أبحاث سابقة</w:t>
      </w:r>
      <w:r>
        <w:rPr>
          <w:rFonts w:eastAsia="Amiri" w:cs="Amiri" w:ascii="Amiri" w:hAnsi="Amiri"/>
          <w:color w:val="111111"/>
          <w:sz w:val="28"/>
          <w:szCs w:val="28"/>
          <w:rtl w:val="true"/>
          <w:lang w:bidi="ar-SA"/>
        </w:rPr>
        <w:t xml:space="preserve">. </w:t>
      </w:r>
      <w:bookmarkStart w:id="226" w:name="pg19390_208335"/>
    </w:p>
    <w:p>
      <w:pPr>
        <w:pStyle w:val="BookText"/>
        <w:rPr/>
      </w:pPr>
      <w:bookmarkEnd w:id="226"/>
      <w:r>
        <w:rPr>
          <w:rFonts w:ascii="Amiri" w:hAnsi="Amiri" w:eastAsia="Amiri" w:cs="Amiri"/>
          <w:color w:val="111111"/>
          <w:sz w:val="28"/>
          <w:sz w:val="28"/>
          <w:szCs w:val="28"/>
          <w:rtl w:val="true"/>
          <w:lang w:bidi="ar-SA"/>
        </w:rPr>
        <w:t>ان الفارق هو انّه في قاعدة اليد لا يراد اثبات الضمان بل يراد اثبات امارية اليد على الملكية وان من كانت له يد على شي‌ء فذلك امارة على كونه مالكا له ، وهذا بخلافه في قاعدة على اليد فانه يراد اثبات ان المستولي على مال غيره هو 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توجد لدينا قواعد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على اليد وقاعدة اليد وقاعدة الاتلاف ، وقد اتضح الفارق بين كل واحدة والاخرى</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7494413_1280447820"/>
      <w:bookmarkStart w:id="228" w:name="_Toc79"/>
      <w:bookmarkEnd w:id="227"/>
      <w:r>
        <w:rPr/>
        <w:t>2</w:t>
      </w:r>
      <w:r>
        <w:rPr>
          <w:rtl w:val="true"/>
        </w:rPr>
        <w:t xml:space="preserve"> - </w:t>
      </w:r>
      <w:r>
        <w:rPr>
          <w:rtl w:val="true"/>
        </w:rPr>
        <w:t>مدرك القاعدة</w:t>
      </w:r>
      <w:bookmarkEnd w:id="228"/>
    </w:p>
    <w:p>
      <w:pPr>
        <w:pStyle w:val="BookText"/>
        <w:rPr/>
      </w:pPr>
      <w:r>
        <w:rPr>
          <w:rFonts w:ascii="IRNazanin" w:hAnsi="IRNazanin" w:eastAsia="IRNazanin"/>
          <w:color w:val="111111"/>
          <w:sz w:val="28"/>
          <w:sz w:val="28"/>
          <w:szCs w:val="28"/>
          <w:rtl w:val="true"/>
          <w:lang w:bidi="fa-IR"/>
        </w:rPr>
        <w:t xml:space="preserve">المدرك المعروف للقاعدة المذكورة هو الحديث المشهور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للحديث المذكور أثر في معاجمنا الحديثية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سجّله هو الاحسائي في عواليه </w:t>
      </w:r>
      <w:r>
        <w:rPr>
          <w:rStyle w:val="FootnoteAnchor"/>
          <w:rtl w:val="true"/>
        </w:rPr>
        <w:footnoteReference w:id="116"/>
      </w:r>
      <w:r>
        <w:rPr>
          <w:rFonts w:ascii="Amiri" w:hAnsi="Amiri" w:eastAsia="Amiri" w:cs="Amiri"/>
          <w:color w:val="111111"/>
          <w:sz w:val="28"/>
          <w:sz w:val="28"/>
          <w:szCs w:val="28"/>
          <w:rtl w:val="true"/>
          <w:lang w:bidi="ar-SA"/>
        </w:rPr>
        <w:t xml:space="preserve">، ومن ثم نقله عنه المحدّث النوري في مستدركه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هو ممّا يستشهد به فقهاؤنا كثيرا في كتبهم الفقهية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وجدناه يتمسّك به الشيخ الطوسي في خلافه </w:t>
      </w:r>
      <w:r>
        <w:rPr>
          <w:rStyle w:val="FootnoteAnchor"/>
          <w:rtl w:val="true"/>
        </w:rPr>
        <w:footnoteReference w:id="118"/>
      </w:r>
      <w:r>
        <w:rPr>
          <w:rFonts w:ascii="Amiri" w:hAnsi="Amiri" w:eastAsia="Amiri" w:cs="Amiri"/>
          <w:color w:val="111111"/>
          <w:sz w:val="28"/>
          <w:sz w:val="28"/>
          <w:szCs w:val="28"/>
          <w:rtl w:val="true"/>
          <w:lang w:bidi="ar-SA"/>
        </w:rPr>
        <w:t>ثم تابعه على ذلك من تأخّر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المصدر الأصلي للحديث هو المعاجم الحديثية للجمهور فقد رواه كثير منهم كأحمد بن حنبل في مسنده والحاكم في مستدركه وابن ماجه في سننه والبيهقي في سننه والترمذي في </w:t>
      </w:r>
    </w:p>
    <w:p>
      <w:pPr>
        <w:pStyle w:val="BookText"/>
        <w:rPr/>
      </w:pPr>
      <w:r>
        <w:rPr>
          <w:rFonts w:ascii="Amiri" w:hAnsi="Amiri" w:eastAsia="Amiri" w:cs="Amiri"/>
          <w:color w:val="111111"/>
          <w:sz w:val="28"/>
          <w:sz w:val="28"/>
          <w:szCs w:val="28"/>
          <w:rtl w:val="true"/>
          <w:lang w:bidi="ar-SA"/>
        </w:rPr>
        <w:t xml:space="preserve">صحيحه وابي داود السجستاني في سننه </w:t>
      </w:r>
      <w:r>
        <w:rPr>
          <w:rStyle w:val="FootnoteAnchor"/>
          <w:rtl w:val="true"/>
        </w:rPr>
        <w:footnoteReference w:id="11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 رواه بسند ينتهي الى الحسن عن سمرة عن النبيّ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والمقصود من الحسن هو الحسن البصري المعروف بالعداء لأمير المؤمنين  عليه‌ السلام ، فابن أبي الحديد في شرحه على نهج البلاغة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البصري يبغض عليّا  عليه‌ السلام ويذمّه ومن المخذلين عن نصرته وقد أنكر على أمير المؤمنين  عليه‌ السلام إراقته الدماء الكثيرة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ساءك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مسوءا ، فما رؤي الحسن البصري بعد هذا إلاّ مهموما عابسا إلى أن مات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سمرة بن جندب فهو عامل زياد على البصرة المعروف بالشقاء والوقوف في وجه النبيّ  صلی اللّه عليه وآله وسلم  في قصة العذق والأنصاري المشتملة على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له النبي  صلی اللّه عليه وآله وسلم  اترك هذا العذق ولك بدله عذق في الجنّة الدال على ضمان النبي  صلی اللّه عليه وآله وسلم  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الجنة وحصوله على عذق فيها ولكنه لشقائه أبى حتى ضمان النبي  صلی اللّه عليه وآله وسلم  له 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الخارج لحرب الامام الحسين  عليه‌ السلام والمتنازل أمام دراهم معاوية مقابل ادّعاء نزول بعض آيات الوعيد في حقّ أمير المؤمنين  عليه‌ السلام وبعض آيات الوعد في حق ابن ملجم لعنه اللّه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واضافة الى هذا يوجد تشكيك في أصل سماع الحسن من سمرة </w:t>
      </w:r>
    </w:p>
    <w:p>
      <w:pPr>
        <w:pStyle w:val="BookText"/>
        <w:rPr/>
      </w:pPr>
      <w:r>
        <w:rPr>
          <w:rFonts w:ascii="Amiri" w:hAnsi="Amiri" w:eastAsia="Amiri" w:cs="Amiri"/>
          <w:color w:val="111111"/>
          <w:sz w:val="28"/>
          <w:sz w:val="28"/>
          <w:szCs w:val="28"/>
          <w:rtl w:val="true"/>
          <w:lang w:bidi="ar-SA"/>
        </w:rPr>
        <w:t>فقيل لم يسمع منه غير حديث واحد وهو حديث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كون سند الحديث بهذه المنزلة لا يبقى إلاّ أن يقال بانجبار ضعفه بالشهرة كما قال الشيخ النراقي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اشتهارها بين الأصحاب وتداولها في كتبهم وتلقيهم لها بالقبول واستدلالهم بها في موارد غير عديدة يجبر ضعفها ويكفي عن مئونة البحث في سندها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انّه أشرنا عند البحث عن قاعدة السلطنة ان المقصود من الشهرة ان كان هو الروائية فهي غير محققة لعدم تواجد الرواية في المعاجم الحديثية ، وان كان هو الفتوائية فهي جابرة لو كانت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الطبقة المقاربة لعصر صدور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تحققها بين المتأخرين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في المقام هي بين المتأخرين فقط لأنّه لم يستند الى الرواية من المتقدّمين سوى الشيخ قدس‌سره ، والمقدار المذكور لا يحقق شهرة الفتوى على طبق الرواية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عمل الشيخ في الخلاف برواية لا يكشف عن صحتها حتى في نظر الشيخ لاحتمال ان يكون تمسكه بها من باب الزام العامة برواياتهم وقواعدهم لان كتاب الخلاف مؤلف لبيان موارد الخلاف بين الشيعة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احتمال أن يكون استناد من استند اليها لا لأجل الوثوق بصدورها بل لكون مضمونها مضمونا عقلائيا مسلّما لا يحتاج الى رواية صحيحة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فالتمسك لإثبات القاعدة بالحديث المذكور أمر قابل للتأمل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والمناسب الاستدلال عليها بالسيرة العقلائية فانّها انعقدت على ان كل من استولى على مال غيره فهو 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سلمنا بمضمون الحديث السابق من خلال السيرة إلاّ ان الثمرة تظهر في بعض تعابير الحديث التي قد يستفاد منها بعض الأحكام بخلافه بناء على السيرة فان تلك الأحكام قد لا يمكن اثباتها كما سيتضح ذلك خلال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الاستدلال على القاعدة بما دلّ على احترام أموال المسلم من قبيل صحيحة الحلبي ومحمّد بن مسلم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تجوز شهادة أهل ملة من غير أهل ملتهم؟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لم يوجد من أهل ملّتهم جازت شهادة غيرهم انّه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فان التعليل في الذيل يدل على الاحترام المطلوب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صحيحة أبي بصير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المؤمن 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قبيل صحيحة ابي اسامة زيد الشحام عن 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عليه وآله وسلم  وقف بمنى حتى قضى مناسكها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أعظم حرمة؟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شهر أعظم حرمة؟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بلد أعظم حرمة؟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دماءكم وأموالكم عليكم حرام كحرمة يومكم هذا في شهركم </w:t>
      </w:r>
      <w:bookmarkStart w:id="229" w:name="pg19390_208339"/>
    </w:p>
    <w:p>
      <w:pPr>
        <w:pStyle w:val="BookText"/>
        <w:rPr/>
      </w:pPr>
      <w:bookmarkEnd w:id="229"/>
      <w:r>
        <w:rPr>
          <w:rFonts w:ascii="Amiri" w:hAnsi="Amiri" w:eastAsia="Amiri" w:cs="Amiri"/>
          <w:color w:val="111111"/>
          <w:sz w:val="28"/>
          <w:sz w:val="28"/>
          <w:szCs w:val="28"/>
          <w:rtl w:val="true"/>
          <w:lang w:bidi="ar-SA"/>
        </w:rPr>
        <w:t xml:space="preserve">هذا في بلدكم هذا الى يوم تلقونه فيسألكم عن أعمالكم ، ألا هل بلغت؟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ألا من كانت عنده أمانة فليؤدها الى من ائتمنه عليها فانه لا 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بذلك قابل للتأمّل ، إذ الحديث الأوّل والثاني يدلان على ان المال لو تلف فلا بدّ من ضمانه ولا يمكن تحقق التلف بدون ضمان لأنّه يلزم ذهاب الحق هدرا وهو مناف لحرمة مال المؤمن ، وهذا المقدار أضيق بكثير من المضمون الذي يراد اثباته بقاعدة اليد ، فان المراد اثباته بها تحقق الضمان بمجرّد وضع اليد وان لم يتحقق تلف أو تحقق عند انسان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الثالث ناظر الى الحكم التكليفي وان التصرف لا يجوز بدون طيب نفس صاحب المال وليس ناظرا الى الحكم الوضعي ، وهو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فالمدرك منحصر بالسيرة العقلائية الممضية بسبب 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كل مورد من ملاحظة حدود السيرة لا حدود الحديث وألفاظه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7494415_1280447820"/>
      <w:bookmarkStart w:id="231" w:name="_Toc80"/>
      <w:bookmarkEnd w:id="230"/>
      <w:r>
        <w:rPr/>
        <w:t>3</w:t>
      </w:r>
      <w:r>
        <w:rPr>
          <w:rtl w:val="true"/>
        </w:rPr>
        <w:t xml:space="preserve"> - </w:t>
      </w:r>
      <w:r>
        <w:rPr>
          <w:rtl w:val="true"/>
        </w:rPr>
        <w:t>حكم وضعي أو تكليفي</w:t>
      </w:r>
      <w:bookmarkEnd w:id="2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المراد من اليد في القاعدة الكناية عن الاستيلاء وان من استولى على شي‌ء فهو عليه الى ان يتحقق منه الردّ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عبّر باليد لأنّها الوسيلة عادة لتحقق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تحقيق المقصود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المقصود من كونه عليها؟ فهل المقصود الاشارة بذلك الى الحكم التكليفي أو الى الحكم الوضعي؟</w:t>
      </w:r>
    </w:p>
    <w:p>
      <w:pPr>
        <w:pStyle w:val="BookText"/>
        <w:rPr/>
      </w:pPr>
      <w:r>
        <w:rPr>
          <w:rFonts w:ascii="Amiri" w:hAnsi="Amiri" w:eastAsia="Amiri" w:cs="Amiri"/>
          <w:color w:val="111111"/>
          <w:sz w:val="28"/>
          <w:sz w:val="28"/>
          <w:szCs w:val="28"/>
          <w:rtl w:val="true"/>
          <w:lang w:bidi="ar-SA"/>
        </w:rPr>
        <w:t>ظاهر الشيخ النراقي في عوائد الايام احتمال كون المقصود هو الحكم التكليفي ، أي على اليد حفظ ما أخذت إلى زمان ادائه ، ومعه فلا يكون الحديث ناظرا الى الحكم الوضعي ، وهو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الشيخ الأعظم قدس‌سره في مبحث المقبوض بالعقد الفاسد ناظر الى ذلك حينما ذكر ان الحمل على إرادة الحكم التكليفي وجيه لو كانت النسبة الى فعل من أفعال المكلف بأن قيل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حفظ ما أخذته ، انّه في مثل ذلك يتولّد ظهور في ارادة الحكم التكليفي ، بخلاف ما لو كانت النسبة إلى نفس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يكون ظاهرا آنذاك في إرادة الضمان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دينار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ضامن ومشغول الذمّة بدينار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الشيخ الأعظم قدس‌سره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حصرنا المدرك بالسيرة العقلائية فليس لنا الا الرجوع اليها، وهي تقتضي الضمان لا مجرّد الحكم التكليفي ، فمن استولى على سيارة غيره مثلا ودفعها إلى ثان جاز لدى العقلاء رجوع صاحبها الى الأوّل ومطالبته بها</w:t>
      </w:r>
      <w:r>
        <w:rPr>
          <w:rFonts w:eastAsia="Amiri" w:cs="Amiri" w:ascii="Amiri" w:hAnsi="Amiri"/>
          <w:color w:val="111111"/>
          <w:sz w:val="28"/>
          <w:szCs w:val="28"/>
          <w:rtl w:val="true"/>
          <w:lang w:bidi="ar-SA"/>
        </w:rPr>
        <w:t xml:space="preserve">. </w:t>
      </w:r>
      <w:bookmarkStart w:id="232" w:name="pg19390_208341"/>
    </w:p>
    <w:p>
      <w:pPr>
        <w:pStyle w:val="Heading3"/>
        <w:numPr>
          <w:ilvl w:val="2"/>
          <w:numId w:val="1"/>
        </w:numPr>
        <w:rPr/>
      </w:pPr>
      <w:bookmarkStart w:id="233" w:name="__RefHeading___Toc17494417_1280447820"/>
      <w:bookmarkStart w:id="234" w:name="_Toc81"/>
      <w:bookmarkEnd w:id="232"/>
      <w:bookmarkEnd w:id="233"/>
      <w:r>
        <w:rPr/>
        <w:t>4</w:t>
      </w:r>
      <w:r>
        <w:rPr>
          <w:rtl w:val="true"/>
        </w:rPr>
        <w:t xml:space="preserve"> - </w:t>
      </w:r>
      <w:r>
        <w:rPr>
          <w:rtl w:val="true"/>
        </w:rPr>
        <w:t>ضمان المنافع والاعمال</w:t>
      </w:r>
      <w:bookmarkEnd w:id="234"/>
    </w:p>
    <w:p>
      <w:pPr>
        <w:pStyle w:val="BookText"/>
        <w:rPr/>
      </w:pPr>
      <w:r>
        <w:rPr>
          <w:rFonts w:ascii="Amiri" w:hAnsi="Amiri" w:eastAsia="Amiri" w:cs="Amiri"/>
          <w:color w:val="111111"/>
          <w:sz w:val="28"/>
          <w:sz w:val="28"/>
          <w:szCs w:val="28"/>
          <w:rtl w:val="true"/>
          <w:lang w:bidi="ar-SA"/>
        </w:rPr>
        <w:t>وقع البحث في ان قاعدة على اليد هل تشمل المنافع والاعمال أو لا؟ فمثلا لو استولى شخص على سيارة غيره بدون اذنه وأرجعها بعد يوم دون حدوث أي نقصان فيها ولكنه انتفع منها بركوبها في مسافة قصيرة فهل يمكن التمسك بقاعدة على اليد لإثبات ضمان المنفعة في الفترة المذكورة؟</w:t>
      </w:r>
    </w:p>
    <w:p>
      <w:pPr>
        <w:pStyle w:val="BookText"/>
        <w:rPr/>
      </w:pPr>
      <w:r>
        <w:rPr>
          <w:rFonts w:ascii="Amiri" w:hAnsi="Amiri" w:eastAsia="Amiri" w:cs="Amiri"/>
          <w:color w:val="111111"/>
          <w:sz w:val="28"/>
          <w:sz w:val="28"/>
          <w:szCs w:val="28"/>
          <w:rtl w:val="true"/>
          <w:lang w:bidi="ar-SA"/>
        </w:rPr>
        <w:t>ويصطلح على مثل المنفعة المذكورة بالمنفعة المستوفاة في مقابل ابقاء السيارة بلا انتفاع منها طيلة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المنافع التي يمر الزمن دون استفادة منها بالمنافع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في ان قاعدة على اليد هل تدل على ضمان المنافع المستوفاة وغير المستوفاة أو لا؟</w:t>
      </w:r>
    </w:p>
    <w:p>
      <w:pPr>
        <w:pStyle w:val="BookText"/>
        <w:rPr/>
      </w:pPr>
      <w:r>
        <w:rPr>
          <w:rFonts w:ascii="Amiri" w:hAnsi="Amiri" w:eastAsia="Amiri" w:cs="Amiri"/>
          <w:color w:val="111111"/>
          <w:sz w:val="28"/>
          <w:sz w:val="28"/>
          <w:szCs w:val="28"/>
          <w:rtl w:val="true"/>
          <w:lang w:bidi="ar-SA"/>
        </w:rPr>
        <w:t>وهكذا الكلام بالنسبة إلى الأعمال ، فلو فرض ان شخصا قدّم قطعة قماش إلى خيّاط فخاطها ثم انكشف انّها ليست له وقد اشتبه في تقديمها إلى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في مثل ذلك فاسدة ، ولكن هل يمكن اثبات ضمان عمل الخيّاط بقاعدة على اليد؟</w:t>
      </w:r>
    </w:p>
    <w:p>
      <w:pPr>
        <w:pStyle w:val="BookText"/>
        <w:rPr/>
      </w:pPr>
      <w:r>
        <w:rPr>
          <w:rFonts w:ascii="Amiri" w:hAnsi="Amiri" w:eastAsia="Amiri" w:cs="Amiri"/>
          <w:color w:val="111111"/>
          <w:sz w:val="28"/>
          <w:sz w:val="28"/>
          <w:szCs w:val="28"/>
          <w:rtl w:val="true"/>
          <w:lang w:bidi="ar-SA"/>
        </w:rPr>
        <w:t xml:space="preserve">استشكل في شمول القاعدة لمثل ذلك اما لأنّ عنوان الأخذ لا يصدق إلاّ بالنسبة الى الاعيان دون المنافع والاعمال أو لأن الذيل المذكور في القاعدة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والاداء حيث لا يمكن تحققه بالنسبة الى غير الاعيان فتختص القاعدة 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هنا من جديد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الرجوع الى السيرة </w:t>
      </w:r>
      <w:bookmarkStart w:id="235" w:name="pg19390_208342"/>
    </w:p>
    <w:p>
      <w:pPr>
        <w:pStyle w:val="BookText"/>
        <w:rPr/>
      </w:pPr>
      <w:bookmarkEnd w:id="235"/>
      <w:r>
        <w:rPr>
          <w:rFonts w:ascii="Amiri" w:hAnsi="Amiri" w:eastAsia="Amiri" w:cs="Amiri"/>
          <w:color w:val="111111"/>
          <w:sz w:val="28"/>
          <w:sz w:val="28"/>
          <w:szCs w:val="28"/>
          <w:rtl w:val="true"/>
          <w:lang w:bidi="ar-SA"/>
        </w:rPr>
        <w:t>العقلائية دون القاعدة بألفاظها الخاصة لضعف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الى السيرة فلا يبعد قضاؤها بالضمان في المنافع لأنها مال فوّت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الأعمال باعتبار تحقق الأمر بعمل الخياطة ، والأمر بالعمل بنفسه موجب من موجبات الضمان في نظر العقلاء كما ستأتي الإشارة إليه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7494419_1280447820"/>
      <w:bookmarkStart w:id="237" w:name="_Toc82"/>
      <w:bookmarkEnd w:id="236"/>
      <w:r>
        <w:rPr/>
        <w:t>5</w:t>
      </w:r>
      <w:r>
        <w:rPr>
          <w:rtl w:val="true"/>
        </w:rPr>
        <w:t xml:space="preserve"> - </w:t>
      </w:r>
      <w:r>
        <w:rPr>
          <w:rtl w:val="true"/>
        </w:rPr>
        <w:t>المثل أو القيمة وبدل الحيلولة واجرة الرد</w:t>
      </w:r>
      <w:bookmarkEnd w:id="237"/>
    </w:p>
    <w:p>
      <w:pPr>
        <w:pStyle w:val="BookText"/>
        <w:rPr/>
      </w:pPr>
      <w:r>
        <w:rPr>
          <w:rFonts w:ascii="Amiri" w:hAnsi="Amiri" w:eastAsia="Amiri" w:cs="Amiri"/>
          <w:color w:val="111111"/>
          <w:sz w:val="28"/>
          <w:sz w:val="28"/>
          <w:szCs w:val="28"/>
          <w:rtl w:val="true"/>
          <w:lang w:bidi="ar-SA"/>
        </w:rPr>
        <w:t>لا اشكال في ان العين المأخوذة من الغير بدون كسب موافقته يلزم ردّها كاملة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فبناء على قاعدة على اليد وقاعدة لا يصلح ذهاب حق أحد هدرا لزوم ضمان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 الضمان بالمثل أو بالقيمة؟</w:t>
      </w:r>
    </w:p>
    <w:p>
      <w:pPr>
        <w:pStyle w:val="BookText"/>
        <w:rPr/>
      </w:pPr>
      <w:r>
        <w:rPr>
          <w:rFonts w:ascii="Amiri" w:hAnsi="Amiri" w:eastAsia="Amiri" w:cs="Amiri"/>
          <w:color w:val="111111"/>
          <w:sz w:val="28"/>
          <w:sz w:val="28"/>
          <w:szCs w:val="28"/>
          <w:rtl w:val="true"/>
          <w:lang w:bidi="ar-SA"/>
        </w:rPr>
        <w:t>قد يقال المناسب لقاعدة على اليد ضمان المثل فان تعذّر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تعذر المثل فهل المدار على قيمة العين يوم الاستيلاء عليها أو يوم تعذر المثل أو يوم المطالبة أو يوم الدفع والاداء؟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لقاعدة على اليد كون المدار على قيمة يوم الاداء لأن العين بالاستيلاء عليها بدون اذن تكون بنفسها ثابتة في الذمّة حتى مع تعذر المثل ، فان القاعدة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 أي ان نفس ما أخذته ثابت في الذمّة وتنشغل به الى ان تؤديه فهو باق في الذمة حتى بعد تعذر المثل ولا ينتقل الى القيمة إذ لا موجب لذلك فان مقتضى اطلاق على اليد ما أخذت بقاء ما استولي عليه في ذمّة المستولي حتى بعد تلفه بل وحتى بعد تعذّر المثل ، أجل عند تلف العين </w:t>
      </w:r>
    </w:p>
    <w:p>
      <w:pPr>
        <w:pStyle w:val="BookText"/>
        <w:rPr/>
      </w:pPr>
      <w:r>
        <w:rPr>
          <w:rFonts w:ascii="Amiri" w:hAnsi="Amiri" w:eastAsia="Amiri" w:cs="Amiri"/>
          <w:color w:val="111111"/>
          <w:sz w:val="28"/>
          <w:sz w:val="28"/>
          <w:szCs w:val="28"/>
          <w:rtl w:val="true"/>
          <w:lang w:bidi="ar-SA"/>
        </w:rPr>
        <w:t>وتعذر مثلها لا بدّ من الانتقال الى القيمة آنذاك لأنّها البديل الممكن فتثبت قيمة المثل حين المطالبة وارادة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هناك سؤالا آخر ، وهو ان العين لو كانت موجودة وليست بتالفة ولكن تعذر الوصول اليها كالخاتم الذي يقع في البحر فهل يلزم ضمان بدل الحيلولة ، بمعنى ان المستولي على الخاتم بلا اذن صاحبه هل يلزمه دفع خاتم مماثل للسابق كبديل عن الحيلولة الحاصلة في فترة يوم أو يومين إلى ان يخرجه الغواصون؟</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العين لم يتحقق تلفها وبالامكان ردّها بعد يوم أو يومين فهل يلزم دفع البديل في الفترة المذكورة؟</w:t>
      </w:r>
    </w:p>
    <w:p>
      <w:pPr>
        <w:pStyle w:val="BookText"/>
        <w:rPr/>
      </w:pPr>
      <w:r>
        <w:rPr>
          <w:rFonts w:ascii="Amiri" w:hAnsi="Amiri" w:eastAsia="Amiri" w:cs="Amiri"/>
          <w:color w:val="111111"/>
          <w:sz w:val="28"/>
          <w:sz w:val="28"/>
          <w:szCs w:val="28"/>
          <w:rtl w:val="true"/>
          <w:lang w:bidi="ar-SA"/>
        </w:rPr>
        <w:t>ولربما يستدل بقاعدة على اليد على ضمان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تساؤل ثالث أو رابع وهو ان العين إذا كانت موجودة وبالامكان ردّها ولكن كان ردّها يحتاج الى اجور فهل الاجور على المستولي بلا اذن؟</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عليه 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على اليد قد يتمسك بها لإثبات وجوب المثل مع وجوده أو القيمة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قد يتمسك بها لإثبات وجوب بدل الحيلولة واجور الردّ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والمناسب في ضوء ما ذكرناه الرجوع إلى السيرة العقلائية وهي تقتضي وجوب المثل مع امكانه والقيمة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انها تقتضي اعتبار قيمة يوم الدفع وتقتضي أيضا تعلّق الاجور بالمستولي على العين</w:t>
      </w:r>
      <w:r>
        <w:rPr>
          <w:rFonts w:eastAsia="Amiri" w:cs="Amiri" w:ascii="Amiri" w:hAnsi="Amiri"/>
          <w:color w:val="111111"/>
          <w:sz w:val="28"/>
          <w:szCs w:val="28"/>
          <w:rtl w:val="true"/>
          <w:lang w:bidi="ar-SA"/>
        </w:rPr>
        <w:t xml:space="preserve">. </w:t>
      </w:r>
      <w:bookmarkStart w:id="238" w:name="pg19390_208344"/>
    </w:p>
    <w:p>
      <w:pPr>
        <w:pStyle w:val="BookText"/>
        <w:rPr/>
      </w:pPr>
      <w:bookmarkEnd w:id="238"/>
      <w:r>
        <w:rPr>
          <w:rFonts w:ascii="Amiri" w:hAnsi="Amiri" w:eastAsia="Amiri" w:cs="Amiri"/>
          <w:color w:val="111111"/>
          <w:sz w:val="28"/>
          <w:sz w:val="28"/>
          <w:szCs w:val="28"/>
          <w:rtl w:val="true"/>
          <w:lang w:bidi="ar-SA"/>
        </w:rPr>
        <w:t>واما بدل الحيلولة ففي اقتضائها لذلك تأمل ، ومع الشك يرجع الى البراءة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7494421_1280447820"/>
      <w:bookmarkStart w:id="240" w:name="_Toc83"/>
      <w:bookmarkEnd w:id="239"/>
      <w:r>
        <w:rPr/>
        <w:t>6</w:t>
      </w:r>
      <w:r>
        <w:rPr>
          <w:rtl w:val="true"/>
        </w:rPr>
        <w:t xml:space="preserve"> - </w:t>
      </w:r>
      <w:r>
        <w:rPr>
          <w:rtl w:val="true"/>
        </w:rPr>
        <w:t>عموم القاعدة للجاهل والصغير</w:t>
      </w:r>
      <w:bookmarkEnd w:id="240"/>
    </w:p>
    <w:p>
      <w:pPr>
        <w:pStyle w:val="BookText"/>
        <w:rPr/>
      </w:pPr>
      <w:r>
        <w:rPr>
          <w:rFonts w:ascii="Amiri" w:hAnsi="Amiri" w:eastAsia="Amiri" w:cs="Amiri"/>
          <w:color w:val="111111"/>
          <w:sz w:val="28"/>
          <w:sz w:val="28"/>
          <w:szCs w:val="28"/>
          <w:rtl w:val="true"/>
          <w:lang w:bidi="ar-SA"/>
        </w:rPr>
        <w:t>بعد وضوح ضمان من وضع يده على مال الغير إذا كان عالما بالغا قد يتساءل عن الضمان لو كان جاهلا بكونه مال الغير أو كان غير بالغ فهل يكون ضامنا أيضا أو لا؟</w:t>
      </w:r>
    </w:p>
    <w:p>
      <w:pPr>
        <w:pStyle w:val="BookText"/>
        <w:rPr/>
      </w:pPr>
      <w:r>
        <w:rPr>
          <w:rFonts w:ascii="Amiri" w:hAnsi="Amiri" w:eastAsia="Amiri" w:cs="Amiri"/>
          <w:color w:val="111111"/>
          <w:sz w:val="28"/>
          <w:sz w:val="28"/>
          <w:szCs w:val="28"/>
          <w:rtl w:val="true"/>
          <w:lang w:bidi="ar-SA"/>
        </w:rPr>
        <w:t>قد يجاب بأن الأحكام حيث تختص بالعالم البالغ فمن المناسب عدم استقرار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قابل للتأمّل لأن الحكم بالضمان حكم وضعي وهو لا مانع من شموله للجاهل والصغير وانما الذي لا يشملهما هو الحكم التكليفي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فوجوب الرد مثلا لا يشمل غير البالغ بخلاف الضمان لو تحقق التلف عنده فانه لا محذور في شموله له ، غايته يكون المكلف بالدفع من أموال الصبي 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فيمن وضع يده على مال الغير وهو جاهل بذلك متخيلا انّه ملكه فانّه ضامن له لو تلف عنده بل ولو لم يتلف أيضا ، كل ذلك للسيرة العقلائية وليس لحديث على اليد لعدم تمامية سنده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7494423_1280447820"/>
      <w:bookmarkStart w:id="242" w:name="_Toc84"/>
      <w:bookmarkEnd w:id="241"/>
      <w:r>
        <w:rPr/>
        <w:t>7</w:t>
      </w:r>
      <w:r>
        <w:rPr>
          <w:rtl w:val="true"/>
        </w:rPr>
        <w:t xml:space="preserve"> - </w:t>
      </w:r>
      <w:r>
        <w:rPr>
          <w:rtl w:val="true"/>
        </w:rPr>
        <w:t>استثناء يد الامانة والاحسان</w:t>
      </w:r>
      <w:bookmarkEnd w:id="2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من استولى على مال غيره كان ضامنا له اما لحديث على اليد أو للسيرة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نحوان من اليد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 الأمانة ويد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يد الأمانة فلا اشكال في عدم ضمانها حتى مع تحقق التلف عندها ، وذلك اما لأن السيرة العقلائية التي هي المدرك لضمان اليد ضيقة من الأول ومحدودة من البداية بحدود اليد غير الامانية ، فان العقلاء إذا ائتمنوا شخصا وأودعوا عنده مالا وتلف لديه فلا يحكمون عليه بالضمان إلاّ إذا فرّط وتعدى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للروايات الخاصة القاضية بأن يد الأمانة لا تكون ضامنة إلاّ مع التعدي والتفريط كما في صحيحة مسعدة بن زياد عن جعفر بن محمد عن أبيه 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ان تتهم من قد ائتمنته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والصحيحة المذكورة تدل بوضوح على الضمان مع تحقق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الأمانة تارة تكون مالكية واخرى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بالاولى الأمانة التي يقوم بها مالك الشي‌ء نفسه ، وبالثانية الأمانة التي يقوم بها الشارع من قبل المالك ، كما هو الحال في اللقطة ، فان الشارع ما دام قد جوّز التقاط الشي‌ء الضائع فلازم ذلك جعله الملتقط أمينا على الشي‌ء ومن ثمّ تكون أمانته من قبل الشارع امانة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والأمين في كلتا الحالتين لا يكون ضامنا ما دام لم يفرط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يد الامانة</w:t>
      </w:r>
      <w:r>
        <w:rPr>
          <w:rFonts w:eastAsia="Amiri" w:cs="Amiri" w:ascii="Amiri" w:hAnsi="Amiri"/>
          <w:color w:val="111111"/>
          <w:sz w:val="28"/>
          <w:szCs w:val="28"/>
          <w:rtl w:val="true"/>
          <w:lang w:bidi="ar-SA"/>
        </w:rPr>
        <w:t xml:space="preserve">. </w:t>
      </w:r>
      <w:bookmarkStart w:id="243" w:name="pg19390_208346"/>
    </w:p>
    <w:p>
      <w:pPr>
        <w:pStyle w:val="BookText"/>
        <w:rPr/>
      </w:pPr>
      <w:bookmarkEnd w:id="243"/>
      <w:r>
        <w:rPr>
          <w:rFonts w:ascii="Amiri" w:hAnsi="Amiri" w:eastAsia="Amiri" w:cs="Amiri"/>
          <w:color w:val="111111"/>
          <w:sz w:val="28"/>
          <w:sz w:val="28"/>
          <w:szCs w:val="28"/>
          <w:rtl w:val="true"/>
          <w:lang w:bidi="ar-SA"/>
        </w:rPr>
        <w:t xml:space="preserve">واما يد الاحسان فهي ليست ضامنة أيضا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يد الاحسان هي في واقعها مصداق من مصاديق يد الامانة وليست شيئا مغايرا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بالخصوص لأجل اشارة الآية الكريمة 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الالتفات إليه ان اليد لا يصدق عليها كونها محسنة إلاّ إذا كان التصرف مأذونا به من قبل المالك ، فمن اودع عنده مال وأخذ يتاجر به لغرض تحصيل الأرباح للمالك من دون ان يأذن المالك بذلك وخسر في تجارته يكون ضامنا بالرغم من كون غرضه الاحسان لصاحب المال ، وليس ذلك إلاّ لعدم صدق عنوان الاحسان بعد عدم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استثناء يد الامانة والاحسان يبقى تحت القاعدة كل يد لم تكن من أحد القسمين حتى وان لم تكن يد غصب كاليد التي تستولي على شي‌ء جهلا بكونه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عدم اختصاص الضمان باليد العدوانية ، بل قد يصطلح على كل يد غير امانية باليد العدوانية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7494425_1280447820"/>
      <w:bookmarkStart w:id="245" w:name="_Toc85"/>
      <w:bookmarkEnd w:id="244"/>
      <w:r>
        <w:rPr/>
        <w:t>8</w:t>
      </w:r>
      <w:r>
        <w:rPr>
          <w:rtl w:val="true"/>
        </w:rPr>
        <w:t xml:space="preserve"> - </w:t>
      </w:r>
      <w:r>
        <w:rPr>
          <w:rtl w:val="true"/>
        </w:rPr>
        <w:t>أسباب اخرى للضمان</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للضمان أسباب متعددة كانت من جملتها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أسباب اخرى له يجدر الالتفات إليها من جملتها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 فان من أتلف مال غيره فهو له ضامن حتى لو لم يكن صاحب يد عليه ،كمن رمى زجاجة الغير بحصاة وكسرها فإنّه ضامن لها لإتلافها وليس لليد لعدم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ليس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لم يثبت كونه حديثا حتى على سبيل الارسال بل المستند المهم لذلك 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بالعمل ، فان من أمر غيره بعمل معيّن ولم يتبانيا على التبرع فهو ضامن متى ما قام الغير بالعمل ، فلو فرض ان شخصا قال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داري أو قال للحمّال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متاعي الى البيت أو قال 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ثوبي أو قال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ولدي المريض وما شاكل ذلك كان ذلك موجبا لضمان الآمر حتى ولو لم تتحقق اجارة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ذلك هو السيرة العقلائية أيضا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السبب للضمان قد لا نجد له اشارة في كلمات الاعلام خصوصا المتقدّمين منهم ولكن الأمر كما ذكرنا للسيرة العقلائية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الشيخ الأعظم في المكاسب هذا السبب للضمان كتوجيه لقاعدة ما يضمن بصحيحه يضمن بفساده ، فالبيع إذا كان صحيحا فيه ضمان ، بمعنى انّه لو تلف المبيع عند المشتري يكون تلفه من كيسه ولا حقّ له في الرجوع على البائع حتى ولو لم يكن التلف عن تفريط ، وكذلك الحال لو اتضح فساد البيع لسبب وآخر فان تلف المبيع يكون على المشتري ولو لم يكن عن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ذا ذلك والحال ان المبيع مع افتراض فساد البيع ليس ملكا للمشتري ليكون تلفه منه بل هو ملك البائع؟ </w:t>
      </w:r>
      <w:bookmarkStart w:id="246" w:name="pg19390_208348"/>
    </w:p>
    <w:p>
      <w:pPr>
        <w:pStyle w:val="BookText"/>
        <w:rPr/>
      </w:pPr>
      <w:bookmarkEnd w:id="246"/>
      <w:r>
        <w:rPr>
          <w:rFonts w:ascii="Amiri" w:hAnsi="Amiri" w:eastAsia="Amiri" w:cs="Amiri"/>
          <w:color w:val="111111"/>
          <w:sz w:val="28"/>
          <w:sz w:val="28"/>
          <w:szCs w:val="28"/>
          <w:rtl w:val="true"/>
          <w:lang w:bidi="ar-SA"/>
        </w:rPr>
        <w:t xml:space="preserve">ان سبب ذلك على ما ذكر الشهيد الثاني في المسالك </w:t>
      </w:r>
      <w:r>
        <w:rPr>
          <w:rStyle w:val="FootnoteAnchor"/>
          <w:rtl w:val="true"/>
        </w:rPr>
        <w:footnoteReference w:id="128"/>
      </w:r>
      <w:r>
        <w:rPr>
          <w:rFonts w:ascii="Amiri" w:hAnsi="Amiri" w:eastAsia="Amiri" w:cs="Amiri"/>
          <w:color w:val="111111"/>
          <w:sz w:val="28"/>
          <w:sz w:val="28"/>
          <w:szCs w:val="28"/>
          <w:rtl w:val="true"/>
          <w:lang w:bidi="ar-SA"/>
        </w:rPr>
        <w:t xml:space="preserve">والشيخ الطوسي في المبسوط </w:t>
      </w:r>
      <w:r>
        <w:rPr>
          <w:rStyle w:val="FootnoteAnchor"/>
          <w:rtl w:val="true"/>
        </w:rPr>
        <w:footnoteReference w:id="129"/>
      </w:r>
      <w:r>
        <w:rPr>
          <w:rFonts w:ascii="Amiri" w:hAnsi="Amiri" w:eastAsia="Amiri" w:cs="Amiri"/>
          <w:color w:val="111111"/>
          <w:sz w:val="28"/>
          <w:sz w:val="28"/>
          <w:szCs w:val="28"/>
          <w:rtl w:val="true"/>
          <w:lang w:bidi="ar-SA"/>
        </w:rPr>
        <w:t>هو التمسك بقاعدة الاقدام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القاعدة المذكورة على ما أشار إليه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 يحتاج الى دليل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لم يثبت انعقادها على الضمان بمجرّد الاقدام من دون تحقق الاتلاف أو اليد أو الأمر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 بمعنى ان من غرّ غيره وأوقعه في الضمان يكون هو الضامن ويستقر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شخصا قدّم طعاما إلى غيره موحيا له انّه ملكه وقد أباح له أكله فاذا أكله واتضح بعد ذلك انّه لغير من قدّمه فمن حقّ المالك الرجوع على الآكل لقاعدة الاتلاف ولكن الآكل بدوره له الحق في الرجوع على من قدّمه له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البحث عن هذه القاعدة بشكل مستقل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لخسارة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التحدّث عن ذلك ضمن قاعدة الغرور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7494427_1280447820"/>
      <w:bookmarkStart w:id="248" w:name="_Toc86"/>
      <w:bookmarkEnd w:id="247"/>
      <w:r>
        <w:rPr/>
        <w:t>9</w:t>
      </w:r>
      <w:r>
        <w:rPr>
          <w:rtl w:val="true"/>
        </w:rPr>
        <w:t xml:space="preserve"> - </w:t>
      </w:r>
      <w:r>
        <w:rPr>
          <w:rtl w:val="true"/>
        </w:rPr>
        <w:t>تطبيقات</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دفعت قطعة قماش الى خيّاط فتجاوز الحد المقرّر له اشتباها وتحقق منه تلف القماش بمعنى نقصان قيمته فهل يكون ضامنا بعد الالتفات الى كون يده يد أمانة؟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دفع الى غيره خمسا باعتقاد انّه متعلّق بذمّته ثم </w:t>
      </w:r>
    </w:p>
    <w:p>
      <w:pPr>
        <w:pStyle w:val="BookText"/>
        <w:rPr/>
      </w:pPr>
      <w:r>
        <w:rPr>
          <w:rFonts w:ascii="Amiri" w:hAnsi="Amiri" w:eastAsia="Amiri" w:cs="Amiri"/>
          <w:color w:val="111111"/>
          <w:sz w:val="28"/>
          <w:sz w:val="28"/>
          <w:szCs w:val="28"/>
          <w:rtl w:val="true"/>
          <w:lang w:bidi="ar-SA"/>
        </w:rPr>
        <w:t>اتضح اشتباهه وعدم تعلّقه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تارة نفترض بقاء الخمس واخرى نفترض تلفه ، وعلى كلا التقديرين تارة نفترض علم المدفوع إليه بواقع الحال واخرى نفترض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من حيث الضمان في الحالات المذكورة؟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شخص بيته فرأى فيه طعاما فأكله باعتقاد انّه راجع إليه ثم اتضح انّه لغيره فهل يكون ضامنا ولماذا؟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دفعت إليه أموال كأجور لعبادات استيجارية وسرقت منه بعد ان وضعها في بيته ، على من تكون الخسارة؟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تعلّق بذمّته الخمس وفرزه في مال معين ، وفي الطريق سرق منه قبل ايصاله الى مصرفه أو يفرض انّه دفعه لشخص ثقة ليوصله الى مصرفه وفرض سرقته من ذلك الثقة فعلى من الخسارة في الحالتين المذكورتين؟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شخص شيئا من غيره وانتقل ذلك الشي‌ء الى شخص ثان ، من هو الضامن في الحالة المذكورة؟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فتح شخص باب دار غيره ودخل سارق وأخذ ما فيها ، على من يكون الضمان؟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شخص أرضا وزرع فيها حبّا فلمن يكون الناتج وما ذا يستحق صاحب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لشخص دين على آخر وامتنع من ادائه وصرف في سبيل تحصيله مقدارا من المال فعلى من تكون خسارة ذلك المقدار؟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الغاصب الشي‌ء الذي غصبه لشخص ثان ، وهذا الثاني دفعه بدوره الى الشخص الأوّل الغاصب فالمالك يرجع على من؟ </w:t>
      </w:r>
      <w:bookmarkStart w:id="249" w:name="pg19390_208350"/>
    </w:p>
    <w:p>
      <w:pPr>
        <w:pStyle w:val="Heading2"/>
        <w:numPr>
          <w:ilvl w:val="1"/>
          <w:numId w:val="1"/>
        </w:numPr>
        <w:rPr/>
      </w:pPr>
      <w:bookmarkStart w:id="250" w:name="__RefHeading___Toc17494429_1280447820"/>
      <w:bookmarkStart w:id="251" w:name="_Toc87"/>
      <w:bookmarkEnd w:id="249"/>
      <w:bookmarkEnd w:id="250"/>
      <w:r>
        <w:rPr>
          <w:rtl w:val="true"/>
        </w:rPr>
        <w:t>قاعدة الغرور</w:t>
      </w:r>
      <w:bookmarkEnd w:id="251"/>
    </w:p>
    <w:p>
      <w:pPr>
        <w:pStyle w:val="Heading3"/>
        <w:numPr>
          <w:ilvl w:val="2"/>
          <w:numId w:val="1"/>
        </w:numPr>
        <w:rPr/>
      </w:pPr>
      <w:bookmarkStart w:id="252" w:name="__RefHeading___Toc17494431_1280447820"/>
      <w:bookmarkStart w:id="253" w:name="_Toc88"/>
      <w:bookmarkEnd w:id="252"/>
      <w:r>
        <w:rPr>
          <w:rtl w:val="true"/>
        </w:rPr>
        <w:t>اشارة</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التسبيب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في صحة التمسك بالقاعدة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القواعد التي يشار إليها في الفقه ويتمسك بها بصفتها مدركا للضمان في موارد محدودة وقليلة قاعدة الغرور والتي قد يعبّر عنها أيضا بقاعدة المغرور يرجع على من غرّه ، فيشار إليها في باب النكاح في مسألة ما لو زوّج شخص امة غيره من شخص آخر جاهلا بكونها لغيره وأولدها طفلا ، فان الزوج يضمن لمولى الامة لأجل الدخول بها عشر قيمتها ان كانت بكرا ونصف العشر ان كانت ثيبا ، كما يضمن قيمة الولد ، ويرجع الزوج بكلتا الغرامتين اللتين غرمهما للمولى على ذلك الشخص الغار لقاعدة الغرور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يشار إليها في باب الغصب في مسألة ما لو قدم الغاصب الطعام المغصوب لغيره موحيا له انّه ملكه ، فان المالك إذا رجع على الآكل لقاعدة الاتلاف أو على اليد رجع هو بدوره على </w:t>
      </w:r>
      <w:bookmarkStart w:id="254" w:name="pg19390_208353"/>
    </w:p>
    <w:p>
      <w:pPr>
        <w:pStyle w:val="BookText"/>
        <w:rPr/>
      </w:pPr>
      <w:bookmarkEnd w:id="254"/>
      <w:r>
        <w:rPr>
          <w:rFonts w:ascii="Amiri" w:hAnsi="Amiri" w:eastAsia="Amiri" w:cs="Amiri"/>
          <w:color w:val="111111"/>
          <w:sz w:val="28"/>
          <w:sz w:val="28"/>
          <w:szCs w:val="28"/>
          <w:rtl w:val="true"/>
          <w:lang w:bidi="ar-SA"/>
        </w:rPr>
        <w:t xml:space="preserve">الغاصب لقاعدة الغرور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قاعدة الغرور ذكرت في هذين الموردين وما شاكلهما من دون اشارة إلى تفاصيلها وما يرتبط بها من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تمّت القاعدة المذكورة مدركا حصلنا على سبب آخر للضمان مضافا الى أسبابه الاخرى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 الاتلاف ، الأمر بالعمل ، والاقدام على الضمان في رأي ، والتسبيب لخسارة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انها محل اختلاف بين الفقهاء فمنهم من قبلها كسبب من أسباب الضمان ومنهم من رفض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حول القاعدة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في صحة التمسك بالقاعدة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7494433_1280447820"/>
      <w:bookmarkStart w:id="256" w:name="_Toc89"/>
      <w:bookmarkEnd w:id="255"/>
      <w:r>
        <w:rPr/>
        <w:t>1</w:t>
      </w:r>
      <w:r>
        <w:rPr>
          <w:rtl w:val="true"/>
        </w:rPr>
        <w:t xml:space="preserve"> - </w:t>
      </w:r>
      <w:r>
        <w:rPr>
          <w:rtl w:val="true"/>
        </w:rPr>
        <w:t>مضمون القاعدة</w:t>
      </w:r>
      <w:bookmarkEnd w:id="256"/>
    </w:p>
    <w:p>
      <w:pPr>
        <w:pStyle w:val="BookText"/>
        <w:rPr/>
      </w:pPr>
      <w:r>
        <w:rPr>
          <w:rFonts w:ascii="Amiri" w:hAnsi="Amiri" w:eastAsia="Amiri" w:cs="Amiri"/>
          <w:color w:val="111111"/>
          <w:sz w:val="28"/>
          <w:sz w:val="28"/>
          <w:szCs w:val="28"/>
          <w:rtl w:val="true"/>
          <w:lang w:bidi="ar-SA"/>
        </w:rPr>
        <w:t>يقصد بالغرور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غرّه غرورا بمعنى خدعه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عدم الخلط بين الغرور والغرر ، فالأوّل يراد به الخديعة بينما الثاني يراد به كل جهالة تشتمل عليها المعاملة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خدع غيره وأوقعه </w:t>
      </w:r>
    </w:p>
    <w:p>
      <w:pPr>
        <w:pStyle w:val="BookText"/>
        <w:rPr/>
      </w:pPr>
      <w:r>
        <w:rPr>
          <w:rFonts w:ascii="Amiri" w:hAnsi="Amiri" w:eastAsia="Amiri" w:cs="Amiri"/>
          <w:color w:val="111111"/>
          <w:sz w:val="28"/>
          <w:sz w:val="28"/>
          <w:szCs w:val="28"/>
          <w:rtl w:val="true"/>
          <w:lang w:bidi="ar-SA"/>
        </w:rPr>
        <w:t>في الخسارة ضمن تلك الخسارة ، فالغاصب إذا قدّم الطعام المغصوب لغيره ضمن ذلك الغير الآكل قيمة الطعام لصاحبه لقاعدة على اليد أو الاتلاف ولكنه بدوره يرجع على الغاصب الغار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ان نفهم من هذا ان قاعدة الغرور ترادف القاعدة الثانية المعروفة بقاعدة التسبيب إلى الضمان ، كلا ان القاعدتين وان التقتا في كثير من مواردهما إلاّ انّهما قد يفترقان في بعض الموارد الاخرى ، كما لو فرض ان الطبيب وصف للمريض علاجا خاصّا اشتباها وتضرّر بذلك المريض ، انّه في مثل ذلك لا يمكن التمسّك بقاعدة الغرور لأن الطبيب ما دام مشتبها فلا يصدق عليه عنوان الغار ولكنّه سبّب الخسارة والضرر على المريض فتشمله قاعدة التسبيب ويحكم بضمانه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فرض ان انسانا نجّس مسجدا أو المصحف الشريف واحتاج التطهير الى بذل اجرة معينة ، ان تلك الاجرة يجب بذلها على من يتمكن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خسارتها هو ذلك الشخص المنجّس ، فبناء على تمامية قاعدة التسبيب وكون المثال مصداقا لها يلزم ضمانه لأجلها وليس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فرض ان انسانا نجّس فرش الغير واحتاج تطهيره الى اجرة معينة ، فان ضمانها لو ثبت على المنجس فهو لقاعدة التسبيب وليس لقاعدة الغرور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فرض ان تاجرا استورد بضاعة معينة بمقدار كبير أوجب خسارة بقية التجار الذين لديهم تلك البضاعة ، ان ضمان الخسارة المذكورة لو ثبت فهو لقاعدة التسبيب دون قاعدة الغرور</w:t>
      </w:r>
      <w:r>
        <w:rPr>
          <w:rFonts w:eastAsia="Amiri" w:cs="Amiri" w:ascii="Amiri" w:hAnsi="Amiri"/>
          <w:color w:val="111111"/>
          <w:sz w:val="28"/>
          <w:szCs w:val="28"/>
          <w:rtl w:val="true"/>
          <w:lang w:bidi="ar-SA"/>
        </w:rPr>
        <w:t xml:space="preserve">. </w:t>
      </w:r>
      <w:bookmarkStart w:id="257" w:name="pg19390_208355"/>
    </w:p>
    <w:p>
      <w:pPr>
        <w:pStyle w:val="BookText"/>
        <w:rPr/>
      </w:pPr>
      <w:bookmarkEnd w:id="257"/>
      <w:r>
        <w:rPr>
          <w:rFonts w:ascii="Amiri" w:hAnsi="Amiri" w:eastAsia="Amiri" w:cs="Amiri"/>
          <w:color w:val="111111"/>
          <w:sz w:val="28"/>
          <w:sz w:val="28"/>
          <w:szCs w:val="28"/>
          <w:rtl w:val="true"/>
          <w:lang w:bidi="ar-SA"/>
        </w:rPr>
        <w:t>وبهذا ننتهي إلى ان قاعدة التسبيب قد تصدق من دون قاعدة الغرور ، والعكس ليس بصحيح ، فان قاعدة الغرور لا تنفك عن قاعدة التسبيب عادة ، فالنسبة بينهما على هذا هي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بالامكان صدق قاعدة الغرور دون قاعدة التسبيب ، كما لو مدح شخص امرأة فتزوجها آخر اغترارا بالمدح ، فانه في مثل ذلك لا تصدق قاعدة التسبيب لأن المادح لم يصدر منه التزويج بينما تصدق قاعدة الغرور ، ومعه تكون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نفس المدح نحو تسبيب عرفا لزواج الآخر</w:t>
      </w:r>
    </w:p>
    <w:p>
      <w:pPr>
        <w:pStyle w:val="Heading3"/>
        <w:numPr>
          <w:ilvl w:val="2"/>
          <w:numId w:val="1"/>
        </w:numPr>
        <w:rPr/>
      </w:pPr>
      <w:bookmarkStart w:id="258" w:name="__RefHeading___Toc17494435_1280447820"/>
      <w:bookmarkStart w:id="259" w:name="_Toc90"/>
      <w:bookmarkEnd w:id="258"/>
      <w:r>
        <w:rPr/>
        <w:t>2</w:t>
      </w:r>
      <w:r>
        <w:rPr>
          <w:rtl w:val="true"/>
        </w:rPr>
        <w:t xml:space="preserve"> - </w:t>
      </w:r>
      <w:r>
        <w:rPr>
          <w:rtl w:val="true"/>
        </w:rPr>
        <w:t>مدرك القاعدة</w:t>
      </w:r>
      <w:bookmarkEnd w:id="259"/>
    </w:p>
    <w:p>
      <w:pPr>
        <w:pStyle w:val="Heading4"/>
        <w:numPr>
          <w:ilvl w:val="3"/>
          <w:numId w:val="1"/>
        </w:numPr>
        <w:rPr/>
      </w:pPr>
      <w:bookmarkStart w:id="260" w:name="__RefHeading___Toc17494437_1280447820"/>
      <w:bookmarkStart w:id="261" w:name="_Toc91"/>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أهم ما يمكن التمسك به للقاعدة وجهان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7494439_1280447820"/>
      <w:bookmarkStart w:id="263" w:name="_Toc92"/>
      <w:bookmarkEnd w:id="262"/>
      <w:r>
        <w:rPr>
          <w:rtl w:val="true"/>
        </w:rPr>
        <w:t>الوجه الأوّل</w:t>
      </w:r>
      <w:bookmarkEnd w:id="263"/>
    </w:p>
    <w:p>
      <w:pPr>
        <w:pStyle w:val="BookText"/>
        <w:rPr/>
      </w:pPr>
      <w:r>
        <w:rPr>
          <w:rFonts w:ascii="Amiri" w:hAnsi="Amiri" w:eastAsia="Amiri" w:cs="Amiri"/>
          <w:color w:val="111111"/>
          <w:sz w:val="28"/>
          <w:sz w:val="28"/>
          <w:szCs w:val="28"/>
          <w:rtl w:val="true"/>
          <w:lang w:bidi="ar-SA"/>
        </w:rPr>
        <w:t>التمسك بالسيرة العقلائية بدعوى انها منعقدة على ضمان الغار ، وحيث انه لم يرد ردع عنها شرعا فتكون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السيرة مقبولة في الجملة وليس في جميع موارد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مقبولة في مثل الغاصب الذي قدّم الطعام المغصوب للغير وأكله ايحاء بأنه ملكه أو في مثل من ركب سيارة باعتقاد انها سيارته التي يضعها في مكانها المقرّر وإذا بها سيارة شخص آخر وضعت مكان الأوّل عن قصد وعمد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مقبولة فيما إذا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التجارة الفلانية مربحة فتاجر بها وإذا الأمر بالعكس ، أو فرض ان شخصا عنده بضاعة </w:t>
      </w:r>
      <w:bookmarkStart w:id="264" w:name="pg19390_208356"/>
    </w:p>
    <w:p>
      <w:pPr>
        <w:pStyle w:val="BookText"/>
        <w:rPr/>
      </w:pPr>
      <w:bookmarkEnd w:id="264"/>
      <w:r>
        <w:rPr>
          <w:rFonts w:ascii="Amiri" w:hAnsi="Amiri" w:eastAsia="Amiri" w:cs="Amiri"/>
          <w:color w:val="111111"/>
          <w:sz w:val="28"/>
          <w:sz w:val="28"/>
          <w:szCs w:val="28"/>
          <w:rtl w:val="true"/>
          <w:lang w:bidi="ar-SA"/>
        </w:rPr>
        <w:t>معينة بكمية كبيرة لم يفصح عنها وأوهم الآخرين عدم وجود تلك البضاعة عنده فلما استورد الآخرون تلك البضاعة إذا به يعرضها في السوق ، الأمر الذي يوجب خسارة ذلك المستورد ، انه في المثالين المذكورين ولا أقل الثاني لا يحكم العقلاء بضمان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بامكاننا ان نستفيد من السيرة العقلائية الضمان بشكل مطلق في موارد الغرور بل يختلف ذلك باختلاف الموارد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7494441_1280447820"/>
      <w:bookmarkStart w:id="266" w:name="_Toc93"/>
      <w:bookmarkEnd w:id="265"/>
      <w:r>
        <w:rPr>
          <w:rtl w:val="true"/>
        </w:rPr>
        <w:t>الوجه الثاني</w:t>
      </w:r>
      <w:bookmarkEnd w:id="266"/>
    </w:p>
    <w:p>
      <w:pPr>
        <w:pStyle w:val="BookText"/>
        <w:rPr/>
      </w:pPr>
      <w:r>
        <w:rPr>
          <w:rFonts w:ascii="Amiri" w:hAnsi="Amiri" w:eastAsia="Amiri" w:cs="Amiri"/>
          <w:color w:val="111111"/>
          <w:sz w:val="28"/>
          <w:sz w:val="28"/>
          <w:szCs w:val="28"/>
          <w:rtl w:val="true"/>
          <w:lang w:bidi="ar-SA"/>
        </w:rPr>
        <w:t>التمسك بالأحاديث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الحديث العام فهو ما اشتهر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يرجع على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بعض الفقهاء ذلك الى النبي  صلی اللّه عليه وآله وسلم  ، كما في جواهر الكلام وحاشية الارشاد ومستمسك العروة الوثقى وغيرها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 انه باللسان المذكور لا توجد رواية منسوبة الى النبي  صلی اللّه عليه وآله وسلم  حتى في معاجم الحديث للعامة فضلا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يوجد بألسنة اخرى منسوبا الى غير النبي  صلی اللّه عليه وآله وسلم  كما سيتضح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فدعوى انجبار ضعف سند الحديث بعمل الأصحاب كما يتراءى من المستمسك وغيره ضعيفة باعتبار ان الجملة المذكورة لم يثبت كونها حديثا ليتم انجبارها بناء على تمامية كبرى الانجبار واحراز الصغرى وان الأصحاب استندوا إلى ما ذكر وهو معتمدهم في مقام الفتوى ، وهذا غير ثابت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ما يقرب من مضمون الجملة السابقة منسوبا الى أمير </w:t>
      </w:r>
    </w:p>
    <w:p>
      <w:pPr>
        <w:pStyle w:val="BookText"/>
        <w:rPr/>
      </w:pPr>
      <w:r>
        <w:rPr>
          <w:rFonts w:ascii="Amiri" w:hAnsi="Amiri" w:eastAsia="Amiri" w:cs="Amiri"/>
          <w:color w:val="111111"/>
          <w:sz w:val="28"/>
          <w:sz w:val="28"/>
          <w:szCs w:val="28"/>
          <w:rtl w:val="true"/>
          <w:lang w:bidi="ar-SA"/>
        </w:rPr>
        <w:t xml:space="preserve">المؤمنين  عليه‌ السلام ، فالبيهقي في سننه نقل عن الشافعي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المغرور يرجع بالمهر على من غرّه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الحديث المذكور على تقدير تمامية سنده خاص بخصوص المهر ولا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الأحاديث الخاصة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أبي بصير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شهد عندها شاهدان بأن زوجها مات فتزوجت ثم جاء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الأخير، ويضرب الشاهدان الحد ، ويضمنان المهر بما غرّا الرجل ، ثم تعتد وترجع الى زوجها الأوّل</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بتقريب ان الباء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غرّا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يضمنان بسبب انّهما غرّا الرجل فيتمسك بعموم التعليل ويثبت بذلك ان مطلق الغرور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تامّة السند أيضا ، فان كلاّ من الصدوق والشيخ رواها بطريقه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الطريقين ولا أقل طريق الصدوق تام ، إذ رواها بسنده إلى إبراهيم بن عبد الحميد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الصدوق الى إبراهيم صحيح على ما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وأبو بصير من ثقات أصحابنا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يبقى ان صاحب الوسائل روى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نسخة ، ولكن إذا رجعنا إلى المصدر الأصلي ، وهو الفقيه والتهذيب رأيناها ثابتة في كليهما فلا مشكلة من هذه الناحية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رفاعة بن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البرصاء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امرأة زوّجها وليّها وهي برصاء ان لها المهر بما استحل من فرجها وان المهر على الذي زوّجها ، وانّما صار عليه المهر لأنّه دلسها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واضحة ، فانّها تدل بعموم التعليل على ان كل 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تعبير آخر عن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سندها يشتمل على سهل الذي وقع محلاّ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تصلح على أي حال لدعم الصحيحة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نظر الى امرأة فأعجبته فسأل عنها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فلان ، فأتى أباها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انها غير ابنته وانّها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 والولد للرجل ، وعلى الذي زوّجه قيمة ثمن الولد يعطيه موالي الوليدة كما غرّ الرجل وخدعه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سندها يشتمل على محمّد بن سنان الذي وقع محلاّ للكلام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تصلح للدعم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ثبوت الضمان بقاعدة الغرور أمر صحيح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أيضا ان مناقشة السيّد الخوئي قدس‌سره للقاعدة باعتبار ان المدرك المهم لها هو رواية إسماعيل ورفاعة ، وكلتاهما ضعيفة السند </w:t>
      </w:r>
      <w:r>
        <w:rPr>
          <w:rStyle w:val="FootnoteAnchor"/>
          <w:rtl w:val="true"/>
        </w:rPr>
        <w:footnoteReference w:id="138"/>
      </w:r>
      <w:r>
        <w:rPr>
          <w:rFonts w:ascii="Amiri" w:hAnsi="Amiri" w:eastAsia="Amiri" w:cs="Amiri"/>
          <w:color w:val="111111"/>
          <w:sz w:val="28"/>
          <w:sz w:val="28"/>
          <w:szCs w:val="28"/>
          <w:rtl w:val="true"/>
          <w:lang w:bidi="ar-SA"/>
        </w:rPr>
        <w:t>قابلة للتأمّل</w:t>
      </w:r>
      <w:r>
        <w:rPr>
          <w:rFonts w:eastAsia="Amiri" w:cs="Amiri" w:ascii="Amiri" w:hAnsi="Amiri"/>
          <w:color w:val="111111"/>
          <w:sz w:val="28"/>
          <w:szCs w:val="28"/>
          <w:rtl w:val="true"/>
          <w:lang w:bidi="ar-SA"/>
        </w:rPr>
        <w:t xml:space="preserve">. </w:t>
      </w:r>
      <w:bookmarkStart w:id="267" w:name="pg19390_208359"/>
    </w:p>
    <w:p>
      <w:pPr>
        <w:pStyle w:val="BookText"/>
        <w:rPr/>
      </w:pPr>
      <w:bookmarkEnd w:id="267"/>
      <w:r>
        <w:rPr>
          <w:rFonts w:ascii="Amiri" w:hAnsi="Amiri" w:eastAsia="Amiri" w:cs="Amiri"/>
          <w:color w:val="111111"/>
          <w:sz w:val="28"/>
          <w:sz w:val="28"/>
          <w:szCs w:val="28"/>
          <w:rtl w:val="true"/>
          <w:lang w:bidi="ar-SA"/>
        </w:rPr>
        <w:t xml:space="preserve">ووجه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أبي بصير تام الدلالة والسند فلا يضر بعد ذلك ضعف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اتفاق روايات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وبلسان متقارب على مطلب واحد قد يورث للفقيه الاطمئنان بحقانية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بهذا أيضا ان التمسك بالإجماع لإثبات القاعدة أمر غير وجيه لأن حجيته هي باعتبار كاشفيته عن رأي المعصوم  عليه‌ السلام يدا بيد ، ومع احتمال المدرك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السيرة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بكاشفيته عن رأي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494443_1280447820"/>
      <w:bookmarkStart w:id="269" w:name="_Toc94"/>
      <w:bookmarkEnd w:id="268"/>
      <w:r>
        <w:rPr/>
        <w:t>3</w:t>
      </w:r>
      <w:r>
        <w:rPr>
          <w:rtl w:val="true"/>
        </w:rPr>
        <w:t xml:space="preserve"> - </w:t>
      </w:r>
      <w:r>
        <w:rPr>
          <w:rtl w:val="true"/>
        </w:rPr>
        <w:t>قاعدة التسبيب</w:t>
      </w:r>
      <w:bookmarkEnd w:id="269"/>
    </w:p>
    <w:p>
      <w:pPr>
        <w:pStyle w:val="BookText"/>
        <w:rPr/>
      </w:pPr>
      <w:r>
        <w:rPr>
          <w:rFonts w:ascii="Amiri" w:hAnsi="Amiri" w:eastAsia="Amiri" w:cs="Amiri"/>
          <w:color w:val="111111"/>
          <w:sz w:val="28"/>
          <w:sz w:val="28"/>
          <w:szCs w:val="28"/>
          <w:rtl w:val="true"/>
          <w:lang w:bidi="ar-SA"/>
        </w:rPr>
        <w:t xml:space="preserve">هناك قاعدة باسم قاعدة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على لسان القدماء بقاعدة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ومضمونها ان شخصا لو سبب لثان الوقوع في خسارة فهو ضامن لتلك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نجّس شخص قطعة فرش لغيره وكانت طهارتها أمرا ضروريا واحتاج التطهير إلى اجرة معينة ، فبناء على تمامية قاعدة التسبيب يلزم المنجس ضمان تلك الاجرة كما ويلزمه ضمان النقص الطارئ على العين بسبب التطهير لو فرض نقصان قيمتها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السيّد الخوئي قدس‌سره رفض الضمان بتقريب ان سبب الضمان منحصر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واليد ، وكلاهما غير متحقق ، إذ بالتنجيس لم يتحقق اتلاف قطعة الفرش ولا الاستيلاء عليها ليلزم ضمان اجرة التطهير أو قيمة النقص الطارئ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لو لم يفرض ان قيمة الفرش قد نقصت بالتنجيس نفسه ، اما إذا نقصت بالتنجيس نفسه وقبل ان يغسل ثبت الضمان لقاعدة الاتلاف حيث تم اتلاف وصف كمالي من أوصاف الفرش بعملية التنجيس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تنقص قيمة الفرش بالتنجيس نفسه واحتاج تطهيره الى اجرة أو فرض نقصان القيمة على تقدير التطهير فلا ضمان لتلك الاجرة ولا لذاك النقصان لعدم صدق اليد ولا الاتلاف ، وسبب الضمان لا يعدو أحد هذين الأمرين اما اليد أو الاتلاف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أضاف قدس‌سره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التسبيب فهو ليس سببا مستقلاّ للضمان في مقابل السببين المذكورين بل هو يوجب الضمان لو صدق عنوان المتلف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فينبغي التفصيل في موارد التسبيب بين ما إذا صدق على السبب انه متلف وبين ما إذا لم يصدق عليه ذلك ، ففي الأوّل يضمن لقاعدة الاتلاف دونه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صدق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أرسل شخص دابته واتلفت زرع الغير أو أعطى شخص سكينا بيد صبي وأمره بضرب شخص ، فانه يصدق على الشخص المذكور عنوان المتلف وينسب إليه اتلاف زرع الغير وجرح الشخص ، باعتبار ان المباشر اما لا إرادة له أو ذو إرادة ضعيفة بحيث يعدّ آلة بيد السبب ، وينسب العرف بنحو الحقيقة الاتلاف إليه لا إلى المباشر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عدم صدق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توسطت في البين الارادة التامة للمباشر ، كما لو أمر شخص شخصا آخر كبيرا باتلاف زرع الغير أو </w:t>
      </w:r>
    </w:p>
    <w:p>
      <w:pPr>
        <w:pStyle w:val="BookText"/>
        <w:rPr/>
      </w:pPr>
      <w:r>
        <w:rPr>
          <w:rFonts w:ascii="Amiri" w:hAnsi="Amiri" w:eastAsia="Amiri" w:cs="Amiri"/>
          <w:color w:val="111111"/>
          <w:sz w:val="28"/>
          <w:sz w:val="28"/>
          <w:szCs w:val="28"/>
          <w:rtl w:val="true"/>
          <w:lang w:bidi="ar-SA"/>
        </w:rPr>
        <w:t>جرحه وقام بتنفيذ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الاتلاف في مثل ذلك ينسب الى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توسط إرادته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قدس‌سره في هذا المقام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مسألة ثانية بحثها الفقهاء ترتبط بالمسألة المتقدّمة ، وهي ان زيدا لو نجّس المصحف الشريف أو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يجب تطهيرهما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تطهيرهما إلى بذل اجرة معينة فهل يختص ضمانها بزيد أو يعم كل فرد مسلم؟</w:t>
      </w:r>
    </w:p>
    <w:p>
      <w:pPr>
        <w:pStyle w:val="BookText"/>
        <w:rPr/>
      </w:pPr>
      <w:r>
        <w:rPr>
          <w:rFonts w:ascii="Amiri" w:hAnsi="Amiri" w:eastAsia="Amiri" w:cs="Amiri"/>
          <w:color w:val="111111"/>
          <w:sz w:val="28"/>
          <w:sz w:val="28"/>
          <w:szCs w:val="28"/>
          <w:rtl w:val="true"/>
          <w:lang w:bidi="ar-SA"/>
        </w:rPr>
        <w:t>انه بناء على تمامية قاعدة التسبيب يمكن الحكم بضمان زيد للأجرة ، بتقريب ان زيدا صار بفعله سببا لخسارة الآخرين قيمة التطهير ، فاذا تصدّى بعض الناس للتطهير جاز له الرجوع عليه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ويمكن الحكم بضمانه للخسارة حتى بناء على انكار قاعدة التسبيب وحصر سبب الضمان بالاتلاف واليد ، بتقريب ان الآخر المتصدي للتطهير وان تصدّى بإرادته إلاّ انّه لما كان ملزما من قبل الشارع بالتطهير فإرادته تصبح إرادة مغلوبة وفي حكم العدم ، وبذلك يسند الاتلاف عرفا الى السبب ويكون استقرار الضمان عليه دون غيره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 على ذلك بما ذكره السيّد الخوئي قدس‌سره من ان لازم ذلك ان المعسر لو تزوج وأولد أطفالا وهو عاجز عن القيام بنفقتهم وفرض ان المسلمين قاموا بالانفاق عليهم من باب وجوب حفظ النفس </w:t>
      </w:r>
    </w:p>
    <w:p>
      <w:pPr>
        <w:pStyle w:val="BookText"/>
        <w:rPr/>
      </w:pPr>
      <w:r>
        <w:rPr>
          <w:rFonts w:ascii="Amiri" w:hAnsi="Amiri" w:eastAsia="Amiri" w:cs="Amiri"/>
          <w:color w:val="111111"/>
          <w:sz w:val="28"/>
          <w:sz w:val="28"/>
          <w:szCs w:val="28"/>
          <w:rtl w:val="true"/>
          <w:lang w:bidi="ar-SA"/>
        </w:rPr>
        <w:t xml:space="preserve">المحترمة على كل مسلم ، ان لازم ذلك ضمان ذلك المعسر المتزوّج بما ينفقه الناس على أطفاله ، والحال ان ذلك لا يمكن التزامه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لا ينقض بما لو فرض ان شخصا ابرأ شخصا آخر من دين مانع من الاستطاعة فترتب على ذلك تحقق عنوان الاستطاعة للحج في حقّه ووجوبه عليه ، فبناء على عدّ الإرادة المغلوبة بحكم العدم يلزم ضمان المبرأ لنفقات الحج ، وهو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هذين النقضين وأمثالهما قابلان للدفع ، باعتبار ان العرف يفهم من حكم الشارع بجواز زواج المعسر وابراء المديون عدم كونهما ضامنين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الالتزامية العرفية هي المانع من الحكم بالضمان ، وهذا بخلافه في مثال تنجيس المسجد أو المصحف الشريف فإنّه لا توجد مثل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ان قاعدة التسبيب لها نتائج تظهر في الأمثلة المذكورة وغيرها ، وقد أنكرها بعض الأعلام بدعوى عدم تمامية دليل عليها ، ومن ثمّ أنكر الثمرات المترتبة عليها في الأمثلة السابقة ، كضمان قيمة تطهير الفرش وقيمة النقص الطارئ بسبب التطهير واجور تطهير المسجد والمصحف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من القريب جدّا دعوى انعقاد السيرة العقلائية عليها والحكم بضمان المسبب لخسارة الآخرين فيما إذا كان تسبيبه تسبيبا غير مأذون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السيرة المذكورة لم يثبت ردع عنها فتكون ممضاة</w:t>
      </w:r>
      <w:r>
        <w:rPr>
          <w:rFonts w:eastAsia="Amiri" w:cs="Amiri" w:ascii="Amiri" w:hAnsi="Amiri"/>
          <w:color w:val="111111"/>
          <w:sz w:val="28"/>
          <w:szCs w:val="28"/>
          <w:rtl w:val="true"/>
          <w:lang w:bidi="ar-SA"/>
        </w:rPr>
        <w:t xml:space="preserve">. </w:t>
      </w:r>
      <w:bookmarkStart w:id="270" w:name="pg19390_208363"/>
    </w:p>
    <w:p>
      <w:pPr>
        <w:pStyle w:val="Heading3"/>
        <w:numPr>
          <w:ilvl w:val="2"/>
          <w:numId w:val="1"/>
        </w:numPr>
        <w:rPr/>
      </w:pPr>
      <w:bookmarkStart w:id="271" w:name="__RefHeading___Toc17494445_1280447820"/>
      <w:bookmarkStart w:id="272" w:name="_Toc95"/>
      <w:bookmarkEnd w:id="270"/>
      <w:bookmarkEnd w:id="271"/>
      <w:r>
        <w:rPr/>
        <w:t>4</w:t>
      </w:r>
      <w:r>
        <w:rPr>
          <w:rtl w:val="true"/>
        </w:rPr>
        <w:t xml:space="preserve"> - </w:t>
      </w:r>
      <w:r>
        <w:rPr>
          <w:rtl w:val="true"/>
        </w:rPr>
        <w:t>اعتبار الجهل في صحة التمسك بالقاعدة</w:t>
      </w:r>
      <w:bookmarkEnd w:id="272"/>
    </w:p>
    <w:p>
      <w:pPr>
        <w:pStyle w:val="BookText"/>
        <w:rPr/>
      </w:pPr>
      <w:r>
        <w:rPr>
          <w:rFonts w:ascii="Amiri" w:hAnsi="Amiri" w:eastAsia="Amiri" w:cs="Amiri"/>
          <w:color w:val="111111"/>
          <w:sz w:val="28"/>
          <w:sz w:val="28"/>
          <w:szCs w:val="28"/>
          <w:rtl w:val="true"/>
          <w:lang w:bidi="ar-SA"/>
        </w:rPr>
        <w:t>قد يفرض ان الشخص الغار عالم بما يترتب على فعله من الخديعة ووقوع الغير في الخسارة وقد يكون جاهلا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إلى الشخص المغرور قد يفرض جهله بواقع الحال وقد يفرض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علم الغار وجهل المغرور فذلك هو القدر المتيقن من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فرض علم المغرور فلا اشكال في انتفاء عنوان الغرور سواء كان الطرف الآخر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كانا جاهلين معا فقد ادعى البعض صدق عنوان الغرور ، بدعوى ان عناوين الأفعال ليست متقومة بقصد تلك العناوين ، فمن قام أو قعد يصدق عليه عنوان القائم أو القاعد وان لم يكن قاصدا لذلك بل كان غافلا ، فمن قدّم طعام الغير إلى آخر يصدق عليه انّه غار ولو لم يكن ملتفتا لكونه طعام الغير بل معتقدا بكونه طعام نفسه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قال بأن عنوان الغرور لا يصدق مع جهل الغار بيد ان قاعدة الغرور تشمل مثل ذلك ملاكا وان لم تشمله عنوانا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الدعويين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الاولى فلتقوّم صدق الغرور عرفا بعلم الغار وجهل المغرور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فلأن ملاك الضمان في باب الغرور ليس إلاّ التسبيب </w:t>
      </w:r>
      <w:bookmarkStart w:id="273" w:name="pg19390_208364"/>
    </w:p>
    <w:p>
      <w:pPr>
        <w:pStyle w:val="BookText"/>
        <w:rPr/>
      </w:pPr>
      <w:bookmarkEnd w:id="273"/>
      <w:r>
        <w:rPr>
          <w:rFonts w:ascii="Amiri" w:hAnsi="Amiri" w:eastAsia="Amiri" w:cs="Amiri"/>
          <w:color w:val="111111"/>
          <w:sz w:val="28"/>
          <w:sz w:val="28"/>
          <w:szCs w:val="28"/>
          <w:rtl w:val="true"/>
          <w:lang w:bidi="ar-SA"/>
        </w:rPr>
        <w:t>للخسارة ، ومعه فان تمّت قاعدة التسبيب كانت هي بنفسها دليلا على الضمان ، وان لم تتم وأنكرنا انعقاد السيرة العقلائية عليها فلا معنى للحكم بالضمان من باب صدق قاعدة الغرور ملاكا لأن ملاكها بقطع النظر عن صدق عنوان الغرور ليس سببا للضمان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فالمناسب في حالة جهلهما معا عدم التمسك بقاعدة الغرور لإثبات الضمان بل بقواعد اخرى ، كقاعدة الاتلاف أو اليد أو التسبيب حسب اختلاف الموارد</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7494447_1280447820"/>
      <w:bookmarkStart w:id="275" w:name="_Toc96"/>
      <w:bookmarkEnd w:id="274"/>
      <w:r>
        <w:rPr/>
        <w:t>5</w:t>
      </w:r>
      <w:r>
        <w:rPr>
          <w:rtl w:val="true"/>
        </w:rPr>
        <w:t xml:space="preserve"> - </w:t>
      </w:r>
      <w:r>
        <w:rPr>
          <w:rtl w:val="true"/>
        </w:rPr>
        <w:t>تطبيقات</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شخص للخيّاط قطعة قماش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تكفي قميصا فقصّها فلما قصّها اتضح العكس فهل يضمن؟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أراد الزواج ومدح له ثان أخلاق امرأة معينة فلما تزوجها ظهر له سوء أخلاقها فهل يكون المادح غارّا ويلزمه ضمان المهر؟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الطبيب إذا عالج المريض وأخطأ في علاجه فتارة يفرض انّه يعالج المريض مباشرة باجراء عملية له واخرى يصف له الدواء ويسبب له بعض المضاعفات فهل يكون ضامنا في الحالتين المذكورتين؟ وما هو التوجيه الفني لذلك؟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الختّان إذا أخطأ وسبّب ضررا للمختون فهل يكون ضامنا ولما ذا؟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مدح البائع سلعته فلما اشتراها المشتري اتضح له الخلاف وسبّب ذلك له بعض الخسائر فهل يضمن البائع ذلك ولما ذا؟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قدّم طعاما للغير باعتقاد انّه له ثم اتضح انّه لغيره فهل يكونان ضامنين؟ ولما ذا؟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دعي لمأدبة فاصطحب معه شخصا آخر فهل يكون ضامنا لما أكله الآخر؟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لآخر توجد في معرض الكتاب كتب تباع بسعر زهيد فسافر إليه فلم يجد الأمر كما أخبر فهل يجوز تغريمه اجور السفر؟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له قطعة فرش فرشها في الشارع الذي تمرّ به السيارات لينزل منها ما التصق بها من تراب فمرت سيارة مثقلة بالحديد فشقت قطعة الفرش فهل يكون صاحب السيارة ضامنا؟ </w:t>
      </w:r>
      <w:bookmarkStart w:id="276" w:name="pg19390_208366"/>
    </w:p>
    <w:p>
      <w:pPr>
        <w:pStyle w:val="Heading2"/>
        <w:numPr>
          <w:ilvl w:val="1"/>
          <w:numId w:val="1"/>
        </w:numPr>
        <w:rPr/>
      </w:pPr>
      <w:bookmarkStart w:id="277" w:name="__RefHeading___Toc17494449_1280447820"/>
      <w:bookmarkStart w:id="278" w:name="_Toc97"/>
      <w:bookmarkEnd w:id="276"/>
      <w:bookmarkEnd w:id="277"/>
      <w:r>
        <w:rPr>
          <w:rtl w:val="true"/>
        </w:rPr>
        <w:t>قاعدتا الاقرار</w:t>
      </w:r>
      <w:bookmarkEnd w:id="278"/>
    </w:p>
    <w:p>
      <w:pPr>
        <w:pStyle w:val="Heading3"/>
        <w:numPr>
          <w:ilvl w:val="2"/>
          <w:numId w:val="1"/>
        </w:numPr>
        <w:rPr/>
      </w:pPr>
      <w:bookmarkStart w:id="279" w:name="__RefHeading___Toc17494451_1280447820"/>
      <w:bookmarkStart w:id="280" w:name="_Toc98"/>
      <w:bookmarkEnd w:id="279"/>
      <w:r>
        <w:rPr>
          <w:rtl w:val="true"/>
        </w:rPr>
        <w:t>اشارة</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استثناءات من قاعدة قبول الاقرار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بالدلالة الالتزامية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في الاقرار الواحد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القبول بموارد السلطنة الفعلية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هناك قاعدتان تداول ذكرهما على لسان الاعلام في باب الاقرار والمسائل المرتبطة بذلك احداهما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وثانيتهما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القاعدة الاولى فهي الأصل الأساسي الذي تعتمد عليه مسائل كتاب الاقرار ، فانا لو ألقينا نظرة على تلك المسائل لرأيناها بشكل عام تعتمد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القاعدة الثانية فنادرا ما تذكر على لسان الفقهاء ، فنجد ذكرها في كلمات الشيخ الطوسي قدس‌سره في مسألة العبد المأذون في التجارة ، فقد ذكر ان العبد المذكور لو أقرّ بمال يتعلّق بالتجارة بأن قال مثلا هذا يستحق عليّ ثمن المبيع في هذا البيع وأمثال ذلك قبل اقراره لأن من ملك شيئا ملك الاقرار به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وبقي ذكرها مستمرا على لسان من جاء بعد الشيخ من الفقهاء ، فقد أشار إليها المحقّق الحلّي في الشرائع في مسألة العبد المأذون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لها الشهيد الأوّل في قواعده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قدر على إنشاء شي‌ء قدر على الاقرار به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وصل الأمر الى الشيخ الأعظم الأنصاري نراه قد ألّف رسالة في القاعدة المذكورة ذكر في مقدّمتها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اشتهر على ألسنة الفقهاء من زمان الشيخ قدس‌سره إلى زماننا قضية كليّة يذكرونها في مقام الاستدلال بها على ما يتفرّع عليها كأنها بنفسها دليل معتبر أو مضمون دليل معتبر ، وهي ان من ملك شيئا ملك الاقرار به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ان هناك كلاما في ان القاعدتين المذكورتين هل هما قاعدة واحدة أو ان الاولى مستند للثانية أو هما متباينتان ولا ربط لإحداهما بالاخرى غايته قد تلتقيان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إن شاء اللّه تعالى ان الاحتمال الثالث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ان نفهمه من هذا الخلاف ان قلّة التعرض لقاعدة من ملك صار سببا لأن ينتابها شي‌ء من الغموض ومن ثمّ صار سببا لتوهم انّها والاولى قاعدة واحدة أو ان الاولى مدرك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حول القاعدتين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r>
        <w:rPr>
          <w:rFonts w:eastAsia="Amiri" w:cs="Amiri" w:ascii="Amiri" w:hAnsi="Amiri"/>
          <w:color w:val="111111"/>
          <w:sz w:val="28"/>
          <w:szCs w:val="28"/>
          <w:rtl w:val="true"/>
          <w:lang w:bidi="ar-SA"/>
        </w:rPr>
        <w:t xml:space="preserve">. </w:t>
      </w:r>
      <w:bookmarkStart w:id="281" w:name="pg19390_208370"/>
    </w:p>
    <w:p>
      <w:pPr>
        <w:pStyle w:val="BookText"/>
        <w:rPr/>
      </w:pPr>
      <w:bookmarkEnd w:id="2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استثناءات من قاعدة قبول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في الاقرار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القبول بموارد السلطنة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7494453_1280447820"/>
      <w:bookmarkStart w:id="283" w:name="_Toc99"/>
      <w:bookmarkEnd w:id="282"/>
      <w:r>
        <w:rPr/>
        <w:t>1</w:t>
      </w:r>
      <w:r>
        <w:rPr>
          <w:rtl w:val="true"/>
        </w:rPr>
        <w:t xml:space="preserve"> - </w:t>
      </w:r>
      <w:r>
        <w:rPr>
          <w:rtl w:val="true"/>
        </w:rPr>
        <w:t>مضمون القاعدتين</w:t>
      </w:r>
      <w:bookmarkEnd w:id="283"/>
    </w:p>
    <w:p>
      <w:pPr>
        <w:pStyle w:val="BookText"/>
        <w:rPr/>
      </w:pPr>
      <w:r>
        <w:rPr>
          <w:rFonts w:ascii="Amiri" w:hAnsi="Amiri" w:eastAsia="Amiri" w:cs="Amiri"/>
          <w:color w:val="111111"/>
          <w:sz w:val="28"/>
          <w:sz w:val="28"/>
          <w:szCs w:val="28"/>
          <w:rtl w:val="true"/>
          <w:lang w:bidi="ar-SA"/>
        </w:rPr>
        <w:t xml:space="preserve">المقصود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إذا اعترف بشي‌ء هو في غير صالحه كان ملزما باعترافه ، فلو اعترف بأن الدار التي اسكن فيها ليست هي لي بل لزيد اخذ باعترافه وكان 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أدفع المهر لزوجتي وهو بعد في ذمّتي كان ذلك منه اعترافا على نفسه وكان 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يسكن فيها زيد ليست هي له بل قد غصبها منّي لم يكن ذلك منه مقبولا بل احتيج في تصديقه إلى اثبات بالبينة لأنّه ليس اعترافا على نفسه بل هو ادّعاء في صالح نفسه ونفعها ، والادّعاء المقبول هو ما كان في ضرر المدعي ولم يكن في صالحه لا ما كان في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على لسان القاعدة يراد بها الاشارة الى حيثية كون الادّعاء في ضرر المدّعي ، فهو عليه وليس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لسان </w:t>
      </w:r>
      <w:bookmarkStart w:id="284" w:name="pg19390_208371"/>
    </w:p>
    <w:p>
      <w:pPr>
        <w:pStyle w:val="BookText"/>
        <w:rPr/>
      </w:pPr>
      <w:bookmarkEnd w:id="284"/>
      <w:r>
        <w:rPr>
          <w:rFonts w:ascii="Amiri" w:hAnsi="Amiri" w:eastAsia="Amiri" w:cs="Amiri"/>
          <w:color w:val="111111"/>
          <w:sz w:val="28"/>
          <w:sz w:val="28"/>
          <w:szCs w:val="28"/>
          <w:rtl w:val="true"/>
          <w:lang w:bidi="ar-SA"/>
        </w:rPr>
        <w:t>القاعدة هو الجواز بمعنى النفوذ والالزام وليس بمعنى الاباحة ، فالاقرار على النفس جائز يراد به ان الاقرار على النفس نافذ وتكون ملزمة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منها ان كل من كان من حقّه القيام بتصرف معيّن فمتى ما أخبر عن تحقق ذلك التصرف قبل اخباره من دون مطالبة باثبات ذلك ، فلو اخبر الزوج الذي من حقّه طلاق زوجته متى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طلقت زوجتي قبل منه الاخبار المذكور وحكم بتحقق طلاق الزوجة بلا ان يطالب باثبات ما اخبر عنه من خلال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أوكلنا تصرّفا معينا إلى شخص فقلنا لأحد أصدقائنا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شراء الدار الفلانية فجاء بعد فترة مخبرا باني اشتريتها بسعر كذا قبل منه ذلك بلا ان يطالب بالاثبات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يتجلى ان المقصود من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التصرف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وان المقصود من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الاخبار عن تحقق ذلك التصرف المعين بلا مطالبة بالحجة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أيضا من خلال كل ما ذكرناه ان معنى كلمة الاقرار في القاعدة الاولى والقاعدة الثانية متغاير ، ففي القاعدة الاولى يراد منها الاعتراف في غير صالح النفس بينما في القاعدة الثانية يراد منها الاخبار عن تحقق التصرّف المعيّن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494455_1280447820"/>
      <w:bookmarkStart w:id="286" w:name="_Toc100"/>
      <w:bookmarkEnd w:id="285"/>
      <w:r>
        <w:rPr/>
        <w:t>2</w:t>
      </w:r>
      <w:r>
        <w:rPr>
          <w:rtl w:val="true"/>
        </w:rPr>
        <w:t xml:space="preserve"> - </w:t>
      </w:r>
      <w:r>
        <w:rPr>
          <w:rtl w:val="true"/>
        </w:rPr>
        <w:t>قاعدة واحدة أو قاعدتان</w:t>
      </w:r>
      <w:bookmarkEnd w:id="2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ذكرناه في معنى القاعدتين يتضح ان القاعدتين </w:t>
      </w:r>
    </w:p>
    <w:p>
      <w:pPr>
        <w:pStyle w:val="BookText"/>
        <w:rPr/>
      </w:pPr>
      <w:r>
        <w:rPr>
          <w:rFonts w:ascii="Amiri" w:hAnsi="Amiri" w:eastAsia="Amiri" w:cs="Amiri"/>
          <w:color w:val="111111"/>
          <w:sz w:val="28"/>
          <w:sz w:val="28"/>
          <w:szCs w:val="28"/>
          <w:rtl w:val="true"/>
          <w:lang w:bidi="ar-SA"/>
        </w:rPr>
        <w:t>لا ترجعان إلى قاعدة واحدة بل لكل واحدة معنى يغاير المعنى المقصود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المغايرة بينهما لا وجه أيضا لدعوى ان قاعدة اقرار العقلاء هي مستند لقاعدة من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هاتين الدعويين قد نقلهما الشيخ الأنصاري عن بعض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التأمل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القاعدتين متغايرتان مفهوما بيد انّهما قد يلتقيان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اخبر شخص بانّي قد أوقفت داري على الفقراء أو اوصيت بها إليهم قبل منه وكان ذلك موردا لكلتا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سرقت أو قتلت فلانا كان ذلك موردا لقاعدة اقرار العقلاء ولم يكن موردا لقاعدة من ملك لأن السارق والقاتل ليسا مسلّطين على القتل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اخبر الوكيل عن شخص في بيع داره بتحقق بيعها قبل ذلك منه لقاعدة من ملك دون قاعدة اقرار العقلاء لأن الاخبار المذكور من الوكيل ليس اخبارا على نفسه بل هو اخبار عن قضية ترتبط بغيره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فالنسبة بين القاعدتين من حيث المورد هي العموم من وجه</w:t>
      </w:r>
      <w:r>
        <w:rPr>
          <w:rFonts w:eastAsia="Amiri" w:cs="Amiri" w:ascii="Amiri" w:hAnsi="Amiri"/>
          <w:color w:val="111111"/>
          <w:sz w:val="28"/>
          <w:szCs w:val="28"/>
          <w:rtl w:val="true"/>
          <w:lang w:bidi="ar-SA"/>
        </w:rPr>
        <w:t xml:space="preserve">. </w:t>
      </w:r>
      <w:bookmarkStart w:id="287" w:name="pg19390_208373"/>
    </w:p>
    <w:p>
      <w:pPr>
        <w:pStyle w:val="Heading3"/>
        <w:numPr>
          <w:ilvl w:val="2"/>
          <w:numId w:val="1"/>
        </w:numPr>
        <w:rPr/>
      </w:pPr>
      <w:bookmarkStart w:id="288" w:name="__RefHeading___Toc17494457_1280447820"/>
      <w:bookmarkStart w:id="289" w:name="_Toc101"/>
      <w:bookmarkEnd w:id="287"/>
      <w:bookmarkEnd w:id="288"/>
      <w:r>
        <w:rPr/>
        <w:t>3</w:t>
      </w:r>
      <w:r>
        <w:rPr>
          <w:rtl w:val="true"/>
        </w:rPr>
        <w:t xml:space="preserve"> - </w:t>
      </w:r>
      <w:r>
        <w:rPr>
          <w:rtl w:val="true"/>
        </w:rPr>
        <w:t>مدرك القاعدة</w:t>
      </w:r>
      <w:bookmarkEnd w:id="289"/>
    </w:p>
    <w:p>
      <w:pPr>
        <w:pStyle w:val="BookText"/>
        <w:rPr/>
      </w:pPr>
      <w:r>
        <w:rPr>
          <w:rFonts w:ascii="Amiri" w:hAnsi="Amiri" w:eastAsia="Amiri" w:cs="Amiri"/>
          <w:color w:val="111111"/>
          <w:sz w:val="28"/>
          <w:sz w:val="28"/>
          <w:szCs w:val="28"/>
          <w:rtl w:val="true"/>
          <w:lang w:bidi="ar-SA"/>
        </w:rPr>
        <w:t xml:space="preserve">بالنسبة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عليها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الكريم 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أَأَقْرَرْتُمْ وَأَخَذْتُمْ عَلى ذلِكُمْ إِصْرِي قالُوا أَقْرَرْنا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بِالْقِسْطِ شُهَداءَ لِلّهِ وَلَوْ عَلى أَنْفُسِكُمْ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السنّة الشريفة فيكفي الحديث المشهور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العقل فباعتبار ان العاقل لا يكذب على نفسه بما يضرّه فاذا أقرّ على نفسه حصل القطع بصدق المضمون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الاجماع فواضح إذ لا مخالف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الآيات الكريمة فلأن المهم منها هو الآية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قبلها أجنبي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ان الانسان يجب ان يشهد بالحق ولو كان ذلك في غير صالح نفسه ، وغاية ما يقتضيه هذا ان ما ثبت كونه </w:t>
      </w:r>
    </w:p>
    <w:p>
      <w:pPr>
        <w:pStyle w:val="BookText"/>
        <w:rPr/>
      </w:pPr>
      <w:r>
        <w:rPr>
          <w:rFonts w:ascii="Amiri" w:hAnsi="Amiri" w:eastAsia="Amiri" w:cs="Amiri"/>
          <w:color w:val="111111"/>
          <w:sz w:val="28"/>
          <w:sz w:val="28"/>
          <w:szCs w:val="28"/>
          <w:rtl w:val="true"/>
          <w:lang w:bidi="ar-SA"/>
        </w:rPr>
        <w:t>حقّا تلزم الشهادة به ، وبالالتزام العرفي تدل على وجوب قبوله ، ولا تدل على انه لو شهد شخص على نفسه بشي‌ء واحتملنا كونه مشتبها يلزم قبول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تدل على ان الحق إذا شهد به يلزم قبوله ، وهذا أمر مسلّم غير قابل للشك وإلاّ لم يكن الحق حقّا ، ولا تدل على ان كل ما شهد به ما دام هو على النفس يلزم قبوله حتى ولو لم يحرز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المشهور فهو كما قال صاحب الوسائل رواه جملة من علمائنا في كتبهم الاستدلالية من دون ان يعرف له مستند غير ذلك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رواه الاحسائي في كتابه عوالي اللآلي ناسبا له للنبي  صلی اللّه عليه وآله وسلم  </w:t>
      </w:r>
      <w:r>
        <w:rPr>
          <w:rStyle w:val="FootnoteAnchor"/>
          <w:rtl w:val="true"/>
        </w:rPr>
        <w:footnoteReference w:id="153"/>
      </w:r>
      <w:r>
        <w:rPr>
          <w:rFonts w:ascii="Amiri" w:hAnsi="Amiri" w:eastAsia="Amiri" w:cs="Amiri"/>
          <w:color w:val="111111"/>
          <w:sz w:val="28"/>
          <w:sz w:val="28"/>
          <w:szCs w:val="28"/>
          <w:rtl w:val="true"/>
          <w:lang w:bidi="ar-SA"/>
        </w:rPr>
        <w:t>، والكتاب المذكور ليس موردا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شهرة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تمّت كبرى وصغرى فلا يمكن التعويل عليها في المقام لاحتمال ان استنادهم إليه ليس لثبوت حجيته لديهم كحديث بل لأن مضمونه مضمون عقلائي لا يحتاج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حكم العقل فهو غير ثابت بعد احتمال اشتباه المقرّ في 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ينفع في موارد تراجع المقر وادّعائه الخطأ في اقراره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الاجماع فلأنّه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جزمي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استناد المجمعين إلى المدارك السابقة ، وهو انّما يكون حجّة من باب كاشفيته يدا بيد عن موافقة المعصوم  عليه‌ السلام ، ومع احتمال المدرك لا يجزم بكاشفيته المذكورة لاحتمال استناد المجمعين إلى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يجب </w:t>
      </w:r>
    </w:p>
    <w:p>
      <w:pPr>
        <w:pStyle w:val="BookText"/>
        <w:rPr/>
      </w:pPr>
      <w:r>
        <w:rPr>
          <w:rFonts w:ascii="Amiri" w:hAnsi="Amiri" w:eastAsia="Amiri" w:cs="Amiri"/>
          <w:color w:val="111111"/>
          <w:sz w:val="28"/>
          <w:sz w:val="28"/>
          <w:szCs w:val="28"/>
          <w:rtl w:val="true"/>
          <w:lang w:bidi="ar-SA"/>
        </w:rPr>
        <w:t xml:space="preserve">تقييم المدرك في نفسه بقطع النظر عن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ان يتمسك لتوجيه حجية الاقرار على النفس بالسيرة العقلائية المنعقدة على قبول الاقرار المذكور والزام المقرّ به حتى مع تراجعه ، وحيث انه لم يردع عنها فيستكشف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مدرك قاعدة اقرار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قاعدة من ملك شيئا فقد ملك الاقرار به فقد يستدل عليها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العراقي من ان السلطنة على ايقاع الشي‌ء واقعا تلازم السلطنة على اثباته والاخبار عنه ، فالمسلط على بيع داره مثلا مسلّط على اثبات ذلك بالاخبار عن تحققه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المذكورة ليست ثابتة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التفكيك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غاية ما يمكن ادعاؤه هو الملازمة العقلائية ، بمعنى ان العقلاء يرون ان الشخص إذا كان من حقّه ثبوتا بيع داره فمن حقّه اثبات ذلك من خلال الاخبار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له وجاهة ولكنّه بالتالي يرجع الى التمسّك بالسيرة العقلائية وليس إلى الملازمة المذكورة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بما دلّ على عدم جواز اتهام الامين ، كما في صحيحة مسعدة بن زياد عن جعفر بن محمّد عن أبيه 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عليه وآله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تتّهم من قد ائتمنته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يتم في مثل الوكيل الذي قد ائتمنه الموكل على القيام بتصرف معين ولا يتم في مثل الزوج إذا أخبر عن طلاق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بالسيرة العقلائية الجارية على ان الوكيل إذا أوكل إليه بيع دار أو طلاق زوجة وما شاكل ذلك ثم جاء بعد فترة وأخبر بتحقق ذلك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أخبر الزوج بطلاق زوجته أو صاحب الدار ببيعها أو وقفها أو هبتها قبل ذلك منه بلا مطالبة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من كان من حقه ايقاع تصرّف معين فانّه يقبل منه اخباره عن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المذكورة وان كانت مسلمة في الجملة إلاّ انّها لا تدل على المطلوب، فان القبول في باب الوكالة يحتمل ان يكون اما من باب ان الوكيل تفترض وثاقته عادة وإلاّ لما اوكل إليه الأمر ومن ثمّ يكون القبول من باب حجية خبر الثقة ، أو من باب انّه قد ائتمن ، وليس لك ان تتهم من قد ائتمنته كما ورد في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اخبار الشخص عن طلاق زوجته أو الوصية بماله فانّه يقبل منه اما لوثاقته أو لكون المورد من موارد الاقرار على النفس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يمكن ان نخرج بنتيجة كليّة ، وهي ان كل من ملك شيئا ملك الاقرار به ، فان السيرة العقلائية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نحتمل استناد العقلاء إلى قواعد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خاصة بموارد خاصة ولا يمكن التعميم </w:t>
      </w:r>
      <w:bookmarkStart w:id="290" w:name="pg19390_208377"/>
    </w:p>
    <w:p>
      <w:pPr>
        <w:pStyle w:val="BookText"/>
        <w:rPr/>
      </w:pPr>
      <w:bookmarkEnd w:id="290"/>
      <w:r>
        <w:rPr>
          <w:rFonts w:ascii="Amiri" w:hAnsi="Amiri" w:eastAsia="Amiri" w:cs="Amiri"/>
          <w:color w:val="111111"/>
          <w:sz w:val="28"/>
          <w:sz w:val="28"/>
          <w:szCs w:val="28"/>
          <w:rtl w:val="true"/>
          <w:lang w:bidi="ar-SA"/>
        </w:rPr>
        <w:t>إلاّ بمقدار ما انعقدت عليه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يتمسك بالإجماع المنعقد على التمسك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الانصاف ان القضية المذكورة في الجملة اجماعية ، بمعنى انه ما من أحد من الأصحاب ممّن وصل إلينا كلامهم إلاّ وقد عمل بها في بعض الموارد بحيث يعلم انّه لا مستند سواها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استناد المجمعين الى السيرة أو غيرها من المدارك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أصل تحققه غير محرز ، فان أول من تمسك بالقاعدة في حدود علمنا هو الشيخ الطوسي ولا يعلم بتمسك من قبله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نخرج بها هي ان ثبوت القاعدة المذكورة بنحو القضية الموجبة الكلية أمر غير ثابت بل لا بدّ من الاقتصار على المتيقن من السيرة العقلائية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7494459_1280447820"/>
      <w:bookmarkStart w:id="292" w:name="_Toc102"/>
      <w:bookmarkEnd w:id="291"/>
      <w:r>
        <w:rPr/>
        <w:t>4</w:t>
      </w:r>
      <w:r>
        <w:rPr>
          <w:rtl w:val="true"/>
        </w:rPr>
        <w:t xml:space="preserve"> - </w:t>
      </w:r>
      <w:r>
        <w:rPr>
          <w:rtl w:val="true"/>
        </w:rPr>
        <w:t>استثناءات من قاعدة قبول الاقرار</w:t>
      </w:r>
      <w:bookmarkEnd w:id="2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ان قاعدة اقرار العقلاء على أنفسهم جائز هي من القواعد التي انعقدت عليها سيرة العقلاء بيد انه يستثنى من ذلك بعض الموارد ، كموارد الاتهام ، كما لو فرض ان شخصا أقرّ بكونه سارقا واحتملنا ان غرضه من وراء ذلك قطع يده ومن ثمّ اعفاؤه عن الخدمة العسكرية ، ان الاقرار في مثل ذلك لا يكون نافذا لأن مدرك حجيته على ما تقدّم هو السيرة العقلائية ، وهي خاصة بموارد عدم الاتهام</w:t>
      </w:r>
      <w:r>
        <w:rPr>
          <w:rFonts w:eastAsia="Amiri" w:cs="Amiri" w:ascii="Amiri" w:hAnsi="Amiri"/>
          <w:color w:val="111111"/>
          <w:sz w:val="28"/>
          <w:szCs w:val="28"/>
          <w:rtl w:val="true"/>
          <w:lang w:bidi="ar-SA"/>
        </w:rPr>
        <w:t xml:space="preserve">. </w:t>
      </w:r>
      <w:bookmarkStart w:id="293" w:name="pg19390_208378"/>
    </w:p>
    <w:p>
      <w:pPr>
        <w:pStyle w:val="BookText"/>
        <w:rPr/>
      </w:pPr>
      <w:bookmarkEnd w:id="293"/>
      <w:r>
        <w:rPr>
          <w:rFonts w:ascii="Amiri" w:hAnsi="Amiri" w:eastAsia="Amiri" w:cs="Amiri"/>
          <w:color w:val="111111"/>
          <w:sz w:val="28"/>
          <w:sz w:val="28"/>
          <w:szCs w:val="28"/>
          <w:rtl w:val="true"/>
          <w:lang w:bidi="ar-SA"/>
        </w:rPr>
        <w:t>كما ويستثنى من ذلك باب الزنا فان من أقرّ على نفسه بالزنا لا يحكم عليه به بل لا بدّ من اقراره بذلك أربع مرّات للروايات الخاصة في المجال المذكور</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7494461_1280447820"/>
      <w:bookmarkStart w:id="295" w:name="_Toc103"/>
      <w:bookmarkEnd w:id="294"/>
      <w:r>
        <w:rPr/>
        <w:t>5</w:t>
      </w:r>
      <w:r>
        <w:rPr>
          <w:rtl w:val="true"/>
        </w:rPr>
        <w:t xml:space="preserve"> - </w:t>
      </w:r>
      <w:r>
        <w:rPr>
          <w:rtl w:val="true"/>
        </w:rPr>
        <w:t>الاقرار بالدلالة الالتزامية</w:t>
      </w:r>
      <w:bookmarkEnd w:id="295"/>
    </w:p>
    <w:p>
      <w:pPr>
        <w:pStyle w:val="BookText"/>
        <w:rPr/>
      </w:pPr>
      <w:r>
        <w:rPr>
          <w:rFonts w:ascii="Amiri" w:hAnsi="Amiri" w:eastAsia="Amiri" w:cs="Amiri"/>
          <w:color w:val="111111"/>
          <w:sz w:val="28"/>
          <w:sz w:val="28"/>
          <w:szCs w:val="28"/>
          <w:rtl w:val="true"/>
          <w:lang w:bidi="ar-SA"/>
        </w:rPr>
        <w:t xml:space="preserve">تارة يكون الاقرار بالدلالة المطابقية ، كأن يقول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أسكنها هي لزيد ، واخرى يكون بالدلالة الالتزامية ، كأن يقول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أسكنها اشتريتها من زيد ، فان ذلك يتضمن الاعتراف بكونها لزيد غايته يدّعي انتقالها منه إليه فيكون كلامه المذكور من الناحية الاولى حجّة عليه وملزما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قال أحد المتخاصمين للآخر في 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 فانه يستبطن الاعتراف بكونه للآخر فيكون ملزما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الالزام بالاقرار التضمني في الحالات المذكورة هو السيرة العقلائية التي هي المدرك لحجية الاقرار فانها لا تفرق بين وجوه الاقرار</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7494463_1280447820"/>
      <w:bookmarkStart w:id="297" w:name="_Toc104"/>
      <w:bookmarkEnd w:id="296"/>
      <w:r>
        <w:rPr/>
        <w:t>6</w:t>
      </w:r>
      <w:r>
        <w:rPr>
          <w:rtl w:val="true"/>
        </w:rPr>
        <w:t xml:space="preserve"> - </w:t>
      </w:r>
      <w:r>
        <w:rPr>
          <w:rtl w:val="true"/>
        </w:rPr>
        <w:t>التفكيك في الاقرار الواحد</w:t>
      </w:r>
      <w:bookmarkEnd w:id="2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ادّعى شخص ان المرأة الفلانية هي زوجتي فهذه الدعوى تستبطن من ناحية الاعتراف بوجوب الانفاق عليها وبحرمة التزوّج باختها وامّها وبنتها وبحرمة التزوّج بزوجة اخرى اضافة إليها لو كانت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اخرى يتضمن الادّعاء المذكور وجوب تمكين نفسها منه وجواز النظر إليها وبحرمة الزواج بزوج آخر </w:t>
      </w:r>
    </w:p>
    <w:p>
      <w:pPr>
        <w:pStyle w:val="BookText"/>
        <w:rPr/>
      </w:pPr>
      <w:r>
        <w:rPr>
          <w:rFonts w:ascii="Amiri" w:hAnsi="Amiri" w:eastAsia="Amiri" w:cs="Amiri"/>
          <w:color w:val="111111"/>
          <w:sz w:val="28"/>
          <w:sz w:val="28"/>
          <w:szCs w:val="28"/>
          <w:rtl w:val="true"/>
          <w:lang w:bidi="ar-SA"/>
        </w:rPr>
        <w:t>غيره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واللوازم المذكورة من الناحية الاولى تعدّ اقرارا من الشخص على نفسه بينما هي من الناحية الثانية تعدّ اقرارا منه لنفسه وليس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الشخص المذكور ملزما باللوازم المذكوره من الناحية الاولى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يكون له الحق في تطبيقها من الناحية الثانية لعدم وجود المثبت لها ، فان المثبت ليس إلاّ قاعدة الاقرار ، وهي تختص بما يتضمن الاقرار على النفس دون ما يتضمن الاقرار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التفكيك المذكور هو السيرة العقلائية المنعقدة على التمسك بالقاعدة فانّها تفكك بين الآثار بالشكل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ان يقال بالنسبة الى الانفاق بعدم الزامه به لأنّه ثابت في مقابل تمكين الزوج من نفسها فاذا لم يحصل التمكين لم يجب عليه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أيضا ما لو 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له عليّ ألف دينار كثمن للدار التي اشتريتها منه ، فان هذا الكلام يتضمن ادعاءين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اشتغال ذمّته لزيد بألف دينار وادّعاء عدم ملكية زيد للدار بالفعل ، وهو من الناحية الاولى اقرار على النفس فيقبل ويلزم بدفع ألف دينار بينما من الناحية الثانية ليس هو اقرارا على النفس بل للنفس فلا يكون حجّة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يقال بأن زيدا ما دام لا يلزم بتسليم الدار إلى المدّعي فلا يكون المدّعي بدوره ملزما بتسليم الثمن بل له حق الامتناع من باب المقاصة</w:t>
      </w:r>
      <w:r>
        <w:rPr>
          <w:rFonts w:eastAsia="Amiri" w:cs="Amiri" w:ascii="Amiri" w:hAnsi="Amiri"/>
          <w:color w:val="111111"/>
          <w:sz w:val="28"/>
          <w:szCs w:val="28"/>
          <w:rtl w:val="true"/>
          <w:lang w:bidi="ar-SA"/>
        </w:rPr>
        <w:t xml:space="preserve">. </w:t>
      </w:r>
      <w:bookmarkStart w:id="298" w:name="pg19390_208380"/>
    </w:p>
    <w:p>
      <w:pPr>
        <w:pStyle w:val="Heading3"/>
        <w:numPr>
          <w:ilvl w:val="2"/>
          <w:numId w:val="1"/>
        </w:numPr>
        <w:rPr/>
      </w:pPr>
      <w:bookmarkStart w:id="299" w:name="__RefHeading___Toc17494465_1280447820"/>
      <w:bookmarkStart w:id="300" w:name="_Toc105"/>
      <w:bookmarkEnd w:id="298"/>
      <w:bookmarkEnd w:id="299"/>
      <w:r>
        <w:rPr/>
        <w:t>7</w:t>
      </w:r>
      <w:r>
        <w:rPr>
          <w:rtl w:val="true"/>
        </w:rPr>
        <w:t xml:space="preserve"> - </w:t>
      </w:r>
      <w:r>
        <w:rPr>
          <w:rtl w:val="true"/>
        </w:rPr>
        <w:t>اختصاص القبول بموارد السلطنة الفعلية</w:t>
      </w:r>
      <w:bookmarkEnd w:id="300"/>
    </w:p>
    <w:p>
      <w:pPr>
        <w:pStyle w:val="BookText"/>
        <w:rPr/>
      </w:pPr>
      <w:r>
        <w:rPr>
          <w:rFonts w:ascii="Amiri" w:hAnsi="Amiri" w:eastAsia="Amiri" w:cs="Amiri"/>
          <w:color w:val="111111"/>
          <w:sz w:val="28"/>
          <w:sz w:val="28"/>
          <w:szCs w:val="28"/>
          <w:rtl w:val="true"/>
          <w:lang w:bidi="ar-SA"/>
        </w:rPr>
        <w:t>لو فرض انّا قبلنا القاعدة الثانية ، أي قاعدة من ملك وسلمنا انعقاد السيرة العقلائية عليها فلا بدّ من تخصيصها بموارد تحقق السلطنة فعلا ، فلو فرض ان الزوج بعد انتهاء عدّة زوجته ادّعى اني رجعت قبل انتهائها لم يقبل ذلك منه لأنّه في هذه الحالة ليس مسلّطا فعلا على الرجوع ليقبل منه اخباره عن تحققه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ان لم يجزم بعدم انعقادها على القبول في هذه الحالة فلا أقل من الشك ، وينبغي الاقتصار على القدر المتيقن في موارد الدليل اللبي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الى الوكيل في بيع الدار مثلا فانه إذا اخبر بعد عزله عن الوكالة ببيعه للدار قبل العزل لم يقبل منه ذلك لما تقدّم نفسه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7494467_1280447820"/>
      <w:bookmarkStart w:id="302" w:name="_Toc106"/>
      <w:bookmarkEnd w:id="301"/>
      <w:r>
        <w:rPr/>
        <w:t>8</w:t>
      </w:r>
      <w:r>
        <w:rPr>
          <w:rtl w:val="true"/>
        </w:rPr>
        <w:t xml:space="preserve"> - </w:t>
      </w:r>
      <w:r>
        <w:rPr>
          <w:rtl w:val="true"/>
        </w:rPr>
        <w:t>تطبيقات</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المسلم انّه أعطى الذمام للكافر فهل يمكن الحكم بلزوم تصديقه؟ ولماذا؟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شخص بكون شي‌ء معيّن بيده ملكا لزيد ثم عقّبه بكونه ملكا لعمرو فما هو الموقف في الحالة المذكورة؟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شخص لفلان عليّ مال ولم يشخّص ذلك المال فما هو موقف الحاكم في الحالة المذكورة؟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شخص فلان يستحق عليّ درهما ثم تراجع عن اقراره </w:t>
      </w:r>
    </w:p>
    <w:p>
      <w:pPr>
        <w:pStyle w:val="BookText"/>
        <w:rPr/>
      </w:pPr>
      <w:r>
        <w:rPr>
          <w:rFonts w:ascii="Amiri" w:hAnsi="Amiri" w:eastAsia="Amiri" w:cs="Amiri"/>
          <w:color w:val="111111"/>
          <w:sz w:val="28"/>
          <w:sz w:val="28"/>
          <w:szCs w:val="28"/>
          <w:rtl w:val="true"/>
          <w:lang w:bidi="ar-SA"/>
        </w:rPr>
        <w:t>وادّعى كونه مخطئا أو فسّره بما يخالف الظاهر فما هو الموقف في الحالة المذكورة؟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دخلنا بيت شخص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نجس فهل نصدّقه ولما ذا؟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فهل نصدّقه ولما ذا؟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شخص يسكن دارا وادّعاها شخصان فتارة يكذبهما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 ، واخرى يصدق احدهما ، وثالثة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لي من دون ان يقول هي لهما ، ورابعة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لهما ، فما هو الموقف في الحالات المذكورة؟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قد وهبت داري لزيد سابقا فلأي قاعدة يقبل قوله المذكور؟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شخص داري بعتها لزيد بألف دينار مثلا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يستحق عليّ الشخص المذكور ألف دينار مقابل الدار صدّقا في ذلك ، ولكن هل يحتاج في تصديقهما إلى بيّنة أو يمين ولماذا؟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رأينا رجلا وامرأة في خلوة وادّعيا الزوجية بينهما فهل يصدّقان ولما ذا؟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الذي بيدي هو لزيد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هو لي فما هو الحكم في هذه الحالة؟ </w:t>
      </w:r>
      <w:bookmarkStart w:id="303" w:name="pg19390_208382"/>
    </w:p>
    <w:p>
      <w:pPr>
        <w:pStyle w:val="Heading2"/>
        <w:numPr>
          <w:ilvl w:val="1"/>
          <w:numId w:val="1"/>
        </w:numPr>
        <w:rPr/>
      </w:pPr>
      <w:bookmarkStart w:id="304" w:name="__RefHeading___Toc17494469_1280447820"/>
      <w:bookmarkStart w:id="305" w:name="_Toc107"/>
      <w:bookmarkEnd w:id="303"/>
      <w:bookmarkEnd w:id="304"/>
      <w:r>
        <w:rPr>
          <w:rtl w:val="true"/>
        </w:rPr>
        <w:t>قاعدة الفراش</w:t>
      </w:r>
      <w:bookmarkEnd w:id="305"/>
    </w:p>
    <w:p>
      <w:pPr>
        <w:pStyle w:val="Heading3"/>
        <w:numPr>
          <w:ilvl w:val="2"/>
          <w:numId w:val="1"/>
        </w:numPr>
        <w:rPr/>
      </w:pPr>
      <w:bookmarkStart w:id="306" w:name="__RefHeading___Toc17494471_1280447820"/>
      <w:bookmarkStart w:id="307" w:name="_Toc108"/>
      <w:bookmarkEnd w:id="306"/>
      <w:r>
        <w:rPr>
          <w:rtl w:val="true"/>
        </w:rPr>
        <w:t>اشارة</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حديث الفراش ومعناه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يتحقق الفراش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متعددة للفراش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الفراشين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وقاعدة الفراش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وبعض آرائه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القواعد المشهورة التي تسالم عليها جميع المسلمين قاعدة الفراش المستندة للحديث المشهور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ويشار إلى القاعدة المذكورة عادة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 وباب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باب النكاح فيذكر فيه ان الزوجة إذا تحقق منها الزنا أو وطء الشبهة فالولد المتكوّن بعد ذلك يبقى ملحقا بالزوج ولا يجوز نفيه عنه لقاعدة الفراش</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باب اللعان فيذكر فيه ان من ولد له ولد وكان يشك في نسبته إليه فلا يجوز له نفيه عنه لقاعدة الفراش ولكن لو جزم بأنّه ليس منه باعتبار انّه لم يواقعها طيلة الفترة فيلزمه نفيه عنه لئلاّ يلتحق بنسبه ما ليس منه ، ولكن لا يحكم الحاكم بالانتفاء عنه ظاهرا إلاّ بعد اللعان ، بأن يقول أمام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اني لمن الصادقين فيما قلت </w:t>
      </w:r>
    </w:p>
    <w:p>
      <w:pPr>
        <w:pStyle w:val="BookText"/>
        <w:rPr/>
      </w:pPr>
      <w:r>
        <w:rPr>
          <w:rFonts w:ascii="Amiri" w:hAnsi="Amiri" w:eastAsia="Amiri" w:cs="Amiri"/>
          <w:color w:val="111111"/>
          <w:sz w:val="28"/>
          <w:sz w:val="28"/>
          <w:szCs w:val="28"/>
          <w:rtl w:val="true"/>
          <w:lang w:bidi="ar-SA"/>
        </w:rPr>
        <w:t xml:space="preserve">من نفي ولدها ، مكررا ذلك أربع مرّات ، ثم يقول بعد ذلك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صورة اللعان هذه حكم بانتفاء الولد عن الزوج ظاهرا ، ولا يتحقق بينهما بعد ذلك توارث وتنفسخ الزوجية ويزول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أمكن التحاق الولد به تطبيقا لقاعدة الفراش ، اما إذا لم يمكن الالتحاق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الزوج كان في مكان والزوجة في مكان آخر وثبت لدى الحاكم عدم تحقق شي‌ء بينهما سوى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الانتفاء بدعواه بلا حاجة إلى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في هذين الموردين تذكر قاعدة الفراش ويتمسك بها ولكن كما هي العادة لا يشار إلى تفاصيلها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حولها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حديث الفراش ومعناه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يتحقق الفراش؟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متعددة للفراش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الفراشين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وقاعدة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وبعض آرائه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bookmarkStart w:id="308" w:name="pg19390_208386"/>
    </w:p>
    <w:p>
      <w:pPr>
        <w:pStyle w:val="Heading3"/>
        <w:numPr>
          <w:ilvl w:val="2"/>
          <w:numId w:val="1"/>
        </w:numPr>
        <w:rPr/>
      </w:pPr>
      <w:bookmarkStart w:id="309" w:name="__RefHeading___Toc17494473_1280447820"/>
      <w:bookmarkStart w:id="310" w:name="_Toc109"/>
      <w:bookmarkEnd w:id="308"/>
      <w:bookmarkEnd w:id="309"/>
      <w:r>
        <w:rPr/>
        <w:t>1</w:t>
      </w:r>
      <w:r>
        <w:rPr>
          <w:rtl w:val="true"/>
        </w:rPr>
        <w:t xml:space="preserve"> - </w:t>
      </w:r>
      <w:r>
        <w:rPr>
          <w:rtl w:val="true"/>
        </w:rPr>
        <w:t>مضمون القاعدة</w:t>
      </w:r>
      <w:bookmarkEnd w:id="310"/>
    </w:p>
    <w:p>
      <w:pPr>
        <w:pStyle w:val="BookText"/>
        <w:rPr/>
      </w:pPr>
      <w:r>
        <w:rPr>
          <w:rFonts w:ascii="Amiri" w:hAnsi="Amiri" w:eastAsia="Amiri" w:cs="Amiri"/>
          <w:color w:val="111111"/>
          <w:sz w:val="28"/>
          <w:sz w:val="28"/>
          <w:szCs w:val="28"/>
          <w:rtl w:val="true"/>
          <w:lang w:bidi="ar-SA"/>
        </w:rPr>
        <w:t>يقصد بالقاعدة المذكورة ان الزوجة متى ما اولدت ولدا ولم يجزم بانتفائه عن الزوج فهو ملحق به ولا يحق له نفيه عنه لمجرّد عدم مشابهته له أو لغير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الزوج لا يحق له نفي الولد عنه في صورة الجزم بكونه ولده كذلك لا يحق له ذلك حالة الشك واحتمال انّه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قاعدة الفراش هي كسائر القواعد المقررة حالة الشك ، فكما ان قاعدة الطهارة تتضمن الحكم بالطهارة على كل شي‌ء حالة الشك في طهارته كذلك قاعدة الفراش تحكم بالحاق الولد بالزوج حالة الشك في انتسابه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ان يفهم من القاعدة المذكورة الحكم بالحاق الولد بالزوج حتى في حالة عدم امكان الالتحاق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تحقق العقد فقط وغياب الزوج عن الزوجة غيابا كاملا أو فرض ولادة الطفل قبل مضي فترة أقل الحمل أو بعد مضي أقصى فترة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ذلك إلى أبي حنيفة على ما سيأتي بل المقصود الحكم بذلك حالة الشك وامكان الانتساب</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7494475_1280447820"/>
      <w:bookmarkStart w:id="312" w:name="_Toc110"/>
      <w:bookmarkEnd w:id="311"/>
      <w:r>
        <w:rPr/>
        <w:t>2</w:t>
      </w:r>
      <w:r>
        <w:rPr>
          <w:rtl w:val="true"/>
        </w:rPr>
        <w:t xml:space="preserve"> - </w:t>
      </w:r>
      <w:r>
        <w:rPr>
          <w:rtl w:val="true"/>
        </w:rPr>
        <w:t>مدرك القاعدة</w:t>
      </w:r>
      <w:bookmarkEnd w:id="3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تستند القاعدة المذكورة الى الحديث المشهور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المذكور متفق بيننا وبين العامة على روايته عنه  صلی اللّه عليه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روي عندنا في نصوص متعدّدة ، كصحيحة سعيد الأعرج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رجلين وقعا على جارية في طهر واحد لمن يكون 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عنده لقول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المالك للجارية ، كما نبّه على ذلك الفيض الكاشاني في كتابه الوافي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الحلبي عن 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 رجل وقع على وليدة قوم حراما ثم اشتراها فادّعى ولدها فانه لا يورث منه شي‌ء ، فان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الأمثلة في رواياتنا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في أحاديث العامة فقد روى مسلم بسنده إلى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اختصم سعد بن أبي وقّاص وعبد بن زمعة في غلام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يا رسول اللّه ابن أخي عتبة بن أبي وقاص عهد إليّ انّه ابنه ، انظر إلى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يا رسول اللّه ولد على فراش أبي من وليدته ، فنظر رسول اللّه  صلی اللّه عليه وآله وسلم  إلى شبهه فرأى شبها بيّنا بعتبة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يا عبد ، 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أحمد بن حنبل في مسنده عن عبادة بن الصامت قسما </w:t>
      </w:r>
    </w:p>
    <w:p>
      <w:pPr>
        <w:pStyle w:val="BookText"/>
        <w:rPr/>
      </w:pPr>
      <w:r>
        <w:rPr>
          <w:rFonts w:ascii="IRNazanin" w:hAnsi="IRNazanin" w:eastAsia="IRNazanin"/>
          <w:color w:val="111111"/>
          <w:sz w:val="28"/>
          <w:sz w:val="28"/>
          <w:szCs w:val="28"/>
          <w:rtl w:val="true"/>
          <w:lang w:bidi="fa-IR"/>
        </w:rPr>
        <w:t xml:space="preserve">كبيرا من أقضية النبي  صلی اللّه عليه وآله وسلم  ، حيث قال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قضاء رسول اللّه ان المعدن جبار والبئر جبار والعجماء جرحها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ان 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ونصوصهم التي تنقل قاعدة الفراش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مثال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وقصّة الطعن على معاوية على القائه الحديث المذكور في سلّة المهملات مشهورة ، فان مطاعن الشخص المذكور وان كان يصعب حصرها إلاّ ان أشهرها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لأمير المؤمنين  عليه‌ السلام ، وقتله حجرا الذي هو من خيار أصحاب النبي  صلی اللّه عليه وآله وسلم  ، واستخلافه ولده من بعده ، واستلحاقه زيادا بأبي سفيان هاجرا بذلك حكم النبي  صلی اللّه عليه وآله وسلم  بكون الولد للفراش وللعاهر الحجر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يراد بهذا الحكم أن زيادا ولد زنا ليقال كيف اذن نصّبه أمير المؤمنين  عليه‌ السلام فترة خلافته أميرا على بعض بلاد الإسلام الأمر الذي يستلزم امامته لجماعة المسلمين في صلاتهم التي لا تجوز لولد الزنا ، كلا لا يراد الحكم بأنّه ولد زنا ولا يمكن الحاقه بأبي سفيان ما دام ولد زنا وانّما يراد ان يقال ان مقتضى قاعدة الفراش الحاقه بوالده وزوج امّه لأنّه صاحب الفراش دون من زنا بها كأبي سفيان فان ذلك خلاف القاعدة المذكورة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المذكور يقطع بصدوره عن النبي  صلی اللّه عليه وآله وسلم  ولا حاجة للبحث عن سنده وان كان تامّا أيضا اتفاقا</w:t>
      </w:r>
      <w:r>
        <w:rPr>
          <w:rFonts w:eastAsia="IRNazanin" w:cs="IRNazanin"/>
          <w:color w:val="111111"/>
          <w:sz w:val="28"/>
          <w:szCs w:val="28"/>
          <w:rtl w:val="true"/>
          <w:lang w:bidi="fa-IR"/>
        </w:rPr>
        <w:t xml:space="preserve">. </w:t>
      </w:r>
      <w:bookmarkStart w:id="313" w:name="pg19390_208389"/>
    </w:p>
    <w:p>
      <w:pPr>
        <w:pStyle w:val="BookText"/>
        <w:rPr/>
      </w:pPr>
      <w:bookmarkEnd w:id="313"/>
      <w:r>
        <w:rPr>
          <w:rFonts w:ascii="Amiri" w:hAnsi="Amiri" w:eastAsia="Amiri" w:cs="Amiri"/>
          <w:color w:val="111111"/>
          <w:sz w:val="28"/>
          <w:sz w:val="28"/>
          <w:szCs w:val="28"/>
          <w:rtl w:val="true"/>
          <w:lang w:bidi="ar-SA"/>
        </w:rPr>
        <w:t>هذا هو المدرك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الاجماع فلا يمكن التمسك به بعد كونه مستندا للحديث المذكور كما هو واضح</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7494477_1280447820"/>
      <w:bookmarkStart w:id="315" w:name="_Toc111"/>
      <w:bookmarkEnd w:id="314"/>
      <w:r>
        <w:rPr/>
        <w:t>3</w:t>
      </w:r>
      <w:r>
        <w:rPr>
          <w:rtl w:val="true"/>
        </w:rPr>
        <w:t xml:space="preserve"> - </w:t>
      </w:r>
      <w:r>
        <w:rPr>
          <w:rtl w:val="true"/>
        </w:rPr>
        <w:t>ألفاظ حديث الفراش ومعناه</w:t>
      </w:r>
      <w:bookmarkEnd w:id="315"/>
    </w:p>
    <w:p>
      <w:pPr>
        <w:pStyle w:val="BookText"/>
        <w:rPr/>
      </w:pPr>
      <w:r>
        <w:rPr>
          <w:rFonts w:ascii="Amiri" w:hAnsi="Amiri" w:eastAsia="Amiri" w:cs="Amiri"/>
          <w:color w:val="111111"/>
          <w:sz w:val="28"/>
          <w:sz w:val="28"/>
          <w:szCs w:val="28"/>
          <w:rtl w:val="true"/>
          <w:lang w:bidi="ar-SA"/>
        </w:rPr>
        <w:t xml:space="preserve">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على المرأة باعتبار ان الرجل يفترشها ولكن المقصود منها في الحديث صاحب الفراش ، وهو الزوج أو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والعاهر هو الزاني من العهر بمعنى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ثبوت الحجر للعاهر الكناية عن الخيبة وعدم ثبوت شي‌ء له ، فان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التراب أو الحجر تقصد بذلك الكناية عن خيبته وعدم ثبوت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كون المقصود الكناية عن الرجم وانه في حالة الزنا والشك في انتساب الولد يلحق بصاحب الفراش والزاني يرجم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المعنى الأوّل أرجح باعتبار ان حكم الزاني ليس هو الرجم بالحجارة دائما بل يختص ذلك بما إذا كان محصنا ، واما غير المحصن فحكمه الجلد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7494479_1280447820"/>
      <w:bookmarkStart w:id="317" w:name="_Toc112"/>
      <w:bookmarkEnd w:id="316"/>
      <w:r>
        <w:rPr/>
        <w:t>4</w:t>
      </w:r>
      <w:r>
        <w:rPr>
          <w:rtl w:val="true"/>
        </w:rPr>
        <w:t xml:space="preserve"> - </w:t>
      </w:r>
      <w:r>
        <w:rPr>
          <w:rtl w:val="true"/>
        </w:rPr>
        <w:t>بم يتحقق الفراش</w:t>
      </w:r>
      <w:bookmarkEnd w:id="3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كون المقصود من الفراش هو الزوج ، ولكن بم يتحقق كونه فراشا ومتى يصدق ذلك؟ فهل يكفي في تحقق ذلك مجرّد </w:t>
      </w:r>
    </w:p>
    <w:p>
      <w:pPr>
        <w:pStyle w:val="BookText"/>
        <w:rPr/>
      </w:pPr>
      <w:r>
        <w:rPr>
          <w:rFonts w:ascii="Amiri" w:hAnsi="Amiri" w:eastAsia="Amiri" w:cs="Amiri"/>
          <w:color w:val="111111"/>
          <w:sz w:val="28"/>
          <w:sz w:val="28"/>
          <w:szCs w:val="28"/>
          <w:rtl w:val="true"/>
          <w:lang w:bidi="ar-SA"/>
        </w:rPr>
        <w:t>تحقق العقد أو يلزم تحقق الدخول؟</w:t>
      </w:r>
    </w:p>
    <w:p>
      <w:pPr>
        <w:pStyle w:val="BookText"/>
        <w:rPr/>
      </w:pPr>
      <w:r>
        <w:rPr>
          <w:rFonts w:ascii="Amiri" w:hAnsi="Amiri" w:eastAsia="Amiri" w:cs="Amiri"/>
          <w:color w:val="111111"/>
          <w:sz w:val="28"/>
          <w:sz w:val="28"/>
          <w:szCs w:val="28"/>
          <w:rtl w:val="true"/>
          <w:lang w:bidi="ar-SA"/>
        </w:rPr>
        <w:t xml:space="preserve">ان في ذلك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بمجرّد العقد وان لم يتحقق بعده الدخول ، فنفس العقد بمجرده كاف في تحقق عنوان الفراش ويوجب الحاق الولد بالزوج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ينسب ذلك الى أبي حنيفة ، فقد ذكر العيني في عمدة القارئ الذي هو شرح لصحيح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أبو حنيفة فيما إذا عقد شخص على امرأة وطلّقها عقيب النكاح من غير امكان الوطء فاتت بولد لستّة أشهر من وقت العقد حيث ألحقه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جرت به عادة اللّه من ان الولد انّما يكون من ماء الرجل والمرأة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بالعقد وامكان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ذلك إلى الشافعي واحمد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بالعقد والدخول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ذلك الى مذهب ابن تيمية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والأنسب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تحقّق الفراش على العقد وامكان تحقّق الحمل من الزوج ، فلو فرض ان الزوج لم يدخل بزوجته ولكنه أراق منيّه على فرجها كفى ذلك في تحقق الفراش والحاق الولد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الفراش وان كان يراد بها الزوج ، ومقتضى اطلاق الحديث كفاية تحقق العقد في الالحاق بالزوج كما هو المنسوب إلى أبي حنيفة إلاّ ان من الواضح ان القاعدة المذكورة قاعدة </w:t>
      </w:r>
      <w:bookmarkStart w:id="318" w:name="pg19390_208391"/>
    </w:p>
    <w:p>
      <w:pPr>
        <w:pStyle w:val="BookText"/>
        <w:rPr/>
      </w:pPr>
      <w:bookmarkEnd w:id="318"/>
      <w:r>
        <w:rPr>
          <w:rFonts w:ascii="Amiri" w:hAnsi="Amiri" w:eastAsia="Amiri" w:cs="Amiri"/>
          <w:color w:val="111111"/>
          <w:sz w:val="28"/>
          <w:sz w:val="28"/>
          <w:szCs w:val="28"/>
          <w:rtl w:val="true"/>
          <w:lang w:bidi="ar-SA"/>
        </w:rPr>
        <w:t xml:space="preserve">شرّعت في حالات الشك في الانتساب ، إذ مع الجزم بالانتساب الى الزوج فلا معنى لأن يعبّدنا الشارع بالالحاق به لأنّه تعبّد بما هو معلوم بالوجدان ، وهكذا لا معنى للتعبّد مع الجزم بعدم امكان الالتحاق بالزوج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حبس أو مكان بعيد لا يمكن ان يصل معه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التعبّد بما يجزم ببطلانه ، فانّه تعبّد مرفوض عقلا وعقلائيا فيتعيّن بذلك كون المقصود التعبّد بالالحاق بالزوج في الحالات التي يمكن فيها الانتساب إليه ، ومن الواضح أن إمكان الالتحاق بالزوج لا يكفي فيه مجرّد العقد كما لا يلزم فيه تحقق الدخول بل يكفي امكان حصول التلقيح من ماء الرجل ولو مع الجزم بعدم تحقّق الدخول</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7494481_1280447820"/>
      <w:bookmarkStart w:id="320" w:name="_Toc113"/>
      <w:bookmarkEnd w:id="319"/>
      <w:r>
        <w:rPr/>
        <w:t>5</w:t>
      </w:r>
      <w:r>
        <w:rPr>
          <w:rtl w:val="true"/>
        </w:rPr>
        <w:t xml:space="preserve"> - </w:t>
      </w:r>
      <w:r>
        <w:rPr>
          <w:rtl w:val="true"/>
        </w:rPr>
        <w:t>مصاديق متعددة للفراش</w:t>
      </w:r>
      <w:bookmarkEnd w:id="320"/>
    </w:p>
    <w:p>
      <w:pPr>
        <w:pStyle w:val="BookText"/>
        <w:rPr/>
      </w:pPr>
      <w:r>
        <w:rPr>
          <w:rFonts w:ascii="Amiri" w:hAnsi="Amiri" w:eastAsia="Amiri" w:cs="Amiri"/>
          <w:color w:val="111111"/>
          <w:sz w:val="28"/>
          <w:sz w:val="28"/>
          <w:szCs w:val="28"/>
          <w:rtl w:val="true"/>
          <w:lang w:bidi="ar-SA"/>
        </w:rPr>
        <w:t>لا اشكال في تحقق الفراش بالعقد الدائم ، وذلك هو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ذلك هو المحقق الوحيد له بل يتحقق أيضا بالعقد المنقطع وبالملك ، فان عنوان الفراش يصدق في الحالتين المذكورتين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صحيحة سعيد الأعرج المتقدّمة حيث دلّت على ان الجارية المملوكة لمولاها إذا وطئها اثنان في طهر وحملت كان الطفل لمولاها التي هي عنده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يكفي في تحقق الفراش تحليل المولى جاريته لشخص فترة؟ نعم ذلك وجيه باعتبار ان التحليل سبب لحلية الجارية كالعقد والملك ولا فرق بينهما ، فكما يتحقق الفراش ويصدق بهما كذلك يتحقق بالتحليل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تسأل عن وطء الشبهة هل يكفي في تحقق عنوان الفراش؟</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ان المرأة لها زوج ووطئها فترة الزوجية شخص آخر شبهة ، واخرى يفترض عدم وجود زوج لها ووطئها شخصان أحدهما شبهة والآخر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الحالة الاولى فالولد ملحق بالزوج دون الواطئ شبهة لأن عنوان الفراش صادق على الزوج دون الواطئ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الولد للفراش يريد الحاق الولد بالزوج في الحالات التي يكون فيها أمر الولد مرددا بين كونه متولّدا من الزوج أو متولّدا من الزنا وليس بناظر لحالة دوران أمره بين كونه من الزوج أو من الواطئ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على نظر الحديث لما ذكر تعبيره في الجملة الثانية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المراد من العاهر خصوص الزاني ولا يعمّ الواطئ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المفهوم من الحديث ان الولد متى ما أمكن الحاقه بالفراش يلزم الحاقه به سواء كان المقابل هو احتمال التولد من الزاني أو احتمال تولده من الواطئ بالشبهة ولا يفهم العرف الخصوصية لكون الاحتمال المقابل هو التولد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الحالة الثانية فيمكن ان يقال بلزوم الاقتراع لتشخيص انتساب الولد لان احتمال تولده من كل منهما موجود ، وعنوان الفراش لا يصدق على أحدهما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فرض صدق عنوان الفراش على الواطئ شبهة الحق به ، كما لو فرض ان امرأة كان لها زوج فترة سنوات وبعد ذلك اتضح انّه </w:t>
      </w:r>
      <w:bookmarkStart w:id="321" w:name="pg19390_208393"/>
    </w:p>
    <w:p>
      <w:pPr>
        <w:pStyle w:val="BookText"/>
        <w:rPr/>
      </w:pPr>
      <w:bookmarkEnd w:id="321"/>
      <w:r>
        <w:rPr>
          <w:rFonts w:ascii="Amiri" w:hAnsi="Amiri" w:eastAsia="Amiri" w:cs="Amiri"/>
          <w:color w:val="111111"/>
          <w:sz w:val="28"/>
          <w:sz w:val="28"/>
          <w:szCs w:val="28"/>
          <w:rtl w:val="true"/>
          <w:lang w:bidi="ar-SA"/>
        </w:rPr>
        <w:t>اخوها من الرضاع فلا يبعد صدق عنوان الفراش عليه ويكون الولد ملحقا به عند زنا شخص بتلك المرأة</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7494483_1280447820"/>
      <w:bookmarkStart w:id="323" w:name="_Toc114"/>
      <w:bookmarkEnd w:id="322"/>
      <w:r>
        <w:rPr/>
        <w:t>6</w:t>
      </w:r>
      <w:r>
        <w:rPr>
          <w:rtl w:val="true"/>
        </w:rPr>
        <w:t xml:space="preserve"> - </w:t>
      </w:r>
      <w:r>
        <w:rPr>
          <w:rtl w:val="true"/>
        </w:rPr>
        <w:t>الدوران بين الفراشين</w:t>
      </w:r>
      <w:bookmarkEnd w:id="323"/>
    </w:p>
    <w:p>
      <w:pPr>
        <w:pStyle w:val="BookText"/>
        <w:rPr/>
      </w:pPr>
      <w:r>
        <w:rPr>
          <w:rFonts w:ascii="Amiri" w:hAnsi="Amiri" w:eastAsia="Amiri" w:cs="Amiri"/>
          <w:color w:val="111111"/>
          <w:sz w:val="28"/>
          <w:sz w:val="28"/>
          <w:szCs w:val="28"/>
          <w:rtl w:val="true"/>
          <w:lang w:bidi="ar-SA"/>
        </w:rPr>
        <w:t>إذا فرض ان امرأة طلّقها زوجها الأول وتزوجت بآخر بعد انتهاء العدة وولدت طفلا بعد زواجها بالثاني فهل يلحق الطفل بزوجها الأوّل أو بزوجها الثاني؟ ان لذلك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امكان الحاقه بالأول ولا يمكن الحاقه بالثاني ، كما إذا كانت ولادتها لأقل من ستة أشهر من حين وطء الثاني مع عدم تجاوز أقصى فترة الحمل من حين وطء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في مثل ذلك يلزم الحاقه بالأول لفرض عدم امكان الحاقه بغيره ويستكشف بطلان نكاح الثاني لوقوعه في العدة إذ تكون المرأة المذكورة حاملا من الأوّل حين تزوّجها بالثاني ، وعدّة الحامل تنقضي بالولادة ومن ثمّ يكون تزوجها بالثاني زواجا في العدة ، والعقد على ذات العدّة مع الدخول موجب لحرمتها المؤبدة ولو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يمكن الحاقه بالأوّل بينما يمكن الحاقه بالثاني عكس الصورة السابقة ، كما إذا فرض ان الولادة تحققت بعد مضي أقصى فترة الحمل من حين وطء الأوّل ، بينما يفترض الفترة من حين وطء الثاني ليست أقل من فترة أقل الحمل ولا أكثر من فترة أقصى الحمل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ذلك يتعيّن الالحاق بالثاني بعد عدم امكان الالحاق بالاول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يمكن الحاقه باحدهما ، كما إذا كانت الفترة بين الولادة ووطء الأول أزيد من فترة أقصى الحمل وبينها وبين وطء الثاني أنقص من فترة 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يكون منتفيا عنهما معا لعدم امكان الحاقه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يعني كونه من زنا لاحتمال دخول المني فيها بشكل آخر وهي لا تدري فتكون هي امّا له بلا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امكان الحاقه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يكون المناسب سقوط القاعدة في حقهما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يقال بالالحاق بالثاني لأن ظاهر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تابعا للفراش الفعلي ، وحيث ان الفراش الفعلي هو الثاني فيلزم الالحاق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المذكور مسلّم إلاّ ان المدار في فعلية الفراش على فعليته حين تحقق الوطء لا حين تحقق الولادة ، ومن الواضح انه في زمان وطء الأوّل كان هو الفراش الفعلي وفي زمان وطء الثاني كان هو الفراش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فالالحاق بالثاني من هذه الجهة مشكل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التمسك لذلك بموثق أبي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بولد لستة أشهر فهو للأخير وان كان لأقل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24" w:name="pg19390_208395"/>
    </w:p>
    <w:p>
      <w:pPr>
        <w:pStyle w:val="Heading3"/>
        <w:numPr>
          <w:ilvl w:val="2"/>
          <w:numId w:val="1"/>
        </w:numPr>
        <w:rPr/>
      </w:pPr>
      <w:bookmarkStart w:id="325" w:name="__RefHeading___Toc17494485_1280447820"/>
      <w:bookmarkStart w:id="326" w:name="_Toc115"/>
      <w:bookmarkEnd w:id="324"/>
      <w:bookmarkEnd w:id="325"/>
      <w:r>
        <w:rPr/>
        <w:t>7</w:t>
      </w:r>
      <w:r>
        <w:rPr>
          <w:rtl w:val="true"/>
        </w:rPr>
        <w:t xml:space="preserve"> - </w:t>
      </w:r>
      <w:r>
        <w:rPr>
          <w:rtl w:val="true"/>
        </w:rPr>
        <w:t>القيافة وقاعدة الفراش</w:t>
      </w:r>
      <w:bookmarkEnd w:id="326"/>
    </w:p>
    <w:p>
      <w:pPr>
        <w:pStyle w:val="BookText"/>
        <w:rPr/>
      </w:pPr>
      <w:r>
        <w:rPr>
          <w:rFonts w:ascii="Amiri" w:hAnsi="Amiri" w:eastAsia="Amiri" w:cs="Amiri"/>
          <w:color w:val="111111"/>
          <w:sz w:val="28"/>
          <w:sz w:val="28"/>
          <w:szCs w:val="28"/>
          <w:rtl w:val="true"/>
          <w:lang w:bidi="ar-SA"/>
        </w:rPr>
        <w:t>القيافة تعني ملاحظة وجوه الشبه بين اثنين في اليد أو الرجل ونحوهما ليحكم بأن هذا ابن ذاك أو أخوه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الفقهاء حرمتها فيما إذا قصد ترتيب أحكام النسب بعد ملاحظة وجوه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لإثبات حرمتها ان العمل على طبقها يستلزم طرح قاعدة الفراش التي جعلها الشارع الميزان الوحيد في الحكم بالنسب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توجد روايات قد يفهم منها جواز القيافة نذكر منها روايتين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قصة استسلام الامام الرضا  عليه‌ السلام للقافة في قضية ولده الامام الجواد  عليه‌ السلام ، فقد روى الكليني عن علي بن إبراهيم عن أبيه وعلي بن محمد القاساني جميعا عن زكريا بن يحيى بن النعمان الصيرفي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علي بن جعفر يحدّث الحسن بن الحسين بن علي بن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نصر اللّه أبا الحسن الرضا  عليه‌ السلام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جعلت فداك لقد بغى عليه اخوته فقال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ونحن عمومته بغينا عليه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صنعتم فاني لم أحضركم؟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اخوته ونحن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فينا امام قطّ حائل اللون ؛ فقال لهم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عليه وآله وسلم  قد قضى بالقافة فبيننا وبينك القافة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اليهم فامّا أنا فلا ولا تعلموهم لما دعوتموهم ولتكونوا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جاؤوا </w:t>
      </w:r>
    </w:p>
    <w:p>
      <w:pPr>
        <w:pStyle w:val="BookText"/>
        <w:rPr/>
      </w:pPr>
      <w:r>
        <w:rPr>
          <w:rFonts w:ascii="Amiri" w:hAnsi="Amiri" w:eastAsia="Amiri" w:cs="Amiri"/>
          <w:color w:val="111111"/>
          <w:sz w:val="28"/>
          <w:sz w:val="28"/>
          <w:szCs w:val="28"/>
          <w:rtl w:val="true"/>
          <w:lang w:bidi="ar-SA"/>
        </w:rPr>
        <w:t xml:space="preserve">أقعدونا في البستان واصطفّ عمومته واخوته واخواته وأخذوا الرضا  عليه‌ السلام وألبسوه جبّة صوف وقلنسوة منها ووضعوا على عنقه مسحاة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 ثم جاؤوا بأبي جعفر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الغلام بأبيه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هاهنا أب ولكن هذا عمّ أبيه وهذا عمّ أبيه وهذا عمّه وهذه عمّته وان يكن له هاهنا أب فهو صاحب البستان فان قدميه وقدميه واحدة فلما رجع أبو الحسن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هذا الخبر خالف صاحب الحدائق المشهور في مسألة القيافة واختار جوازها باعتبار انّه  عليه‌ السلام أجابهم إلى ما سألوا ولو كان ذلك محرّما لما أجابهم إلى ذلك ، وكيف يجيب  عليه‌ السلام الى محرم ، مضافا الى انّهم نقلوا عن رسول اللّه  صلی اللّه عليه وآله وسلم  قضاءه بالقافة وهو  عليه‌ السلام لم يكذّبهم بل قررهم على ذلك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كتب العامة مكرّرا عن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عليه وآله وسلم  دخل عليّ مسرورا تبرق أسارير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تري ان مجزّزا نظر آنفا الى زيد بن حارثة واسامة بن 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هذه الأقدام لمن بعض</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 التشكيك في نسبة اسامة إلى زيد ان زيدا أبيض اللون بينما اسامة شديد السواد لأنّ امه أم أيمن كانت حبشية سوداء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واسترّ النبيّ  صلی اللّه عليه وآله وسلم  لأنّ شهادة مجزز القائف الذي كان يجزّ ناصية الاسراء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سمّي بمجزّز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والسرور المذكور وركونه  صلی اللّه عليه وآله وسلم  الى شهادة القائف يدل على جواز القيافة والاستناد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وكلتا الروايتين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فلأنّها ضعيفة بزكريا الصيرفي الراوي لها فانّه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ومضمونها لا يمكن قبوله إذ كيف يحتمل وصول المستوى بأعمام الامام  عليه‌ السلام واخوته الى حدّ لا وازع لهم من ابراز مخدراتهم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النبوّة والامامة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القائف ناظرا في أرجلهن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يحتمل ذلك في حق علي بن جعفر الذي كان يقدّس مقام الامامة إلى حدّ بعيد ، فقد روى الكليني بسنده إلى محمّد بن الحسن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علي بن جعفر بن محمّد جالسا بالمدينة وكنت أقمت عنده سنتين أكتب عنه ما يسمع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أبو جعفر محمد بن علي الرضا  عليه‌ السلام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علي بن جعفر بلا حذاء ولا رداء فقبّل يده وعظّمه فقال له أبو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 اجلس رحمك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سيدي كيف أجلس وأنت قائم ، فلما رجع علي بن جعفر الى مجلسه جعل أصحابه يوبّخونه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عمّ أبيه وأنت تفعل به هذا الفعل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إذا كان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يؤهّل هذه الشيبة وأهّل هذا الفتى ووضعه حيث وضعه انكر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ممّا </w:t>
      </w:r>
      <w:bookmarkStart w:id="327" w:name="pg19390_208398"/>
    </w:p>
    <w:p>
      <w:pPr>
        <w:pStyle w:val="BookText"/>
        <w:rPr/>
      </w:pPr>
      <w:bookmarkEnd w:id="327"/>
      <w:r>
        <w:rPr>
          <w:rFonts w:ascii="IRNazanin" w:hAnsi="IRNazanin" w:eastAsia="IRNazanin"/>
          <w:color w:val="111111"/>
          <w:sz w:val="28"/>
          <w:sz w:val="28"/>
          <w:szCs w:val="28"/>
          <w:rtl w:val="true"/>
          <w:lang w:bidi="fa-IR"/>
        </w:rPr>
        <w:t>تقولون بل أنا له عبد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الرواية الثانية فلو ثبت صحّة سندها وفرض نزول تحريم القيافة تلك الفترة فيمكن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سرور النبي  صلی اللّه عليه وآله وسلم  كان للنتائج التي توصّل اليها مجزز ، وهي نفي التشكيك عن نسب اسامة وذلك ليس فيه أي دلالة على امضاء القيافة وفعل القائف</w:t>
      </w:r>
      <w:r>
        <w:rPr>
          <w:rFonts w:eastAsia="IRNazanin" w:cs="IRNazanin"/>
          <w:color w:val="111111"/>
          <w:sz w:val="28"/>
          <w:szCs w:val="28"/>
          <w:rtl w:val="true"/>
          <w:lang w:bidi="fa-IR"/>
        </w:rPr>
        <w:t>.</w:t>
      </w:r>
    </w:p>
    <w:p>
      <w:pPr>
        <w:pStyle w:val="Heading3"/>
        <w:numPr>
          <w:ilvl w:val="2"/>
          <w:numId w:val="1"/>
        </w:numPr>
        <w:rPr/>
      </w:pPr>
      <w:bookmarkStart w:id="328" w:name="__RefHeading___Toc17494487_1280447820"/>
      <w:bookmarkStart w:id="329" w:name="_Toc116"/>
      <w:bookmarkEnd w:id="328"/>
      <w:r>
        <w:rPr/>
        <w:t>8</w:t>
      </w:r>
      <w:r>
        <w:rPr>
          <w:rtl w:val="true"/>
        </w:rPr>
        <w:t xml:space="preserve"> - </w:t>
      </w:r>
      <w:r>
        <w:rPr>
          <w:rtl w:val="true"/>
        </w:rPr>
        <w:t>أبو حنيفة وبعض آرائه</w:t>
      </w:r>
      <w:bookmarkEnd w:id="329"/>
    </w:p>
    <w:p>
      <w:pPr>
        <w:pStyle w:val="BookText"/>
        <w:rPr/>
      </w:pPr>
      <w:r>
        <w:rPr>
          <w:rFonts w:ascii="Amiri" w:hAnsi="Amiri" w:eastAsia="Amiri" w:cs="Amiri"/>
          <w:color w:val="111111"/>
          <w:sz w:val="28"/>
          <w:sz w:val="28"/>
          <w:szCs w:val="28"/>
          <w:rtl w:val="true"/>
          <w:lang w:bidi="ar-SA"/>
        </w:rPr>
        <w:t>عرفنا فيما سبق ان قاعدة الفراش شرعت أمارة حالة الشك في الانتساب ولم تشرّع لإثبات الانتساب الى الزوج تعبّدا حتى مع الجزم بعدم الانتساب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المنسوب الى أبي حنيفة ان حيثية الفراش تتحقق بمجرّد العقد ولو لم يتحقق دخول وأنتج ذلك نتائج غريبة التزم بها وبنى عليها اشار الى بعضها ابن قدامة في المغني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غيبة طويلة وبلغ الزوجة خبر وفاته فاعتدت ثم تزوّجت بآخر وجاءت منه بأولاد ثم جاء زوجها الأول فالعقد الثاني باطل ويلحق الأولاد بالأول لأنّه 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مشرقي بمغربية ولم يجتمعا أصلا وجاءت بولد لستة أشهر من حين العقد الحق بالزوج حتى لو طلّقها عقيب العقد بلا فاصل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رجلان اختين وزفت كل واحدة الى زوج الاخرى </w:t>
      </w:r>
      <w:bookmarkStart w:id="330" w:name="pg19390_208399"/>
    </w:p>
    <w:p>
      <w:pPr>
        <w:pStyle w:val="BookText"/>
        <w:rPr/>
      </w:pPr>
      <w:bookmarkEnd w:id="330"/>
      <w:r>
        <w:rPr>
          <w:rFonts w:ascii="Amiri" w:hAnsi="Amiri" w:eastAsia="Amiri" w:cs="Amiri"/>
          <w:color w:val="111111"/>
          <w:sz w:val="28"/>
          <w:sz w:val="28"/>
          <w:szCs w:val="28"/>
          <w:rtl w:val="true"/>
          <w:lang w:bidi="ar-SA"/>
        </w:rPr>
        <w:t>اشتباها ووطئ كلّ منهما من زفّت إليه وحملت فالولد للزوج الأصلي تطبيقا لقاعدة الفراش</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والانتهاء الى مثل هذه النتائج ليس بغريب بعد ما نقل ابن حزم في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 الدنيا ابطال أبي حنيفة الحج بوطء الرجل امرأته ناسيا لإحرامه وقد صح ان اللّه تعالى لا يؤاخذ بالنسيان ثم لا يبطل الحج بتعهد القصد إلى ان يلوط في احرامه أو يلاط به، فهل في الفضائح والقبائح أكثر من هذه المعصية وأعجب شي‌ء دعواهم الاجماع عليه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وفتواه في عدم لزوم قتل اللائط متأوّلا في ذلك الأحاديث الدالّة على لزوم قتل الفاعل والمفعول به بحملها على المستحل أو على أمر سياسي قد تناقلتها كتب علماء الحنفية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7494489_1280447820"/>
      <w:bookmarkStart w:id="332" w:name="_Toc117"/>
      <w:bookmarkEnd w:id="331"/>
      <w:r>
        <w:rPr/>
        <w:t>9</w:t>
      </w:r>
      <w:r>
        <w:rPr>
          <w:rtl w:val="true"/>
        </w:rPr>
        <w:t xml:space="preserve"> - </w:t>
      </w:r>
      <w:r>
        <w:rPr>
          <w:rtl w:val="true"/>
        </w:rPr>
        <w:t>تطبيقات</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متزوجة زنا بها شخص وولدت طفلا يشابه الزاني تماما واجريت الفحوصات وتحاليل الدم فلوحظ الشبه الكامل في الدم وغيره بين الزاني والطفل فبمن يلحق؟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لها زوج لا ينجب زرّقت بحيامن شخص آخر وحملت بمن يلحق الطفل؟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لم يجامع زوجته من القبل وزرّقت لها حيامن شخص آخر أو زنا بها آخر وحملت بمن يلحق الحمل؟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كان يجامع زوجته عازلا عنها المني أو كان يستعمل الكيس أو تتناول هي الاقراص وحملت فلمن الحمل بعد افتراض ان شخصا زنا بها أو وطئها شبهة؟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أجرى لنفسه عملية جراحية منعته بعد ذلك من الانجاب فلو حملت زوجته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زنا شخص آخر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يلحق الطفل؟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شخصان بالشبهة امرأة فولدت فبمن يلحق الطفل؟</w:t>
      </w:r>
    </w:p>
    <w:p>
      <w:pPr>
        <w:pStyle w:val="BookText"/>
        <w:rPr/>
      </w:pPr>
      <w:r>
        <w:rPr>
          <w:rFonts w:ascii="Amiri" w:hAnsi="Amiri" w:eastAsia="Amiri" w:cs="Amiri"/>
          <w:color w:val="111111"/>
          <w:sz w:val="28"/>
          <w:sz w:val="28"/>
          <w:szCs w:val="28"/>
          <w:rtl w:val="true"/>
          <w:lang w:bidi="ar-SA"/>
        </w:rPr>
        <w:t xml:space="preserve">تمّ بتوفيق اللّه سبحانه مراجعة كتابنا المذكور في مدينة قم المقدّسة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يتقبّل ذلك منّا بلطفه وكرمه انّه الجواد الكريم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9390_208402"/>
      <w:bookmarkStart w:id="334" w:name="pg19390_208402"/>
      <w:bookmarkEnd w:id="334"/>
    </w:p>
    <w:p>
      <w:pPr>
        <w:pStyle w:val="Heading2"/>
        <w:numPr>
          <w:ilvl w:val="1"/>
          <w:numId w:val="1"/>
        </w:numPr>
        <w:rPr/>
      </w:pPr>
      <w:bookmarkStart w:id="335" w:name="pg19390_208402"/>
      <w:bookmarkStart w:id="336" w:name="__RefHeading___Toc17494491_1280447820"/>
      <w:bookmarkStart w:id="337" w:name="_Toc118"/>
      <w:bookmarkEnd w:id="335"/>
      <w:bookmarkEnd w:id="336"/>
      <w:r>
        <w:rPr>
          <w:rtl w:val="true"/>
        </w:rPr>
        <w:t>فهرس الكتاب</w:t>
      </w:r>
      <w:bookmarkEnd w:id="337"/>
    </w:p>
    <w:p>
      <w:pPr>
        <w:pStyle w:val="BookText"/>
        <w:rPr/>
      </w:pPr>
      <w:r>
        <w:rPr>
          <w:rFonts w:ascii="Amiri" w:hAnsi="Amiri" w:eastAsia="Amiri" w:cs="Amiri"/>
          <w:color w:val="111111"/>
          <w:sz w:val="28"/>
          <w:sz w:val="28"/>
          <w:szCs w:val="28"/>
          <w:rtl w:val="true"/>
          <w:lang w:bidi="ar-SA"/>
        </w:rPr>
        <w:t>قاعدة القرعة والاستخارة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لما لا تعين له واقعا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لغير باب التنازع والقضاء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أصل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القرعة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رخصة أو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بين نصوص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لقاعدة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للشك في النجاسة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لمورد استصحاب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القاعدة لموارد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الطهارة حكم ظاهري أو 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 الطهارة ومانعية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قاعدة الالزام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الالزام والامضاء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اباحة أو صحّة 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لسائر ذوي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لقاعدة الالزام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قاعدة سوق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نكتة امارية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فرق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أرض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المحتملات في 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النفس والأعضاء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والقاعدة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الأدلّة الأوّلية والقاعدة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قاعدة 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 أو 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المنافع والاعمال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أو القيمة وبدل الحيلولة واجرة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للجاهل والصغير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يد الامانة والاحسان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اخرى للضمان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قاعدة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في صحة التمسك بالقاعدة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قاعدتا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استثناءات من قاعدة قبول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بالدلالة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في الاقرار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القبول بموارد السلطنة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الفراش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حديث الفراش ومعناه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يتحقق الفراش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متعددة للفراش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الفراشين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وقاعدة الفراش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وبعض آرائه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مباني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الدعوى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الطبع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 على وزن عنبة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الاستخارة وما يناسبها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يعارض استصحاب عدم اصابة النجاسة للثوب باستصحاب بقاء النجاسة في رجل الحيوان إلى حين الاصابة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الجزء الأوّل من التهذيب حديث 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 الجزء الثاني حديث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 الجزء الثالث 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ويدعم ذلك أيضا ان سند الاستبصار والكافي لا يشتمل على الشخص المتوسط المذكور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المطلقة بطلاق فاقد للشرائط الشرعية اللازمة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والاجداد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والاجداد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البيت  عليهم‌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والتقييد في منهاج الصالحين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اذا تشيّعت لا نعرف له وجها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الرجل بالتحريك جمع عاصب ككفرة جمع كافر ، وهم بنوه وقرابته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سمّوا عصبة لأنّهم عصبوا به ، أي أحاطوا به ، فالأب طرف ، والابن طرف والأخ جانب والعم جانب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عيسى الأشعري الثقة الجليل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بفتح الصاد وكسر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يجد البرد سريعا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الكليني رواها عن شيخه علي بن محمد عن عبد اللّه بن إسحاق العلوي عن الحسن بن علي عن محمد بن سليمان الديلمي عن عيثم بن أسلم النجاشي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الكل مجاهيل ما عدا علي بن محمد وأبي بصير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الشيخ الطوسي رواها بسنده عن الحسن بن علي عن محمد بن عبد اللّه بن هلال عن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عبد اللّه بن هلال مجهول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الأعظم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للشيخ الآخوند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للشيخ الايرواني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 الجزء الأول عند البحث عن قاعدة لا ضرر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لا بدّ من افتراض ذلك في غير الصلاة إذ الصلاة لا اشكال في عدم سقوط وجوبها بتعذّر بعض أجزائها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المضمون المذكور في رواية واحدة وهي صحيحة زرارة الواردة في المستحاضة حيث 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تصلي ولا تدع الصلاة على حال فان النبي  صلی اللّه عليه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قاعدة الميسور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بشرح ابن العربي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الاولى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السباب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الحكمة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كتاب النكاح ، فصل نكاح العبيد والاماء ،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في هامش الجواهر ذلك عن حاشية الارشاد للمحقق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يرجع المغرور بالمهر على الذي غرّه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للشيخ ناصر مكارم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شيئا ملك الاقرار به الملحقة بآخر المكاسب للشيخ الأنصاري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الملحقة في آخر المكاسب للشيخ الأنصاري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شيئا ملك الاقرار به الملحقة بآخر المكاسب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الاقرار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الاقرار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الملحقة بآخر المكاسب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والاماء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الأنسب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تكون منصوبة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وتوقي الشبهات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لشيخ الشريعة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متفرقة عن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من قبل محمّد أبي الفضل إبراهيم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على هامش شرح الزرقاني لابن القيم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الرضاع حديث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باب القائف من كتاب الفرائض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السجستاني في كتاب الطلاق من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 الرائق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للشعراني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35196</Words>
  <Characters>146759</Characters>
  <CharactersWithSpaces>180710</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2026-08-25T20:39:56Z</dcterms:created>
  <dc:creator>ghaemiyeh.com</dc:creator>
  <dc:description/>
  <dc:language>en-US</dc:language>
  <cp:lastModifiedBy/>
  <dcterms:modified xsi:type="dcterms:W3CDTF">2026-08-26T00:10:01Z</dcterms:modified>
  <cp:revision>1</cp:revision>
  <dc:subject/>
  <dc:title>دروس تمهیدیة فی القواعد الفقهیة جلد 2</dc:title>
</cp:coreProperties>
</file>

<file path=docProps/custom.xml><?xml version="1.0" encoding="utf-8"?>
<Properties xmlns="http://schemas.openxmlformats.org/officeDocument/2006/custom-properties" xmlns:vt="http://schemas.openxmlformats.org/officeDocument/2006/docPropsVTypes"/>
</file>