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تمهیدیة فی القواعد الفقهیة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79145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47914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479149_128044782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7479151_1280447820">
            <w:r>
              <w:rPr>
                <w:webHidden/>
                <w:rStyle w:val="IndexLink"/>
                <w:rtl w:val="true"/>
              </w:rPr>
              <w:t>المدخل</w:t>
            </w:r>
            <w:r>
              <w:rPr>
                <w:rStyle w:val="IndexLink"/>
                <w:rtl w:val="true"/>
              </w:rPr>
              <w:tab/>
            </w:r>
            <w:r>
              <w:rPr>
                <w:rStyle w:val="IndexLink"/>
              </w:rPr>
              <w:t>14</w:t>
            </w:r>
          </w:hyperlink>
        </w:p>
        <w:p>
          <w:pPr>
            <w:pStyle w:val="Contents3"/>
            <w:tabs>
              <w:tab w:val="clear" w:pos="8459"/>
              <w:tab w:val="right" w:pos="9026" w:leader="dot"/>
            </w:tabs>
            <w:rPr/>
          </w:pPr>
          <w:hyperlink w:anchor="__RefHeading___Toc17479153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7479155_1280447820">
            <w:r>
              <w:rPr>
                <w:webHidden/>
                <w:rStyle w:val="IndexLink"/>
                <w:rtl w:val="true"/>
              </w:rPr>
              <w:t>مدى أهمية البحث عن القواعد الفقهية</w:t>
            </w:r>
            <w:r>
              <w:rPr>
                <w:rStyle w:val="IndexLink"/>
                <w:rtl w:val="true"/>
              </w:rPr>
              <w:tab/>
            </w:r>
            <w:r>
              <w:rPr>
                <w:rStyle w:val="IndexLink"/>
              </w:rPr>
              <w:t>14</w:t>
            </w:r>
          </w:hyperlink>
        </w:p>
        <w:p>
          <w:pPr>
            <w:pStyle w:val="Contents3"/>
            <w:tabs>
              <w:tab w:val="clear" w:pos="8459"/>
              <w:tab w:val="right" w:pos="9026" w:leader="dot"/>
            </w:tabs>
            <w:rPr/>
          </w:pPr>
          <w:hyperlink w:anchor="__RefHeading___Toc17479157_1280447820">
            <w:r>
              <w:rPr>
                <w:webHidden/>
                <w:rStyle w:val="IndexLink"/>
                <w:rtl w:val="true"/>
              </w:rPr>
              <w:t>تاريخ البحث في القواعد الفقهية</w:t>
            </w:r>
            <w:r>
              <w:rPr>
                <w:rStyle w:val="IndexLink"/>
                <w:rtl w:val="true"/>
              </w:rPr>
              <w:tab/>
            </w:r>
            <w:r>
              <w:rPr>
                <w:rStyle w:val="IndexLink"/>
              </w:rPr>
              <w:t>15</w:t>
            </w:r>
          </w:hyperlink>
        </w:p>
        <w:p>
          <w:pPr>
            <w:pStyle w:val="Contents3"/>
            <w:tabs>
              <w:tab w:val="clear" w:pos="8459"/>
              <w:tab w:val="right" w:pos="9026" w:leader="dot"/>
            </w:tabs>
            <w:rPr/>
          </w:pPr>
          <w:hyperlink w:anchor="__RefHeading___Toc17479159_1280447820">
            <w:r>
              <w:rPr>
                <w:webHidden/>
                <w:rStyle w:val="IndexLink"/>
                <w:rtl w:val="true"/>
              </w:rPr>
              <w:t>القاعدة الفقهية والفارق بينها وبين القاعدة الأصولية</w:t>
            </w:r>
            <w:r>
              <w:rPr>
                <w:rStyle w:val="IndexLink"/>
                <w:rtl w:val="true"/>
              </w:rPr>
              <w:tab/>
            </w:r>
            <w:r>
              <w:rPr>
                <w:rStyle w:val="IndexLink"/>
              </w:rPr>
              <w:t>18</w:t>
            </w:r>
          </w:hyperlink>
        </w:p>
        <w:p>
          <w:pPr>
            <w:pStyle w:val="Contents3"/>
            <w:tabs>
              <w:tab w:val="clear" w:pos="8459"/>
              <w:tab w:val="right" w:pos="9026" w:leader="dot"/>
            </w:tabs>
            <w:rPr/>
          </w:pPr>
          <w:hyperlink w:anchor="__RefHeading___Toc17479161_1280447820">
            <w:r>
              <w:rPr>
                <w:webHidden/>
                <w:rStyle w:val="IndexLink"/>
                <w:rtl w:val="true"/>
              </w:rPr>
              <w:t>المسألة الفقهية والقاعدة الفقهية</w:t>
            </w:r>
            <w:r>
              <w:rPr>
                <w:rStyle w:val="IndexLink"/>
                <w:rtl w:val="true"/>
              </w:rPr>
              <w:tab/>
            </w:r>
            <w:r>
              <w:rPr>
                <w:rStyle w:val="IndexLink"/>
              </w:rPr>
              <w:t>20</w:t>
            </w:r>
          </w:hyperlink>
        </w:p>
        <w:p>
          <w:pPr>
            <w:pStyle w:val="Contents3"/>
            <w:tabs>
              <w:tab w:val="clear" w:pos="8459"/>
              <w:tab w:val="right" w:pos="9026" w:leader="dot"/>
            </w:tabs>
            <w:rPr/>
          </w:pPr>
          <w:hyperlink w:anchor="__RefHeading___Toc17479163_1280447820">
            <w:r>
              <w:rPr>
                <w:webHidden/>
                <w:rStyle w:val="IndexLink"/>
                <w:rtl w:val="true"/>
              </w:rPr>
              <w:t>ما به الاشتراك والامتياز</w:t>
            </w:r>
            <w:r>
              <w:rPr>
                <w:rStyle w:val="IndexLink"/>
                <w:rtl w:val="true"/>
              </w:rPr>
              <w:tab/>
            </w:r>
            <w:r>
              <w:rPr>
                <w:rStyle w:val="IndexLink"/>
              </w:rPr>
              <w:t>21</w:t>
            </w:r>
          </w:hyperlink>
        </w:p>
        <w:p>
          <w:pPr>
            <w:pStyle w:val="Contents3"/>
            <w:tabs>
              <w:tab w:val="clear" w:pos="8459"/>
              <w:tab w:val="right" w:pos="9026" w:leader="dot"/>
            </w:tabs>
            <w:rPr/>
          </w:pPr>
          <w:hyperlink w:anchor="__RefHeading___Toc17479165_1280447820">
            <w:r>
              <w:rPr>
                <w:webHidden/>
                <w:rStyle w:val="IndexLink"/>
                <w:rtl w:val="true"/>
              </w:rPr>
              <w:t>القواعد الفقهية لا تنحصر في عدد معين</w:t>
            </w:r>
            <w:r>
              <w:rPr>
                <w:rStyle w:val="IndexLink"/>
                <w:rtl w:val="true"/>
              </w:rPr>
              <w:tab/>
            </w:r>
            <w:r>
              <w:rPr>
                <w:rStyle w:val="IndexLink"/>
              </w:rPr>
              <w:t>21</w:t>
            </w:r>
          </w:hyperlink>
        </w:p>
        <w:p>
          <w:pPr>
            <w:pStyle w:val="Contents3"/>
            <w:tabs>
              <w:tab w:val="clear" w:pos="8459"/>
              <w:tab w:val="right" w:pos="9026" w:leader="dot"/>
            </w:tabs>
            <w:rPr/>
          </w:pPr>
          <w:hyperlink w:anchor="__RefHeading___Toc17479167_1280447820">
            <w:r>
              <w:rPr>
                <w:webHidden/>
                <w:rStyle w:val="IndexLink"/>
                <w:rtl w:val="true"/>
              </w:rPr>
              <w:t>القاعدة الفقهية على قسمين</w:t>
            </w:r>
            <w:r>
              <w:rPr>
                <w:rStyle w:val="IndexLink"/>
                <w:rtl w:val="true"/>
              </w:rPr>
              <w:tab/>
            </w:r>
            <w:r>
              <w:rPr>
                <w:rStyle w:val="IndexLink"/>
              </w:rPr>
              <w:t>22</w:t>
            </w:r>
          </w:hyperlink>
        </w:p>
        <w:p>
          <w:pPr>
            <w:pStyle w:val="Contents2"/>
            <w:tabs>
              <w:tab w:val="clear" w:pos="8743"/>
              <w:tab w:val="right" w:pos="9026" w:leader="dot"/>
            </w:tabs>
            <w:rPr/>
          </w:pPr>
          <w:hyperlink w:anchor="__RefHeading___Toc17479169_1280447820">
            <w:r>
              <w:rPr>
                <w:webHidden/>
                <w:rStyle w:val="IndexLink"/>
                <w:rtl w:val="true"/>
              </w:rPr>
              <w:t>قاعدة لا تعاد</w:t>
            </w:r>
            <w:r>
              <w:rPr>
                <w:rStyle w:val="IndexLink"/>
                <w:rtl w:val="true"/>
              </w:rPr>
              <w:tab/>
            </w:r>
            <w:r>
              <w:rPr>
                <w:rStyle w:val="IndexLink"/>
              </w:rPr>
              <w:t>24</w:t>
            </w:r>
          </w:hyperlink>
        </w:p>
        <w:p>
          <w:pPr>
            <w:pStyle w:val="Contents3"/>
            <w:tabs>
              <w:tab w:val="clear" w:pos="8459"/>
              <w:tab w:val="right" w:pos="9026" w:leader="dot"/>
            </w:tabs>
            <w:rPr/>
          </w:pPr>
          <w:hyperlink w:anchor="__RefHeading___Toc17479171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7479173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27</w:t>
            </w:r>
          </w:hyperlink>
        </w:p>
        <w:p>
          <w:pPr>
            <w:pStyle w:val="Contents3"/>
            <w:tabs>
              <w:tab w:val="clear" w:pos="8459"/>
              <w:tab w:val="right" w:pos="9026" w:leader="dot"/>
            </w:tabs>
            <w:rPr/>
          </w:pPr>
          <w:hyperlink w:anchor="__RefHeading___Toc17479175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27</w:t>
            </w:r>
          </w:hyperlink>
        </w:p>
        <w:p>
          <w:pPr>
            <w:pStyle w:val="Contents3"/>
            <w:tabs>
              <w:tab w:val="clear" w:pos="8459"/>
              <w:tab w:val="right" w:pos="9026" w:leader="dot"/>
            </w:tabs>
            <w:rPr/>
          </w:pPr>
          <w:hyperlink w:anchor="__RefHeading___Toc17479177_1280447820">
            <w:r>
              <w:rPr>
                <w:webHidden/>
                <w:rStyle w:val="IndexLink"/>
              </w:rPr>
              <w:t>3</w:t>
            </w:r>
            <w:r>
              <w:rPr>
                <w:rStyle w:val="IndexLink"/>
                <w:rtl w:val="true"/>
              </w:rPr>
              <w:t xml:space="preserve"> - </w:t>
            </w:r>
            <w:r>
              <w:rPr>
                <w:rStyle w:val="IndexLink"/>
                <w:rtl w:val="true"/>
              </w:rPr>
              <w:t>عدم شمول الحديث للعامد</w:t>
            </w:r>
            <w:r>
              <w:rPr>
                <w:rStyle w:val="IndexLink"/>
                <w:rtl w:val="true"/>
              </w:rPr>
              <w:tab/>
            </w:r>
            <w:r>
              <w:rPr>
                <w:rStyle w:val="IndexLink"/>
              </w:rPr>
              <w:t>31</w:t>
            </w:r>
          </w:hyperlink>
        </w:p>
        <w:p>
          <w:pPr>
            <w:pStyle w:val="Contents3"/>
            <w:tabs>
              <w:tab w:val="clear" w:pos="8459"/>
              <w:tab w:val="right" w:pos="9026" w:leader="dot"/>
            </w:tabs>
            <w:rPr/>
          </w:pPr>
          <w:hyperlink w:anchor="__RefHeading___Toc17479179_1280447820">
            <w:r>
              <w:rPr>
                <w:webHidden/>
                <w:rStyle w:val="IndexLink"/>
              </w:rPr>
              <w:t>4</w:t>
            </w:r>
            <w:r>
              <w:rPr>
                <w:rStyle w:val="IndexLink"/>
                <w:rtl w:val="true"/>
              </w:rPr>
              <w:t xml:space="preserve"> - </w:t>
            </w:r>
            <w:r>
              <w:rPr>
                <w:rStyle w:val="IndexLink"/>
                <w:rtl w:val="true"/>
              </w:rPr>
              <w:t>هل تختص بالناسي</w:t>
            </w:r>
            <w:r>
              <w:rPr>
                <w:rStyle w:val="IndexLink"/>
                <w:rtl w:val="true"/>
              </w:rPr>
              <w:tab/>
            </w:r>
            <w:r>
              <w:rPr>
                <w:rStyle w:val="IndexLink"/>
              </w:rPr>
              <w:t>31</w:t>
            </w:r>
          </w:hyperlink>
        </w:p>
        <w:p>
          <w:pPr>
            <w:pStyle w:val="Contents3"/>
            <w:tabs>
              <w:tab w:val="clear" w:pos="8459"/>
              <w:tab w:val="right" w:pos="9026" w:leader="dot"/>
            </w:tabs>
            <w:rPr/>
          </w:pPr>
          <w:hyperlink w:anchor="__RefHeading___Toc17479181_1280447820">
            <w:r>
              <w:rPr>
                <w:webHidden/>
                <w:rStyle w:val="IndexLink"/>
              </w:rPr>
              <w:t>5</w:t>
            </w:r>
            <w:r>
              <w:rPr>
                <w:rStyle w:val="IndexLink"/>
                <w:rtl w:val="true"/>
              </w:rPr>
              <w:t xml:space="preserve"> - </w:t>
            </w:r>
            <w:r>
              <w:rPr>
                <w:rStyle w:val="IndexLink"/>
                <w:rtl w:val="true"/>
              </w:rPr>
              <w:t>هل تعمّ الجاهل بكلا قسميه</w:t>
            </w:r>
            <w:r>
              <w:rPr>
                <w:rStyle w:val="IndexLink"/>
                <w:rtl w:val="true"/>
              </w:rPr>
              <w:tab/>
            </w:r>
            <w:r>
              <w:rPr>
                <w:rStyle w:val="IndexLink"/>
              </w:rPr>
              <w:t>32</w:t>
            </w:r>
          </w:hyperlink>
        </w:p>
        <w:p>
          <w:pPr>
            <w:pStyle w:val="Contents3"/>
            <w:tabs>
              <w:tab w:val="clear" w:pos="8459"/>
              <w:tab w:val="right" w:pos="9026" w:leader="dot"/>
            </w:tabs>
            <w:rPr/>
          </w:pPr>
          <w:hyperlink w:anchor="__RefHeading___Toc17479183_1280447820">
            <w:r>
              <w:rPr>
                <w:webHidden/>
                <w:rStyle w:val="IndexLink"/>
              </w:rPr>
              <w:t>6</w:t>
            </w:r>
            <w:r>
              <w:rPr>
                <w:rStyle w:val="IndexLink"/>
                <w:rtl w:val="true"/>
              </w:rPr>
              <w:t xml:space="preserve"> - </w:t>
            </w:r>
            <w:r>
              <w:rPr>
                <w:rStyle w:val="IndexLink"/>
                <w:rtl w:val="true"/>
              </w:rPr>
              <w:t>معذورية العامد في بعض الحالات</w:t>
            </w:r>
            <w:r>
              <w:rPr>
                <w:rStyle w:val="IndexLink"/>
                <w:rtl w:val="true"/>
              </w:rPr>
              <w:tab/>
            </w:r>
            <w:r>
              <w:rPr>
                <w:rStyle w:val="IndexLink"/>
              </w:rPr>
              <w:t>34</w:t>
            </w:r>
          </w:hyperlink>
        </w:p>
        <w:p>
          <w:pPr>
            <w:pStyle w:val="Contents3"/>
            <w:tabs>
              <w:tab w:val="clear" w:pos="8459"/>
              <w:tab w:val="right" w:pos="9026" w:leader="dot"/>
            </w:tabs>
            <w:rPr/>
          </w:pPr>
          <w:hyperlink w:anchor="__RefHeading___Toc17479185_1280447820">
            <w:r>
              <w:rPr>
                <w:webHidden/>
                <w:rStyle w:val="IndexLink"/>
              </w:rPr>
              <w:t>7</w:t>
            </w:r>
            <w:r>
              <w:rPr>
                <w:rStyle w:val="IndexLink"/>
                <w:rtl w:val="true"/>
              </w:rPr>
              <w:t xml:space="preserve"> - </w:t>
            </w:r>
            <w:r>
              <w:rPr>
                <w:rStyle w:val="IndexLink"/>
                <w:rtl w:val="true"/>
              </w:rPr>
              <w:t>هل تختص القاعدة بحالة الفراغ</w:t>
            </w:r>
            <w:r>
              <w:rPr>
                <w:rStyle w:val="IndexLink"/>
                <w:rtl w:val="true"/>
              </w:rPr>
              <w:tab/>
            </w:r>
            <w:r>
              <w:rPr>
                <w:rStyle w:val="IndexLink"/>
              </w:rPr>
              <w:t>34</w:t>
            </w:r>
          </w:hyperlink>
        </w:p>
        <w:p>
          <w:pPr>
            <w:pStyle w:val="Contents3"/>
            <w:tabs>
              <w:tab w:val="clear" w:pos="8459"/>
              <w:tab w:val="right" w:pos="9026" w:leader="dot"/>
            </w:tabs>
            <w:rPr/>
          </w:pPr>
          <w:hyperlink w:anchor="__RefHeading___Toc17479187_1280447820">
            <w:r>
              <w:rPr>
                <w:webHidden/>
                <w:rStyle w:val="IndexLink"/>
              </w:rPr>
              <w:t>8</w:t>
            </w:r>
            <w:r>
              <w:rPr>
                <w:rStyle w:val="IndexLink"/>
                <w:rtl w:val="true"/>
              </w:rPr>
              <w:t xml:space="preserve"> - </w:t>
            </w:r>
            <w:r>
              <w:rPr>
                <w:rStyle w:val="IndexLink"/>
                <w:rtl w:val="true"/>
              </w:rPr>
              <w:t>عموم القاعدة لحالة الزيادة</w:t>
            </w:r>
            <w:r>
              <w:rPr>
                <w:rStyle w:val="IndexLink"/>
                <w:rtl w:val="true"/>
              </w:rPr>
              <w:tab/>
            </w:r>
            <w:r>
              <w:rPr>
                <w:rStyle w:val="IndexLink"/>
              </w:rPr>
              <w:t>35</w:t>
            </w:r>
          </w:hyperlink>
        </w:p>
        <w:p>
          <w:pPr>
            <w:pStyle w:val="Contents3"/>
            <w:tabs>
              <w:tab w:val="clear" w:pos="8459"/>
              <w:tab w:val="right" w:pos="9026" w:leader="dot"/>
            </w:tabs>
            <w:rPr/>
          </w:pPr>
          <w:hyperlink w:anchor="__RefHeading___Toc17479189_1280447820">
            <w:r>
              <w:rPr>
                <w:webHidden/>
                <w:rStyle w:val="IndexLink"/>
              </w:rPr>
              <w:t>9</w:t>
            </w:r>
            <w:r>
              <w:rPr>
                <w:rStyle w:val="IndexLink"/>
                <w:rtl w:val="true"/>
              </w:rPr>
              <w:t xml:space="preserve"> - </w:t>
            </w:r>
            <w:r>
              <w:rPr>
                <w:rStyle w:val="IndexLink"/>
                <w:rtl w:val="true"/>
              </w:rPr>
              <w:t>نكتة عدم الاشارة لبعض الأركان</w:t>
            </w:r>
            <w:r>
              <w:rPr>
                <w:rStyle w:val="IndexLink"/>
                <w:rtl w:val="true"/>
              </w:rPr>
              <w:tab/>
            </w:r>
            <w:r>
              <w:rPr>
                <w:rStyle w:val="IndexLink"/>
              </w:rPr>
              <w:t>36</w:t>
            </w:r>
          </w:hyperlink>
        </w:p>
        <w:p>
          <w:pPr>
            <w:pStyle w:val="Contents3"/>
            <w:tabs>
              <w:tab w:val="clear" w:pos="8459"/>
              <w:tab w:val="right" w:pos="9026" w:leader="dot"/>
            </w:tabs>
            <w:rPr/>
          </w:pPr>
          <w:hyperlink w:anchor="__RefHeading___Toc17479191_1280447820">
            <w:r>
              <w:rPr>
                <w:webHidden/>
                <w:rStyle w:val="IndexLink"/>
              </w:rPr>
              <w:t>10</w:t>
            </w:r>
            <w:r>
              <w:rPr>
                <w:rStyle w:val="IndexLink"/>
                <w:rtl w:val="true"/>
              </w:rPr>
              <w:t xml:space="preserve"> - </w:t>
            </w:r>
            <w:r>
              <w:rPr>
                <w:rStyle w:val="IndexLink"/>
                <w:rtl w:val="true"/>
              </w:rPr>
              <w:t>ما المراد بالطهور؟</w:t>
            </w:r>
            <w:r>
              <w:rPr>
                <w:rStyle w:val="IndexLink"/>
                <w:rtl w:val="true"/>
              </w:rPr>
              <w:tab/>
            </w:r>
            <w:r>
              <w:rPr>
                <w:rStyle w:val="IndexLink"/>
              </w:rPr>
              <w:t>37</w:t>
            </w:r>
          </w:hyperlink>
        </w:p>
        <w:p>
          <w:pPr>
            <w:pStyle w:val="Contents3"/>
            <w:tabs>
              <w:tab w:val="clear" w:pos="8459"/>
              <w:tab w:val="right" w:pos="9026" w:leader="dot"/>
            </w:tabs>
            <w:rPr/>
          </w:pPr>
          <w:hyperlink w:anchor="__RefHeading___Toc17479193_1280447820">
            <w:r>
              <w:rPr>
                <w:webHidden/>
                <w:rStyle w:val="IndexLink"/>
              </w:rPr>
              <w:t>11</w:t>
            </w:r>
            <w:r>
              <w:rPr>
                <w:rStyle w:val="IndexLink"/>
                <w:rtl w:val="true"/>
              </w:rPr>
              <w:t xml:space="preserve"> - </w:t>
            </w:r>
            <w:r>
              <w:rPr>
                <w:rStyle w:val="IndexLink"/>
                <w:rtl w:val="true"/>
              </w:rPr>
              <w:t>هل تعم القاعدة الموانع؟</w:t>
            </w:r>
            <w:r>
              <w:rPr>
                <w:rStyle w:val="IndexLink"/>
                <w:rtl w:val="true"/>
              </w:rPr>
              <w:tab/>
            </w:r>
            <w:r>
              <w:rPr>
                <w:rStyle w:val="IndexLink"/>
              </w:rPr>
              <w:t>38</w:t>
            </w:r>
          </w:hyperlink>
        </w:p>
        <w:p>
          <w:pPr>
            <w:pStyle w:val="Contents3"/>
            <w:tabs>
              <w:tab w:val="clear" w:pos="8459"/>
              <w:tab w:val="right" w:pos="9026" w:leader="dot"/>
            </w:tabs>
            <w:rPr/>
          </w:pPr>
          <w:hyperlink w:anchor="__RefHeading___Toc17479195_1280447820">
            <w:r>
              <w:rPr>
                <w:webHidden/>
                <w:rStyle w:val="IndexLink"/>
              </w:rPr>
              <w:t>12</w:t>
            </w:r>
            <w:r>
              <w:rPr>
                <w:rStyle w:val="IndexLink"/>
                <w:rtl w:val="true"/>
              </w:rPr>
              <w:t xml:space="preserve"> - </w:t>
            </w:r>
            <w:r>
              <w:rPr>
                <w:rStyle w:val="IndexLink"/>
                <w:rtl w:val="true"/>
              </w:rPr>
              <w:t>تطبيقات على ضوء قاعدة لا تعاد</w:t>
            </w:r>
            <w:r>
              <w:rPr>
                <w:rStyle w:val="IndexLink"/>
                <w:rtl w:val="true"/>
              </w:rPr>
              <w:tab/>
            </w:r>
            <w:r>
              <w:rPr>
                <w:rStyle w:val="IndexLink"/>
              </w:rPr>
              <w:t>39</w:t>
            </w:r>
          </w:hyperlink>
        </w:p>
        <w:p>
          <w:pPr>
            <w:pStyle w:val="Contents2"/>
            <w:tabs>
              <w:tab w:val="clear" w:pos="8743"/>
              <w:tab w:val="right" w:pos="9026" w:leader="dot"/>
            </w:tabs>
            <w:rPr/>
          </w:pPr>
          <w:hyperlink w:anchor="__RefHeading___Toc17479197_1280447820">
            <w:r>
              <w:rPr>
                <w:webHidden/>
                <w:rStyle w:val="IndexLink"/>
                <w:rtl w:val="true"/>
              </w:rPr>
              <w:t>قاعدتا الفراغ والتجاوز</w:t>
            </w:r>
            <w:r>
              <w:rPr>
                <w:rStyle w:val="IndexLink"/>
                <w:rtl w:val="true"/>
              </w:rPr>
              <w:tab/>
            </w:r>
            <w:r>
              <w:rPr>
                <w:rStyle w:val="IndexLink"/>
              </w:rPr>
              <w:t>41</w:t>
            </w:r>
          </w:hyperlink>
        </w:p>
        <w:p>
          <w:pPr>
            <w:pStyle w:val="Contents3"/>
            <w:tabs>
              <w:tab w:val="clear" w:pos="8459"/>
              <w:tab w:val="right" w:pos="9026" w:leader="dot"/>
            </w:tabs>
            <w:rPr/>
          </w:pPr>
          <w:hyperlink w:anchor="__RefHeading___Toc17479199_128044782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17479201_1280447820">
            <w:r>
              <w:rPr>
                <w:webHidden/>
                <w:rStyle w:val="IndexLink"/>
              </w:rPr>
              <w:t>1</w:t>
            </w:r>
            <w:r>
              <w:rPr>
                <w:rStyle w:val="IndexLink"/>
                <w:rtl w:val="true"/>
              </w:rPr>
              <w:t xml:space="preserve"> - </w:t>
            </w:r>
            <w:r>
              <w:rPr>
                <w:rStyle w:val="IndexLink"/>
                <w:rtl w:val="true"/>
              </w:rPr>
              <w:t>مضمون القاعدتين</w:t>
            </w:r>
            <w:r>
              <w:rPr>
                <w:rStyle w:val="IndexLink"/>
                <w:rtl w:val="true"/>
              </w:rPr>
              <w:tab/>
            </w:r>
            <w:r>
              <w:rPr>
                <w:rStyle w:val="IndexLink"/>
              </w:rPr>
              <w:t>44</w:t>
            </w:r>
          </w:hyperlink>
        </w:p>
        <w:p>
          <w:pPr>
            <w:pStyle w:val="Contents3"/>
            <w:tabs>
              <w:tab w:val="clear" w:pos="8459"/>
              <w:tab w:val="right" w:pos="9026" w:leader="dot"/>
            </w:tabs>
            <w:rPr/>
          </w:pPr>
          <w:hyperlink w:anchor="__RefHeading___Toc17479203_1280447820">
            <w:r>
              <w:rPr>
                <w:webHidden/>
                <w:rStyle w:val="IndexLink"/>
              </w:rPr>
              <w:t>2</w:t>
            </w:r>
            <w:r>
              <w:rPr>
                <w:rStyle w:val="IndexLink"/>
                <w:rtl w:val="true"/>
              </w:rPr>
              <w:t xml:space="preserve"> - </w:t>
            </w:r>
            <w:r>
              <w:rPr>
                <w:rStyle w:val="IndexLink"/>
                <w:rtl w:val="true"/>
              </w:rPr>
              <w:t>مدرك القاعدتين</w:t>
            </w:r>
            <w:r>
              <w:rPr>
                <w:rStyle w:val="IndexLink"/>
                <w:rtl w:val="true"/>
              </w:rPr>
              <w:tab/>
            </w:r>
            <w:r>
              <w:rPr>
                <w:rStyle w:val="IndexLink"/>
              </w:rPr>
              <w:t>45</w:t>
            </w:r>
          </w:hyperlink>
        </w:p>
        <w:p>
          <w:pPr>
            <w:pStyle w:val="Contents4"/>
            <w:tabs>
              <w:tab w:val="clear" w:pos="8176"/>
              <w:tab w:val="right" w:pos="9026" w:leader="dot"/>
            </w:tabs>
            <w:rPr/>
          </w:pPr>
          <w:hyperlink w:anchor="__RefHeading___Toc17479205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7479207_1280447820">
            <w:r>
              <w:rPr>
                <w:webHidden/>
                <w:rStyle w:val="IndexLink"/>
                <w:rtl w:val="true"/>
              </w:rPr>
              <w:t>مستندات أخرى</w:t>
            </w:r>
            <w:r>
              <w:rPr>
                <w:rStyle w:val="IndexLink"/>
                <w:rtl w:val="true"/>
              </w:rPr>
              <w:tab/>
            </w:r>
            <w:r>
              <w:rPr>
                <w:rStyle w:val="IndexLink"/>
              </w:rPr>
              <w:t>50</w:t>
            </w:r>
          </w:hyperlink>
        </w:p>
        <w:p>
          <w:pPr>
            <w:pStyle w:val="Contents3"/>
            <w:tabs>
              <w:tab w:val="clear" w:pos="8459"/>
              <w:tab w:val="right" w:pos="9026" w:leader="dot"/>
            </w:tabs>
            <w:rPr/>
          </w:pPr>
          <w:hyperlink w:anchor="__RefHeading___Toc17479209_1280447820">
            <w:r>
              <w:rPr>
                <w:webHidden/>
                <w:rStyle w:val="IndexLink"/>
              </w:rPr>
              <w:t>3</w:t>
            </w:r>
            <w:r>
              <w:rPr>
                <w:rStyle w:val="IndexLink"/>
                <w:rtl w:val="true"/>
              </w:rPr>
              <w:t xml:space="preserve"> - </w:t>
            </w:r>
            <w:r>
              <w:rPr>
                <w:rStyle w:val="IndexLink"/>
                <w:rtl w:val="true"/>
              </w:rPr>
              <w:t>قاعدة واحدة أو قاعدتان</w:t>
            </w:r>
            <w:r>
              <w:rPr>
                <w:rStyle w:val="IndexLink"/>
                <w:rtl w:val="true"/>
              </w:rPr>
              <w:tab/>
            </w:r>
            <w:r>
              <w:rPr>
                <w:rStyle w:val="IndexLink"/>
              </w:rPr>
              <w:t>50</w:t>
            </w:r>
          </w:hyperlink>
        </w:p>
        <w:p>
          <w:pPr>
            <w:pStyle w:val="Contents4"/>
            <w:tabs>
              <w:tab w:val="clear" w:pos="8176"/>
              <w:tab w:val="right" w:pos="9026" w:leader="dot"/>
            </w:tabs>
            <w:rPr/>
          </w:pPr>
          <w:hyperlink w:anchor="__RefHeading___Toc17479211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7479213_1280447820">
            <w:r>
              <w:rPr>
                <w:webHidden/>
                <w:rStyle w:val="IndexLink"/>
                <w:rtl w:val="true"/>
              </w:rPr>
              <w:t>عالم الاثبات وعالم الثبوت</w:t>
            </w:r>
            <w:r>
              <w:rPr>
                <w:rStyle w:val="IndexLink"/>
                <w:rtl w:val="true"/>
              </w:rPr>
              <w:tab/>
            </w:r>
            <w:r>
              <w:rPr>
                <w:rStyle w:val="IndexLink"/>
              </w:rPr>
              <w:t>53</w:t>
            </w:r>
          </w:hyperlink>
        </w:p>
        <w:p>
          <w:pPr>
            <w:pStyle w:val="Contents4"/>
            <w:tabs>
              <w:tab w:val="clear" w:pos="8176"/>
              <w:tab w:val="right" w:pos="9026" w:leader="dot"/>
            </w:tabs>
            <w:rPr/>
          </w:pPr>
          <w:hyperlink w:anchor="__RefHeading___Toc17479215_1280447820">
            <w:r>
              <w:rPr>
                <w:webHidden/>
                <w:rStyle w:val="IndexLink"/>
                <w:rtl w:val="true"/>
              </w:rPr>
              <w:t>الصحيح من الاحتمالين</w:t>
            </w:r>
            <w:r>
              <w:rPr>
                <w:rStyle w:val="IndexLink"/>
                <w:rtl w:val="true"/>
              </w:rPr>
              <w:tab/>
            </w:r>
            <w:r>
              <w:rPr>
                <w:rStyle w:val="IndexLink"/>
              </w:rPr>
              <w:t>54</w:t>
            </w:r>
          </w:hyperlink>
        </w:p>
        <w:p>
          <w:pPr>
            <w:pStyle w:val="Contents3"/>
            <w:tabs>
              <w:tab w:val="clear" w:pos="8459"/>
              <w:tab w:val="right" w:pos="9026" w:leader="dot"/>
            </w:tabs>
            <w:rPr/>
          </w:pPr>
          <w:hyperlink w:anchor="__RefHeading___Toc17479217_1280447820">
            <w:r>
              <w:rPr>
                <w:webHidden/>
                <w:rStyle w:val="IndexLink"/>
              </w:rPr>
              <w:t>4</w:t>
            </w:r>
            <w:r>
              <w:rPr>
                <w:rStyle w:val="IndexLink"/>
                <w:rtl w:val="true"/>
              </w:rPr>
              <w:t xml:space="preserve"> - </w:t>
            </w:r>
            <w:r>
              <w:rPr>
                <w:rStyle w:val="IndexLink"/>
                <w:rtl w:val="true"/>
              </w:rPr>
              <w:t>عموم القاعدتين لغير الصلاة والوضوء</w:t>
            </w:r>
            <w:r>
              <w:rPr>
                <w:rStyle w:val="IndexLink"/>
                <w:rtl w:val="true"/>
              </w:rPr>
              <w:tab/>
            </w:r>
            <w:r>
              <w:rPr>
                <w:rStyle w:val="IndexLink"/>
              </w:rPr>
              <w:t>55</w:t>
            </w:r>
          </w:hyperlink>
        </w:p>
        <w:p>
          <w:pPr>
            <w:pStyle w:val="Contents3"/>
            <w:tabs>
              <w:tab w:val="clear" w:pos="8459"/>
              <w:tab w:val="right" w:pos="9026" w:leader="dot"/>
            </w:tabs>
            <w:rPr/>
          </w:pPr>
          <w:hyperlink w:anchor="__RefHeading___Toc17479219_1280447820">
            <w:r>
              <w:rPr>
                <w:webHidden/>
                <w:rStyle w:val="IndexLink"/>
              </w:rPr>
              <w:t>5</w:t>
            </w:r>
            <w:r>
              <w:rPr>
                <w:rStyle w:val="IndexLink"/>
                <w:rtl w:val="true"/>
              </w:rPr>
              <w:t xml:space="preserve"> - </w:t>
            </w:r>
            <w:r>
              <w:rPr>
                <w:rStyle w:val="IndexLink"/>
                <w:rtl w:val="true"/>
              </w:rPr>
              <w:t>استثناء الوضوء من قاعدة التجاوز</w:t>
            </w:r>
            <w:r>
              <w:rPr>
                <w:rStyle w:val="IndexLink"/>
                <w:rtl w:val="true"/>
              </w:rPr>
              <w:tab/>
            </w:r>
            <w:r>
              <w:rPr>
                <w:rStyle w:val="IndexLink"/>
              </w:rPr>
              <w:t>56</w:t>
            </w:r>
          </w:hyperlink>
        </w:p>
        <w:p>
          <w:pPr>
            <w:pStyle w:val="Contents4"/>
            <w:tabs>
              <w:tab w:val="clear" w:pos="8176"/>
              <w:tab w:val="right" w:pos="9026" w:leader="dot"/>
            </w:tabs>
            <w:rPr/>
          </w:pPr>
          <w:hyperlink w:anchor="__RefHeading___Toc17479221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7479223_1280447820">
            <w:r>
              <w:rPr>
                <w:webHidden/>
                <w:rStyle w:val="IndexLink"/>
                <w:rtl w:val="true"/>
              </w:rPr>
              <w:t>الوضوء وقاعدة الفراغ</w:t>
            </w:r>
            <w:r>
              <w:rPr>
                <w:rStyle w:val="IndexLink"/>
                <w:rtl w:val="true"/>
              </w:rPr>
              <w:tab/>
            </w:r>
            <w:r>
              <w:rPr>
                <w:rStyle w:val="IndexLink"/>
              </w:rPr>
              <w:t>58</w:t>
            </w:r>
          </w:hyperlink>
        </w:p>
        <w:p>
          <w:pPr>
            <w:pStyle w:val="Contents4"/>
            <w:tabs>
              <w:tab w:val="clear" w:pos="8176"/>
              <w:tab w:val="right" w:pos="9026" w:leader="dot"/>
            </w:tabs>
            <w:rPr/>
          </w:pPr>
          <w:hyperlink w:anchor="__RefHeading___Toc17479225_1280447820">
            <w:r>
              <w:rPr>
                <w:webHidden/>
                <w:rStyle w:val="IndexLink"/>
                <w:rtl w:val="true"/>
              </w:rPr>
              <w:t>الغسل والتيمم</w:t>
            </w:r>
            <w:r>
              <w:rPr>
                <w:rStyle w:val="IndexLink"/>
                <w:rtl w:val="true"/>
              </w:rPr>
              <w:tab/>
            </w:r>
            <w:r>
              <w:rPr>
                <w:rStyle w:val="IndexLink"/>
              </w:rPr>
              <w:t>58</w:t>
            </w:r>
          </w:hyperlink>
        </w:p>
        <w:p>
          <w:pPr>
            <w:pStyle w:val="Contents3"/>
            <w:tabs>
              <w:tab w:val="clear" w:pos="8459"/>
              <w:tab w:val="right" w:pos="9026" w:leader="dot"/>
            </w:tabs>
            <w:rPr/>
          </w:pPr>
          <w:hyperlink w:anchor="__RefHeading___Toc17479227_1280447820">
            <w:r>
              <w:rPr>
                <w:webHidden/>
                <w:rStyle w:val="IndexLink"/>
              </w:rPr>
              <w:t>6</w:t>
            </w:r>
            <w:r>
              <w:rPr>
                <w:rStyle w:val="IndexLink"/>
                <w:rtl w:val="true"/>
              </w:rPr>
              <w:t xml:space="preserve"> - </w:t>
            </w:r>
            <w:r>
              <w:rPr>
                <w:rStyle w:val="IndexLink"/>
                <w:rtl w:val="true"/>
              </w:rPr>
              <w:t>وهل يعتبر الدخول في الغير؟</w:t>
            </w:r>
            <w:r>
              <w:rPr>
                <w:rStyle w:val="IndexLink"/>
                <w:rtl w:val="true"/>
              </w:rPr>
              <w:tab/>
            </w:r>
            <w:r>
              <w:rPr>
                <w:rStyle w:val="IndexLink"/>
              </w:rPr>
              <w:t>60</w:t>
            </w:r>
          </w:hyperlink>
        </w:p>
        <w:p>
          <w:pPr>
            <w:pStyle w:val="Contents3"/>
            <w:tabs>
              <w:tab w:val="clear" w:pos="8459"/>
              <w:tab w:val="right" w:pos="9026" w:leader="dot"/>
            </w:tabs>
            <w:rPr/>
          </w:pPr>
          <w:hyperlink w:anchor="__RefHeading___Toc17479229_1280447820">
            <w:r>
              <w:rPr>
                <w:webHidden/>
                <w:rStyle w:val="IndexLink"/>
              </w:rPr>
              <w:t>7</w:t>
            </w:r>
            <w:r>
              <w:rPr>
                <w:rStyle w:val="IndexLink"/>
                <w:rtl w:val="true"/>
              </w:rPr>
              <w:t xml:space="preserve"> - </w:t>
            </w:r>
            <w:r>
              <w:rPr>
                <w:rStyle w:val="IndexLink"/>
                <w:rtl w:val="true"/>
              </w:rPr>
              <w:t>ما المراد من الغير؟</w:t>
            </w:r>
            <w:r>
              <w:rPr>
                <w:rStyle w:val="IndexLink"/>
                <w:rtl w:val="true"/>
              </w:rPr>
              <w:tab/>
            </w:r>
            <w:r>
              <w:rPr>
                <w:rStyle w:val="IndexLink"/>
              </w:rPr>
              <w:t>63</w:t>
            </w:r>
          </w:hyperlink>
        </w:p>
        <w:p>
          <w:pPr>
            <w:pStyle w:val="Contents4"/>
            <w:tabs>
              <w:tab w:val="clear" w:pos="8176"/>
              <w:tab w:val="right" w:pos="9026" w:leader="dot"/>
            </w:tabs>
            <w:rPr/>
          </w:pPr>
          <w:hyperlink w:anchor="__RefHeading___Toc17479231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7479233_1280447820">
            <w:r>
              <w:rPr>
                <w:webHidden/>
                <w:rStyle w:val="IndexLink"/>
                <w:rtl w:val="true"/>
              </w:rPr>
              <w:t xml:space="preserve">الدخول في جزء الجزء </w:t>
            </w:r>
            <w:r>
              <w:rPr>
                <w:rStyle w:val="IndexLink"/>
                <w:rtl w:val="true"/>
              </w:rPr>
              <w:t>:</w:t>
              <w:tab/>
            </w:r>
            <w:r>
              <w:rPr>
                <w:rStyle w:val="IndexLink"/>
              </w:rPr>
              <w:t>63</w:t>
            </w:r>
          </w:hyperlink>
        </w:p>
        <w:p>
          <w:pPr>
            <w:pStyle w:val="Contents4"/>
            <w:tabs>
              <w:tab w:val="clear" w:pos="8176"/>
              <w:tab w:val="right" w:pos="9026" w:leader="dot"/>
            </w:tabs>
            <w:rPr/>
          </w:pPr>
          <w:hyperlink w:anchor="__RefHeading___Toc17479235_1280447820">
            <w:r>
              <w:rPr>
                <w:webHidden/>
                <w:rStyle w:val="IndexLink"/>
                <w:rtl w:val="true"/>
              </w:rPr>
              <w:t>الدخول في آية أخرى</w:t>
            </w:r>
            <w:r>
              <w:rPr>
                <w:rStyle w:val="IndexLink"/>
                <w:rtl w:val="true"/>
              </w:rPr>
              <w:tab/>
            </w:r>
            <w:r>
              <w:rPr>
                <w:rStyle w:val="IndexLink"/>
              </w:rPr>
              <w:t>64</w:t>
            </w:r>
          </w:hyperlink>
        </w:p>
        <w:p>
          <w:pPr>
            <w:pStyle w:val="Contents4"/>
            <w:tabs>
              <w:tab w:val="clear" w:pos="8176"/>
              <w:tab w:val="right" w:pos="9026" w:leader="dot"/>
            </w:tabs>
            <w:rPr/>
          </w:pPr>
          <w:hyperlink w:anchor="__RefHeading___Toc17479237_1280447820">
            <w:r>
              <w:rPr>
                <w:webHidden/>
                <w:rStyle w:val="IndexLink"/>
                <w:rtl w:val="true"/>
              </w:rPr>
              <w:t>الدخول في كلمة ثانية</w:t>
            </w:r>
            <w:r>
              <w:rPr>
                <w:rStyle w:val="IndexLink"/>
                <w:rtl w:val="true"/>
              </w:rPr>
              <w:tab/>
            </w:r>
            <w:r>
              <w:rPr>
                <w:rStyle w:val="IndexLink"/>
              </w:rPr>
              <w:t>65</w:t>
            </w:r>
          </w:hyperlink>
        </w:p>
        <w:p>
          <w:pPr>
            <w:pStyle w:val="Contents4"/>
            <w:tabs>
              <w:tab w:val="clear" w:pos="8176"/>
              <w:tab w:val="right" w:pos="9026" w:leader="dot"/>
            </w:tabs>
            <w:rPr/>
          </w:pPr>
          <w:hyperlink w:anchor="__RefHeading___Toc17479239_1280447820">
            <w:r>
              <w:rPr>
                <w:webHidden/>
                <w:rStyle w:val="IndexLink"/>
                <w:rtl w:val="true"/>
              </w:rPr>
              <w:t>الدخول في الأجزاء المستحبة</w:t>
            </w:r>
            <w:r>
              <w:rPr>
                <w:rStyle w:val="IndexLink"/>
                <w:rtl w:val="true"/>
              </w:rPr>
              <w:tab/>
            </w:r>
            <w:r>
              <w:rPr>
                <w:rStyle w:val="IndexLink"/>
              </w:rPr>
              <w:t>65</w:t>
            </w:r>
          </w:hyperlink>
        </w:p>
        <w:p>
          <w:pPr>
            <w:pStyle w:val="Contents4"/>
            <w:tabs>
              <w:tab w:val="clear" w:pos="8176"/>
              <w:tab w:val="right" w:pos="9026" w:leader="dot"/>
            </w:tabs>
            <w:rPr/>
          </w:pPr>
          <w:hyperlink w:anchor="__RefHeading___Toc17479241_1280447820">
            <w:r>
              <w:rPr>
                <w:webHidden/>
                <w:rStyle w:val="IndexLink"/>
                <w:rtl w:val="true"/>
              </w:rPr>
              <w:t>البيان الأول</w:t>
            </w:r>
            <w:r>
              <w:rPr>
                <w:rStyle w:val="IndexLink"/>
                <w:rtl w:val="true"/>
              </w:rPr>
              <w:tab/>
            </w:r>
            <w:r>
              <w:rPr>
                <w:rStyle w:val="IndexLink"/>
              </w:rPr>
              <w:t>66</w:t>
            </w:r>
          </w:hyperlink>
        </w:p>
        <w:p>
          <w:pPr>
            <w:pStyle w:val="Contents4"/>
            <w:tabs>
              <w:tab w:val="clear" w:pos="8176"/>
              <w:tab w:val="right" w:pos="9026" w:leader="dot"/>
            </w:tabs>
            <w:rPr/>
          </w:pPr>
          <w:hyperlink w:anchor="__RefHeading___Toc17479243_1280447820">
            <w:r>
              <w:rPr>
                <w:webHidden/>
                <w:rStyle w:val="IndexLink"/>
                <w:rtl w:val="true"/>
              </w:rPr>
              <w:t>البيان الثاني</w:t>
            </w:r>
            <w:r>
              <w:rPr>
                <w:rStyle w:val="IndexLink"/>
                <w:rtl w:val="true"/>
              </w:rPr>
              <w:tab/>
            </w:r>
            <w:r>
              <w:rPr>
                <w:rStyle w:val="IndexLink"/>
              </w:rPr>
              <w:t>67</w:t>
            </w:r>
          </w:hyperlink>
        </w:p>
        <w:p>
          <w:pPr>
            <w:pStyle w:val="Contents4"/>
            <w:tabs>
              <w:tab w:val="clear" w:pos="8176"/>
              <w:tab w:val="right" w:pos="9026" w:leader="dot"/>
            </w:tabs>
            <w:rPr/>
          </w:pPr>
          <w:hyperlink w:anchor="__RefHeading___Toc17479245_1280447820">
            <w:r>
              <w:rPr>
                <w:webHidden/>
                <w:rStyle w:val="IndexLink"/>
                <w:rtl w:val="true"/>
              </w:rPr>
              <w:t>الدخول في المقدمات</w:t>
            </w:r>
            <w:r>
              <w:rPr>
                <w:rStyle w:val="IndexLink"/>
                <w:rtl w:val="true"/>
              </w:rPr>
              <w:tab/>
            </w:r>
            <w:r>
              <w:rPr>
                <w:rStyle w:val="IndexLink"/>
              </w:rPr>
              <w:t>68</w:t>
            </w:r>
          </w:hyperlink>
        </w:p>
        <w:p>
          <w:pPr>
            <w:pStyle w:val="Contents4"/>
            <w:tabs>
              <w:tab w:val="clear" w:pos="8176"/>
              <w:tab w:val="right" w:pos="9026" w:leader="dot"/>
            </w:tabs>
            <w:rPr/>
          </w:pPr>
          <w:hyperlink w:anchor="__RefHeading___Toc17479247_1280447820">
            <w:r>
              <w:rPr>
                <w:webHidden/>
                <w:rStyle w:val="IndexLink"/>
                <w:rtl w:val="true"/>
              </w:rPr>
              <w:t>الجزء المترتب</w:t>
            </w:r>
            <w:r>
              <w:rPr>
                <w:rStyle w:val="IndexLink"/>
                <w:rtl w:val="true"/>
              </w:rPr>
              <w:tab/>
            </w:r>
            <w:r>
              <w:rPr>
                <w:rStyle w:val="IndexLink"/>
              </w:rPr>
              <w:t>71</w:t>
            </w:r>
          </w:hyperlink>
        </w:p>
        <w:p>
          <w:pPr>
            <w:pStyle w:val="Contents4"/>
            <w:tabs>
              <w:tab w:val="clear" w:pos="8176"/>
              <w:tab w:val="right" w:pos="9026" w:leader="dot"/>
            </w:tabs>
            <w:rPr/>
          </w:pPr>
          <w:hyperlink w:anchor="__RefHeading___Toc17479249_1280447820">
            <w:r>
              <w:rPr>
                <w:webHidden/>
                <w:rStyle w:val="IndexLink"/>
                <w:rtl w:val="true"/>
              </w:rPr>
              <w:t>الشك في الجزء الاخير</w:t>
            </w:r>
            <w:r>
              <w:rPr>
                <w:rStyle w:val="IndexLink"/>
                <w:rtl w:val="true"/>
              </w:rPr>
              <w:tab/>
            </w:r>
            <w:r>
              <w:rPr>
                <w:rStyle w:val="IndexLink"/>
              </w:rPr>
              <w:t>72</w:t>
            </w:r>
          </w:hyperlink>
        </w:p>
        <w:p>
          <w:pPr>
            <w:pStyle w:val="Contents3"/>
            <w:tabs>
              <w:tab w:val="clear" w:pos="8459"/>
              <w:tab w:val="right" w:pos="9026" w:leader="dot"/>
            </w:tabs>
            <w:rPr/>
          </w:pPr>
          <w:hyperlink w:anchor="__RefHeading___Toc17479251_1280447820">
            <w:r>
              <w:rPr>
                <w:webHidden/>
                <w:rStyle w:val="IndexLink"/>
              </w:rPr>
              <w:t>8</w:t>
            </w:r>
            <w:r>
              <w:rPr>
                <w:rStyle w:val="IndexLink"/>
                <w:rtl w:val="true"/>
              </w:rPr>
              <w:t xml:space="preserve"> - </w:t>
            </w:r>
            <w:r>
              <w:rPr>
                <w:rStyle w:val="IndexLink"/>
                <w:rtl w:val="true"/>
              </w:rPr>
              <w:t>احتمال الالتفات</w:t>
            </w:r>
            <w:r>
              <w:rPr>
                <w:rStyle w:val="IndexLink"/>
                <w:rtl w:val="true"/>
              </w:rPr>
              <w:tab/>
            </w:r>
            <w:r>
              <w:rPr>
                <w:rStyle w:val="IndexLink"/>
              </w:rPr>
              <w:t>73</w:t>
            </w:r>
          </w:hyperlink>
        </w:p>
        <w:p>
          <w:pPr>
            <w:pStyle w:val="Contents4"/>
            <w:tabs>
              <w:tab w:val="clear" w:pos="8176"/>
              <w:tab w:val="right" w:pos="9026" w:leader="dot"/>
            </w:tabs>
            <w:rPr/>
          </w:pPr>
          <w:hyperlink w:anchor="__RefHeading___Toc17479253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7479255_1280447820">
            <w:r>
              <w:rPr>
                <w:webHidden/>
                <w:rStyle w:val="IndexLink"/>
                <w:rtl w:val="true"/>
              </w:rPr>
              <w:t>أبحاث أخرى</w:t>
            </w:r>
            <w:r>
              <w:rPr>
                <w:rStyle w:val="IndexLink"/>
                <w:rtl w:val="true"/>
              </w:rPr>
              <w:tab/>
            </w:r>
            <w:r>
              <w:rPr>
                <w:rStyle w:val="IndexLink"/>
              </w:rPr>
              <w:t>75</w:t>
            </w:r>
          </w:hyperlink>
        </w:p>
        <w:p>
          <w:pPr>
            <w:pStyle w:val="Contents3"/>
            <w:tabs>
              <w:tab w:val="clear" w:pos="8459"/>
              <w:tab w:val="right" w:pos="9026" w:leader="dot"/>
            </w:tabs>
            <w:rPr/>
          </w:pPr>
          <w:hyperlink w:anchor="__RefHeading___Toc17479257_1280447820">
            <w:r>
              <w:rPr>
                <w:webHidden/>
                <w:rStyle w:val="IndexLink"/>
              </w:rPr>
              <w:t>9</w:t>
            </w:r>
            <w:r>
              <w:rPr>
                <w:rStyle w:val="IndexLink"/>
                <w:rtl w:val="true"/>
              </w:rPr>
              <w:t xml:space="preserve"> - </w:t>
            </w:r>
            <w:r>
              <w:rPr>
                <w:rStyle w:val="IndexLink"/>
                <w:rtl w:val="true"/>
              </w:rPr>
              <w:t>تطبيقات</w:t>
            </w:r>
            <w:r>
              <w:rPr>
                <w:rStyle w:val="IndexLink"/>
                <w:rtl w:val="true"/>
              </w:rPr>
              <w:tab/>
            </w:r>
            <w:r>
              <w:rPr>
                <w:rStyle w:val="IndexLink"/>
              </w:rPr>
              <w:t>75</w:t>
            </w:r>
          </w:hyperlink>
        </w:p>
        <w:p>
          <w:pPr>
            <w:pStyle w:val="Contents2"/>
            <w:tabs>
              <w:tab w:val="clear" w:pos="8743"/>
              <w:tab w:val="right" w:pos="9026" w:leader="dot"/>
            </w:tabs>
            <w:rPr/>
          </w:pPr>
          <w:hyperlink w:anchor="__RefHeading___Toc17479259_1280447820">
            <w:r>
              <w:rPr>
                <w:webHidden/>
                <w:rStyle w:val="IndexLink"/>
                <w:rtl w:val="true"/>
              </w:rPr>
              <w:t>أصالة الصحة</w:t>
            </w:r>
            <w:r>
              <w:rPr>
                <w:rStyle w:val="IndexLink"/>
                <w:rtl w:val="true"/>
              </w:rPr>
              <w:tab/>
            </w:r>
            <w:r>
              <w:rPr>
                <w:rStyle w:val="IndexLink"/>
              </w:rPr>
              <w:t>78</w:t>
            </w:r>
          </w:hyperlink>
        </w:p>
        <w:p>
          <w:pPr>
            <w:pStyle w:val="Contents3"/>
            <w:tabs>
              <w:tab w:val="clear" w:pos="8459"/>
              <w:tab w:val="right" w:pos="9026" w:leader="dot"/>
            </w:tabs>
            <w:rPr/>
          </w:pPr>
          <w:hyperlink w:anchor="__RefHeading___Toc17479261_128044782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7479263_1280447820">
            <w:r>
              <w:rPr>
                <w:webHidden/>
                <w:rStyle w:val="IndexLink"/>
              </w:rPr>
              <w:t>1</w:t>
            </w:r>
            <w:r>
              <w:rPr>
                <w:rStyle w:val="IndexLink"/>
                <w:rtl w:val="true"/>
              </w:rPr>
              <w:t xml:space="preserve"> - </w:t>
            </w:r>
            <w:r>
              <w:rPr>
                <w:rStyle w:val="IndexLink"/>
                <w:rtl w:val="true"/>
              </w:rPr>
              <w:t>المقصود من القاعدة</w:t>
            </w:r>
            <w:r>
              <w:rPr>
                <w:rStyle w:val="IndexLink"/>
                <w:rtl w:val="true"/>
              </w:rPr>
              <w:tab/>
            </w:r>
            <w:r>
              <w:rPr>
                <w:rStyle w:val="IndexLink"/>
              </w:rPr>
              <w:t>81</w:t>
            </w:r>
          </w:hyperlink>
        </w:p>
        <w:p>
          <w:pPr>
            <w:pStyle w:val="Contents3"/>
            <w:tabs>
              <w:tab w:val="clear" w:pos="8459"/>
              <w:tab w:val="right" w:pos="9026" w:leader="dot"/>
            </w:tabs>
            <w:rPr/>
          </w:pPr>
          <w:hyperlink w:anchor="__RefHeading___Toc17479265_1280447820">
            <w:r>
              <w:rPr>
                <w:webHidden/>
                <w:rStyle w:val="IndexLink"/>
              </w:rPr>
              <w:t>2</w:t>
            </w:r>
            <w:r>
              <w:rPr>
                <w:rStyle w:val="IndexLink"/>
                <w:rtl w:val="true"/>
              </w:rPr>
              <w:t xml:space="preserve"> - </w:t>
            </w:r>
            <w:r>
              <w:rPr>
                <w:rStyle w:val="IndexLink"/>
                <w:rtl w:val="true"/>
              </w:rPr>
              <w:t>الفرق بينها وبين قاعدة الفراغ</w:t>
            </w:r>
            <w:r>
              <w:rPr>
                <w:rStyle w:val="IndexLink"/>
                <w:rtl w:val="true"/>
              </w:rPr>
              <w:tab/>
            </w:r>
            <w:r>
              <w:rPr>
                <w:rStyle w:val="IndexLink"/>
              </w:rPr>
              <w:t>81</w:t>
            </w:r>
          </w:hyperlink>
        </w:p>
        <w:p>
          <w:pPr>
            <w:pStyle w:val="Contents3"/>
            <w:tabs>
              <w:tab w:val="clear" w:pos="8459"/>
              <w:tab w:val="right" w:pos="9026" w:leader="dot"/>
            </w:tabs>
            <w:rPr/>
          </w:pPr>
          <w:hyperlink w:anchor="__RefHeading___Toc17479267_1280447820">
            <w:r>
              <w:rPr>
                <w:webHidden/>
                <w:rStyle w:val="IndexLink"/>
              </w:rPr>
              <w:t>3</w:t>
            </w:r>
            <w:r>
              <w:rPr>
                <w:rStyle w:val="IndexLink"/>
                <w:rtl w:val="true"/>
              </w:rPr>
              <w:t xml:space="preserve"> - </w:t>
            </w:r>
            <w:r>
              <w:rPr>
                <w:rStyle w:val="IndexLink"/>
                <w:rtl w:val="true"/>
              </w:rPr>
              <w:t>مدرك القاعدة</w:t>
            </w:r>
            <w:r>
              <w:rPr>
                <w:rStyle w:val="IndexLink"/>
                <w:rtl w:val="true"/>
              </w:rPr>
              <w:tab/>
            </w:r>
            <w:r>
              <w:rPr>
                <w:rStyle w:val="IndexLink"/>
              </w:rPr>
              <w:t>83</w:t>
            </w:r>
          </w:hyperlink>
        </w:p>
        <w:p>
          <w:pPr>
            <w:pStyle w:val="Contents3"/>
            <w:tabs>
              <w:tab w:val="clear" w:pos="8459"/>
              <w:tab w:val="right" w:pos="9026" w:leader="dot"/>
            </w:tabs>
            <w:rPr/>
          </w:pPr>
          <w:hyperlink w:anchor="__RefHeading___Toc17479269_1280447820">
            <w:r>
              <w:rPr>
                <w:webHidden/>
                <w:rStyle w:val="IndexLink"/>
              </w:rPr>
              <w:t>4</w:t>
            </w:r>
            <w:r>
              <w:rPr>
                <w:rStyle w:val="IndexLink"/>
                <w:rtl w:val="true"/>
              </w:rPr>
              <w:t xml:space="preserve"> - </w:t>
            </w:r>
            <w:r>
              <w:rPr>
                <w:rStyle w:val="IndexLink"/>
                <w:rtl w:val="true"/>
              </w:rPr>
              <w:t>وهل يشترط العلم بالصحة والفساد</w:t>
            </w:r>
            <w:r>
              <w:rPr>
                <w:rStyle w:val="IndexLink"/>
                <w:rtl w:val="true"/>
              </w:rPr>
              <w:tab/>
            </w:r>
            <w:r>
              <w:rPr>
                <w:rStyle w:val="IndexLink"/>
              </w:rPr>
              <w:t>85</w:t>
            </w:r>
          </w:hyperlink>
        </w:p>
        <w:p>
          <w:pPr>
            <w:pStyle w:val="Contents3"/>
            <w:tabs>
              <w:tab w:val="clear" w:pos="8459"/>
              <w:tab w:val="right" w:pos="9026" w:leader="dot"/>
            </w:tabs>
            <w:rPr/>
          </w:pPr>
          <w:hyperlink w:anchor="__RefHeading___Toc17479271_1280447820">
            <w:r>
              <w:rPr>
                <w:webHidden/>
                <w:rStyle w:val="IndexLink"/>
              </w:rPr>
              <w:t>5</w:t>
            </w:r>
            <w:r>
              <w:rPr>
                <w:rStyle w:val="IndexLink"/>
                <w:rtl w:val="true"/>
              </w:rPr>
              <w:t xml:space="preserve"> - </w:t>
            </w:r>
            <w:r>
              <w:rPr>
                <w:rStyle w:val="IndexLink"/>
                <w:rtl w:val="true"/>
              </w:rPr>
              <w:t>وهل تختص بحالة الشك في وجود المانع</w:t>
            </w:r>
            <w:r>
              <w:rPr>
                <w:rStyle w:val="IndexLink"/>
                <w:rtl w:val="true"/>
              </w:rPr>
              <w:tab/>
            </w:r>
            <w:r>
              <w:rPr>
                <w:rStyle w:val="IndexLink"/>
              </w:rPr>
              <w:t>86</w:t>
            </w:r>
          </w:hyperlink>
        </w:p>
        <w:p>
          <w:pPr>
            <w:pStyle w:val="Contents3"/>
            <w:tabs>
              <w:tab w:val="clear" w:pos="8459"/>
              <w:tab w:val="right" w:pos="9026" w:leader="dot"/>
            </w:tabs>
            <w:rPr/>
          </w:pPr>
          <w:hyperlink w:anchor="__RefHeading___Toc17479273_1280447820">
            <w:r>
              <w:rPr>
                <w:webHidden/>
                <w:rStyle w:val="IndexLink"/>
              </w:rPr>
              <w:t>6</w:t>
            </w:r>
            <w:r>
              <w:rPr>
                <w:rStyle w:val="IndexLink"/>
                <w:rtl w:val="true"/>
              </w:rPr>
              <w:t xml:space="preserve"> - </w:t>
            </w:r>
            <w:r>
              <w:rPr>
                <w:rStyle w:val="IndexLink"/>
                <w:rtl w:val="true"/>
              </w:rPr>
              <w:t>يلزم احراز وقوع الفعل الجامع</w:t>
            </w:r>
            <w:r>
              <w:rPr>
                <w:rStyle w:val="IndexLink"/>
                <w:rtl w:val="true"/>
              </w:rPr>
              <w:tab/>
            </w:r>
            <w:r>
              <w:rPr>
                <w:rStyle w:val="IndexLink"/>
              </w:rPr>
              <w:t>87</w:t>
            </w:r>
          </w:hyperlink>
        </w:p>
        <w:p>
          <w:pPr>
            <w:pStyle w:val="Contents3"/>
            <w:tabs>
              <w:tab w:val="clear" w:pos="8459"/>
              <w:tab w:val="right" w:pos="9026" w:leader="dot"/>
            </w:tabs>
            <w:rPr/>
          </w:pPr>
          <w:hyperlink w:anchor="__RefHeading___Toc17479275_1280447820">
            <w:r>
              <w:rPr>
                <w:webHidden/>
                <w:rStyle w:val="IndexLink"/>
              </w:rPr>
              <w:t>7</w:t>
            </w:r>
            <w:r>
              <w:rPr>
                <w:rStyle w:val="IndexLink"/>
                <w:rtl w:val="true"/>
              </w:rPr>
              <w:t xml:space="preserve"> - </w:t>
            </w:r>
            <w:r>
              <w:rPr>
                <w:rStyle w:val="IndexLink"/>
                <w:rtl w:val="true"/>
              </w:rPr>
              <w:t>الصحة عند الفاعل أو عند الحامل</w:t>
            </w:r>
            <w:r>
              <w:rPr>
                <w:rStyle w:val="IndexLink"/>
                <w:rtl w:val="true"/>
              </w:rPr>
              <w:tab/>
            </w:r>
            <w:r>
              <w:rPr>
                <w:rStyle w:val="IndexLink"/>
              </w:rPr>
              <w:t>87</w:t>
            </w:r>
          </w:hyperlink>
        </w:p>
        <w:p>
          <w:pPr>
            <w:pStyle w:val="Contents3"/>
            <w:tabs>
              <w:tab w:val="clear" w:pos="8459"/>
              <w:tab w:val="right" w:pos="9026" w:leader="dot"/>
            </w:tabs>
            <w:rPr/>
          </w:pPr>
          <w:hyperlink w:anchor="__RefHeading___Toc17479277_1280447820">
            <w:r>
              <w:rPr>
                <w:webHidden/>
                <w:rStyle w:val="IndexLink"/>
              </w:rPr>
              <w:t>8</w:t>
            </w:r>
            <w:r>
              <w:rPr>
                <w:rStyle w:val="IndexLink"/>
                <w:rtl w:val="true"/>
              </w:rPr>
              <w:t xml:space="preserve"> - </w:t>
            </w:r>
            <w:r>
              <w:rPr>
                <w:rStyle w:val="IndexLink"/>
                <w:rtl w:val="true"/>
              </w:rPr>
              <w:t>تطبيقات</w:t>
            </w:r>
            <w:r>
              <w:rPr>
                <w:rStyle w:val="IndexLink"/>
                <w:rtl w:val="true"/>
              </w:rPr>
              <w:tab/>
            </w:r>
            <w:r>
              <w:rPr>
                <w:rStyle w:val="IndexLink"/>
              </w:rPr>
              <w:t>89</w:t>
            </w:r>
          </w:hyperlink>
        </w:p>
        <w:p>
          <w:pPr>
            <w:pStyle w:val="Contents2"/>
            <w:tabs>
              <w:tab w:val="clear" w:pos="8743"/>
              <w:tab w:val="right" w:pos="9026" w:leader="dot"/>
            </w:tabs>
            <w:rPr/>
          </w:pPr>
          <w:hyperlink w:anchor="__RefHeading___Toc17479279_1280447820">
            <w:r>
              <w:rPr>
                <w:webHidden/>
                <w:rStyle w:val="IndexLink"/>
                <w:rtl w:val="true"/>
              </w:rPr>
              <w:t>قاعدة لا ضرر</w:t>
            </w:r>
            <w:r>
              <w:rPr>
                <w:rStyle w:val="IndexLink"/>
                <w:rtl w:val="true"/>
              </w:rPr>
              <w:tab/>
            </w:r>
            <w:r>
              <w:rPr>
                <w:rStyle w:val="IndexLink"/>
              </w:rPr>
              <w:t>92</w:t>
            </w:r>
          </w:hyperlink>
        </w:p>
        <w:p>
          <w:pPr>
            <w:pStyle w:val="Contents3"/>
            <w:tabs>
              <w:tab w:val="clear" w:pos="8459"/>
              <w:tab w:val="right" w:pos="9026" w:leader="dot"/>
            </w:tabs>
            <w:rPr/>
          </w:pPr>
          <w:hyperlink w:anchor="__RefHeading___Toc17479281_12804478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7479283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96</w:t>
            </w:r>
          </w:hyperlink>
        </w:p>
        <w:p>
          <w:pPr>
            <w:pStyle w:val="Contents3"/>
            <w:tabs>
              <w:tab w:val="clear" w:pos="8459"/>
              <w:tab w:val="right" w:pos="9026" w:leader="dot"/>
            </w:tabs>
            <w:rPr/>
          </w:pPr>
          <w:hyperlink w:anchor="__RefHeading___Toc17479285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96</w:t>
            </w:r>
          </w:hyperlink>
        </w:p>
        <w:p>
          <w:pPr>
            <w:pStyle w:val="Contents4"/>
            <w:tabs>
              <w:tab w:val="clear" w:pos="8176"/>
              <w:tab w:val="right" w:pos="9026" w:leader="dot"/>
            </w:tabs>
            <w:rPr/>
          </w:pPr>
          <w:hyperlink w:anchor="__RefHeading___Toc17479287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7479289_1280447820">
            <w:r>
              <w:rPr>
                <w:webHidden/>
                <w:rStyle w:val="IndexLink"/>
                <w:rtl w:val="true"/>
              </w:rPr>
              <w:t xml:space="preserve">اضافة كلمة </w:t>
            </w:r>
            <w:r>
              <w:rPr>
                <w:rStyle w:val="IndexLink"/>
                <w:rtl w:val="true"/>
              </w:rPr>
              <w:t>«</w:t>
            </w:r>
            <w:r>
              <w:rPr>
                <w:rStyle w:val="IndexLink"/>
                <w:rtl w:val="true"/>
              </w:rPr>
              <w:t>على مؤمن</w:t>
            </w:r>
            <w:r>
              <w:rPr>
                <w:rStyle w:val="IndexLink"/>
                <w:rtl w:val="true"/>
              </w:rPr>
              <w:t>»</w:t>
              <w:tab/>
            </w:r>
            <w:r>
              <w:rPr>
                <w:rStyle w:val="IndexLink"/>
              </w:rPr>
              <w:t>98</w:t>
            </w:r>
          </w:hyperlink>
        </w:p>
        <w:p>
          <w:pPr>
            <w:pStyle w:val="Contents4"/>
            <w:tabs>
              <w:tab w:val="clear" w:pos="8176"/>
              <w:tab w:val="right" w:pos="9026" w:leader="dot"/>
            </w:tabs>
            <w:rPr/>
          </w:pPr>
          <w:hyperlink w:anchor="__RefHeading___Toc17479291_1280447820">
            <w:r>
              <w:rPr>
                <w:webHidden/>
                <w:rStyle w:val="IndexLink"/>
                <w:rtl w:val="true"/>
              </w:rPr>
              <w:t>اتّضح ممّا تقدم</w:t>
            </w:r>
            <w:r>
              <w:rPr>
                <w:rStyle w:val="IndexLink"/>
                <w:rtl w:val="true"/>
              </w:rPr>
              <w:tab/>
            </w:r>
            <w:r>
              <w:rPr>
                <w:rStyle w:val="IndexLink"/>
              </w:rPr>
              <w:t>100</w:t>
            </w:r>
          </w:hyperlink>
        </w:p>
        <w:p>
          <w:pPr>
            <w:pStyle w:val="Contents3"/>
            <w:tabs>
              <w:tab w:val="clear" w:pos="8459"/>
              <w:tab w:val="right" w:pos="9026" w:leader="dot"/>
            </w:tabs>
            <w:rPr/>
          </w:pPr>
          <w:hyperlink w:anchor="__RefHeading___Toc17479293_1280447820">
            <w:r>
              <w:rPr>
                <w:webHidden/>
                <w:rStyle w:val="IndexLink"/>
              </w:rPr>
              <w:t>3</w:t>
            </w:r>
            <w:r>
              <w:rPr>
                <w:rStyle w:val="IndexLink"/>
                <w:rtl w:val="true"/>
              </w:rPr>
              <w:t xml:space="preserve"> - </w:t>
            </w:r>
            <w:r>
              <w:rPr>
                <w:rStyle w:val="IndexLink"/>
                <w:rtl w:val="true"/>
              </w:rPr>
              <w:t>اختلاف صيغة الحديث</w:t>
            </w:r>
            <w:r>
              <w:rPr>
                <w:rStyle w:val="IndexLink"/>
                <w:rtl w:val="true"/>
              </w:rPr>
              <w:tab/>
            </w:r>
            <w:r>
              <w:rPr>
                <w:rStyle w:val="IndexLink"/>
              </w:rPr>
              <w:t>101</w:t>
            </w:r>
          </w:hyperlink>
        </w:p>
        <w:p>
          <w:pPr>
            <w:pStyle w:val="Contents4"/>
            <w:tabs>
              <w:tab w:val="clear" w:pos="8176"/>
              <w:tab w:val="right" w:pos="9026" w:leader="dot"/>
            </w:tabs>
            <w:rPr/>
          </w:pPr>
          <w:hyperlink w:anchor="__RefHeading___Toc17479295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7479297_1280447820">
            <w:r>
              <w:rPr>
                <w:webHidden/>
                <w:rStyle w:val="IndexLink"/>
                <w:rtl w:val="true"/>
              </w:rPr>
              <w:t>لفت نظر</w:t>
            </w:r>
            <w:r>
              <w:rPr>
                <w:rStyle w:val="IndexLink"/>
                <w:rtl w:val="true"/>
              </w:rPr>
              <w:tab/>
            </w:r>
            <w:r>
              <w:rPr>
                <w:rStyle w:val="IndexLink"/>
              </w:rPr>
              <w:t>107</w:t>
            </w:r>
          </w:hyperlink>
        </w:p>
        <w:p>
          <w:pPr>
            <w:pStyle w:val="Contents3"/>
            <w:tabs>
              <w:tab w:val="clear" w:pos="8459"/>
              <w:tab w:val="right" w:pos="9026" w:leader="dot"/>
            </w:tabs>
            <w:rPr/>
          </w:pPr>
          <w:hyperlink w:anchor="__RefHeading___Toc17479299_1280447820">
            <w:r>
              <w:rPr>
                <w:webHidden/>
                <w:rStyle w:val="IndexLink"/>
              </w:rPr>
              <w:t>4</w:t>
            </w:r>
            <w:r>
              <w:rPr>
                <w:rStyle w:val="IndexLink"/>
                <w:rtl w:val="true"/>
              </w:rPr>
              <w:t xml:space="preserve"> - </w:t>
            </w:r>
            <w:r>
              <w:rPr>
                <w:rStyle w:val="IndexLink"/>
                <w:rtl w:val="true"/>
              </w:rPr>
              <w:t>الجمع في الرواية أو في المروي</w:t>
            </w:r>
            <w:r>
              <w:rPr>
                <w:rStyle w:val="IndexLink"/>
                <w:rtl w:val="true"/>
              </w:rPr>
              <w:tab/>
            </w:r>
            <w:r>
              <w:rPr>
                <w:rStyle w:val="IndexLink"/>
              </w:rPr>
              <w:t>107</w:t>
            </w:r>
          </w:hyperlink>
        </w:p>
        <w:p>
          <w:pPr>
            <w:pStyle w:val="Contents4"/>
            <w:tabs>
              <w:tab w:val="clear" w:pos="8176"/>
              <w:tab w:val="right" w:pos="9026" w:leader="dot"/>
            </w:tabs>
            <w:rPr/>
          </w:pPr>
          <w:hyperlink w:anchor="__RefHeading___Toc17479301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7479303_1280447820">
            <w:r>
              <w:rPr>
                <w:webHidden/>
                <w:rStyle w:val="IndexLink"/>
                <w:rtl w:val="true"/>
              </w:rPr>
              <w:t>نكات اخرى</w:t>
            </w:r>
            <w:r>
              <w:rPr>
                <w:rStyle w:val="IndexLink"/>
                <w:rtl w:val="true"/>
              </w:rPr>
              <w:tab/>
            </w:r>
            <w:r>
              <w:rPr>
                <w:rStyle w:val="IndexLink"/>
              </w:rPr>
              <w:t>115</w:t>
            </w:r>
          </w:hyperlink>
        </w:p>
        <w:p>
          <w:pPr>
            <w:pStyle w:val="Contents3"/>
            <w:tabs>
              <w:tab w:val="clear" w:pos="8459"/>
              <w:tab w:val="right" w:pos="9026" w:leader="dot"/>
            </w:tabs>
            <w:rPr/>
          </w:pPr>
          <w:hyperlink w:anchor="__RefHeading___Toc17479305_1280447820">
            <w:r>
              <w:rPr>
                <w:webHidden/>
                <w:rStyle w:val="IndexLink"/>
              </w:rPr>
              <w:t>5</w:t>
            </w:r>
            <w:r>
              <w:rPr>
                <w:rStyle w:val="IndexLink"/>
                <w:rtl w:val="true"/>
              </w:rPr>
              <w:t xml:space="preserve"> - </w:t>
            </w:r>
            <w:r>
              <w:rPr>
                <w:rStyle w:val="IndexLink"/>
                <w:rtl w:val="true"/>
              </w:rPr>
              <w:t>توضيح مفردات الحديث</w:t>
            </w:r>
            <w:r>
              <w:rPr>
                <w:rStyle w:val="IndexLink"/>
                <w:rtl w:val="true"/>
              </w:rPr>
              <w:tab/>
            </w:r>
            <w:r>
              <w:rPr>
                <w:rStyle w:val="IndexLink"/>
              </w:rPr>
              <w:t>119</w:t>
            </w:r>
          </w:hyperlink>
        </w:p>
        <w:p>
          <w:pPr>
            <w:pStyle w:val="Contents3"/>
            <w:tabs>
              <w:tab w:val="clear" w:pos="8459"/>
              <w:tab w:val="right" w:pos="9026" w:leader="dot"/>
            </w:tabs>
            <w:rPr/>
          </w:pPr>
          <w:hyperlink w:anchor="__RefHeading___Toc17479307_1280447820">
            <w:r>
              <w:rPr>
                <w:webHidden/>
                <w:rStyle w:val="IndexLink"/>
                <w:rtl w:val="true"/>
              </w:rPr>
              <w:t>معنى الضرار</w:t>
            </w:r>
            <w:r>
              <w:rPr>
                <w:rStyle w:val="IndexLink"/>
                <w:rtl w:val="true"/>
              </w:rPr>
              <w:tab/>
            </w:r>
            <w:r>
              <w:rPr>
                <w:rStyle w:val="IndexLink"/>
              </w:rPr>
              <w:t>123</w:t>
            </w:r>
          </w:hyperlink>
        </w:p>
        <w:p>
          <w:pPr>
            <w:pStyle w:val="Contents3"/>
            <w:tabs>
              <w:tab w:val="clear" w:pos="8459"/>
              <w:tab w:val="right" w:pos="9026" w:leader="dot"/>
            </w:tabs>
            <w:rPr/>
          </w:pPr>
          <w:hyperlink w:anchor="__RefHeading___Toc17479309_1280447820">
            <w:r>
              <w:rPr>
                <w:webHidden/>
                <w:rStyle w:val="IndexLink"/>
              </w:rPr>
              <w:t>6</w:t>
            </w:r>
            <w:r>
              <w:rPr>
                <w:rStyle w:val="IndexLink"/>
                <w:rtl w:val="true"/>
              </w:rPr>
              <w:t xml:space="preserve"> - </w:t>
            </w:r>
            <w:r>
              <w:rPr>
                <w:rStyle w:val="IndexLink"/>
                <w:rtl w:val="true"/>
              </w:rPr>
              <w:t>المقصود من قاعدة لا ضرر</w:t>
            </w:r>
            <w:r>
              <w:rPr>
                <w:rStyle w:val="IndexLink"/>
                <w:rtl w:val="true"/>
              </w:rPr>
              <w:tab/>
            </w:r>
            <w:r>
              <w:rPr>
                <w:rStyle w:val="IndexLink"/>
              </w:rPr>
              <w:t>125</w:t>
            </w:r>
          </w:hyperlink>
        </w:p>
        <w:p>
          <w:pPr>
            <w:pStyle w:val="Contents4"/>
            <w:tabs>
              <w:tab w:val="clear" w:pos="8176"/>
              <w:tab w:val="right" w:pos="9026" w:leader="dot"/>
            </w:tabs>
            <w:rPr/>
          </w:pPr>
          <w:hyperlink w:anchor="__RefHeading___Toc17479311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7479313_1280447820">
            <w:r>
              <w:rPr>
                <w:webHidden/>
                <w:rStyle w:val="IndexLink"/>
                <w:rtl w:val="true"/>
              </w:rPr>
              <w:t>توضيح الرأي الأول</w:t>
            </w:r>
            <w:r>
              <w:rPr>
                <w:rStyle w:val="IndexLink"/>
                <w:rtl w:val="true"/>
              </w:rPr>
              <w:tab/>
            </w:r>
            <w:r>
              <w:rPr>
                <w:rStyle w:val="IndexLink"/>
              </w:rPr>
              <w:t>126</w:t>
            </w:r>
          </w:hyperlink>
        </w:p>
        <w:p>
          <w:pPr>
            <w:pStyle w:val="Contents4"/>
            <w:tabs>
              <w:tab w:val="clear" w:pos="8176"/>
              <w:tab w:val="right" w:pos="9026" w:leader="dot"/>
            </w:tabs>
            <w:rPr/>
          </w:pPr>
          <w:hyperlink w:anchor="__RefHeading___Toc17479315_1280447820">
            <w:r>
              <w:rPr>
                <w:webHidden/>
                <w:rStyle w:val="IndexLink"/>
                <w:rtl w:val="true"/>
              </w:rPr>
              <w:t>الدليل على الرأي الاول</w:t>
            </w:r>
            <w:r>
              <w:rPr>
                <w:rStyle w:val="IndexLink"/>
                <w:rtl w:val="true"/>
              </w:rPr>
              <w:tab/>
            </w:r>
            <w:r>
              <w:rPr>
                <w:rStyle w:val="IndexLink"/>
              </w:rPr>
              <w:t>126</w:t>
            </w:r>
          </w:hyperlink>
        </w:p>
        <w:p>
          <w:pPr>
            <w:pStyle w:val="Contents4"/>
            <w:tabs>
              <w:tab w:val="clear" w:pos="8176"/>
              <w:tab w:val="right" w:pos="9026" w:leader="dot"/>
            </w:tabs>
            <w:rPr/>
          </w:pPr>
          <w:hyperlink w:anchor="__RefHeading___Toc17479317_1280447820">
            <w:r>
              <w:rPr>
                <w:webHidden/>
                <w:rStyle w:val="IndexLink"/>
                <w:rtl w:val="true"/>
              </w:rPr>
              <w:t>مناقشة أدلّة شيخ الشريعة</w:t>
            </w:r>
            <w:r>
              <w:rPr>
                <w:rStyle w:val="IndexLink"/>
                <w:rtl w:val="true"/>
              </w:rPr>
              <w:tab/>
            </w:r>
            <w:r>
              <w:rPr>
                <w:rStyle w:val="IndexLink"/>
              </w:rPr>
              <w:t>128</w:t>
            </w:r>
          </w:hyperlink>
        </w:p>
        <w:p>
          <w:pPr>
            <w:pStyle w:val="Contents4"/>
            <w:tabs>
              <w:tab w:val="clear" w:pos="8176"/>
              <w:tab w:val="right" w:pos="9026" w:leader="dot"/>
            </w:tabs>
            <w:rPr/>
          </w:pPr>
          <w:hyperlink w:anchor="__RefHeading___Toc17479319_1280447820">
            <w:r>
              <w:rPr>
                <w:webHidden/>
                <w:rStyle w:val="IndexLink"/>
                <w:rtl w:val="true"/>
              </w:rPr>
              <w:t>الاستدلال على الرأي الثاني</w:t>
            </w:r>
            <w:r>
              <w:rPr>
                <w:rStyle w:val="IndexLink"/>
                <w:rtl w:val="true"/>
              </w:rPr>
              <w:tab/>
            </w:r>
            <w:r>
              <w:rPr>
                <w:rStyle w:val="IndexLink"/>
              </w:rPr>
              <w:t>129</w:t>
            </w:r>
          </w:hyperlink>
        </w:p>
        <w:p>
          <w:pPr>
            <w:pStyle w:val="Contents4"/>
            <w:tabs>
              <w:tab w:val="clear" w:pos="8176"/>
              <w:tab w:val="right" w:pos="9026" w:leader="dot"/>
            </w:tabs>
            <w:rPr/>
          </w:pPr>
          <w:hyperlink w:anchor="__RefHeading___Toc17479321_1280447820">
            <w:r>
              <w:rPr>
                <w:webHidden/>
                <w:rStyle w:val="IndexLink"/>
                <w:rtl w:val="true"/>
              </w:rPr>
              <w:t>مناقشة الرأي الثاني</w:t>
            </w:r>
            <w:r>
              <w:rPr>
                <w:rStyle w:val="IndexLink"/>
                <w:rtl w:val="true"/>
              </w:rPr>
              <w:tab/>
            </w:r>
            <w:r>
              <w:rPr>
                <w:rStyle w:val="IndexLink"/>
              </w:rPr>
              <w:t>130</w:t>
            </w:r>
          </w:hyperlink>
        </w:p>
        <w:p>
          <w:pPr>
            <w:pStyle w:val="Contents4"/>
            <w:tabs>
              <w:tab w:val="clear" w:pos="8176"/>
              <w:tab w:val="right" w:pos="9026" w:leader="dot"/>
            </w:tabs>
            <w:rPr/>
          </w:pPr>
          <w:hyperlink w:anchor="__RefHeading___Toc17479323_1280447820">
            <w:r>
              <w:rPr>
                <w:webHidden/>
                <w:rStyle w:val="IndexLink"/>
                <w:rtl w:val="true"/>
              </w:rPr>
              <w:t>الاستدلال على الرأي الثالث</w:t>
            </w:r>
            <w:r>
              <w:rPr>
                <w:rStyle w:val="IndexLink"/>
                <w:rtl w:val="true"/>
              </w:rPr>
              <w:tab/>
            </w:r>
            <w:r>
              <w:rPr>
                <w:rStyle w:val="IndexLink"/>
              </w:rPr>
              <w:t>132</w:t>
            </w:r>
          </w:hyperlink>
        </w:p>
        <w:p>
          <w:pPr>
            <w:pStyle w:val="Contents4"/>
            <w:tabs>
              <w:tab w:val="clear" w:pos="8176"/>
              <w:tab w:val="right" w:pos="9026" w:leader="dot"/>
            </w:tabs>
            <w:rPr/>
          </w:pPr>
          <w:hyperlink w:anchor="__RefHeading___Toc17479325_1280447820">
            <w:r>
              <w:rPr>
                <w:webHidden/>
                <w:rStyle w:val="IndexLink"/>
                <w:rtl w:val="true"/>
              </w:rPr>
              <w:t>مناقشة الرأي الثالث</w:t>
            </w:r>
            <w:r>
              <w:rPr>
                <w:rStyle w:val="IndexLink"/>
                <w:rtl w:val="true"/>
              </w:rPr>
              <w:tab/>
            </w:r>
            <w:r>
              <w:rPr>
                <w:rStyle w:val="IndexLink"/>
              </w:rPr>
              <w:t>133</w:t>
            </w:r>
          </w:hyperlink>
        </w:p>
        <w:p>
          <w:pPr>
            <w:pStyle w:val="Contents4"/>
            <w:tabs>
              <w:tab w:val="clear" w:pos="8176"/>
              <w:tab w:val="right" w:pos="9026" w:leader="dot"/>
            </w:tabs>
            <w:rPr/>
          </w:pPr>
          <w:hyperlink w:anchor="__RefHeading___Toc17479327_1280447820">
            <w:r>
              <w:rPr>
                <w:webHidden/>
                <w:rStyle w:val="IndexLink"/>
                <w:rtl w:val="true"/>
              </w:rPr>
              <w:t>الاستدلال على الرأي الرابع</w:t>
            </w:r>
            <w:r>
              <w:rPr>
                <w:rStyle w:val="IndexLink"/>
                <w:rtl w:val="true"/>
              </w:rPr>
              <w:tab/>
            </w:r>
            <w:r>
              <w:rPr>
                <w:rStyle w:val="IndexLink"/>
              </w:rPr>
              <w:t>134</w:t>
            </w:r>
          </w:hyperlink>
        </w:p>
        <w:p>
          <w:pPr>
            <w:pStyle w:val="Contents4"/>
            <w:tabs>
              <w:tab w:val="clear" w:pos="8176"/>
              <w:tab w:val="right" w:pos="9026" w:leader="dot"/>
            </w:tabs>
            <w:rPr/>
          </w:pPr>
          <w:hyperlink w:anchor="__RefHeading___Toc17479329_1280447820">
            <w:r>
              <w:rPr>
                <w:webHidden/>
                <w:rStyle w:val="IndexLink"/>
                <w:rtl w:val="true"/>
              </w:rPr>
              <w:t>مناقشة الرأي الرابع</w:t>
            </w:r>
            <w:r>
              <w:rPr>
                <w:rStyle w:val="IndexLink"/>
                <w:rtl w:val="true"/>
              </w:rPr>
              <w:tab/>
            </w:r>
            <w:r>
              <w:rPr>
                <w:rStyle w:val="IndexLink"/>
              </w:rPr>
              <w:t>135</w:t>
            </w:r>
          </w:hyperlink>
        </w:p>
        <w:p>
          <w:pPr>
            <w:pStyle w:val="Contents4"/>
            <w:tabs>
              <w:tab w:val="clear" w:pos="8176"/>
              <w:tab w:val="right" w:pos="9026" w:leader="dot"/>
            </w:tabs>
            <w:rPr/>
          </w:pPr>
          <w:hyperlink w:anchor="__RefHeading___Toc17479331_1280447820">
            <w:r>
              <w:rPr>
                <w:webHidden/>
                <w:rStyle w:val="IndexLink"/>
                <w:rtl w:val="true"/>
              </w:rPr>
              <w:t>الصحيح أن يقال</w:t>
            </w:r>
            <w:r>
              <w:rPr>
                <w:rStyle w:val="IndexLink"/>
                <w:rtl w:val="true"/>
              </w:rPr>
              <w:tab/>
            </w:r>
            <w:r>
              <w:rPr>
                <w:rStyle w:val="IndexLink"/>
              </w:rPr>
              <w:t>137</w:t>
            </w:r>
          </w:hyperlink>
        </w:p>
        <w:p>
          <w:pPr>
            <w:pStyle w:val="Contents3"/>
            <w:tabs>
              <w:tab w:val="clear" w:pos="8459"/>
              <w:tab w:val="right" w:pos="9026" w:leader="dot"/>
            </w:tabs>
            <w:rPr/>
          </w:pPr>
          <w:hyperlink w:anchor="__RefHeading___Toc17479333_1280447820">
            <w:r>
              <w:rPr>
                <w:webHidden/>
                <w:rStyle w:val="IndexLink"/>
              </w:rPr>
              <w:t>7</w:t>
            </w:r>
            <w:r>
              <w:rPr>
                <w:rStyle w:val="IndexLink"/>
                <w:rtl w:val="true"/>
              </w:rPr>
              <w:t xml:space="preserve"> - </w:t>
            </w:r>
            <w:r>
              <w:rPr>
                <w:rStyle w:val="IndexLink"/>
                <w:rtl w:val="true"/>
              </w:rPr>
              <w:t>تطبيق الحديث على قضية سمرة</w:t>
            </w:r>
            <w:r>
              <w:rPr>
                <w:rStyle w:val="IndexLink"/>
                <w:rtl w:val="true"/>
              </w:rPr>
              <w:tab/>
            </w:r>
            <w:r>
              <w:rPr>
                <w:rStyle w:val="IndexLink"/>
              </w:rPr>
              <w:t>139</w:t>
            </w:r>
          </w:hyperlink>
        </w:p>
        <w:p>
          <w:pPr>
            <w:pStyle w:val="Contents3"/>
            <w:tabs>
              <w:tab w:val="clear" w:pos="8459"/>
              <w:tab w:val="right" w:pos="9026" w:leader="dot"/>
            </w:tabs>
            <w:rPr/>
          </w:pPr>
          <w:hyperlink w:anchor="__RefHeading___Toc17479335_1280447820">
            <w:r>
              <w:rPr>
                <w:webHidden/>
                <w:rStyle w:val="IndexLink"/>
              </w:rPr>
              <w:t>8</w:t>
            </w:r>
            <w:r>
              <w:rPr>
                <w:rStyle w:val="IndexLink"/>
                <w:rtl w:val="true"/>
              </w:rPr>
              <w:t xml:space="preserve"> - </w:t>
            </w:r>
            <w:r>
              <w:rPr>
                <w:rStyle w:val="IndexLink"/>
                <w:rtl w:val="true"/>
              </w:rPr>
              <w:t>كيف يدفع محذور كثرة التخصيص</w:t>
            </w:r>
            <w:r>
              <w:rPr>
                <w:rStyle w:val="IndexLink"/>
                <w:rtl w:val="true"/>
              </w:rPr>
              <w:tab/>
            </w:r>
            <w:r>
              <w:rPr>
                <w:rStyle w:val="IndexLink"/>
              </w:rPr>
              <w:t>143</w:t>
            </w:r>
          </w:hyperlink>
        </w:p>
        <w:p>
          <w:pPr>
            <w:pStyle w:val="Contents3"/>
            <w:tabs>
              <w:tab w:val="clear" w:pos="8459"/>
              <w:tab w:val="right" w:pos="9026" w:leader="dot"/>
            </w:tabs>
            <w:rPr/>
          </w:pPr>
          <w:hyperlink w:anchor="__RefHeading___Toc17479337_1280447820">
            <w:r>
              <w:rPr>
                <w:webHidden/>
                <w:rStyle w:val="IndexLink"/>
              </w:rPr>
              <w:t>9</w:t>
            </w:r>
            <w:r>
              <w:rPr>
                <w:rStyle w:val="IndexLink"/>
                <w:rtl w:val="true"/>
              </w:rPr>
              <w:t xml:space="preserve"> - </w:t>
            </w:r>
            <w:r>
              <w:rPr>
                <w:rStyle w:val="IndexLink"/>
                <w:rtl w:val="true"/>
              </w:rPr>
              <w:t>شمول الحديث للأحكام العدمية</w:t>
            </w:r>
            <w:r>
              <w:rPr>
                <w:rStyle w:val="IndexLink"/>
                <w:rtl w:val="true"/>
              </w:rPr>
              <w:tab/>
            </w:r>
            <w:r>
              <w:rPr>
                <w:rStyle w:val="IndexLink"/>
              </w:rPr>
              <w:t>151</w:t>
            </w:r>
          </w:hyperlink>
        </w:p>
        <w:p>
          <w:pPr>
            <w:pStyle w:val="Contents3"/>
            <w:tabs>
              <w:tab w:val="clear" w:pos="8459"/>
              <w:tab w:val="right" w:pos="9026" w:leader="dot"/>
            </w:tabs>
            <w:rPr/>
          </w:pPr>
          <w:hyperlink w:anchor="__RefHeading___Toc17479339_1280447820">
            <w:r>
              <w:rPr>
                <w:webHidden/>
                <w:rStyle w:val="IndexLink"/>
              </w:rPr>
              <w:t>10</w:t>
            </w:r>
            <w:r>
              <w:rPr>
                <w:rStyle w:val="IndexLink"/>
                <w:rtl w:val="true"/>
              </w:rPr>
              <w:t xml:space="preserve"> - </w:t>
            </w:r>
            <w:r>
              <w:rPr>
                <w:rStyle w:val="IndexLink"/>
                <w:rtl w:val="true"/>
              </w:rPr>
              <w:t>وجه تقديم الحديث على الأدلّة الأوّلية</w:t>
            </w:r>
            <w:r>
              <w:rPr>
                <w:rStyle w:val="IndexLink"/>
                <w:rtl w:val="true"/>
              </w:rPr>
              <w:tab/>
            </w:r>
            <w:r>
              <w:rPr>
                <w:rStyle w:val="IndexLink"/>
              </w:rPr>
              <w:t>155</w:t>
            </w:r>
          </w:hyperlink>
        </w:p>
        <w:p>
          <w:pPr>
            <w:pStyle w:val="Contents4"/>
            <w:tabs>
              <w:tab w:val="clear" w:pos="8176"/>
              <w:tab w:val="right" w:pos="9026" w:leader="dot"/>
            </w:tabs>
            <w:rPr/>
          </w:pPr>
          <w:hyperlink w:anchor="__RefHeading___Toc17479341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7479343_1280447820">
            <w:r>
              <w:rPr>
                <w:webHidden/>
                <w:rStyle w:val="IndexLink"/>
                <w:rtl w:val="true"/>
              </w:rPr>
              <w:t>وجه التقدّم</w:t>
            </w:r>
            <w:r>
              <w:rPr>
                <w:rStyle w:val="IndexLink"/>
                <w:rtl w:val="true"/>
              </w:rPr>
              <w:tab/>
            </w:r>
            <w:r>
              <w:rPr>
                <w:rStyle w:val="IndexLink"/>
              </w:rPr>
              <w:t>156</w:t>
            </w:r>
          </w:hyperlink>
        </w:p>
        <w:p>
          <w:pPr>
            <w:pStyle w:val="Contents4"/>
            <w:tabs>
              <w:tab w:val="clear" w:pos="8176"/>
              <w:tab w:val="right" w:pos="9026" w:leader="dot"/>
            </w:tabs>
            <w:rPr/>
          </w:pPr>
          <w:hyperlink w:anchor="__RefHeading___Toc17479345_1280447820">
            <w:r>
              <w:rPr>
                <w:webHidden/>
                <w:rStyle w:val="IndexLink"/>
                <w:rtl w:val="true"/>
              </w:rPr>
              <w:t>الحكومة</w:t>
            </w:r>
            <w:r>
              <w:rPr>
                <w:rStyle w:val="IndexLink"/>
                <w:rtl w:val="true"/>
              </w:rPr>
              <w:tab/>
            </w:r>
            <w:r>
              <w:rPr>
                <w:rStyle w:val="IndexLink"/>
              </w:rPr>
              <w:t>159</w:t>
            </w:r>
          </w:hyperlink>
        </w:p>
        <w:p>
          <w:pPr>
            <w:pStyle w:val="Contents4"/>
            <w:tabs>
              <w:tab w:val="clear" w:pos="8176"/>
              <w:tab w:val="right" w:pos="9026" w:leader="dot"/>
            </w:tabs>
            <w:rPr/>
          </w:pPr>
          <w:hyperlink w:anchor="__RefHeading___Toc17479347_1280447820">
            <w:r>
              <w:rPr>
                <w:webHidden/>
                <w:rStyle w:val="IndexLink"/>
                <w:rtl w:val="true"/>
              </w:rPr>
              <w:t>نكتة تقدم الحاكم</w:t>
            </w:r>
            <w:r>
              <w:rPr>
                <w:rStyle w:val="IndexLink"/>
                <w:rtl w:val="true"/>
              </w:rPr>
              <w:tab/>
            </w:r>
            <w:r>
              <w:rPr>
                <w:rStyle w:val="IndexLink"/>
              </w:rPr>
              <w:t>160</w:t>
            </w:r>
          </w:hyperlink>
        </w:p>
        <w:p>
          <w:pPr>
            <w:pStyle w:val="Contents4"/>
            <w:tabs>
              <w:tab w:val="clear" w:pos="8176"/>
              <w:tab w:val="right" w:pos="9026" w:leader="dot"/>
            </w:tabs>
            <w:rPr/>
          </w:pPr>
          <w:hyperlink w:anchor="__RefHeading___Toc17479349_1280447820">
            <w:r>
              <w:rPr>
                <w:webHidden/>
                <w:rStyle w:val="IndexLink"/>
              </w:rPr>
              <w:t>11</w:t>
            </w:r>
            <w:r>
              <w:rPr>
                <w:rStyle w:val="IndexLink"/>
                <w:rtl w:val="true"/>
              </w:rPr>
              <w:t xml:space="preserve"> - </w:t>
            </w:r>
            <w:r>
              <w:rPr>
                <w:rStyle w:val="IndexLink"/>
                <w:rtl w:val="true"/>
              </w:rPr>
              <w:t>الضرر الواقعي أو العلمي</w:t>
            </w:r>
            <w:r>
              <w:rPr>
                <w:rStyle w:val="IndexLink"/>
                <w:rtl w:val="true"/>
              </w:rPr>
              <w:tab/>
            </w:r>
            <w:r>
              <w:rPr>
                <w:rStyle w:val="IndexLink"/>
              </w:rPr>
              <w:t>161</w:t>
            </w:r>
          </w:hyperlink>
        </w:p>
        <w:p>
          <w:pPr>
            <w:pStyle w:val="Contents4"/>
            <w:tabs>
              <w:tab w:val="clear" w:pos="8176"/>
              <w:tab w:val="right" w:pos="9026" w:leader="dot"/>
            </w:tabs>
            <w:rPr/>
          </w:pPr>
          <w:hyperlink w:anchor="__RefHeading___Toc17479351_1280447820">
            <w:r>
              <w:rPr>
                <w:webHidden/>
                <w:rStyle w:val="IndexLink"/>
                <w:rtl w:val="true"/>
              </w:rPr>
              <w:t>شرطان لصحة الوضوء</w:t>
            </w:r>
            <w:r>
              <w:rPr>
                <w:rStyle w:val="IndexLink"/>
                <w:rtl w:val="true"/>
              </w:rPr>
              <w:tab/>
            </w:r>
            <w:r>
              <w:rPr>
                <w:rStyle w:val="IndexLink"/>
              </w:rPr>
              <w:t>166</w:t>
            </w:r>
          </w:hyperlink>
        </w:p>
        <w:p>
          <w:pPr>
            <w:pStyle w:val="Contents4"/>
            <w:tabs>
              <w:tab w:val="clear" w:pos="8176"/>
              <w:tab w:val="right" w:pos="9026" w:leader="dot"/>
            </w:tabs>
            <w:rPr/>
          </w:pPr>
          <w:hyperlink w:anchor="__RefHeading___Toc17479353_1280447820">
            <w:r>
              <w:rPr>
                <w:webHidden/>
                <w:rStyle w:val="IndexLink"/>
                <w:rtl w:val="true"/>
              </w:rPr>
              <w:t>حرمة الاضرار بالنفس</w:t>
            </w:r>
            <w:r>
              <w:rPr>
                <w:rStyle w:val="IndexLink"/>
                <w:rtl w:val="true"/>
              </w:rPr>
              <w:tab/>
            </w:r>
            <w:r>
              <w:rPr>
                <w:rStyle w:val="IndexLink"/>
              </w:rPr>
              <w:t>167</w:t>
            </w:r>
          </w:hyperlink>
        </w:p>
        <w:p>
          <w:pPr>
            <w:pStyle w:val="Contents3"/>
            <w:tabs>
              <w:tab w:val="clear" w:pos="8459"/>
              <w:tab w:val="right" w:pos="9026" w:leader="dot"/>
            </w:tabs>
            <w:rPr/>
          </w:pPr>
          <w:hyperlink w:anchor="__RefHeading___Toc17479355_1280447820">
            <w:r>
              <w:rPr>
                <w:webHidden/>
                <w:rStyle w:val="IndexLink"/>
              </w:rPr>
              <w:t>12</w:t>
            </w:r>
            <w:r>
              <w:rPr>
                <w:rStyle w:val="IndexLink"/>
                <w:rtl w:val="true"/>
              </w:rPr>
              <w:t xml:space="preserve"> - </w:t>
            </w:r>
            <w:r>
              <w:rPr>
                <w:rStyle w:val="IndexLink"/>
                <w:rtl w:val="true"/>
              </w:rPr>
              <w:t>تعارض الضررين</w:t>
            </w:r>
            <w:r>
              <w:rPr>
                <w:rStyle w:val="IndexLink"/>
                <w:rtl w:val="true"/>
              </w:rPr>
              <w:tab/>
            </w:r>
            <w:r>
              <w:rPr>
                <w:rStyle w:val="IndexLink"/>
              </w:rPr>
              <w:t>170</w:t>
            </w:r>
          </w:hyperlink>
        </w:p>
        <w:p>
          <w:pPr>
            <w:pStyle w:val="Contents4"/>
            <w:tabs>
              <w:tab w:val="clear" w:pos="8176"/>
              <w:tab w:val="right" w:pos="9026" w:leader="dot"/>
            </w:tabs>
            <w:rPr/>
          </w:pPr>
          <w:hyperlink w:anchor="__RefHeading___Toc17479357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7479359_1280447820">
            <w:r>
              <w:rPr>
                <w:webHidden/>
                <w:rStyle w:val="IndexLink"/>
                <w:rtl w:val="true"/>
              </w:rPr>
              <w:t>الصورة الاولى</w:t>
            </w:r>
            <w:r>
              <w:rPr>
                <w:rStyle w:val="IndexLink"/>
                <w:rtl w:val="true"/>
              </w:rPr>
              <w:tab/>
            </w:r>
            <w:r>
              <w:rPr>
                <w:rStyle w:val="IndexLink"/>
              </w:rPr>
              <w:t>170</w:t>
            </w:r>
          </w:hyperlink>
        </w:p>
        <w:p>
          <w:pPr>
            <w:pStyle w:val="Contents4"/>
            <w:tabs>
              <w:tab w:val="clear" w:pos="8176"/>
              <w:tab w:val="right" w:pos="9026" w:leader="dot"/>
            </w:tabs>
            <w:rPr/>
          </w:pPr>
          <w:hyperlink w:anchor="__RefHeading___Toc17479361_1280447820">
            <w:r>
              <w:rPr>
                <w:webHidden/>
                <w:rStyle w:val="IndexLink"/>
                <w:rtl w:val="true"/>
              </w:rPr>
              <w:t>مثال معاصر</w:t>
            </w:r>
            <w:r>
              <w:rPr>
                <w:rStyle w:val="IndexLink"/>
                <w:rtl w:val="true"/>
              </w:rPr>
              <w:tab/>
            </w:r>
            <w:r>
              <w:rPr>
                <w:rStyle w:val="IndexLink"/>
              </w:rPr>
              <w:t>171</w:t>
            </w:r>
          </w:hyperlink>
        </w:p>
        <w:p>
          <w:pPr>
            <w:pStyle w:val="Contents4"/>
            <w:tabs>
              <w:tab w:val="clear" w:pos="8176"/>
              <w:tab w:val="right" w:pos="9026" w:leader="dot"/>
            </w:tabs>
            <w:rPr/>
          </w:pPr>
          <w:hyperlink w:anchor="__RefHeading___Toc17479363_1280447820">
            <w:r>
              <w:rPr>
                <w:webHidden/>
                <w:rStyle w:val="IndexLink"/>
                <w:rtl w:val="true"/>
              </w:rPr>
              <w:t>الصورة الثانية</w:t>
            </w:r>
            <w:r>
              <w:rPr>
                <w:rStyle w:val="IndexLink"/>
                <w:rtl w:val="true"/>
              </w:rPr>
              <w:tab/>
            </w:r>
            <w:r>
              <w:rPr>
                <w:rStyle w:val="IndexLink"/>
              </w:rPr>
              <w:t>172</w:t>
            </w:r>
          </w:hyperlink>
        </w:p>
        <w:p>
          <w:pPr>
            <w:pStyle w:val="Contents3"/>
            <w:tabs>
              <w:tab w:val="clear" w:pos="8459"/>
              <w:tab w:val="right" w:pos="9026" w:leader="dot"/>
            </w:tabs>
            <w:rPr/>
          </w:pPr>
          <w:hyperlink w:anchor="__RefHeading___Toc17479365_1280447820">
            <w:r>
              <w:rPr>
                <w:webHidden/>
                <w:rStyle w:val="IndexLink"/>
              </w:rPr>
              <w:t>13</w:t>
            </w:r>
            <w:r>
              <w:rPr>
                <w:rStyle w:val="IndexLink"/>
                <w:rtl w:val="true"/>
              </w:rPr>
              <w:t xml:space="preserve"> - </w:t>
            </w:r>
            <w:r>
              <w:rPr>
                <w:rStyle w:val="IndexLink"/>
                <w:rtl w:val="true"/>
              </w:rPr>
              <w:t>تطبيقات</w:t>
            </w:r>
            <w:r>
              <w:rPr>
                <w:rStyle w:val="IndexLink"/>
                <w:rtl w:val="true"/>
              </w:rPr>
              <w:tab/>
            </w:r>
            <w:r>
              <w:rPr>
                <w:rStyle w:val="IndexLink"/>
              </w:rPr>
              <w:t>174</w:t>
            </w:r>
          </w:hyperlink>
        </w:p>
        <w:p>
          <w:pPr>
            <w:pStyle w:val="Contents2"/>
            <w:tabs>
              <w:tab w:val="clear" w:pos="8743"/>
              <w:tab w:val="right" w:pos="9026" w:leader="dot"/>
            </w:tabs>
            <w:rPr/>
          </w:pPr>
          <w:hyperlink w:anchor="__RefHeading___Toc17479367_1280447820">
            <w:r>
              <w:rPr>
                <w:webHidden/>
                <w:rStyle w:val="IndexLink"/>
                <w:rtl w:val="true"/>
              </w:rPr>
              <w:t>قاعدة نفي الحرج</w:t>
            </w:r>
            <w:r>
              <w:rPr>
                <w:rStyle w:val="IndexLink"/>
                <w:rtl w:val="true"/>
              </w:rPr>
              <w:tab/>
            </w:r>
            <w:r>
              <w:rPr>
                <w:rStyle w:val="IndexLink"/>
              </w:rPr>
              <w:t>176</w:t>
            </w:r>
          </w:hyperlink>
        </w:p>
        <w:p>
          <w:pPr>
            <w:pStyle w:val="Contents3"/>
            <w:tabs>
              <w:tab w:val="clear" w:pos="8459"/>
              <w:tab w:val="right" w:pos="9026" w:leader="dot"/>
            </w:tabs>
            <w:rPr/>
          </w:pPr>
          <w:hyperlink w:anchor="__RefHeading___Toc17479369_128044782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7479371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179</w:t>
            </w:r>
          </w:hyperlink>
        </w:p>
        <w:p>
          <w:pPr>
            <w:pStyle w:val="Contents3"/>
            <w:tabs>
              <w:tab w:val="clear" w:pos="8459"/>
              <w:tab w:val="right" w:pos="9026" w:leader="dot"/>
            </w:tabs>
            <w:rPr/>
          </w:pPr>
          <w:hyperlink w:anchor="__RefHeading___Toc17479373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180</w:t>
            </w:r>
          </w:hyperlink>
        </w:p>
        <w:p>
          <w:pPr>
            <w:pStyle w:val="Contents4"/>
            <w:tabs>
              <w:tab w:val="clear" w:pos="8176"/>
              <w:tab w:val="right" w:pos="9026" w:leader="dot"/>
            </w:tabs>
            <w:rPr/>
          </w:pPr>
          <w:hyperlink w:anchor="__RefHeading___Toc17479375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7479377_1280447820">
            <w:r>
              <w:rPr>
                <w:webHidden/>
                <w:rStyle w:val="IndexLink"/>
                <w:rtl w:val="true"/>
              </w:rPr>
              <w:t>العقل والاجماع</w:t>
            </w:r>
            <w:r>
              <w:rPr>
                <w:rStyle w:val="IndexLink"/>
                <w:rtl w:val="true"/>
              </w:rPr>
              <w:tab/>
            </w:r>
            <w:r>
              <w:rPr>
                <w:rStyle w:val="IndexLink"/>
              </w:rPr>
              <w:t>181</w:t>
            </w:r>
          </w:hyperlink>
        </w:p>
        <w:p>
          <w:pPr>
            <w:pStyle w:val="Contents3"/>
            <w:tabs>
              <w:tab w:val="clear" w:pos="8459"/>
              <w:tab w:val="right" w:pos="9026" w:leader="dot"/>
            </w:tabs>
            <w:rPr/>
          </w:pPr>
          <w:hyperlink w:anchor="__RefHeading___Toc17479379_1280447820">
            <w:r>
              <w:rPr>
                <w:webHidden/>
                <w:rStyle w:val="IndexLink"/>
              </w:rPr>
              <w:t>3</w:t>
            </w:r>
            <w:r>
              <w:rPr>
                <w:rStyle w:val="IndexLink"/>
                <w:rtl w:val="true"/>
              </w:rPr>
              <w:t xml:space="preserve"> - </w:t>
            </w:r>
            <w:r>
              <w:rPr>
                <w:rStyle w:val="IndexLink"/>
                <w:rtl w:val="true"/>
              </w:rPr>
              <w:t>المقصود من الحرج والفرق بينه وبين الضرر</w:t>
            </w:r>
            <w:r>
              <w:rPr>
                <w:rStyle w:val="IndexLink"/>
                <w:rtl w:val="true"/>
              </w:rPr>
              <w:tab/>
            </w:r>
            <w:r>
              <w:rPr>
                <w:rStyle w:val="IndexLink"/>
              </w:rPr>
              <w:t>182</w:t>
            </w:r>
          </w:hyperlink>
        </w:p>
        <w:p>
          <w:pPr>
            <w:pStyle w:val="Contents3"/>
            <w:tabs>
              <w:tab w:val="clear" w:pos="8459"/>
              <w:tab w:val="right" w:pos="9026" w:leader="dot"/>
            </w:tabs>
            <w:rPr/>
          </w:pPr>
          <w:hyperlink w:anchor="__RefHeading___Toc17479381_1280447820">
            <w:r>
              <w:rPr>
                <w:webHidden/>
                <w:rStyle w:val="IndexLink"/>
              </w:rPr>
              <w:t>4</w:t>
            </w:r>
            <w:r>
              <w:rPr>
                <w:rStyle w:val="IndexLink"/>
                <w:rtl w:val="true"/>
              </w:rPr>
              <w:t xml:space="preserve"> - </w:t>
            </w:r>
            <w:r>
              <w:rPr>
                <w:rStyle w:val="IndexLink"/>
                <w:rtl w:val="true"/>
              </w:rPr>
              <w:t>وجه تقدم القاعدة على الأدلّة الأوّلية</w:t>
            </w:r>
            <w:r>
              <w:rPr>
                <w:rStyle w:val="IndexLink"/>
                <w:rtl w:val="true"/>
              </w:rPr>
              <w:tab/>
            </w:r>
            <w:r>
              <w:rPr>
                <w:rStyle w:val="IndexLink"/>
              </w:rPr>
              <w:t>183</w:t>
            </w:r>
          </w:hyperlink>
        </w:p>
        <w:p>
          <w:pPr>
            <w:pStyle w:val="Contents3"/>
            <w:tabs>
              <w:tab w:val="clear" w:pos="8459"/>
              <w:tab w:val="right" w:pos="9026" w:leader="dot"/>
            </w:tabs>
            <w:rPr/>
          </w:pPr>
          <w:hyperlink w:anchor="__RefHeading___Toc17479383_1280447820">
            <w:r>
              <w:rPr>
                <w:webHidden/>
                <w:rStyle w:val="IndexLink"/>
              </w:rPr>
              <w:t>5</w:t>
            </w:r>
            <w:r>
              <w:rPr>
                <w:rStyle w:val="IndexLink"/>
                <w:rtl w:val="true"/>
              </w:rPr>
              <w:t xml:space="preserve"> - </w:t>
            </w:r>
            <w:r>
              <w:rPr>
                <w:rStyle w:val="IndexLink"/>
                <w:rtl w:val="true"/>
              </w:rPr>
              <w:t>وهن القاعدة بكثرة التخصيص</w:t>
            </w:r>
            <w:r>
              <w:rPr>
                <w:rStyle w:val="IndexLink"/>
                <w:rtl w:val="true"/>
              </w:rPr>
              <w:tab/>
            </w:r>
            <w:r>
              <w:rPr>
                <w:rStyle w:val="IndexLink"/>
              </w:rPr>
              <w:t>184</w:t>
            </w:r>
          </w:hyperlink>
        </w:p>
        <w:p>
          <w:pPr>
            <w:pStyle w:val="Contents3"/>
            <w:tabs>
              <w:tab w:val="clear" w:pos="8459"/>
              <w:tab w:val="right" w:pos="9026" w:leader="dot"/>
            </w:tabs>
            <w:rPr/>
          </w:pPr>
          <w:hyperlink w:anchor="__RefHeading___Toc17479385_1280447820">
            <w:r>
              <w:rPr>
                <w:webHidden/>
                <w:rStyle w:val="IndexLink"/>
              </w:rPr>
              <w:t>6</w:t>
            </w:r>
            <w:r>
              <w:rPr>
                <w:rStyle w:val="IndexLink"/>
                <w:rtl w:val="true"/>
              </w:rPr>
              <w:t xml:space="preserve"> - </w:t>
            </w:r>
            <w:r>
              <w:rPr>
                <w:rStyle w:val="IndexLink"/>
                <w:rtl w:val="true"/>
              </w:rPr>
              <w:t>هل المدار على رفع الحرج النوعي أو الشخصي؟</w:t>
            </w:r>
            <w:r>
              <w:rPr>
                <w:rStyle w:val="IndexLink"/>
                <w:rtl w:val="true"/>
              </w:rPr>
              <w:tab/>
            </w:r>
            <w:r>
              <w:rPr>
                <w:rStyle w:val="IndexLink"/>
              </w:rPr>
              <w:t>184</w:t>
            </w:r>
          </w:hyperlink>
        </w:p>
        <w:p>
          <w:pPr>
            <w:pStyle w:val="Contents3"/>
            <w:tabs>
              <w:tab w:val="clear" w:pos="8459"/>
              <w:tab w:val="right" w:pos="9026" w:leader="dot"/>
            </w:tabs>
            <w:rPr/>
          </w:pPr>
          <w:hyperlink w:anchor="__RefHeading___Toc17479387_1280447820">
            <w:r>
              <w:rPr>
                <w:webHidden/>
                <w:rStyle w:val="IndexLink"/>
              </w:rPr>
              <w:t>7</w:t>
            </w:r>
            <w:r>
              <w:rPr>
                <w:rStyle w:val="IndexLink"/>
                <w:rtl w:val="true"/>
              </w:rPr>
              <w:t xml:space="preserve"> - </w:t>
            </w:r>
            <w:r>
              <w:rPr>
                <w:rStyle w:val="IndexLink"/>
                <w:rtl w:val="true"/>
              </w:rPr>
              <w:t>هل رفع الحرج رخصة أو عزيمة؟</w:t>
            </w:r>
            <w:r>
              <w:rPr>
                <w:rStyle w:val="IndexLink"/>
                <w:rtl w:val="true"/>
              </w:rPr>
              <w:tab/>
            </w:r>
            <w:r>
              <w:rPr>
                <w:rStyle w:val="IndexLink"/>
              </w:rPr>
              <w:t>185</w:t>
            </w:r>
          </w:hyperlink>
        </w:p>
        <w:p>
          <w:pPr>
            <w:pStyle w:val="Contents3"/>
            <w:tabs>
              <w:tab w:val="clear" w:pos="8459"/>
              <w:tab w:val="right" w:pos="9026" w:leader="dot"/>
            </w:tabs>
            <w:rPr/>
          </w:pPr>
          <w:hyperlink w:anchor="__RefHeading___Toc17479389_1280447820">
            <w:r>
              <w:rPr>
                <w:webHidden/>
                <w:rStyle w:val="IndexLink"/>
              </w:rPr>
              <w:t>8</w:t>
            </w:r>
            <w:r>
              <w:rPr>
                <w:rStyle w:val="IndexLink"/>
                <w:rtl w:val="true"/>
              </w:rPr>
              <w:t xml:space="preserve"> - </w:t>
            </w:r>
            <w:r>
              <w:rPr>
                <w:rStyle w:val="IndexLink"/>
                <w:rtl w:val="true"/>
              </w:rPr>
              <w:t>هل القاعدة تعم الحكم الوضعي أيضا؟</w:t>
            </w:r>
            <w:r>
              <w:rPr>
                <w:rStyle w:val="IndexLink"/>
                <w:rtl w:val="true"/>
              </w:rPr>
              <w:tab/>
            </w:r>
            <w:r>
              <w:rPr>
                <w:rStyle w:val="IndexLink"/>
              </w:rPr>
              <w:t>188</w:t>
            </w:r>
          </w:hyperlink>
        </w:p>
        <w:p>
          <w:pPr>
            <w:pStyle w:val="Contents3"/>
            <w:tabs>
              <w:tab w:val="clear" w:pos="8459"/>
              <w:tab w:val="right" w:pos="9026" w:leader="dot"/>
            </w:tabs>
            <w:rPr/>
          </w:pPr>
          <w:hyperlink w:anchor="__RefHeading___Toc17479391_1280447820">
            <w:r>
              <w:rPr>
                <w:webHidden/>
                <w:rStyle w:val="IndexLink"/>
              </w:rPr>
              <w:t>9</w:t>
            </w:r>
            <w:r>
              <w:rPr>
                <w:rStyle w:val="IndexLink"/>
                <w:rtl w:val="true"/>
              </w:rPr>
              <w:t xml:space="preserve"> - </w:t>
            </w:r>
            <w:r>
              <w:rPr>
                <w:rStyle w:val="IndexLink"/>
                <w:rtl w:val="true"/>
              </w:rPr>
              <w:t>تطبيقات</w:t>
            </w:r>
            <w:r>
              <w:rPr>
                <w:rStyle w:val="IndexLink"/>
                <w:rtl w:val="true"/>
              </w:rPr>
              <w:tab/>
            </w:r>
            <w:r>
              <w:rPr>
                <w:rStyle w:val="IndexLink"/>
              </w:rPr>
              <w:t>189</w:t>
            </w:r>
          </w:hyperlink>
        </w:p>
        <w:p>
          <w:pPr>
            <w:pStyle w:val="Contents2"/>
            <w:tabs>
              <w:tab w:val="clear" w:pos="8743"/>
              <w:tab w:val="right" w:pos="9026" w:leader="dot"/>
            </w:tabs>
            <w:rPr/>
          </w:pPr>
          <w:hyperlink w:anchor="__RefHeading___Toc17479393_1280447820">
            <w:r>
              <w:rPr>
                <w:webHidden/>
                <w:rStyle w:val="IndexLink"/>
                <w:rtl w:val="true"/>
              </w:rPr>
              <w:t>قاعدة اليد</w:t>
            </w:r>
            <w:r>
              <w:rPr>
                <w:rStyle w:val="IndexLink"/>
                <w:rtl w:val="true"/>
              </w:rPr>
              <w:tab/>
            </w:r>
            <w:r>
              <w:rPr>
                <w:rStyle w:val="IndexLink"/>
              </w:rPr>
              <w:t>192</w:t>
            </w:r>
          </w:hyperlink>
        </w:p>
        <w:p>
          <w:pPr>
            <w:pStyle w:val="Contents3"/>
            <w:tabs>
              <w:tab w:val="clear" w:pos="8459"/>
              <w:tab w:val="right" w:pos="9026" w:leader="dot"/>
            </w:tabs>
            <w:rPr/>
          </w:pPr>
          <w:hyperlink w:anchor="__RefHeading___Toc17479395_128044782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7479397_1280447820">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195</w:t>
            </w:r>
          </w:hyperlink>
        </w:p>
        <w:p>
          <w:pPr>
            <w:pStyle w:val="Contents3"/>
            <w:tabs>
              <w:tab w:val="clear" w:pos="8459"/>
              <w:tab w:val="right" w:pos="9026" w:leader="dot"/>
            </w:tabs>
            <w:rPr/>
          </w:pPr>
          <w:hyperlink w:anchor="__RefHeading___Toc17479399_1280447820">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197</w:t>
            </w:r>
          </w:hyperlink>
        </w:p>
        <w:p>
          <w:pPr>
            <w:pStyle w:val="Contents4"/>
            <w:tabs>
              <w:tab w:val="clear" w:pos="8176"/>
              <w:tab w:val="right" w:pos="9026" w:leader="dot"/>
            </w:tabs>
            <w:rPr/>
          </w:pPr>
          <w:hyperlink w:anchor="__RefHeading___Toc17479401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7479403_1280447820">
            <w:r>
              <w:rPr>
                <w:webHidden/>
                <w:rStyle w:val="IndexLink"/>
                <w:rtl w:val="true"/>
              </w:rPr>
              <w:t>نكتة السيرة</w:t>
            </w:r>
            <w:r>
              <w:rPr>
                <w:rStyle w:val="IndexLink"/>
                <w:rtl w:val="true"/>
              </w:rPr>
              <w:tab/>
            </w:r>
            <w:r>
              <w:rPr>
                <w:rStyle w:val="IndexLink"/>
              </w:rPr>
              <w:t>200</w:t>
            </w:r>
          </w:hyperlink>
        </w:p>
        <w:p>
          <w:pPr>
            <w:pStyle w:val="Contents3"/>
            <w:tabs>
              <w:tab w:val="clear" w:pos="8459"/>
              <w:tab w:val="right" w:pos="9026" w:leader="dot"/>
            </w:tabs>
            <w:rPr/>
          </w:pPr>
          <w:hyperlink w:anchor="__RefHeading___Toc17479405_1280447820">
            <w:r>
              <w:rPr>
                <w:webHidden/>
                <w:rStyle w:val="IndexLink"/>
              </w:rPr>
              <w:t>3</w:t>
            </w:r>
            <w:r>
              <w:rPr>
                <w:rStyle w:val="IndexLink"/>
                <w:rtl w:val="true"/>
              </w:rPr>
              <w:t xml:space="preserve"> - </w:t>
            </w:r>
            <w:r>
              <w:rPr>
                <w:rStyle w:val="IndexLink"/>
                <w:rtl w:val="true"/>
              </w:rPr>
              <w:t>قاعدة اليد أصل أو امارة</w:t>
            </w:r>
            <w:r>
              <w:rPr>
                <w:rStyle w:val="IndexLink"/>
                <w:rtl w:val="true"/>
              </w:rPr>
              <w:tab/>
            </w:r>
            <w:r>
              <w:rPr>
                <w:rStyle w:val="IndexLink"/>
              </w:rPr>
              <w:t>201</w:t>
            </w:r>
          </w:hyperlink>
        </w:p>
        <w:p>
          <w:pPr>
            <w:pStyle w:val="Contents3"/>
            <w:tabs>
              <w:tab w:val="clear" w:pos="8459"/>
              <w:tab w:val="right" w:pos="9026" w:leader="dot"/>
            </w:tabs>
            <w:rPr/>
          </w:pPr>
          <w:hyperlink w:anchor="__RefHeading___Toc17479407_1280447820">
            <w:r>
              <w:rPr>
                <w:webHidden/>
                <w:rStyle w:val="IndexLink"/>
              </w:rPr>
              <w:t>4</w:t>
            </w:r>
            <w:r>
              <w:rPr>
                <w:rStyle w:val="IndexLink"/>
                <w:rtl w:val="true"/>
              </w:rPr>
              <w:t xml:space="preserve"> - </w:t>
            </w:r>
            <w:r>
              <w:rPr>
                <w:rStyle w:val="IndexLink"/>
                <w:rtl w:val="true"/>
              </w:rPr>
              <w:t>اعتبار الجهل بالحالة السابقة في امارية اليد</w:t>
            </w:r>
            <w:r>
              <w:rPr>
                <w:rStyle w:val="IndexLink"/>
                <w:rtl w:val="true"/>
              </w:rPr>
              <w:tab/>
            </w:r>
            <w:r>
              <w:rPr>
                <w:rStyle w:val="IndexLink"/>
              </w:rPr>
              <w:t>203</w:t>
            </w:r>
          </w:hyperlink>
        </w:p>
        <w:p>
          <w:pPr>
            <w:pStyle w:val="Contents4"/>
            <w:tabs>
              <w:tab w:val="clear" w:pos="8176"/>
              <w:tab w:val="right" w:pos="9026" w:leader="dot"/>
            </w:tabs>
            <w:rPr/>
          </w:pPr>
          <w:hyperlink w:anchor="__RefHeading___Toc17479409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7479411_1280447820">
            <w:r>
              <w:rPr>
                <w:webHidden/>
                <w:rStyle w:val="IndexLink"/>
                <w:rtl w:val="true"/>
              </w:rPr>
              <w:t>الشقّ الأول</w:t>
            </w:r>
            <w:r>
              <w:rPr>
                <w:rStyle w:val="IndexLink"/>
                <w:rtl w:val="true"/>
              </w:rPr>
              <w:tab/>
            </w:r>
            <w:r>
              <w:rPr>
                <w:rStyle w:val="IndexLink"/>
              </w:rPr>
              <w:t>204</w:t>
            </w:r>
          </w:hyperlink>
        </w:p>
        <w:p>
          <w:pPr>
            <w:pStyle w:val="Contents4"/>
            <w:tabs>
              <w:tab w:val="clear" w:pos="8176"/>
              <w:tab w:val="right" w:pos="9026" w:leader="dot"/>
            </w:tabs>
            <w:rPr/>
          </w:pPr>
          <w:hyperlink w:anchor="__RefHeading___Toc17479413_1280447820">
            <w:r>
              <w:rPr>
                <w:webHidden/>
                <w:rStyle w:val="IndexLink"/>
                <w:rtl w:val="true"/>
              </w:rPr>
              <w:t>وجه الاعتماد على السندات</w:t>
            </w:r>
            <w:r>
              <w:rPr>
                <w:rStyle w:val="IndexLink"/>
                <w:rtl w:val="true"/>
              </w:rPr>
              <w:tab/>
            </w:r>
            <w:r>
              <w:rPr>
                <w:rStyle w:val="IndexLink"/>
              </w:rPr>
              <w:t>205</w:t>
            </w:r>
          </w:hyperlink>
        </w:p>
        <w:p>
          <w:pPr>
            <w:pStyle w:val="Contents4"/>
            <w:tabs>
              <w:tab w:val="clear" w:pos="8176"/>
              <w:tab w:val="right" w:pos="9026" w:leader="dot"/>
            </w:tabs>
            <w:rPr/>
          </w:pPr>
          <w:hyperlink w:anchor="__RefHeading___Toc17479415_1280447820">
            <w:r>
              <w:rPr>
                <w:webHidden/>
                <w:rStyle w:val="IndexLink"/>
                <w:rtl w:val="true"/>
              </w:rPr>
              <w:t>الشق الثاني</w:t>
            </w:r>
            <w:r>
              <w:rPr>
                <w:rStyle w:val="IndexLink"/>
                <w:rtl w:val="true"/>
              </w:rPr>
              <w:tab/>
            </w:r>
            <w:r>
              <w:rPr>
                <w:rStyle w:val="IndexLink"/>
              </w:rPr>
              <w:t>206</w:t>
            </w:r>
          </w:hyperlink>
        </w:p>
        <w:p>
          <w:pPr>
            <w:pStyle w:val="Contents3"/>
            <w:tabs>
              <w:tab w:val="clear" w:pos="8459"/>
              <w:tab w:val="right" w:pos="9026" w:leader="dot"/>
            </w:tabs>
            <w:rPr/>
          </w:pPr>
          <w:hyperlink w:anchor="__RefHeading___Toc17479417_1280447820">
            <w:r>
              <w:rPr>
                <w:webHidden/>
                <w:rStyle w:val="IndexLink"/>
              </w:rPr>
              <w:t>5</w:t>
            </w:r>
            <w:r>
              <w:rPr>
                <w:rStyle w:val="IndexLink"/>
                <w:rtl w:val="true"/>
              </w:rPr>
              <w:t xml:space="preserve"> - </w:t>
            </w:r>
            <w:r>
              <w:rPr>
                <w:rStyle w:val="IndexLink"/>
                <w:rtl w:val="true"/>
              </w:rPr>
              <w:t>حالات اليد بلحاظ المقابل</w:t>
            </w:r>
            <w:r>
              <w:rPr>
                <w:rStyle w:val="IndexLink"/>
                <w:rtl w:val="true"/>
              </w:rPr>
              <w:tab/>
            </w:r>
            <w:r>
              <w:rPr>
                <w:rStyle w:val="IndexLink"/>
              </w:rPr>
              <w:t>207</w:t>
            </w:r>
          </w:hyperlink>
        </w:p>
        <w:p>
          <w:pPr>
            <w:pStyle w:val="Contents4"/>
            <w:tabs>
              <w:tab w:val="clear" w:pos="8176"/>
              <w:tab w:val="right" w:pos="9026" w:leader="dot"/>
            </w:tabs>
            <w:rPr/>
          </w:pPr>
          <w:hyperlink w:anchor="__RefHeading___Toc17479419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7479421_1280447820">
            <w:r>
              <w:rPr>
                <w:webHidden/>
                <w:rStyle w:val="IndexLink"/>
                <w:rtl w:val="true"/>
              </w:rPr>
              <w:t>الاشكال من ناحية فدك</w:t>
            </w:r>
            <w:r>
              <w:rPr>
                <w:rStyle w:val="IndexLink"/>
                <w:rtl w:val="true"/>
              </w:rPr>
              <w:tab/>
            </w:r>
            <w:r>
              <w:rPr>
                <w:rStyle w:val="IndexLink"/>
              </w:rPr>
              <w:t>209</w:t>
            </w:r>
          </w:hyperlink>
        </w:p>
        <w:p>
          <w:pPr>
            <w:pStyle w:val="Contents3"/>
            <w:tabs>
              <w:tab w:val="clear" w:pos="8459"/>
              <w:tab w:val="right" w:pos="9026" w:leader="dot"/>
            </w:tabs>
            <w:rPr/>
          </w:pPr>
          <w:hyperlink w:anchor="__RefHeading___Toc17479423_1280447820">
            <w:r>
              <w:rPr>
                <w:webHidden/>
                <w:rStyle w:val="IndexLink"/>
              </w:rPr>
              <w:t>6</w:t>
            </w:r>
            <w:r>
              <w:rPr>
                <w:rStyle w:val="IndexLink"/>
                <w:rtl w:val="true"/>
              </w:rPr>
              <w:t xml:space="preserve"> - </w:t>
            </w:r>
            <w:r>
              <w:rPr>
                <w:rStyle w:val="IndexLink"/>
                <w:rtl w:val="true"/>
              </w:rPr>
              <w:t>ضابط اليد</w:t>
            </w:r>
            <w:r>
              <w:rPr>
                <w:rStyle w:val="IndexLink"/>
                <w:rtl w:val="true"/>
              </w:rPr>
              <w:tab/>
            </w:r>
            <w:r>
              <w:rPr>
                <w:rStyle w:val="IndexLink"/>
              </w:rPr>
              <w:t>212</w:t>
            </w:r>
          </w:hyperlink>
        </w:p>
        <w:p>
          <w:pPr>
            <w:pStyle w:val="Contents3"/>
            <w:tabs>
              <w:tab w:val="clear" w:pos="8459"/>
              <w:tab w:val="right" w:pos="9026" w:leader="dot"/>
            </w:tabs>
            <w:rPr/>
          </w:pPr>
          <w:hyperlink w:anchor="__RefHeading___Toc17479425_1280447820">
            <w:r>
              <w:rPr>
                <w:webHidden/>
                <w:rStyle w:val="IndexLink"/>
              </w:rPr>
              <w:t>7</w:t>
            </w:r>
            <w:r>
              <w:rPr>
                <w:rStyle w:val="IndexLink"/>
                <w:rtl w:val="true"/>
              </w:rPr>
              <w:t xml:space="preserve"> - </w:t>
            </w:r>
            <w:r>
              <w:rPr>
                <w:rStyle w:val="IndexLink"/>
                <w:rtl w:val="true"/>
              </w:rPr>
              <w:t>اليد على المنافع</w:t>
            </w:r>
            <w:r>
              <w:rPr>
                <w:rStyle w:val="IndexLink"/>
                <w:rtl w:val="true"/>
              </w:rPr>
              <w:tab/>
            </w:r>
            <w:r>
              <w:rPr>
                <w:rStyle w:val="IndexLink"/>
              </w:rPr>
              <w:t>213</w:t>
            </w:r>
          </w:hyperlink>
        </w:p>
        <w:p>
          <w:pPr>
            <w:pStyle w:val="Contents3"/>
            <w:tabs>
              <w:tab w:val="clear" w:pos="8459"/>
              <w:tab w:val="right" w:pos="9026" w:leader="dot"/>
            </w:tabs>
            <w:rPr/>
          </w:pPr>
          <w:hyperlink w:anchor="__RefHeading___Toc17479427_1280447820">
            <w:r>
              <w:rPr>
                <w:webHidden/>
                <w:rStyle w:val="IndexLink"/>
              </w:rPr>
              <w:t>8</w:t>
            </w:r>
            <w:r>
              <w:rPr>
                <w:rStyle w:val="IndexLink"/>
                <w:rtl w:val="true"/>
              </w:rPr>
              <w:t xml:space="preserve"> - </w:t>
            </w:r>
            <w:r>
              <w:rPr>
                <w:rStyle w:val="IndexLink"/>
                <w:rtl w:val="true"/>
              </w:rPr>
              <w:t>عموم امارية اليد في حق صاحبها</w:t>
            </w:r>
            <w:r>
              <w:rPr>
                <w:rStyle w:val="IndexLink"/>
                <w:rtl w:val="true"/>
              </w:rPr>
              <w:tab/>
            </w:r>
            <w:r>
              <w:rPr>
                <w:rStyle w:val="IndexLink"/>
              </w:rPr>
              <w:t>214</w:t>
            </w:r>
          </w:hyperlink>
        </w:p>
        <w:p>
          <w:pPr>
            <w:pStyle w:val="Contents3"/>
            <w:tabs>
              <w:tab w:val="clear" w:pos="8459"/>
              <w:tab w:val="right" w:pos="9026" w:leader="dot"/>
            </w:tabs>
            <w:rPr/>
          </w:pPr>
          <w:hyperlink w:anchor="__RefHeading___Toc17479429_1280447820">
            <w:r>
              <w:rPr>
                <w:webHidden/>
                <w:rStyle w:val="IndexLink"/>
              </w:rPr>
              <w:t>9</w:t>
            </w:r>
            <w:r>
              <w:rPr>
                <w:rStyle w:val="IndexLink"/>
                <w:rtl w:val="true"/>
              </w:rPr>
              <w:t xml:space="preserve"> - </w:t>
            </w:r>
            <w:r>
              <w:rPr>
                <w:rStyle w:val="IndexLink"/>
                <w:rtl w:val="true"/>
              </w:rPr>
              <w:t>تطبيقات</w:t>
            </w:r>
            <w:r>
              <w:rPr>
                <w:rStyle w:val="IndexLink"/>
                <w:rtl w:val="true"/>
              </w:rPr>
              <w:tab/>
            </w:r>
            <w:r>
              <w:rPr>
                <w:rStyle w:val="IndexLink"/>
              </w:rPr>
              <w:t>215</w:t>
            </w:r>
          </w:hyperlink>
        </w:p>
        <w:p>
          <w:pPr>
            <w:pStyle w:val="Contents2"/>
            <w:tabs>
              <w:tab w:val="clear" w:pos="8743"/>
              <w:tab w:val="right" w:pos="9026" w:leader="dot"/>
            </w:tabs>
            <w:rPr/>
          </w:pPr>
          <w:hyperlink w:anchor="__RefHeading___Toc17479431_1280447820">
            <w:r>
              <w:rPr>
                <w:webHidden/>
                <w:rStyle w:val="IndexLink"/>
                <w:rtl w:val="true"/>
              </w:rPr>
              <w:t>فهرس الكتاب</w:t>
            </w:r>
            <w:r>
              <w:rPr>
                <w:rStyle w:val="IndexLink"/>
                <w:rtl w:val="true"/>
              </w:rPr>
              <w:tab/>
            </w:r>
            <w:r>
              <w:rPr>
                <w:rStyle w:val="IndexLink"/>
              </w:rPr>
              <w:t>218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80_259371"/>
      <w:bookmarkStart w:id="1" w:name="pg19380_259371"/>
      <w:bookmarkEnd w:id="1"/>
    </w:p>
    <w:p>
      <w:pPr>
        <w:pStyle w:val="Heading2"/>
        <w:numPr>
          <w:ilvl w:val="1"/>
          <w:numId w:val="1"/>
        </w:numPr>
        <w:rPr/>
      </w:pPr>
      <w:bookmarkStart w:id="2" w:name="pg19380_259371"/>
      <w:bookmarkStart w:id="3" w:name="__RefHeading___Toc1747914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الفقه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دروس تمهيدية في القواعد الفقهية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الإيرواني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7914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مؤسسة الفقه للطباعة والنشر</w:t>
      </w:r>
    </w:p>
    <w:p>
      <w:pPr>
        <w:pStyle w:val="BookText"/>
        <w:rPr/>
      </w:pPr>
      <w:r>
        <w:rPr>
          <w:rFonts w:ascii="Amiri" w:hAnsi="Amiri" w:eastAsia="Amiri" w:cs="Amiri"/>
          <w:color w:val="111111"/>
          <w:sz w:val="28"/>
          <w:sz w:val="28"/>
          <w:szCs w:val="28"/>
          <w:rtl w:val="true"/>
          <w:lang w:bidi="ar-SA"/>
        </w:rPr>
        <w:t>دروس تمهيدية</w:t>
      </w:r>
    </w:p>
    <w:p>
      <w:pPr>
        <w:pStyle w:val="BookText"/>
        <w:rPr/>
      </w:pPr>
      <w:r>
        <w:rPr>
          <w:rFonts w:ascii="Amiri" w:hAnsi="Amiri" w:eastAsia="Amiri" w:cs="Amiri"/>
          <w:color w:val="111111"/>
          <w:sz w:val="28"/>
          <w:sz w:val="28"/>
          <w:szCs w:val="28"/>
          <w:rtl w:val="true"/>
          <w:lang w:bidi="ar-SA"/>
        </w:rPr>
        <w:t>في القواعد الفقيه</w:t>
      </w:r>
    </w:p>
    <w:p>
      <w:pPr>
        <w:pStyle w:val="BookText"/>
        <w:rPr/>
      </w:pPr>
      <w:r>
        <w:rPr>
          <w:rFonts w:ascii="IRNazanin" w:hAnsi="IRNazanin" w:eastAsia="IRNazanin"/>
          <w:color w:val="111111"/>
          <w:sz w:val="28"/>
          <w:sz w:val="28"/>
          <w:szCs w:val="28"/>
          <w:rtl w:val="true"/>
          <w:lang w:bidi="fa-IR"/>
        </w:rPr>
        <w:t>الجز 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الإيرواني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دار الفقه للطباعة والنشر</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تمهيدية في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الإيرواني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964-91559-2-9 (2 VOL.SET)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964-499-038-2 (VOL.1)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3663</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7734873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380_259378"/>
    </w:p>
    <w:p>
      <w:pPr>
        <w:pStyle w:val="Heading2"/>
        <w:numPr>
          <w:ilvl w:val="1"/>
          <w:numId w:val="1"/>
        </w:numPr>
        <w:rPr/>
      </w:pPr>
      <w:bookmarkStart w:id="8" w:name="__RefHeading___Toc17479149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اشرف الخلق محمد وعلى اهل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الميّزة البارزة في دراساتنا الحوزوية دقة البحث وعمقه من جانب ، وشموليته واستيعابه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ثري من هاتين الناحيتين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 كثيرا من الجواهر واللآلئ فيه مكنوزة تحتاج الى غواص يخرجها بالفاظ عذبة ومنهجة مريحة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محاولتنا في القواعد الفقهية تنحو هذا المجال ، ولا ندري كم هي موفقة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بذور المحاولة مجموعة محاضرات القيت خلال عامين على مجموعة من طلابنا الاعزاء في حوزة اهل البيت  عليهم‌ السلام ومدينتهم المقدسة قم المباركة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وتعميما للفائدة قصدنا نشرها لتكون دروسا تمهيدية في القواعد </w:t>
      </w:r>
    </w:p>
    <w:p>
      <w:pPr>
        <w:pStyle w:val="BookText"/>
        <w:rPr/>
      </w:pPr>
      <w:r>
        <w:rPr>
          <w:rFonts w:ascii="Amiri" w:hAnsi="Amiri" w:eastAsia="Amiri" w:cs="Amiri"/>
          <w:color w:val="111111"/>
          <w:sz w:val="28"/>
          <w:sz w:val="28"/>
          <w:szCs w:val="28"/>
          <w:rtl w:val="true"/>
          <w:lang w:bidi="ar-SA"/>
        </w:rPr>
        <w:t>الفقهية ، وليتمكن الطالب من خلال المرور بها على استيعاب تلك القواعد التي سوف يواجهها في بحوث مرحلة الخارج بشكل اكبر دقة وعمقا وشمولا ، ولنكون بذلك قد قدّمنا بعض الخدمة لحوزاتنا العلمية ، وخففنا عن كاهلنا قسما من المسؤولية التي نشعر بها في اعماق انفسنا ، ولنحوز بذلك ذرة من رضا مولانا وسيدنا والحجة من قبل اللّه سبحانه علينا الحجة بن الحسن روحي وارواح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كنا موفقين في هذا المجال فذلك من توفيق اللّه سبحانه والا ففي بقية الاخوة كامل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الايرواني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bookmarkStart w:id="10" w:name="pg19380_259380"/>
    </w:p>
    <w:p>
      <w:pPr>
        <w:pStyle w:val="Heading2"/>
        <w:numPr>
          <w:ilvl w:val="1"/>
          <w:numId w:val="1"/>
        </w:numPr>
        <w:rPr/>
      </w:pPr>
      <w:bookmarkStart w:id="11" w:name="__RefHeading___Toc17479151_1280447820"/>
      <w:bookmarkStart w:id="12" w:name="_Toc4"/>
      <w:bookmarkEnd w:id="10"/>
      <w:bookmarkEnd w:id="11"/>
      <w:r>
        <w:rPr>
          <w:rtl w:val="true"/>
        </w:rPr>
        <w:t>المدخل</w:t>
      </w:r>
      <w:bookmarkEnd w:id="12"/>
    </w:p>
    <w:p>
      <w:pPr>
        <w:pStyle w:val="Heading3"/>
        <w:numPr>
          <w:ilvl w:val="2"/>
          <w:numId w:val="1"/>
        </w:numPr>
        <w:rPr/>
      </w:pPr>
      <w:bookmarkStart w:id="13" w:name="__RefHeading___Toc17479153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يجدر بنا قبل أن ندخل في صميم البحث عن القواعد الفقهية الاطلاع على ما يلي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7479155_1280447820"/>
      <w:bookmarkStart w:id="16" w:name="_Toc6"/>
      <w:bookmarkEnd w:id="15"/>
      <w:r>
        <w:rPr>
          <w:rtl w:val="true"/>
        </w:rPr>
        <w:t>مدى أهمية البحث عن القواعد الفقهية</w:t>
      </w:r>
      <w:bookmarkEnd w:id="16"/>
    </w:p>
    <w:p>
      <w:pPr>
        <w:pStyle w:val="BookText"/>
        <w:rPr/>
      </w:pPr>
      <w:r>
        <w:rPr>
          <w:rFonts w:ascii="Amiri" w:hAnsi="Amiri" w:eastAsia="Amiri" w:cs="Amiri"/>
          <w:color w:val="111111"/>
          <w:sz w:val="28"/>
          <w:sz w:val="28"/>
          <w:szCs w:val="28"/>
          <w:rtl w:val="true"/>
          <w:lang w:bidi="ar-SA"/>
        </w:rPr>
        <w:t>لا نكون مبالغين إذا قلنا بأن البحث عن القواعد الفقهية لا يقلّ في الأهمية عن البحث في القواعد الاصولية ، فالقواعد الاصولية تكمن أهميتها من خلال وقوعها في طريق استنباط مجموعة من الأحكام الفقهية ، وكذلك الأمر في القواعد الفقهية ؛ فالفقيه يستعين بها في تحصيل مجموعة من الأحكام الفقهية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فالمصلّي إذا نسي قراءة الفاتحة أو السورة في صلاته أو صلّى بدون وضوء أو اقتدى بشخص واتضح كونه فاسقا أو اتضح كونه يصلّي نافلة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وأمثالها يمكن للفقيه أن يستحصل على </w:t>
      </w:r>
      <w:bookmarkStart w:id="17" w:name="pg19380_259381"/>
    </w:p>
    <w:p>
      <w:pPr>
        <w:pStyle w:val="BookText"/>
        <w:rPr/>
      </w:pPr>
      <w:bookmarkEnd w:id="17"/>
      <w:r>
        <w:rPr>
          <w:rFonts w:ascii="Amiri" w:hAnsi="Amiri" w:eastAsia="Amiri" w:cs="Amiri"/>
          <w:color w:val="111111"/>
          <w:sz w:val="28"/>
          <w:sz w:val="28"/>
          <w:szCs w:val="28"/>
          <w:rtl w:val="true"/>
          <w:lang w:bidi="ar-SA"/>
        </w:rPr>
        <w:t xml:space="preserve">حكمها من خلال قاعدة 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القاعدة المذكورة تدلّ على انّه متى ما حصل الإخلال بواحد من الخمسة المذكورة وجبت إعادة الصلاة ، دون ما اذا حصل الإخلال بغيرها ؛ فنسيان الحمد أو السورة لا يبطل الصلاة ، لأنّه ليس أحد الخمسة المذكورة ، وهكذا الصلاة خلف شخص اتضح كونه فاسقا أو يصلّي نافلة ، بخلاف ما اذا صلّى بدون وضوء فان صلاته باطلة لأن الطهور أحد الخمسة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المنوال يمكن أن نخرج بأحكام أخرى كثيرة بتوسط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واحدة من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منوالها قواعد أخرى كثيرة لا تقلّ عنها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بعد هذا استغناء الفقيه عن بحث القواعد المذكورة؟</w:t>
      </w:r>
    </w:p>
    <w:p>
      <w:pPr>
        <w:pStyle w:val="Heading3"/>
        <w:numPr>
          <w:ilvl w:val="2"/>
          <w:numId w:val="1"/>
        </w:numPr>
        <w:rPr/>
      </w:pPr>
      <w:bookmarkStart w:id="18" w:name="__RefHeading___Toc17479157_1280447820"/>
      <w:bookmarkStart w:id="19" w:name="_Toc7"/>
      <w:bookmarkEnd w:id="18"/>
      <w:r>
        <w:rPr>
          <w:rtl w:val="true"/>
        </w:rPr>
        <w:t>تاريخ البحث في القواعد الفقهية</w:t>
      </w:r>
      <w:bookmarkEnd w:id="19"/>
    </w:p>
    <w:p>
      <w:pPr>
        <w:pStyle w:val="BookText"/>
        <w:rPr/>
      </w:pPr>
      <w:r>
        <w:rPr>
          <w:rFonts w:ascii="Amiri" w:hAnsi="Amiri" w:eastAsia="Amiri" w:cs="Amiri"/>
          <w:color w:val="111111"/>
          <w:sz w:val="28"/>
          <w:sz w:val="28"/>
          <w:szCs w:val="28"/>
          <w:rtl w:val="true"/>
          <w:lang w:bidi="ar-SA"/>
        </w:rPr>
        <w:t>والفقهاء لم يولوا القواعد الفقهية اهتماما كما أولوا القواعد الأصولية ذلك ، فالقواعد الأصولية أفردوها بالبحث وبعلم مستقل تحت عنوان علم أصول الفقه ، وأخذ هذا العلم بالتطور تدريجا وبمرور الزمن حتى بلغ القمة في وقتنا الحاضر ، بينما لا نجد هذا المعنى في القواعد الفقهية ، فهي لم تفرد ببحث مستقل وانما يبحثها الفقيه في علم الأصول وبشكل استطرادي ، أو في الفقه وبمناسبات خاصة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فقاعدة لا ضرر بحثها الشيخ الأعظم قدس‌سره في أصوله المسمى </w:t>
      </w:r>
    </w:p>
    <w:p>
      <w:pPr>
        <w:pStyle w:val="BookText"/>
        <w:rPr/>
      </w:pPr>
      <w:r>
        <w:rPr>
          <w:rFonts w:ascii="Amiri" w:hAnsi="Amiri" w:eastAsia="Amiri" w:cs="Amiri"/>
          <w:color w:val="111111"/>
          <w:sz w:val="28"/>
          <w:sz w:val="28"/>
          <w:szCs w:val="28"/>
          <w:rtl w:val="true"/>
          <w:lang w:bidi="ar-SA"/>
        </w:rPr>
        <w:t xml:space="preserve">بالرسائل ، فبعد أن أنهى بحثه في البراءة والاشتغال تعرّض إلى بحث آخر تحت عنوان خاتمة في شرائط جريان الأصول العملية ، فذكر ان أصل البراءة لا يجري إلاّ اذا فحص المجتهد عن الأدلة الاجتهادية الى حدّ اليأس عن العثور على دليل للحكم ، انّه آنذاك يمكنه اجراء أصل البراءة ، وإلاّ فقبل الفحص لا يمكنه اجراء الأصل المذكور ، ثم أخذ يتدرج في البحث المذكور حتى وصل إلى نقل رأي عن الفاضل التوني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شرائط جريان البراءة عدم كون المورد مشمولا لقاعدة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الشيخ بمناقشة الرأي المذكور ، ولما أنهى مناقشته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ان نبحث القاعدة المذكورة بشكل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ببحثها ، وتابعه على ذلك 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القاعدة المذكورة نجدها قد بحثت في علم الأصول ولم تبحث في الفقه ، فضلا عن إفرادها واخواتها بعلم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الأمر في مثل أصالة الصحة وقاعدة الفراغ والتجاوز قد بحثها الشيخ الأعظم في رسائله بمناسبة خاصة ، وواكبه على ذلك من تأخّر عنه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شأن بعض القواعد الفقهية ، وبعضها الآخر يبحثها الفقيه استطرادا في أبحاثه الفقهية كقاعدة لا تعاد أو نفي العسر والحرج أو قاعدة اليد والقرعة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أول من فكّر في افراد القواعد الأصولية ببحث مستقل هو الشهيد الأول في كتابه المعروف بالقواعد والفوائد الذي طبع طبعة محققة في جزءين ؛ ولكن الكتاب المذكور ليس ممحضا في القواعد الفقهية ، بل يذكر قواعد أخرى أجنبية عن الفقه هي أشبه باللغوية أو </w:t>
      </w:r>
    </w:p>
    <w:p>
      <w:pPr>
        <w:pStyle w:val="BookText"/>
        <w:rPr/>
      </w:pPr>
      <w:r>
        <w:rPr>
          <w:rFonts w:ascii="Amiri" w:hAnsi="Amiri" w:eastAsia="Amiri" w:cs="Amiri"/>
          <w:color w:val="111111"/>
          <w:sz w:val="28"/>
          <w:sz w:val="28"/>
          <w:szCs w:val="28"/>
          <w:rtl w:val="true"/>
          <w:lang w:bidi="ar-SA"/>
        </w:rPr>
        <w:t>الأدبية أو الكلامية أو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يذكر في القاعدة الأولى تفسير الفقه لغة وشرعا ، وفي القاعدة الثانية أقسام الحكم الشرعي ، وفي القاعدة الثالثة ان العبادات تتصف بالأحكام الخمسة ما عدا الاباحة ، فالصلاة مثلا تكون واجبة أو مستحبة أو مكروهة أو محرّمة ولا تكون مباحة ، وهذا بخلاف العقود فانها تتصف بجميع الأحكام الخمسة ، وعلى هذا المنوال يذكر قواعد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ان تسمية الكتاب جاءت بالقواعد والفوائد ، فلم تقيد القواعد بالفقهية وعطفت الفوائد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ان بحث الكتاب المذكور عن القواعد الفقهية أمر نادر ، واذا بحثها اتفاقا بحثها بالشكل المناسب لتلك الفترة الزمنية ، فهو لا يذكر مدرك القاعدة وجهات البحث فيها وكيفية 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في الآونة الأخيرة بعض المحاولات الجيدة في هذا المجال ؛ أخص من بينها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للسيد البجنوردي ، والقواعد الفقهية للشيخ الشيرازي ، ومائة قاعدة للسيد المصطفوي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الالتفات الى أن الفترة المتوسطة بين عصر الشهيد الأول والآونة الأخيرة اشتملت على بعض المؤلفات الأخرى المخطوطة والمطبوعة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عوائد الأيام في بيان قواعد الأحكام ومهمات مسائل الحلال والحرام للشيخ النراقي ، إلاّ أنّه ليس بمستوعب لها ، بل هو يشتمل على عشر قواعد تقريبا ، وأكثره ناظر الى فوائد أخرى من قبيل البحث عن ولاية الفقيه ، وتحقيق حال كتاب الفقه الرضوي ، </w:t>
      </w:r>
      <w:bookmarkStart w:id="20" w:name="pg19380_259384"/>
    </w:p>
    <w:p>
      <w:pPr>
        <w:pStyle w:val="BookText"/>
        <w:rPr/>
      </w:pPr>
      <w:bookmarkEnd w:id="20"/>
      <w:r>
        <w:rPr>
          <w:rFonts w:ascii="Amiri" w:hAnsi="Amiri" w:eastAsia="Amiri" w:cs="Amiri"/>
          <w:color w:val="111111"/>
          <w:sz w:val="28"/>
          <w:sz w:val="28"/>
          <w:szCs w:val="28"/>
          <w:rtl w:val="true"/>
          <w:lang w:bidi="ar-SA"/>
        </w:rPr>
        <w:t xml:space="preserve">واستعراض بعض الفوائد الرجالية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اسند عنه أو الفرق بين الكتاب والأصل والنوادر ، أو بيان معنى فلان مولى فلان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المخطوطة بعض الرسائل الخاصة بالقواعد الفقهية التي أشار لها الشيخ آقا بزرك في الذريعة ، كرسالة السيد محمد مهدي القزويني ، ورسالة المولى محمد جعفر الأسترابادي وغير ذلك</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7479159_1280447820"/>
      <w:bookmarkStart w:id="22" w:name="_Toc8"/>
      <w:bookmarkEnd w:id="21"/>
      <w:r>
        <w:rPr>
          <w:rtl w:val="true"/>
        </w:rPr>
        <w:t>القاعدة الفقهية والفارق بينها وبين القاعدة الأصولية</w:t>
      </w:r>
      <w:bookmarkEnd w:id="22"/>
    </w:p>
    <w:p>
      <w:pPr>
        <w:pStyle w:val="BookText"/>
        <w:rPr/>
      </w:pPr>
      <w:r>
        <w:rPr>
          <w:rFonts w:ascii="Amiri" w:hAnsi="Amiri" w:eastAsia="Amiri" w:cs="Amiri"/>
          <w:color w:val="111111"/>
          <w:sz w:val="28"/>
          <w:sz w:val="28"/>
          <w:szCs w:val="28"/>
          <w:rtl w:val="true"/>
          <w:lang w:bidi="ar-SA"/>
        </w:rPr>
        <w:t>في مجال التفريق بين القاعدة الفقهية والقاعدة الأصولية يمكن أن تقدم عدّة فوارق قد يكون بعضها قابلا للمناقشة ، إلاّ اننا نترك ذلك الى مستوى 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القاعدة الفقهية قاعدة تشتمل على حكم شرعي عام يستفاد من تطبيقها الحصول على أحكام شرعية جزئية هي مصاديق لذلك الحكم العام ، بينما القاعدة الاصولية قاعدة تستبطن حكما عاما يستفاد من خلال تطبيقها استنباط أحكام شرعية كلية مغايرة لذلك الحكم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الطهارة التي هي قاعدة فقهية والتي تنص على أن كل شي‌ء يشك في نجاسته فهو محكوم بالطهارة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القاعدة تتضمن حكما شرعيا عاما ، واذا طبقناها على مواردها لم نحصل على أحكام أخرى تتغاير ومضمونها ، بل على أحكام تتفق ومضمونها ، بيد أنها أضيق فاذا كان لدينا ملابس نشك في نجاستها ، فمن خلال تطبيقها عليها نحكم بأنها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هذا </w:t>
      </w:r>
    </w:p>
    <w:p>
      <w:pPr>
        <w:pStyle w:val="BookText"/>
        <w:rPr/>
      </w:pPr>
      <w:r>
        <w:rPr>
          <w:rFonts w:ascii="Amiri" w:hAnsi="Amiri" w:eastAsia="Amiri" w:cs="Amiri"/>
          <w:color w:val="111111"/>
          <w:sz w:val="28"/>
          <w:sz w:val="28"/>
          <w:szCs w:val="28"/>
          <w:rtl w:val="true"/>
          <w:lang w:bidi="ar-SA"/>
        </w:rPr>
        <w:t>بالطهارة على الملابس التي يشك في نجاستها هو بنفسه مضمون قاعدة الطهارة وليس شيئا غيره ؛ غايته انّه أضيق وخاص بالملابس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قاعدة حجيّة خبر الثقة التي هي قاعدة أصولية ، فانّه من خلال تطبيقها نستفيد حرمة العصير العنبي اذا غلى فيما اذا دلّ خبر ثقة على ذلك ، والحرمة المذكورة ليست مصداقا لمضمون حجيّة خبر الثقة ، بل هما شيئان متغايران تمام التغاير ، إلاّ ان أحدهما يستنبط منه الثاني ويستحصل عليه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القاعدة الفقهية حكم شرعي عام تستفاد من خلال تطبيقها أحكام شرعية جزئية هي مصاديق لذلك الحكم العام ، بخلافه في القاعدة الأصولية فان ما يستحصل عليه منها هي أحكام شرعية مغايرة لذلك الحكم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نعبّر عن هذا الفارق الأول بتعبير ثان وهو ان القاعدة الفقهية يستفاد منها في مجال التطبيق على مصاديقها ، بينما القاعدة الأصولية يستفاد منها في مجال الاستنباط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القاعدة الفقهية تقدّم لنا من خلال تطبيقها أحكاما جزئية بخلاف القاعدة الأصولية فإنها تقدم لنا أحكاما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فبتطبيق قاعدة الطهارة وعلى مواردها نستفيد ان هذا الماء طاهر ، وذاك الطعام طاهر </w:t>
      </w:r>
      <w:r>
        <w:rPr>
          <w:rStyle w:val="FootnoteAnchor"/>
          <w:rtl w:val="true"/>
        </w:rPr>
        <w:footnoteReference w:id="2"/>
      </w:r>
      <w:r>
        <w:rPr>
          <w:rFonts w:ascii="Amiri" w:hAnsi="Amiri" w:eastAsia="Amiri" w:cs="Amiri"/>
          <w:color w:val="111111"/>
          <w:sz w:val="28"/>
          <w:sz w:val="28"/>
          <w:szCs w:val="28"/>
          <w:rtl w:val="true"/>
          <w:lang w:bidi="ar-SA"/>
        </w:rPr>
        <w:t>بينما نستفيد من خلال تطبيق قاعدة حجيّة خبر الثقة أن العصير العنبي الكلي إذا غلى حرم ، لا أن هذا العصير أو ذاك العصير الخاص يحرم إذا غلى</w:t>
      </w:r>
      <w:r>
        <w:rPr>
          <w:rFonts w:eastAsia="Amiri" w:cs="Amiri" w:ascii="Amiri" w:hAnsi="Amiri"/>
          <w:color w:val="111111"/>
          <w:sz w:val="28"/>
          <w:szCs w:val="28"/>
          <w:rtl w:val="true"/>
          <w:lang w:bidi="ar-SA"/>
        </w:rPr>
        <w:t xml:space="preserve">. </w:t>
      </w:r>
      <w:bookmarkStart w:id="23" w:name="pg19380_259386"/>
    </w:p>
    <w:p>
      <w:pPr>
        <w:pStyle w:val="BookText"/>
        <w:rPr/>
      </w:pPr>
      <w:bookmarkEnd w:id="2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القاعدة الفقهية يتعهد بتطبيقها المكلّف العامي دون المجتهد ، فالمجتهد يقدّم الى العامي كبرى قاعدة الطهارة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شي‌ء مشكوك النجاسة هو طاهر ، اما ان هذا أو ذاك هو مشكوك النجاسة ومن ثمّ هو طاهر فوظيفته راجعة إلى العامي ، فهو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الذي في بيتي مشكوك النجاسة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منتظرا الرجوع إلى المجتهد ليتصدى للدور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مثل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مثل كبرى حجيّة خبر الثقة فتطبيقها على مواردها وظيفة المجتهد ، فهو الذي يبحث عن الخبر الدال على حرمة العصير ويبحث عن وثاقة الراوي ويطبق كبرى حجية خبر الثقة عليه بعد ثبوت كونه ثقة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7479161_1280447820"/>
      <w:bookmarkStart w:id="25" w:name="_Toc9"/>
      <w:bookmarkEnd w:id="24"/>
      <w:r>
        <w:rPr>
          <w:rtl w:val="true"/>
        </w:rPr>
        <w:t>المسألة الفقهية والقاعدة الفقهية</w:t>
      </w:r>
      <w:bookmarkEnd w:id="25"/>
    </w:p>
    <w:p>
      <w:pPr>
        <w:pStyle w:val="BookText"/>
        <w:rPr/>
      </w:pPr>
      <w:r>
        <w:rPr>
          <w:rFonts w:ascii="Amiri" w:hAnsi="Amiri" w:eastAsia="Amiri" w:cs="Amiri"/>
          <w:color w:val="111111"/>
          <w:sz w:val="28"/>
          <w:sz w:val="28"/>
          <w:szCs w:val="28"/>
          <w:rtl w:val="true"/>
          <w:lang w:bidi="ar-SA"/>
        </w:rPr>
        <w:t>بعد أن عرفنا الفرق بين القاعدة الفقهية والقاعدة الأصولية قد تسأل عن الفارق بين المسألة الفقهية والقاعدة الفقهية؟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الفارق هو أن موضوع الأولى خاص ، بخلاف موضوع الثانية فانّه عام ، فمثلا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فقهية ، فالأولى خاصة بموضوع الصلاة ، والثانية خاصة بموضوع شرب الخمر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 حتى تعلم بأنّه نجس</w:t>
      </w:r>
      <w:r>
        <w:rPr>
          <w:rFonts w:eastAsia="Amiri" w:cs="Amiri" w:ascii="Amiri" w:hAnsi="Amiri"/>
          <w:color w:val="111111"/>
          <w:sz w:val="28"/>
          <w:szCs w:val="28"/>
          <w:rtl w:val="true"/>
          <w:lang w:bidi="ar-SA"/>
        </w:rPr>
        <w:t xml:space="preserve">» </w:t>
      </w:r>
      <w:bookmarkStart w:id="26" w:name="pg19380_259387"/>
    </w:p>
    <w:p>
      <w:pPr>
        <w:pStyle w:val="BookText"/>
        <w:rPr/>
      </w:pPr>
      <w:bookmarkEnd w:id="26"/>
      <w:r>
        <w:rPr>
          <w:rFonts w:ascii="Amiri" w:hAnsi="Amiri" w:eastAsia="Amiri" w:cs="Amiri"/>
          <w:color w:val="111111"/>
          <w:sz w:val="28"/>
          <w:sz w:val="28"/>
          <w:szCs w:val="28"/>
          <w:rtl w:val="true"/>
          <w:lang w:bidi="ar-SA"/>
        </w:rPr>
        <w:t>فانّه قاعدة فقهية ، حيث ان موضوعه عام وله جنبة شمولية لموضوعات متعددة ولم يؤخذ فيه موضوع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الأصولية والقاعدة الأصولية فهما واحد ولا فرق بينهما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7479163_1280447820"/>
      <w:bookmarkStart w:id="28" w:name="_Toc10"/>
      <w:bookmarkEnd w:id="27"/>
      <w:r>
        <w:rPr>
          <w:rtl w:val="true"/>
        </w:rPr>
        <w:t>ما به الاشتراك والامتياز</w:t>
      </w:r>
      <w:bookmarkEnd w:id="28"/>
    </w:p>
    <w:p>
      <w:pPr>
        <w:pStyle w:val="BookText"/>
        <w:rPr/>
      </w:pPr>
      <w:r>
        <w:rPr>
          <w:rFonts w:ascii="Amiri" w:hAnsi="Amiri" w:eastAsia="Amiri" w:cs="Amiri"/>
          <w:color w:val="111111"/>
          <w:sz w:val="28"/>
          <w:sz w:val="28"/>
          <w:szCs w:val="28"/>
          <w:rtl w:val="true"/>
          <w:lang w:bidi="ar-SA"/>
        </w:rPr>
        <w:t>ومن خلال ما سبق اتضح ان القاعدة الفقهية تلتقي مع القاعدة الاصولية في نقطة ، وتفترق عنها في نقطة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نقطة الالتقاء فهي ان كلتا القاعدتين لهما جنبة شمولية لأكثر من مسألة واحدة ولا تختصان بمورد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نقطة الافتراق فهي ان القاعدة الأصولية يستنبط منها حكم شرعي مغاير لها ، بينما القاعدة الفقهية يستحصل من خلال تطبيقها على أحكام لا تغاير مضمونها ، بل هي جزئيات ومصاديق لمضمونها الكلي</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7479165_1280447820"/>
      <w:bookmarkStart w:id="30" w:name="_Toc11"/>
      <w:bookmarkEnd w:id="29"/>
      <w:r>
        <w:rPr>
          <w:rtl w:val="true"/>
        </w:rPr>
        <w:t>القواعد الفقهية لا تنحصر في عدد معين</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ذكرنا فيما سبق ان القاعدة الفقهية ترجع في حقيقتها إلى حكم شرعي عام، له سعة وشمولية لمجموعة مسائل فقهية هي بمنزلة المصاديق له يتضح أن القواعد الفقهية لا تنحصر في عدد معين بل يمكن من خلال مراجعة الرسائل العملية لفقهائنا العظام الحصول على قواعد فقهية كثيرة من قبيل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دين اللّه </w:t>
      </w:r>
      <w:bookmarkStart w:id="31" w:name="pg19380_259388"/>
    </w:p>
    <w:p>
      <w:pPr>
        <w:pStyle w:val="BookText"/>
        <w:rPr/>
      </w:pPr>
      <w:bookmarkEnd w:id="31"/>
      <w:r>
        <w:rPr>
          <w:rFonts w:ascii="Amiri" w:hAnsi="Amiri" w:eastAsia="Amiri" w:cs="Amiri"/>
          <w:color w:val="111111"/>
          <w:sz w:val="28"/>
          <w:sz w:val="28"/>
          <w:szCs w:val="28"/>
          <w:rtl w:val="true"/>
          <w:lang w:bidi="ar-SA"/>
        </w:rPr>
        <w:t>أحق بالقضاء من دين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نافذ إلاّ ما خالف الكتاب العزيز ومقتضى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7479167_1280447820"/>
      <w:bookmarkStart w:id="33" w:name="_Toc12"/>
      <w:bookmarkEnd w:id="32"/>
      <w:r>
        <w:rPr>
          <w:rtl w:val="true"/>
        </w:rPr>
        <w:t>القاعدة الفقهية على قسمين</w:t>
      </w:r>
      <w:bookmarkEnd w:id="33"/>
    </w:p>
    <w:p>
      <w:pPr>
        <w:pStyle w:val="BookText"/>
        <w:rPr/>
      </w:pPr>
      <w:r>
        <w:rPr>
          <w:rFonts w:ascii="Amiri" w:hAnsi="Amiri" w:eastAsia="Amiri" w:cs="Amiri"/>
          <w:color w:val="111111"/>
          <w:sz w:val="28"/>
          <w:sz w:val="28"/>
          <w:szCs w:val="28"/>
          <w:rtl w:val="true"/>
          <w:lang w:bidi="ar-SA"/>
        </w:rPr>
        <w:t>والقواعد الفقهية على قسمين ، فبعضها يختص بباب واحد ، وبعضها يعمّ أكثر 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تعاد ، فانها خاصة بباب الصلاة ، وقاعدة الطهارة فانها خاصة بباب الطهارة ، وقاعدة ما يضمن بصحيحه يضمن بفاسده وبالعكس ، فانها خاصة بباب المعاملات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 وقاعدة نفي العسر ، فانهما تعمّان أبوابا مختلفة</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380_259390"/>
      <w:bookmarkStart w:id="35" w:name="pg19380_259390"/>
      <w:bookmarkEnd w:id="35"/>
    </w:p>
    <w:p>
      <w:pPr>
        <w:pStyle w:val="Heading2"/>
        <w:numPr>
          <w:ilvl w:val="1"/>
          <w:numId w:val="1"/>
        </w:numPr>
        <w:rPr/>
      </w:pPr>
      <w:bookmarkStart w:id="36" w:name="pg19380_259390"/>
      <w:bookmarkStart w:id="37" w:name="__RefHeading___Toc17479169_1280447820"/>
      <w:bookmarkStart w:id="38" w:name="_Toc13"/>
      <w:bookmarkEnd w:id="36"/>
      <w:bookmarkEnd w:id="37"/>
      <w:r>
        <w:rPr>
          <w:rtl w:val="true"/>
        </w:rPr>
        <w:t>قاعدة لا تعاد</w:t>
      </w:r>
      <w:bookmarkEnd w:id="38"/>
    </w:p>
    <w:p>
      <w:pPr>
        <w:pStyle w:val="Heading3"/>
        <w:numPr>
          <w:ilvl w:val="2"/>
          <w:numId w:val="1"/>
        </w:numPr>
        <w:rPr/>
      </w:pPr>
      <w:bookmarkStart w:id="39" w:name="__RefHeading___Toc17479171_1280447820"/>
      <w:bookmarkStart w:id="40" w:name="_Toc14"/>
      <w:bookmarkEnd w:id="39"/>
      <w:r>
        <w:rPr>
          <w:rtl w:val="true"/>
        </w:rPr>
        <w:t>اشارة</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شمول القاعدة للعامد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تختص بالناسي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تعمّ الجاهل بكلا قسميه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معذورية العامد في بعض الحالات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تختص القاعدة بحالة الفراغ</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لحالة الزيادة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نكتة عدم الإشارة إلى بعض الأركان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المراد بالطهور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تعم القاعدة الموانع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على ضوء قاعدة لا تعاد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توجد في باب الصلاة عدّة قواعد ؛ من قبيل قاعدة لا تعاد ، وقاعدة الفراغ والتجاوز ، وقاعدة الحيلولة ، وقاعدة لا شك لكثير الشك ، وقاعدة عدم تحمل الركعتين الأوليين للسهو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ننتخب الآن أهمها ، وهما قاعدتان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تعاد، وقاعدة الفراغ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ونمنهج حديثنا حول قاعدة لا تعاد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شمول القاعدة للعامد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تختص بالناسي؟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تعمّ الجاهل بكلا قسميه؟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معذورية العامد في بعض الحالات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تختص القاعدة بحالة الفراغ؟ </w:t>
      </w:r>
      <w:bookmarkStart w:id="41" w:name="pg19380_259393"/>
    </w:p>
    <w:p>
      <w:pPr>
        <w:pStyle w:val="BookText"/>
        <w:rPr/>
      </w:pPr>
      <w:bookmarkEnd w:id="4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لحالة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نكتة عدم الاشارة الى بعض الأركان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المراد بالطهور؟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تعمّ القاعدة الموانع؟</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 على ضوء قاعدة لا تعاد</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7479173_1280447820"/>
      <w:bookmarkStart w:id="43" w:name="_Toc15"/>
      <w:bookmarkEnd w:id="42"/>
      <w:r>
        <w:rPr/>
        <w:t>1</w:t>
      </w:r>
      <w:r>
        <w:rPr>
          <w:rtl w:val="true"/>
        </w:rPr>
        <w:t xml:space="preserve"> - </w:t>
      </w:r>
      <w:r>
        <w:rPr>
          <w:rtl w:val="true"/>
        </w:rPr>
        <w:t>مضمون القاعدة</w:t>
      </w:r>
      <w:bookmarkEnd w:id="43"/>
    </w:p>
    <w:p>
      <w:pPr>
        <w:pStyle w:val="BookText"/>
        <w:rPr/>
      </w:pPr>
      <w:r>
        <w:rPr>
          <w:rFonts w:ascii="Amiri" w:hAnsi="Amiri" w:eastAsia="Amiri" w:cs="Amiri"/>
          <w:color w:val="111111"/>
          <w:sz w:val="28"/>
          <w:sz w:val="28"/>
          <w:szCs w:val="28"/>
          <w:rtl w:val="true"/>
          <w:lang w:bidi="ar-SA"/>
        </w:rPr>
        <w:t xml:space="preserve">والمقصود من قاعدة 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ترك بعض أجزاء الصلاة وشرائطها فصلاته لا تبطل ، إلاّ إذا كان الجزء أو الشرط من قبيل الركوع والسجود والطهارة من الحدث والقبلة والوقت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الاخلال اذا كان بواحد من هذه الخمسة فالصلاة تبطل ، حتى ولو كان الاخلال عن سهو أو جهل ، اما اذا كان بغيرها فلا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الاخلال اذا كان بأحد الأركان فالصلاة تبطل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التكبير والقيام هما من الأركان أيضا فلما ذا لم يذكرا؟ كما ان الطهارة والقبلة والوقت ليسا من الأركان فلما ذا ذكرت؟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الجواب يأتي فيما بعد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7479175_1280447820"/>
      <w:bookmarkStart w:id="45" w:name="_Toc16"/>
      <w:bookmarkEnd w:id="44"/>
      <w:r>
        <w:rPr/>
        <w:t>2</w:t>
      </w:r>
      <w:r>
        <w:rPr>
          <w:rtl w:val="true"/>
        </w:rPr>
        <w:t xml:space="preserve"> - </w:t>
      </w:r>
      <w:r>
        <w:rPr>
          <w:rtl w:val="true"/>
        </w:rPr>
        <w:t>مدرك القاعدة</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والمدرك للقاعدة المذكورة هو صحيحة زرارة عن أبي جعفر  عليه‌ السلام والتي رواها الصدوق في خصاله تارة ، وفي الفقيه أخرى ، كما رواها الشيخ الطوسي في تهذيبه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الخصال رواها الصدوق عن أبيه عن سعد عن أحمد بن محمد عن الحسين بن سعيد عن حمّاد بن عيسى عن حريز عن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 والتشهد سنة ، والتكبير سنة ، ولا تنقض السنّة الفريضة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زرارة عن أبي جعفر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والوقت والقبلة والركوع والسجود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 والتشهد سنّة ، ولا تنقض السنّة الفريضة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زرارة عن أبي جعفر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 والتشهد سنّة ، فلا تنقض السنّة الفريضة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صحيحة السند ، فانها بطريق الشيخ وان كانت قابلة للتأمل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هذا مضافا الى ان زرارة لم يكن له إلاّ كتاب واحد وهو كتاب الاستطاعة والجبر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حينما يذكر طريقه في الفهرست الى زرارة يذكر طريقه الى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أن الرواية المذكورة 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انها بكلا طريقي الصدوق هي معتبرة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واما سعد فهو كما 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هذه الطائفة وفقيهها ووجهها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أحمد بن محمد بن عيسى فهو كما قال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قم ووجيها وفقيهها غير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الحسين بن سعيد فهو كما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المصنفات الأهوازي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حماد فهو غريق الجحفة والذي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 حديثه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حريز فهو ثقة كوفي على حد تعبير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زرارة فهو شيخ أصحابنا في زمانه ومتقدمهم على حدّ تعبير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طريق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طريق الفقيه فقد ذكر الصدوق في المشيخة المذكورة آخر الجزء الرابع من الفقيه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رضي‌اللّه‌عنه عن عبد اللّه بن جعفر الحميري عن محمد بن عيسى بن عبيد والحسن بن ظريف وعلي بن اسماعيل بن عيسى كلّهم عن حمّاد بن عيسى عن حريز بن عبد اللّه 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السلسلة المذكورة هم من الثقات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لاعتبار</w:t>
      </w:r>
    </w:p>
    <w:p>
      <w:pPr>
        <w:pStyle w:val="BookText"/>
        <w:rPr/>
      </w:pPr>
      <w:r>
        <w:rPr>
          <w:rFonts w:ascii="Amiri" w:hAnsi="Amiri" w:eastAsia="Amiri" w:cs="Amiri"/>
          <w:color w:val="111111"/>
          <w:sz w:val="28"/>
          <w:sz w:val="28"/>
          <w:szCs w:val="28"/>
          <w:rtl w:val="true"/>
          <w:lang w:bidi="ar-SA"/>
        </w:rPr>
        <w:t>الرواية صحّة أحد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اجمالي</w:t>
      </w:r>
    </w:p>
    <w:p>
      <w:pPr>
        <w:pStyle w:val="BookText"/>
        <w:rPr/>
      </w:pPr>
      <w:r>
        <w:rPr>
          <w:rFonts w:ascii="IRNazanin" w:hAnsi="IRNazanin" w:eastAsia="IRNazanin"/>
          <w:color w:val="111111"/>
          <w:sz w:val="28"/>
          <w:sz w:val="28"/>
          <w:szCs w:val="28"/>
          <w:rtl w:val="true"/>
          <w:lang w:bidi="fa-IR"/>
        </w:rPr>
        <w:t xml:space="preserve">ورد في الرواية التعبير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ويراد من مصطلح السنّة عادة ما سنّه النبي  صلی اللّه عليه وآله وسلم  وشرّعه ، ومن مصطلح الفريضة ما شرّعه اللّه سبحانه وفرضه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فالمعنى ان الركوع وبقية الخمسة واجبات فرضها اللّه سبحانه في حين أن بقية الأجزاء سنّها وشرّعها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خلل يقع فيما فرضه اللّه سبحانه تبطل به الصلاة ، بينما الخلل الواقع فيما سنّه النبي  صلی اللّه عليه وآله وسلم  لا تبطل به الصلاة ولا يؤثر على صحّة ما فرضه اللّه سبحانه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باب خاص قد عقده الشيخ الكليني في الكافي </w:t>
      </w:r>
      <w:r>
        <w:rPr>
          <w:rStyle w:val="FootnoteAnchor"/>
          <w:rtl w:val="true"/>
        </w:rPr>
        <w:footnoteReference w:id="8"/>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التفويض إلى رسول اللّه  صلی اللّه عليه وآله وسلم  وإلى الأئمة  عليهم‌ السلام في أمر </w:t>
      </w:r>
      <w:bookmarkStart w:id="46" w:name="pg19380_259396"/>
    </w:p>
    <w:p>
      <w:pPr>
        <w:pStyle w:val="BookText"/>
        <w:rPr/>
      </w:pPr>
      <w:bookmarkEnd w:id="46"/>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ثبوت السلطة التشريعية للرسول  صلی اللّه عليه وآله وسلم </w:t>
      </w:r>
      <w:r>
        <w:rPr>
          <w:rFonts w:eastAsia="IRNazanin" w:cs="IRNazanin"/>
          <w:color w:val="111111"/>
          <w:sz w:val="28"/>
          <w:szCs w:val="28"/>
          <w:rtl w:val="true"/>
          <w:lang w:bidi="fa-IR"/>
        </w:rPr>
        <w:t>.</w:t>
      </w:r>
    </w:p>
    <w:p>
      <w:pPr>
        <w:pStyle w:val="Heading3"/>
        <w:numPr>
          <w:ilvl w:val="2"/>
          <w:numId w:val="1"/>
        </w:numPr>
        <w:rPr/>
      </w:pPr>
      <w:bookmarkStart w:id="47" w:name="__RefHeading___Toc17479177_1280447820"/>
      <w:bookmarkStart w:id="48" w:name="_Toc17"/>
      <w:bookmarkEnd w:id="47"/>
      <w:r>
        <w:rPr/>
        <w:t>3</w:t>
      </w:r>
      <w:r>
        <w:rPr>
          <w:rtl w:val="true"/>
        </w:rPr>
        <w:t xml:space="preserve"> - </w:t>
      </w:r>
      <w:r>
        <w:rPr>
          <w:rtl w:val="true"/>
        </w:rPr>
        <w:t>عدم شمول الحديث للعامد</w:t>
      </w:r>
      <w:bookmarkEnd w:id="48"/>
    </w:p>
    <w:p>
      <w:pPr>
        <w:pStyle w:val="BookText"/>
        <w:rPr/>
      </w:pPr>
      <w:r>
        <w:rPr>
          <w:rFonts w:ascii="Amiri" w:hAnsi="Amiri" w:eastAsia="Amiri" w:cs="Amiri"/>
          <w:color w:val="111111"/>
          <w:sz w:val="28"/>
          <w:sz w:val="28"/>
          <w:szCs w:val="28"/>
          <w:rtl w:val="true"/>
          <w:lang w:bidi="ar-SA"/>
        </w:rPr>
        <w:t>ينبغي أن يكون من الواضحات عدم شمول الحديث للمتعمد ترك الجزء أو الشرط ، فان عدم وجوب الاعادة خلف فرض الجزئية والشرطية ، إذ كيف تجتمع جزئية الشي‌ء وشرطيته مع عدم بطلان العمل بتركه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انصراف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اعتقد اتيانه الصلاة بكامل متطلباتها ثمّ التفت بعد ذلك الى وقوع الخلل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نقله الميرزا في تقريرات صلاة تلميذه الكاظمي </w:t>
      </w:r>
      <w:r>
        <w:rPr>
          <w:rStyle w:val="FootnoteAnchor"/>
          <w:rtl w:val="true"/>
        </w:rPr>
        <w:footnoteReference w:id="9"/>
      </w:r>
      <w:r>
        <w:rPr>
          <w:rFonts w:ascii="Amiri" w:hAnsi="Amiri" w:eastAsia="Amiri" w:cs="Amiri"/>
          <w:color w:val="111111"/>
          <w:sz w:val="28"/>
          <w:sz w:val="28"/>
          <w:szCs w:val="28"/>
          <w:rtl w:val="true"/>
          <w:lang w:bidi="ar-SA"/>
        </w:rPr>
        <w:t xml:space="preserve">من ذهاب بعض الى شمول الحديث في نفسه لكلّ مكلّف ، غايته ان العامد خرج بالإجماع حيث قام على بطلان صلاته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7479179_1280447820"/>
      <w:bookmarkStart w:id="50" w:name="_Toc18"/>
      <w:bookmarkEnd w:id="49"/>
      <w:r>
        <w:rPr/>
        <w:t>4</w:t>
      </w:r>
      <w:r>
        <w:rPr>
          <w:rtl w:val="true"/>
        </w:rPr>
        <w:t xml:space="preserve"> - </w:t>
      </w:r>
      <w:r>
        <w:rPr>
          <w:rtl w:val="true"/>
        </w:rPr>
        <w:t>هل تختص بالناسي</w:t>
      </w:r>
      <w:bookmarkEnd w:id="50"/>
    </w:p>
    <w:p>
      <w:pPr>
        <w:pStyle w:val="BookText"/>
        <w:rPr/>
      </w:pPr>
      <w:r>
        <w:rPr>
          <w:rFonts w:ascii="Amiri" w:hAnsi="Amiri" w:eastAsia="Amiri" w:cs="Amiri"/>
          <w:color w:val="111111"/>
          <w:sz w:val="28"/>
          <w:sz w:val="28"/>
          <w:szCs w:val="28"/>
          <w:rtl w:val="true"/>
          <w:lang w:bidi="ar-SA"/>
        </w:rPr>
        <w:t>لا اشكال في ان القدر المتيقن من الحديث هو الناسي ، وانما الكلام وقع في شمولاه للجاهل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جمع ؛ منهم الميرزا قدس‌سره الاختصاص بالناسي وقرّب ذلك على ما في تقريرات الصلاة لتلميذه الكاظمي </w:t>
      </w:r>
      <w:r>
        <w:rPr>
          <w:rStyle w:val="FootnoteAnchor"/>
          <w:rtl w:val="true"/>
        </w:rPr>
        <w:footnoteReference w:id="11"/>
      </w:r>
      <w:r>
        <w:rPr>
          <w:rFonts w:ascii="Amiri" w:hAnsi="Amiri" w:eastAsia="Amiri" w:cs="Amiri"/>
          <w:color w:val="111111"/>
          <w:sz w:val="28"/>
          <w:sz w:val="28"/>
          <w:szCs w:val="28"/>
          <w:rtl w:val="true"/>
          <w:lang w:bidi="ar-SA"/>
        </w:rPr>
        <w:t xml:space="preserve">بأن الجاهل حيث لم </w:t>
      </w:r>
      <w:bookmarkStart w:id="51" w:name="pg19380_259397"/>
    </w:p>
    <w:p>
      <w:pPr>
        <w:pStyle w:val="BookText"/>
        <w:rPr/>
      </w:pPr>
      <w:bookmarkEnd w:id="51"/>
      <w:r>
        <w:rPr>
          <w:rFonts w:ascii="Amiri" w:hAnsi="Amiri" w:eastAsia="Amiri" w:cs="Amiri"/>
          <w:color w:val="111111"/>
          <w:sz w:val="28"/>
          <w:sz w:val="28"/>
          <w:szCs w:val="28"/>
          <w:rtl w:val="true"/>
          <w:lang w:bidi="ar-SA"/>
        </w:rPr>
        <w:t xml:space="preserve">يأت بالواجب الثابت عليه واقعا فلا يخاطب بخطاب أعد أو لا تعد ، بل بخطاب ائت بالسورة أو بالتشهد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الناسي فانّه حيث لا يكون مكلّفا حالة النسيان بما نساه لعدم امكان تكليف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قدرته على فعل المنسي حالة نسيانه ، وهذا بخلاف الجاهل فإن جهله لا يسلب قدرته على فعل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المناسب توجيه الأمر بالإعادة له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أو لا تعد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هذه التدقيقات يلزم عدم شمول الحديث للناسي أيضا ، لأنّه ما دام لم يكلف بالسورة التي نساها فلا معنى لأن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 فإن الأمر بالإعادة فرع وجود أمر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شمول الحديث للجاهل ، لأنّه نسب الإعادة إلى الصلاة فقال لا تعاد الصلاة ، ومن الواضح ان الصلاة حيث أتي بها أولا بلا سورة مثلا ، فمن الوجيه حينئذ التعبير بالإعادة نظرا إلى الاتيان بها سابقا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7479181_1280447820"/>
      <w:bookmarkStart w:id="53" w:name="_Toc19"/>
      <w:bookmarkEnd w:id="52"/>
      <w:r>
        <w:rPr/>
        <w:t>5</w:t>
      </w:r>
      <w:r>
        <w:rPr>
          <w:rtl w:val="true"/>
        </w:rPr>
        <w:t xml:space="preserve"> - </w:t>
      </w:r>
      <w:r>
        <w:rPr>
          <w:rtl w:val="true"/>
        </w:rPr>
        <w:t>هل تعمّ الجاهل بكلا قسميه</w:t>
      </w:r>
      <w:bookmarkEnd w:id="53"/>
    </w:p>
    <w:p>
      <w:pPr>
        <w:pStyle w:val="BookText"/>
        <w:rPr/>
      </w:pPr>
      <w:r>
        <w:rPr>
          <w:rFonts w:ascii="Amiri" w:hAnsi="Amiri" w:eastAsia="Amiri" w:cs="Amiri"/>
          <w:color w:val="111111"/>
          <w:sz w:val="28"/>
          <w:sz w:val="28"/>
          <w:szCs w:val="28"/>
          <w:rtl w:val="true"/>
          <w:lang w:bidi="ar-SA"/>
        </w:rPr>
        <w:t>بعد التسليم بشمول الحديث للجاهل نسأل هل هو خاص بالجاهل القاصر أو يعمّ المقصّر أيضا؟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السيد الخوئي في المستند </w:t>
      </w:r>
      <w:r>
        <w:rPr>
          <w:rStyle w:val="FootnoteAnchor"/>
          <w:rtl w:val="true"/>
        </w:rPr>
        <w:footnoteReference w:id="13"/>
      </w:r>
      <w:r>
        <w:rPr>
          <w:rFonts w:ascii="Amiri" w:hAnsi="Amiri" w:eastAsia="Amiri" w:cs="Amiri"/>
          <w:color w:val="111111"/>
          <w:sz w:val="28"/>
          <w:sz w:val="28"/>
          <w:szCs w:val="28"/>
          <w:rtl w:val="true"/>
          <w:lang w:bidi="ar-SA"/>
        </w:rPr>
        <w:t xml:space="preserve">انّه خاص بالقاصر لأن ظاهره التعرّض لحكم من هو معذور وليس مكلفا بشي‌ء لو لا اتضاح الحال له </w:t>
      </w:r>
    </w:p>
    <w:p>
      <w:pPr>
        <w:pStyle w:val="BookText"/>
        <w:rPr/>
      </w:pPr>
      <w:r>
        <w:rPr>
          <w:rFonts w:ascii="Amiri" w:hAnsi="Amiri" w:eastAsia="Amiri" w:cs="Amiri"/>
          <w:color w:val="111111"/>
          <w:sz w:val="28"/>
          <w:sz w:val="28"/>
          <w:szCs w:val="28"/>
          <w:rtl w:val="true"/>
          <w:lang w:bidi="ar-SA"/>
        </w:rPr>
        <w:t>وانه لم يأت ببعض الأجزاء ، ومن الواضح ان الجاهل المقصّر تجب عليه الإعادة بحكم العقل سواء انكشف له الخلاف أم لا ، لتنجز التكليف الواقعي عليه وعدم كونه معذورا بعد فرض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المقصر والقاصر ، فانّه بعد انكشاف الخلاف وانه لم يؤت ببعض الأجزاء فمن اللازم عليهما معا الإعادة ، وقبل انكشاف الخلاف لا يجب عليهما الإعادة فيما اذا كانا قاطعين بالتمامية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الفرق بينهما يظهر في الجاهل البسيط بمعنى المتردد ، فان المقصّر يلزمه التعلم بخلاف القاصر فانه لا يلزمه ، وإلاّ لم يكن قاصرا ، إلاّ ان هذا مطلب آخر لا ربط له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 الشمول للجاهل المقصّر بتقريب ان الحديث لو شمله كما شمل القاصر يلزم اختصاص الأحكام بخصوص العالمين بها وهو خلف فرض ضرورة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الاشتراك لا محذور فيه بعد دلالة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اطلاق حديث 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يكن فيه محذور في مثل مسألة الجهر والاخفات والقصر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عدم وجوب الإعادة لعلّه من باب الاكتفاء بالناقص عن التام في مقام الامتثال ، وليس من باب اختصاص الحكم ابتداء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فدعوى الشمول للجاهل المقصّر أمر وجيه لو لا شبهة الاجماع على عدم معذورية الجاهل المقصّر من هذه الناحية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الاجماع حكمهم بتخصيص معذورية الجاهل بخصوص مسألة الجهر والاخفات والقصر والتمام ، فان ذلك يدلّ على عدم </w:t>
      </w:r>
      <w:bookmarkStart w:id="54" w:name="pg19380_259399"/>
    </w:p>
    <w:p>
      <w:pPr>
        <w:pStyle w:val="BookText"/>
        <w:rPr/>
      </w:pPr>
      <w:bookmarkEnd w:id="54"/>
      <w:r>
        <w:rPr>
          <w:rFonts w:ascii="Amiri" w:hAnsi="Amiri" w:eastAsia="Amiri" w:cs="Amiri"/>
          <w:color w:val="111111"/>
          <w:sz w:val="28"/>
          <w:sz w:val="28"/>
          <w:szCs w:val="28"/>
          <w:rtl w:val="true"/>
          <w:lang w:bidi="ar-SA"/>
        </w:rPr>
        <w:t>معذوريته في غير ذلك</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7479183_1280447820"/>
      <w:bookmarkStart w:id="56" w:name="_Toc20"/>
      <w:bookmarkEnd w:id="55"/>
      <w:r>
        <w:rPr/>
        <w:t>6</w:t>
      </w:r>
      <w:r>
        <w:rPr>
          <w:rtl w:val="true"/>
        </w:rPr>
        <w:t xml:space="preserve"> - </w:t>
      </w:r>
      <w:r>
        <w:rPr>
          <w:rtl w:val="true"/>
        </w:rPr>
        <w:t>معذورية العامد في بعض الحالات</w:t>
      </w:r>
      <w:bookmarkEnd w:id="56"/>
    </w:p>
    <w:p>
      <w:pPr>
        <w:pStyle w:val="BookText"/>
        <w:rPr/>
      </w:pPr>
      <w:r>
        <w:rPr>
          <w:rFonts w:ascii="Amiri" w:hAnsi="Amiri" w:eastAsia="Amiri" w:cs="Amiri"/>
          <w:color w:val="111111"/>
          <w:sz w:val="28"/>
          <w:sz w:val="28"/>
          <w:szCs w:val="28"/>
          <w:rtl w:val="true"/>
          <w:lang w:bidi="ar-SA"/>
        </w:rPr>
        <w:t>ذكرنا ان الحديث لا يشمل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ونستدرك الآن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يشمل العامد فيما اذا كان إخلاله العمدي عن عذر ، كما لو اقتدى بشخص باعتقاد انّه عادل وترك قراءة الحمد والسورة ، ثم اتضح انّه فاسق ؛ ان ترك القراءة في هذه الحالة عمدي ، إلاّ انّه عن عذر حيث تخيّل عدالة الامام وتحمله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 المكلف يصلّي منفردا فأتى في الركعة الثانية بالتسبيحات بتخيل انها الركعة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اقتدى بشخص بتخيل انّه يصلّي فريضة فاتضح انّه يصلّي نافلة ، فان الصلاة محكومة في الحالات المذكورة بالصحة ، إذ الخلل اما من ناحية نيّة الاقتداء بمن لا يصح الاقتداء به ، أو من ناحية ترك القراءة عن عمد واختيار ، وكلاهما لا يضرّ لقاعدة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الوجه في شمول الحديث لحالة الترك العمدي عن عذر هو ان ما تقدّم من الوجهين السابقين لعدم الشمول لحالة العمد لا يعمّ الحالة المذكورة ، فالمنافاة مع جزئية الجزء أو شرطية الشرط لا تلزم ، كما ان الانصراف المدعى لا يتم هنا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7479185_1280447820"/>
      <w:bookmarkStart w:id="58" w:name="_Toc21"/>
      <w:bookmarkEnd w:id="57"/>
      <w:r>
        <w:rPr/>
        <w:t>7</w:t>
      </w:r>
      <w:r>
        <w:rPr>
          <w:rtl w:val="true"/>
        </w:rPr>
        <w:t xml:space="preserve"> - </w:t>
      </w:r>
      <w:r>
        <w:rPr>
          <w:rtl w:val="true"/>
        </w:rPr>
        <w:t>هل تختص القاعدة بحالة الفراغ</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يصلّي المكلف وبعد الفراغ منها يتضح له الخلل فيها بترك جزء أو شرط ، كما اذا انكشف له عدم ستر عورته ، وأخرى يتضح له </w:t>
      </w:r>
      <w:bookmarkStart w:id="59" w:name="pg19380_259400"/>
    </w:p>
    <w:p>
      <w:pPr>
        <w:pStyle w:val="BookText"/>
        <w:rPr/>
      </w:pPr>
      <w:bookmarkEnd w:id="59"/>
      <w:r>
        <w:rPr>
          <w:rFonts w:ascii="Amiri" w:hAnsi="Amiri" w:eastAsia="Amiri" w:cs="Amiri"/>
          <w:color w:val="111111"/>
          <w:sz w:val="28"/>
          <w:sz w:val="28"/>
          <w:szCs w:val="28"/>
          <w:rtl w:val="true"/>
          <w:lang w:bidi="ar-SA"/>
        </w:rPr>
        <w:t>ذلك في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فهي القدر المتيقن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الحالة الثانية فقد يقال بعدم شمول الحديث لها ، لأن التعبير بالإعادة يدلّ على ضرورة الفراغ من العمل وإلاّ فلا معنى للإعادة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التعبير بالصلاة يدلّ على إرادة 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الصلاة كما يصدق على المجموع يصدق على البعض أيضا ،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في صلاتك ، أي أثناءها وقبل اكمالها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بإعادة الصلاة كما يصح بلحاظ تمام الصلاة ، كذلك يصح بلحاظ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اطلاق الحديث شمولاه للحالة الثانية أيضا وعدم اختصاصه بالاولى</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7479187_1280447820"/>
      <w:bookmarkStart w:id="61" w:name="_Toc22"/>
      <w:bookmarkEnd w:id="60"/>
      <w:r>
        <w:rPr/>
        <w:t>8</w:t>
      </w:r>
      <w:r>
        <w:rPr>
          <w:rtl w:val="true"/>
        </w:rPr>
        <w:t xml:space="preserve"> - </w:t>
      </w:r>
      <w:r>
        <w:rPr>
          <w:rtl w:val="true"/>
        </w:rPr>
        <w:t>عموم القاعدة لحالة الزيادة</w:t>
      </w:r>
      <w:bookmarkEnd w:id="61"/>
    </w:p>
    <w:p>
      <w:pPr>
        <w:pStyle w:val="BookText"/>
        <w:rPr/>
      </w:pPr>
      <w:r>
        <w:rPr>
          <w:rFonts w:ascii="Amiri" w:hAnsi="Amiri" w:eastAsia="Amiri" w:cs="Amiri"/>
          <w:color w:val="111111"/>
          <w:sz w:val="28"/>
          <w:sz w:val="28"/>
          <w:szCs w:val="28"/>
          <w:rtl w:val="true"/>
          <w:lang w:bidi="ar-SA"/>
        </w:rPr>
        <w:t>تارة يكون الاخلال في الصلاة بسبب ترك جزء أو شرط وأخرى يكون بسبب زيادة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المتيقن من الحديث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الاختلاف في شمولاه لحالة الزيادة فقيل بعدم الشمول ، لأن ثلاثة من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الوقت والقبلة والطهور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فيها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الشمول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بناء على ما هو المعروف من ان حذف المتعلق يدلّ على العموم فالأمر واضح ، إذ الحديث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من النقيصة إلاّ في خمسة ، بل حذف المتعلق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bookmarkStart w:id="62" w:name="pg19380_259401"/>
    </w:p>
    <w:p>
      <w:pPr>
        <w:pStyle w:val="BookText"/>
        <w:rPr/>
      </w:pPr>
      <w:bookmarkEnd w:id="62"/>
      <w:r>
        <w:rPr>
          <w:rFonts w:ascii="Amiri" w:hAnsi="Amiri" w:eastAsia="Amiri" w:cs="Amiri"/>
          <w:color w:val="111111"/>
          <w:sz w:val="28"/>
          <w:sz w:val="28"/>
          <w:szCs w:val="28"/>
          <w:rtl w:val="true"/>
          <w:lang w:bidi="ar-SA"/>
        </w:rPr>
        <w:t>واما بناء على التشكيك في دلالة حذف المتعلق على العموم فيمكن التمسك بعموم التعليل وان السنة لا تنقض الفريضة ، ان هذا التعليل لا يتناسب وخصوص النقيصة بل يلتئم مع الزيادة أيضا ، وواضح ان عموم التعليل قرينة على عموم الحكم المعلل وعدم اختصاصه بحالة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ذكره بعض </w:t>
      </w:r>
      <w:r>
        <w:rPr>
          <w:rStyle w:val="FootnoteAnchor"/>
          <w:rtl w:val="true"/>
        </w:rPr>
        <w:footnoteReference w:id="14"/>
      </w:r>
      <w:r>
        <w:rPr>
          <w:rFonts w:ascii="Amiri" w:hAnsi="Amiri" w:eastAsia="Amiri" w:cs="Amiri"/>
          <w:color w:val="111111"/>
          <w:sz w:val="28"/>
          <w:sz w:val="28"/>
          <w:szCs w:val="28"/>
          <w:rtl w:val="true"/>
          <w:lang w:bidi="ar-SA"/>
        </w:rPr>
        <w:t>من ان التعليل يدلّ على الاختصاص بالنقيصة إذ المقصود منه ان الأجزاء التي فرضها اللّه سبحانه متى ما تحققت فلا يضرّ فقد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التعليل بهذا الشكل الضيق تفسير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استدلّ به من ان ثلاثة من الخمسة لا يتصور فيه الزيادة فيمكن دفعه بأن ذلك قرينة على عدم إرادة الزيادة في خصوص الثلاثة المذكورة ، ولا يصلح قرينة على عدم إرادتها في مطلق الخمسة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7479189_1280447820"/>
      <w:bookmarkStart w:id="64" w:name="_Toc23"/>
      <w:bookmarkEnd w:id="63"/>
      <w:r>
        <w:rPr/>
        <w:t>9</w:t>
      </w:r>
      <w:r>
        <w:rPr>
          <w:rtl w:val="true"/>
        </w:rPr>
        <w:t xml:space="preserve"> - </w:t>
      </w:r>
      <w:r>
        <w:rPr>
          <w:rtl w:val="true"/>
        </w:rPr>
        <w:t>نكتة عدم الاشارة لبعض الأركان</w:t>
      </w:r>
      <w:bookmarkEnd w:id="64"/>
    </w:p>
    <w:p>
      <w:pPr>
        <w:pStyle w:val="BookText"/>
        <w:rPr/>
      </w:pPr>
      <w:r>
        <w:rPr>
          <w:rFonts w:ascii="Amiri" w:hAnsi="Amiri" w:eastAsia="Amiri" w:cs="Amiri"/>
          <w:color w:val="111111"/>
          <w:sz w:val="28"/>
          <w:sz w:val="28"/>
          <w:szCs w:val="28"/>
          <w:rtl w:val="true"/>
          <w:lang w:bidi="ar-SA"/>
        </w:rPr>
        <w:t>نحن نعرف ان الأركان لا تختص بالركوع والسجود ، بل النيّة والتكبير والقيام هي من جملة الأركان أيضا ، فلما ذا لم يشر لها الحديث؟</w:t>
      </w:r>
    </w:p>
    <w:p>
      <w:pPr>
        <w:pStyle w:val="BookText"/>
        <w:rPr/>
      </w:pPr>
      <w:r>
        <w:rPr>
          <w:rFonts w:ascii="Amiri" w:hAnsi="Amiri" w:eastAsia="Amiri" w:cs="Amiri"/>
          <w:color w:val="111111"/>
          <w:sz w:val="28"/>
          <w:sz w:val="28"/>
          <w:szCs w:val="28"/>
          <w:rtl w:val="true"/>
          <w:lang w:bidi="ar-SA"/>
        </w:rPr>
        <w:t>ونعرف ان الوقت والقبلة والطهارة من الحدث ليست من الأركان فلما ذا لم يذكرها الفقهاء من جملة الأركان بالرغم من ذكر الحديث لها؟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الى نكتة الاقتصار على الركوع والسجود </w:t>
      </w:r>
      <w:bookmarkStart w:id="65" w:name="pg19380_259402"/>
    </w:p>
    <w:p>
      <w:pPr>
        <w:pStyle w:val="BookText"/>
        <w:rPr/>
      </w:pPr>
      <w:bookmarkEnd w:id="65"/>
      <w:r>
        <w:rPr>
          <w:rFonts w:ascii="Amiri" w:hAnsi="Amiri" w:eastAsia="Amiri" w:cs="Amiri"/>
          <w:color w:val="111111"/>
          <w:sz w:val="28"/>
          <w:sz w:val="28"/>
          <w:szCs w:val="28"/>
          <w:rtl w:val="true"/>
          <w:lang w:bidi="ar-SA"/>
        </w:rPr>
        <w:t>فلعل ذلك من جهة ان العمل من دون نيّة لا يصدق عليه صلاة ، فالمكلّف اذا لم ينو الصلاة لا يصدق انه دخل في الصلاة حتى يحكم عليه بإعادة الصلاة ، واذا لم يكبّر لم يتحقق منه الدخول في الصلاة حتى يحكم عليه بالإعادة أو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القيام فالمعروف ان الركن منه هو القيام المتصل بالركوع ، أي الذي يكون قبل الركوع 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ذكره من باب ان تركه بشكل مستقل عن ترك الركوع لا يتحقق عادة ، بل ان ترك القيام السابق على الركوع بلحظة يلازم ترك الركوع ، وحيث ان الركوع قد أشير اليه في الحديث فلا حاجة للإشارة الى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قيام ثان قيل بركنيته وهو القيام حالة تكبيرة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ذكره هو من باب عدم تحقق عنوان تكبيرة الاحرام بدونه ، فإن العنوان المذكور متقوم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الفقهاء لم يحكموا على الطهارة والقبلة والوقت بالركنية بالرغم من انها مذكورة في النص ، فلعلّ ذلك من جهة ان الركن لدى الفقهاء مصطلح يختص بالأجزاء التي تبطل الصلاة بتركها ولو عن سهو ، وواضح ان الطهارة والقبلة والوقت ليست أجزاء للصلاة ، وانما هي شرائط لها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7479191_1280447820"/>
      <w:bookmarkStart w:id="67" w:name="_Toc24"/>
      <w:bookmarkEnd w:id="66"/>
      <w:r>
        <w:rPr/>
        <w:t>10</w:t>
      </w:r>
      <w:r>
        <w:rPr>
          <w:rtl w:val="true"/>
        </w:rPr>
        <w:t xml:space="preserve"> - </w:t>
      </w:r>
      <w:r>
        <w:rPr>
          <w:rtl w:val="true"/>
        </w:rPr>
        <w:t>ما المراد بالطهور؟</w:t>
      </w:r>
      <w:bookmarkEnd w:id="67"/>
    </w:p>
    <w:p>
      <w:pPr>
        <w:pStyle w:val="BookText"/>
        <w:rPr/>
      </w:pPr>
      <w:r>
        <w:rPr>
          <w:rFonts w:ascii="Amiri" w:hAnsi="Amiri" w:eastAsia="Amiri" w:cs="Amiri"/>
          <w:color w:val="111111"/>
          <w:sz w:val="28"/>
          <w:sz w:val="28"/>
          <w:szCs w:val="28"/>
          <w:rtl w:val="true"/>
          <w:lang w:bidi="ar-SA"/>
        </w:rPr>
        <w:t>هل المقصود بالطهور خصوص الطهارة الحدثية أو ما يعمّ الطهارة الخبثية؟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هو الأعمّ أو لا أقل أن الكلمة مجملة ومرددة </w:t>
      </w:r>
      <w:bookmarkStart w:id="68" w:name="pg19380_259403"/>
    </w:p>
    <w:p>
      <w:pPr>
        <w:pStyle w:val="BookText"/>
        <w:rPr/>
      </w:pPr>
      <w:bookmarkEnd w:id="68"/>
      <w:r>
        <w:rPr>
          <w:rFonts w:ascii="IRNazanin" w:hAnsi="IRNazanin" w:eastAsia="IRNazanin"/>
          <w:color w:val="111111"/>
          <w:sz w:val="28"/>
          <w:sz w:val="28"/>
          <w:szCs w:val="28"/>
          <w:rtl w:val="true"/>
          <w:lang w:bidi="fa-IR"/>
        </w:rPr>
        <w:t xml:space="preserve">بين إرادة الأعم أو خصوص الحدثية ؛ الأمر الذي لازمه عدم امكان الاستدلال بالحديث على الصحة في موارد فوات الطهارة الخبثية ، والظاهر إرادة خصوص الطهارة الحدثية ، لأن حديث لا تعاد اشتمل على ذيل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سنّة والتشهد سنّة ، ولا تنقض السنة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بالفريضة ما ثبت بتشريع اللّه سبحانه ، وبالسنّة ما ثبت بتشريع الرسول  صلی اللّه عليه وآله وسلم  ، وواضح ان الذي ثبت بتشريع اللّه سبحانه هو اعتبار الطهارة الحدثية دون الخبثية ؛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إِذا قُمْتُمْ إِلَى الصَّلاةِ فَاغْسِلُوا وُجُوهَكُمْ </w:t>
      </w:r>
      <w:r>
        <w:rPr>
          <w:rFonts w:eastAsia="IRNazanin" w:cs="IRNazanin"/>
          <w:color w:val="111111"/>
          <w:sz w:val="28"/>
          <w:szCs w:val="28"/>
          <w:rtl w:val="true"/>
          <w:lang w:bidi="fa-IR"/>
        </w:rPr>
        <w:t xml:space="preserve">... ) </w:t>
      </w:r>
      <w:r>
        <w:rPr>
          <w:rStyle w:val="FootnoteAnchor"/>
          <w:rtl w:val="true"/>
        </w:rPr>
        <w:footnoteReference w:id="15"/>
      </w:r>
      <w:r>
        <w:rPr>
          <w:rFonts w:ascii="Amiri" w:hAnsi="Amiri" w:eastAsia="Amiri" w:cs="Amiri"/>
          <w:color w:val="111111"/>
          <w:sz w:val="28"/>
          <w:sz w:val="28"/>
          <w:szCs w:val="28"/>
          <w:rtl w:val="true"/>
          <w:lang w:bidi="ar-SA"/>
        </w:rPr>
        <w:t>واما الطهارة الخبثية فقد دلّت على اعتبارها الروايات دون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القرآن الكريم على اعتبار الطهارة من الخبث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الطهارة الشرعية بل الطهارة العرفية بمعنى النظافة في مقابل القذارة العرفية ، فإنّه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من الايمان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7479193_1280447820"/>
      <w:bookmarkStart w:id="70" w:name="_Toc25"/>
      <w:bookmarkEnd w:id="69"/>
      <w:r>
        <w:rPr/>
        <w:t>11</w:t>
      </w:r>
      <w:r>
        <w:rPr>
          <w:rtl w:val="true"/>
        </w:rPr>
        <w:t xml:space="preserve"> - </w:t>
      </w:r>
      <w:r>
        <w:rPr>
          <w:rtl w:val="true"/>
        </w:rPr>
        <w:t>هل تعم القاعدة الموانع؟</w:t>
      </w:r>
      <w:bookmarkEnd w:id="70"/>
    </w:p>
    <w:p>
      <w:pPr>
        <w:pStyle w:val="BookText"/>
        <w:rPr/>
      </w:pPr>
      <w:r>
        <w:rPr>
          <w:rFonts w:ascii="Amiri" w:hAnsi="Amiri" w:eastAsia="Amiri" w:cs="Amiri"/>
          <w:color w:val="111111"/>
          <w:sz w:val="28"/>
          <w:sz w:val="28"/>
          <w:szCs w:val="28"/>
          <w:rtl w:val="true"/>
          <w:lang w:bidi="ar-SA"/>
        </w:rPr>
        <w:t>ان الصلاة مركبة من أجزاء وشرائط وعدم موانع معينة كعدم القهقهة وعدم التكلّم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يشمل الأجزاء والشرائط قطعا وذلك هو القدر المتيقن </w:t>
      </w:r>
      <w:bookmarkStart w:id="71" w:name="pg19380_259404"/>
    </w:p>
    <w:p>
      <w:pPr>
        <w:pStyle w:val="BookText"/>
        <w:rPr/>
      </w:pPr>
      <w:bookmarkEnd w:id="71"/>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 الموانع فقد يشكك في ذلك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ضحك المصلّى أو لبس ما لا يصح له لبسه ونحو ذلك ، فلا يمكن تصحيح صلاته بالقاعدة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المذكورة في المستثنى هي اما من قبيل الأجزاء كالركوع والسجود أو من قبيل الشرائط كبقية الخمسة ، وليس شي‌ء منها من قبيل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ان الامام  عليه‌ السلام في مقام التعليل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القراءة سنّة والتشهد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ما هو من قبيل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القادح بصحة الصلاة اذا كان منحصرا بالخمسة المذكورة فهل يبقى توقع ذكر ما هو من قبيل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الاقتصار في مقام التعليل على التشهد والقراءة فذلك من باب المثال ، وإلاّ فالترتيب والموالاة شرط ومع ذلك لم يشر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ان الذي يقرأ الرواية يفهم من لهجتها الشمول ؛ خصوصا وان التعليل فيها يدلّ على ان فرض اللّه لا يحكم عليه بالبطلان بسبب غيره ، سواء كان من قبيل اختلال الشرط أو من قبيل وجود المانع</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7479195_1280447820"/>
      <w:bookmarkStart w:id="73" w:name="_Toc26"/>
      <w:bookmarkEnd w:id="72"/>
      <w:r>
        <w:rPr/>
        <w:t>12</w:t>
      </w:r>
      <w:r>
        <w:rPr>
          <w:rtl w:val="true"/>
        </w:rPr>
        <w:t xml:space="preserve"> - </w:t>
      </w:r>
      <w:r>
        <w:rPr>
          <w:rtl w:val="true"/>
        </w:rPr>
        <w:t>تطبيقات على ضوء قاعدة لا تعاد</w:t>
      </w:r>
      <w:bookmarkEnd w:id="73"/>
    </w:p>
    <w:p>
      <w:pPr>
        <w:pStyle w:val="BookText"/>
        <w:rPr/>
      </w:pPr>
      <w:r>
        <w:rPr>
          <w:rFonts w:ascii="Amiri" w:hAnsi="Amiri" w:eastAsia="Amiri" w:cs="Amiri"/>
          <w:color w:val="111111"/>
          <w:sz w:val="28"/>
          <w:sz w:val="28"/>
          <w:szCs w:val="28"/>
          <w:rtl w:val="true"/>
          <w:lang w:bidi="ar-SA"/>
        </w:rPr>
        <w:t>ما هو الحكم في الفروع التالية على ضوء قاعدة لا تعاد؟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صلّى العشاء قبل المغرب بتخيل اداء المغرب أو </w:t>
      </w:r>
    </w:p>
    <w:p>
      <w:pPr>
        <w:pStyle w:val="BookText"/>
        <w:rPr/>
      </w:pPr>
      <w:r>
        <w:rPr>
          <w:rFonts w:ascii="Amiri" w:hAnsi="Amiri" w:eastAsia="Amiri" w:cs="Amiri"/>
          <w:color w:val="111111"/>
          <w:sz w:val="28"/>
          <w:sz w:val="28"/>
          <w:szCs w:val="28"/>
          <w:rtl w:val="true"/>
          <w:lang w:bidi="ar-SA"/>
        </w:rPr>
        <w:t>صلّى العصر قبل الظهر بتخيل اداء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كان يقلّد مجتهدا يقول بوجوب اداء الصلاة قصرا ثم قلّد ثانيا من يقول بوجوب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المكلف وهو لا يدري ان على بدنه أو ملابسه بعض أجزاء حيوان لا يحلّ أكل لحمه شرعا ، كشعر القط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المكلف الركوع قبل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الدخول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سبّح المصلي بدل القراءة في الركعة الأولى أو أتى بتشهد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اتضح عدم صحّة قراءة الامام بعد فترة من الزمن ، أو عدم صحّة قراءة المكلف نفسه لو كان يصلّي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اتضح للمأموم ان الامام امرأة أو فاسق ، أو يوجد حائل بينهما يمنع من صدق الجماعة؟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كانت تغتسل غسل الحيض قبل انقضاء حيضها فترة من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كان يغتسل أو يتوضأ فترة من الزمن وعلى بعض أعضائه حائل ثم التفت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كان يغسل أعضاء وضوئه ثلاث مرّات ثم التفت الى عدم جواز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من تيمم بدل الوضوء باعتقاد ضيق الوقت ثم انكشف سعته؟وما هو حكم العكس ، أي من توضأ بدل التيمم باعتقاد سعة الوقت ثم انكشف الخلاف؟ </w:t>
      </w:r>
      <w:bookmarkStart w:id="74" w:name="pg19380_259406"/>
    </w:p>
    <w:p>
      <w:pPr>
        <w:pStyle w:val="Heading2"/>
        <w:numPr>
          <w:ilvl w:val="1"/>
          <w:numId w:val="1"/>
        </w:numPr>
        <w:rPr/>
      </w:pPr>
      <w:bookmarkStart w:id="75" w:name="__RefHeading___Toc17479197_1280447820"/>
      <w:bookmarkStart w:id="76" w:name="_Toc27"/>
      <w:bookmarkEnd w:id="74"/>
      <w:bookmarkEnd w:id="75"/>
      <w:r>
        <w:rPr>
          <w:rtl w:val="true"/>
        </w:rPr>
        <w:t>قاعدتا الفراغ والتجاوز</w:t>
      </w:r>
      <w:bookmarkEnd w:id="76"/>
    </w:p>
    <w:p>
      <w:pPr>
        <w:pStyle w:val="Heading3"/>
        <w:numPr>
          <w:ilvl w:val="2"/>
          <w:numId w:val="1"/>
        </w:numPr>
        <w:rPr/>
      </w:pPr>
      <w:bookmarkStart w:id="77" w:name="__RefHeading___Toc17479199_1280447820"/>
      <w:bookmarkStart w:id="78" w:name="_Toc28"/>
      <w:bookmarkEnd w:id="77"/>
      <w:r>
        <w:rPr>
          <w:rtl w:val="true"/>
        </w:rPr>
        <w:t>اشارة</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القاعدتين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القاعدتين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قاعدتان أو قاعدة واحدة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القاعدتين لغير الصلاة والوضوء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الوضوء من قاعدة التجاوز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الدخول في الغير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من الغير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الالتفات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المهمة التي يستفيد منها الفقيه كثيرا قاعدتا الفراغ والتجاوز ، وقد جرت عادة الأعلام على جمعهما بالبحث في مورد واحد للتقارب الشديد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ونمنهج الحديث عنهما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قاعدتان أو قاعدة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القاعدتين لغير الصلاة والوضوء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الوضوء من قاعدة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الدخول في الغير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من الغير؟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الالتفات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bookmarkStart w:id="79" w:name="pg19380_259409"/>
    </w:p>
    <w:p>
      <w:pPr>
        <w:pStyle w:val="Heading3"/>
        <w:numPr>
          <w:ilvl w:val="2"/>
          <w:numId w:val="1"/>
        </w:numPr>
        <w:rPr/>
      </w:pPr>
      <w:bookmarkStart w:id="80" w:name="__RefHeading___Toc17479201_1280447820"/>
      <w:bookmarkStart w:id="81" w:name="_Toc29"/>
      <w:bookmarkEnd w:id="79"/>
      <w:bookmarkEnd w:id="80"/>
      <w:r>
        <w:rPr/>
        <w:t>1</w:t>
      </w:r>
      <w:r>
        <w:rPr>
          <w:rtl w:val="true"/>
        </w:rPr>
        <w:t xml:space="preserve"> - </w:t>
      </w:r>
      <w:r>
        <w:rPr>
          <w:rtl w:val="true"/>
        </w:rPr>
        <w:t>مضمون القاعدتين</w:t>
      </w:r>
      <w:bookmarkEnd w:id="81"/>
    </w:p>
    <w:p>
      <w:pPr>
        <w:pStyle w:val="BookText"/>
        <w:rPr/>
      </w:pPr>
      <w:r>
        <w:rPr>
          <w:rFonts w:ascii="Amiri" w:hAnsi="Amiri" w:eastAsia="Amiri" w:cs="Amiri"/>
          <w:color w:val="111111"/>
          <w:sz w:val="28"/>
          <w:sz w:val="28"/>
          <w:szCs w:val="28"/>
          <w:rtl w:val="true"/>
          <w:lang w:bidi="ar-SA"/>
        </w:rPr>
        <w:t xml:space="preserve">وقع الاختلاف بين الأعلام في مضمون القاعدتين وكيفية التفرقة بينهما ، فذهب جمع منهم الشيخ النائيني الى ان قاعدة الفراغ ناظرة الى الشك في صحة الكلّ ، بينما قاعدة التجاوز ناظرة الى الشك في الجزء السابق بعد الدخول في الجزء اللاحق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المصلّي في صحة صلاته له صورتان ، فتارة يشك بعد فراغه من صلاته في صحتها؟ وأخرى يشك وهو في أثنائها في الجزء السابق بعد الدخول في الجزء اللاحق كأن يشك في الركوع بعد ما سجد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 في صحة صلاته بعد فراغه منها حكم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مضمون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الجزء السابق بعد الدخول في اللاحق حكم بتحقق ما سبق وعدم الاعتناء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مضمون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ذهب اليه جمع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ثان ؛ منهم السيّد الخوئي </w:t>
      </w:r>
      <w:r>
        <w:rPr>
          <w:rStyle w:val="FootnoteAnchor"/>
          <w:rtl w:val="true"/>
        </w:rPr>
        <w:footnoteReference w:id="19"/>
      </w:r>
      <w:r>
        <w:rPr>
          <w:rFonts w:ascii="Amiri" w:hAnsi="Amiri" w:eastAsia="Amiri" w:cs="Amiri"/>
          <w:color w:val="111111"/>
          <w:sz w:val="28"/>
          <w:sz w:val="28"/>
          <w:szCs w:val="28"/>
          <w:rtl w:val="true"/>
          <w:lang w:bidi="ar-SA"/>
        </w:rPr>
        <w:t>الى ان المصلي تارة يشك في صحة ما أتى به بعد جزمه بإتيانه به سواء كان ما شك في صحته هو الكل أو الجزء ، وأخرى يشك في أصل اتيانه بالشي‌ء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الحالة الأولى يحكم عليه بصحة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مضمون قاعدة الفراغ من دون تخصيصها بالشك في صحة الكلّ ، بل </w:t>
      </w:r>
      <w:bookmarkStart w:id="82" w:name="pg19380_259410"/>
    </w:p>
    <w:p>
      <w:pPr>
        <w:pStyle w:val="BookText"/>
        <w:rPr/>
      </w:pPr>
      <w:bookmarkEnd w:id="82"/>
      <w:r>
        <w:rPr>
          <w:rFonts w:ascii="Amiri" w:hAnsi="Amiri" w:eastAsia="Amiri" w:cs="Amiri"/>
          <w:color w:val="111111"/>
          <w:sz w:val="28"/>
          <w:sz w:val="28"/>
          <w:szCs w:val="28"/>
          <w:rtl w:val="true"/>
          <w:lang w:bidi="ar-SA"/>
        </w:rPr>
        <w:t>تعمّ الشك في صحة الجزء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الثانية يحكم بتحقق الجزء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مضمون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الرأي الثاني يكون مضمون قاعدة الفراغ الحكم بصحة ما اتي به ، ومضمون قاعدة التجاوز الحكم بتحقق ما شك في اتيانه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الرأي الأول يكون مضمون قاعدة الفراغ الحكم بصحة الكلّ بعد الفراغ منه ، ومضمون قاعدة التجاوز الحكم بتحقق الجزء السابق عند ما يكون الشك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الاختلاف في ان القاعدتين المذكورتين هل ترجعان من حيث الروح الى قاعدة واحدة أو إلى 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ذلك فيما بعد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7479203_1280447820"/>
      <w:bookmarkStart w:id="84" w:name="_Toc30"/>
      <w:bookmarkEnd w:id="83"/>
      <w:r>
        <w:rPr/>
        <w:t>2</w:t>
      </w:r>
      <w:r>
        <w:rPr>
          <w:rtl w:val="true"/>
        </w:rPr>
        <w:t xml:space="preserve"> - </w:t>
      </w:r>
      <w:r>
        <w:rPr>
          <w:rtl w:val="true"/>
        </w:rPr>
        <w:t>مدرك القاعدتين</w:t>
      </w:r>
      <w:bookmarkEnd w:id="84"/>
    </w:p>
    <w:p>
      <w:pPr>
        <w:pStyle w:val="Heading4"/>
        <w:numPr>
          <w:ilvl w:val="3"/>
          <w:numId w:val="1"/>
        </w:numPr>
        <w:rPr/>
      </w:pPr>
      <w:bookmarkStart w:id="85" w:name="__RefHeading___Toc17479205_1280447820"/>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الأخبار الواردة في المقام على نحوين فبعضها ناظر الى الحكم بوجود الشي‌ء المشكوك وبعضها الآخر ناظر الى الحكم بصحة الشي‌ء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الاذان وقد دخل في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الاذان والاقامة وقد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القراءة وقد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والرواية صحيحة السند لأن صاحب الوسائل رواها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عن أحمد بن محمد بن أبي نصر عن حماد بن عيسى عن حريز بن عبد اللّه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محمد بن الحسن فهو الشيخ الطوسي الذي لا يحتاج لشهرته الى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أحمد بن محمد فهو أحمد بن 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قم ووجيهها وفقيهها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أحمد بن محمد بن أبي نصر فهو البزنطي الذي قال الشيخ الطوسي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حمّاد وحريز وزرارة فقد تقدم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علينا ملاحظة سند الشيخ الطوسي الى أحمد بن محمد بن عيسى ، وهو محلّ كلام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الركوع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وبمضمونها صحيحة اسماعيل بن جابر فقد روى عن أبي جعفر  عليه‌ السلام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شكّ في الركوع بعد ما سجد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شك في السجود بعد ما قام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شك فيه مما قد جاوزه ودخل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وباسناد الشيخ الطوسي عن سعد بن عبد اللّه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الشيخ الطوسي الى سعد صحيح لأنّه ذكر في 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أرويه عن سعد فقد أخبرني به الشيخ رحمه‌اللّه ـ أي المفيد ـ عن أبي جعفر محمد بن علي بن الحسين يعني الصدوق ـ عن أبيه 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سعد نفسه فقد تقدّم عن النجاشي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هذه الطائفة وفقيهها ووجهها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أحمد بن محمد بن عيسى فقد تقدّم عن الشيخ الطوسي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قم ووجيهها وفقيهها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والد أحمد الذي اسمه محمد بن عيسى الأشعري فهو على ما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 وجه الأشاعرة ، متقدم عند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 اللّه بن المغيرة فهو على ما 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لا يعدل به أحد من جلالته ودينه وورعه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اسماعيل بن جابر فقد قال عنه الشيخ الطوسي في رجاله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ممدوح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وانما كانت موثقة لأن في سندها عبد اللّه بن بكير وهو فطحي ولكنه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رواها في الوسائل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صفوان عن ابن بكير عن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الحسين بن سعيد المذكور في السند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وعن الشيخ الطوسي بإسناده الى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الحسين بن سعيد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عبد اللّه بن بكير فهو على ما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 إلاّ انّه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صفوان فهو ثقة سواء كان صفوان بن مهران الجمال أو 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محمد بن مسلم فهو كما 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أصحابنا بالكوفة فقيه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طريق الشيخ الى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بعد ما تفرغ من صلاتك فامض ولا تعد</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وبمضمونها صحيحته الأخرى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بكير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وهي على ما رواه في الوسائل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ـ أي الشيخ الطوسي بقرينة ما سبق عليها من الروايات ـ عن الحسين بن سعيد عن فضالة عن ابان بن عثمان عن بكير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الحسين بن سعيد فقد تقدم انّه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فضالة فهو فضالة بن أيوب وقد قال عنه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حديثه مستقيما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ابان بن عثمان فقد عدّه الكشي ممن أجمع على 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كونه ناووسيا عدت الرواية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بكير بن أعين فقد ورد بطريق صحيح ان الامام الصادق  عليه‌ السلام قال عنه لما بلغه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واللّه لقد أنزله اللّه بين رسول اللّه وأمير المؤمنين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موثقة بكير مضمرة ، أي لم يذكر فيها الشخص المسؤول وانه الامام  عليه‌ السلام حيث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الضمير يرجع الى غير الامام  عليه‌ السلام ، ومعه تسقط الرواية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كلام بين الأعلام يرتبط بالمضمرات وانّها حجّة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هو التفصيل بين ما اذا كان الشخص المضمر من أجلاء الرواة الذين لا يليق بهم السؤال من غير الامام  عليه‌ السلام ـ كزرارة ومحمد بن مسلم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فتكون مضمراته حجّة ، وبين غيره فلا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حجيّة مطلق المضمرات بالبيان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العرب لا يذكرون الضمير مجردا عن مرجع يرجع اليه بل متى ما ذكروا الضمير ذكروا معه المرجع الذي يرجع إليه ، اما ذكره مجردا عن المرجع فهو أمر غير مألوف ، اللّهم إلاّ اذا فرض وجود عهد خاص بين الطرفين يستندان إليه في إرجاع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نقول ان ذكر بكير بن أعين للضمير من دون مرجع يرجع اليه لا يكون وجيها إلاّ اذا افترضنا وجود شخص معهود يرجع اليه الضمير ، ومن الواضح انه لا يوجد شخص يليق أن يكون معهودا إلاّ الامام  عليه‌ السلام فيتعين رجوع الضمير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زرارة مثلا هو المعهود بين الطرفين ويقصدان إرجاع الضمير إليه دون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بكير حينما سجل الرواية في أصله أو نقلها للآخرين كان قاصدا بذلك ايصال الرواية الى الأجيال المستقبلية وعدم احتكارها على نفسه والطرف الثاني الذي وقع طرفا للحوار ، ومع افتراض توجّه نظره الى الأجيال فلا بد من تعيين المرجع وعهده لدى الجميع ، وليس هو إلاّ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 المضمرات قد يشتمل على نكتة خاصة اضافية تصلح لتشخيص كون المسؤول هو الامام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رواية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سليمان بن رشيد يخبره انه بال في ظلمة الليل وانه أصاب كفّه برد نقطة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بجواب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السيّد الخوئي في التنقيح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 سليمان بن رشيد حيث اننا لا نعرفه فالرواية ساقطة عن الاعتبار إذ لعلّه كان قاضيا من قضاة الجمهور وسأل من أئمة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الكلام يمكن أن يورد عليه بأن الرواية تشتمل على خصوصية تعين كون المسؤول هو الامام  عليه‌ السلام وهي تعبير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تأكيد رؤية خط المسؤول لا معنى له إلاّ إذا كان المقصود اني رأيت خط الامام  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9380_259414"/>
    </w:p>
    <w:p>
      <w:pPr>
        <w:pStyle w:val="BookText"/>
        <w:rPr/>
      </w:pPr>
      <w:bookmarkEnd w:id="87"/>
      <w:r>
        <w:rPr>
          <w:rFonts w:ascii="Amiri" w:hAnsi="Amiri" w:eastAsia="Amiri" w:cs="Amiri"/>
          <w:color w:val="111111"/>
          <w:sz w:val="28"/>
          <w:sz w:val="28"/>
          <w:szCs w:val="28"/>
          <w:rtl w:val="true"/>
          <w:lang w:bidi="ar-SA"/>
        </w:rPr>
        <w:t>هذا هو المهم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غيرها كثير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7479207_1280447820"/>
      <w:bookmarkStart w:id="89" w:name="_Toc32"/>
      <w:bookmarkEnd w:id="88"/>
      <w:r>
        <w:rPr>
          <w:rtl w:val="true"/>
        </w:rPr>
        <w:t>مستندات أخرى</w:t>
      </w:r>
      <w:bookmarkEnd w:id="89"/>
    </w:p>
    <w:p>
      <w:pPr>
        <w:pStyle w:val="BookText"/>
        <w:rPr/>
      </w:pPr>
      <w:r>
        <w:rPr>
          <w:rFonts w:ascii="Amiri" w:hAnsi="Amiri" w:eastAsia="Amiri" w:cs="Amiri"/>
          <w:color w:val="111111"/>
          <w:sz w:val="28"/>
          <w:sz w:val="28"/>
          <w:szCs w:val="28"/>
          <w:rtl w:val="true"/>
          <w:lang w:bidi="ar-SA"/>
        </w:rPr>
        <w:t xml:space="preserve">وقد حاول البعض تجميع مستندات أخرى للقاعدتين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التمسك بتسالم الفقهاء أو اصالة الصحة أو قاعدة نفي العسر والحرج أو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قابلة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هو الأخبار المتقدمة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7479209_1280447820"/>
      <w:bookmarkStart w:id="91" w:name="_Toc33"/>
      <w:bookmarkEnd w:id="90"/>
      <w:r>
        <w:rPr/>
        <w:t>3</w:t>
      </w:r>
      <w:r>
        <w:rPr>
          <w:rtl w:val="true"/>
        </w:rPr>
        <w:t xml:space="preserve"> - </w:t>
      </w:r>
      <w:r>
        <w:rPr>
          <w:rtl w:val="true"/>
        </w:rPr>
        <w:t>قاعدة واحدة أو قاعدتان</w:t>
      </w:r>
      <w:bookmarkEnd w:id="91"/>
    </w:p>
    <w:p>
      <w:pPr>
        <w:pStyle w:val="Heading4"/>
        <w:numPr>
          <w:ilvl w:val="3"/>
          <w:numId w:val="1"/>
        </w:numPr>
        <w:rPr/>
      </w:pPr>
      <w:bookmarkStart w:id="92" w:name="__RefHeading___Toc17479211_1280447820"/>
      <w:bookmarkStart w:id="93" w:name="_Toc34"/>
      <w:bookmarkEnd w:id="92"/>
      <w:r>
        <w:rPr>
          <w:rtl w:val="true"/>
        </w:rPr>
        <w:t>اشارة</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الاختلاف بين الاعلام في أن القاعدتين المذكورتين هل ترجعان من حيث الروح الى قاعدة واحدة ، والاختلاف بينهما ليس إلاّ </w:t>
      </w:r>
    </w:p>
    <w:p>
      <w:pPr>
        <w:pStyle w:val="BookText"/>
        <w:rPr/>
      </w:pPr>
      <w:r>
        <w:rPr>
          <w:rFonts w:ascii="Amiri" w:hAnsi="Amiri" w:eastAsia="Amiri" w:cs="Amiri"/>
          <w:color w:val="111111"/>
          <w:sz w:val="28"/>
          <w:sz w:val="28"/>
          <w:szCs w:val="28"/>
          <w:rtl w:val="true"/>
          <w:lang w:bidi="ar-SA"/>
        </w:rPr>
        <w:t>من قبيل اختلاف مصاديق الشي‌ء الواحد أو ان كلّ قاعدة هي مستقلة عن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هي الثمرة لهذا البحث؟ انها تظهر في بعض النقاط الآتية كما سيتجلى ان شاء اللّه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والآراء في هذا المجال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الشيخ في الرسائل في الموضع السادس من المواضيع السبعة التي بحثها في قاعدة الفراغ والتجاوز </w:t>
      </w:r>
      <w:r>
        <w:rPr>
          <w:rStyle w:val="FootnoteAnchor"/>
          <w:rtl w:val="true"/>
        </w:rPr>
        <w:footnoteReference w:id="27"/>
      </w:r>
      <w:r>
        <w:rPr>
          <w:rFonts w:ascii="Amiri" w:hAnsi="Amiri" w:eastAsia="Amiri" w:cs="Amiri"/>
          <w:color w:val="111111"/>
          <w:sz w:val="28"/>
          <w:sz w:val="28"/>
          <w:szCs w:val="28"/>
          <w:rtl w:val="true"/>
          <w:lang w:bidi="ar-SA"/>
        </w:rPr>
        <w:t>، حيث ذكر ان القاعدتين ترجعان الى التعبد بشي‌ء واحد وهو التعبد بوجود العمل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صحة العمل بعد الفراغ منه يكون شاكّا في وجود العمل الصحيح ، وقاعدة الفراغ تعبده بوجود العمل الصحيح ، ومن شك في الاتيان بالجزء السابق بعد دخوله في الجزء اللاحق يكون شاكا في الاتيان بالجزء الصحيح وقاعدة التجاوز تعبده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المجعول في كليهما هو التعبد بمفاد كان التامة ، أي التعبد بأصل 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قيل بأن التعبد في قاعدة التجاوز انما هو بأصل وجود الجزء وليس بوجوده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بأصل وجود الشي‌ء دون وجوده الصحيح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الشيخ وجها للاستدلال على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والميرزا قدس‌سره أورد على مختار الشيخ أربع مناقشات ثم أخذ </w:t>
      </w:r>
    </w:p>
    <w:p>
      <w:pPr>
        <w:pStyle w:val="BookText"/>
        <w:rPr/>
      </w:pPr>
      <w:r>
        <w:rPr>
          <w:rFonts w:ascii="Amiri" w:hAnsi="Amiri" w:eastAsia="Amiri" w:cs="Amiri"/>
          <w:color w:val="111111"/>
          <w:sz w:val="28"/>
          <w:sz w:val="28"/>
          <w:szCs w:val="28"/>
          <w:rtl w:val="true"/>
          <w:lang w:bidi="ar-SA"/>
        </w:rPr>
        <w:t xml:space="preserve">بدفعها فراجع أجود التقريرات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الميرزا من ان المجعول من قبل الشارع هو قاعدة الفراغ فقط ، أي الحكم بصحة العمل بعد الفراغ منه ، غايته ان الشارع نزّل جزء العمل بمنزلة تمام العمل في الحكم بصحته وعدم الاعتناء بالشك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توجيه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موثقة ابن أبي يعفور عن أبي عبد اللّه  عليه‌ السلام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انّما الشك إذا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الفراغ من الشي‌ء والخروج عنه من دون فرق بين الوضوء والصلاة ، فمتى ما فرغ المكلف من الشي‌ء بكامله فشكّه ليس بشي‌ء ، واذا لم يفرغ منه بالكامل فلا بدّ ان يعتني لشكه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في باب الصلاة بالخصوص ولمثل صحيحة زرارة الواردة في أجزاء الصلاة والتي قيل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ودخل في غيره فليمض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استفدنا ان الشارع نزّل في خصوص باب الصلاة كلّ جزء منها منزلة تمام العمل في عدم الاعتناء بالشك بعد الانتهاء عنه ، وان كان المناسب لو لا التنزيل المذكور الاعتناء بالشك لفرض عدم الفراغ من العمل بالكامل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جمع من الأعلام منهم السيد الخوئي من أن </w:t>
      </w:r>
      <w:bookmarkStart w:id="94" w:name="pg19380_259417"/>
    </w:p>
    <w:p>
      <w:pPr>
        <w:pStyle w:val="BookText"/>
        <w:rPr/>
      </w:pPr>
      <w:bookmarkEnd w:id="94"/>
      <w:r>
        <w:rPr>
          <w:rFonts w:ascii="Amiri" w:hAnsi="Amiri" w:eastAsia="Amiri" w:cs="Amiri"/>
          <w:color w:val="111111"/>
          <w:sz w:val="28"/>
          <w:sz w:val="28"/>
          <w:szCs w:val="28"/>
          <w:rtl w:val="true"/>
          <w:lang w:bidi="ar-SA"/>
        </w:rPr>
        <w:t xml:space="preserve">المجعول من قبل الشارع هو قاعدة التجاوز فقط ، فالشارع حكم بأن الشك في وجود الجزء بعد تجاوز محله لا يعتنى به ، واما الشك في الصحة بعد الفراغ فهو مسبب دائما عن الشك في وجود الجزء أو الشرط للمركب ، فالتعبد بالصحة بعد الفراغ يرجع الى التعبد بمنشإ الصحة وهو وجود القيد المشكوك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7479213_1280447820"/>
      <w:bookmarkStart w:id="96" w:name="_Toc35"/>
      <w:bookmarkEnd w:id="95"/>
      <w:r>
        <w:rPr>
          <w:rtl w:val="true"/>
        </w:rPr>
        <w:t>عالم الاثبات وعالم الثبوت</w:t>
      </w:r>
      <w:bookmarkEnd w:id="96"/>
    </w:p>
    <w:p>
      <w:pPr>
        <w:pStyle w:val="BookText"/>
        <w:rPr/>
      </w:pPr>
      <w:r>
        <w:rPr>
          <w:rFonts w:ascii="Amiri" w:hAnsi="Amiri" w:eastAsia="Amiri" w:cs="Amiri"/>
          <w:color w:val="111111"/>
          <w:sz w:val="28"/>
          <w:sz w:val="28"/>
          <w:szCs w:val="28"/>
          <w:rtl w:val="true"/>
          <w:lang w:bidi="ar-SA"/>
        </w:rPr>
        <w:t xml:space="preserve">ثم ان البحث في وحدة القاعدتين وتعددهما تارة يلحظ بالنسبة الى عالم الثبوت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ثبوتا وواقعا اتحاد القاعدتين أو لا؟</w:t>
      </w:r>
    </w:p>
    <w:p>
      <w:pPr>
        <w:pStyle w:val="BookText"/>
        <w:rPr/>
      </w:pPr>
      <w:r>
        <w:rPr>
          <w:rFonts w:ascii="Amiri" w:hAnsi="Amiri" w:eastAsia="Amiri" w:cs="Amiri"/>
          <w:color w:val="111111"/>
          <w:sz w:val="28"/>
          <w:sz w:val="28"/>
          <w:szCs w:val="28"/>
          <w:rtl w:val="true"/>
          <w:lang w:bidi="ar-SA"/>
        </w:rPr>
        <w:t>وكلامنا السابق كان ناظرا الى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ان الميرزا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هو قاعدة الفراغ فقط ، والسيد الخوئي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هو قاعدة التجاوز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يلحظ بالنسبة الى عالم الاثبات والأدلة بأن يقال اننا لو رجعنا الى الروايات فهل يستفاد منها وحدة القاعدتين أو تعددهما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وبلحاظ هذا العالم اختلف الميرزا والسيد الخوئي أيضا ، فالميرزا </w:t>
      </w:r>
      <w:r>
        <w:rPr>
          <w:rStyle w:val="FootnoteAnchor"/>
          <w:rtl w:val="true"/>
        </w:rPr>
        <w:footnoteReference w:id="32"/>
      </w:r>
      <w:r>
        <w:rPr>
          <w:rFonts w:ascii="Amiri" w:hAnsi="Amiri" w:eastAsia="Amiri" w:cs="Amiri"/>
          <w:color w:val="111111"/>
          <w:sz w:val="28"/>
          <w:sz w:val="28"/>
          <w:szCs w:val="28"/>
          <w:rtl w:val="true"/>
          <w:lang w:bidi="ar-SA"/>
        </w:rPr>
        <w:t xml:space="preserve">ذكر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روايات الباب آبية عن حملها على جعل قاعدتين مستقلتين ، فان الرجوع اليها يشرف الفقيه على القطع بكون المجعول فيها أمرا واحدا ينطبق على موارد الشك في الأجزاء والشك بعد العمل ، فان اتحاد التعبير في موارد الأخبار الواردة في موارد التجاوز عن الأجزاء والفراغ عن العمل يوجب القطع بوحدة القاعدة المجعولة ، فالمقصود هو ضرب قاعدة كلية وهو عدم الاعتناء بالشك </w:t>
      </w:r>
      <w:bookmarkStart w:id="97" w:name="pg19380_259418"/>
    </w:p>
    <w:p>
      <w:pPr>
        <w:pStyle w:val="BookText"/>
        <w:rPr/>
      </w:pPr>
      <w:bookmarkEnd w:id="97"/>
      <w:r>
        <w:rPr>
          <w:rFonts w:ascii="Amiri" w:hAnsi="Amiri" w:eastAsia="Amiri" w:cs="Amiri"/>
          <w:color w:val="111111"/>
          <w:sz w:val="28"/>
          <w:sz w:val="28"/>
          <w:szCs w:val="28"/>
          <w:rtl w:val="true"/>
          <w:lang w:bidi="ar-SA"/>
        </w:rPr>
        <w:t>في تحقق المشكوك بعد تجاوز محله من دون فرق بين كون المشكوك وجود الجزء بعد تجاوز محله أو الكل بعد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السيد الخوئي ذكر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ظواهر الأدلة كون القاعدتين مجعولتين بالاستقلال ، وان ملاك إحداهما غير ملاك الأخرى ، فان ملاك قاعدة الفراغ هو الشك في صحة الشي‌ء مع احراز وجوده ، وملاك قاعدة التجاوز هو الشك في وجود الشي‌ء بعد التجاوز عن محله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17479215_1280447820"/>
      <w:bookmarkStart w:id="99" w:name="_Toc36"/>
      <w:bookmarkEnd w:id="98"/>
      <w:r>
        <w:rPr>
          <w:rtl w:val="true"/>
        </w:rPr>
        <w:t>الصحيح من الاحتمالين</w:t>
      </w:r>
      <w:bookmarkEnd w:id="99"/>
    </w:p>
    <w:p>
      <w:pPr>
        <w:pStyle w:val="BookText"/>
        <w:rPr/>
      </w:pPr>
      <w:r>
        <w:rPr>
          <w:rFonts w:ascii="Amiri" w:hAnsi="Amiri" w:eastAsia="Amiri" w:cs="Amiri"/>
          <w:color w:val="111111"/>
          <w:sz w:val="28"/>
          <w:sz w:val="28"/>
          <w:szCs w:val="28"/>
          <w:rtl w:val="true"/>
          <w:lang w:bidi="ar-SA"/>
        </w:rPr>
        <w:t>ولا يبعد كون الصحيح ما أفاده الشيخ الأعظم من كون المجعول قاعدة واحدة وهي البناء على صحة العمل الواقع خارجا أعم من كونه تمام العمل أو جزأه وأعم من كون الشك في أصل الوجود أو في صحة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كما قاله الميرزا من كون المجعول هو قاعدة الفراغ فقط ، أي البناء على صحة تمام العمل ، كما ولا نقول بما ذكره السيد الخوئي من كون المجعول هو قاعدة التجاوز فقط والبناء على تحقق الوجود المشكوك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الشيخ الأعظم يظهر منه ان متعلق التعبد هو البناء على وجود العمل الصحيح بنحو مفاد كان التامة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بالامكان ان يدعى ان متعلق التعبد هو البناء على صحة العمل الواقع بنحو مفاد كان الناقصة ، فلا يرد الاشكال بأن التعبد بوجود العمل الصحيح بنحو </w:t>
      </w:r>
      <w:bookmarkStart w:id="100" w:name="pg19380_259419"/>
    </w:p>
    <w:p>
      <w:pPr>
        <w:pStyle w:val="BookText"/>
        <w:rPr/>
      </w:pPr>
      <w:bookmarkEnd w:id="100"/>
      <w:r>
        <w:rPr>
          <w:rFonts w:ascii="Amiri" w:hAnsi="Amiri" w:eastAsia="Amiri" w:cs="Amiri"/>
          <w:color w:val="111111"/>
          <w:sz w:val="28"/>
          <w:sz w:val="28"/>
          <w:szCs w:val="28"/>
          <w:rtl w:val="true"/>
          <w:lang w:bidi="ar-SA"/>
        </w:rPr>
        <w:t>مفاد كان التامة ليس محلا للآثار ، فان الآثار الشرعية مترتبة على صحة العمل الواقع لا على وجود العمل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الروايات هو ما أفاده الشيخ الأعظم ؛ خصوصا لو قرأنا موثقة محمد بن مسلم التي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فذكرته تذكرا فأمضه ولا إعادة عليك فيه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فانها ظاهرة في لزوم البناء على الصحة في الجزء والكل معا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7479217_1280447820"/>
      <w:bookmarkStart w:id="102" w:name="_Toc37"/>
      <w:bookmarkEnd w:id="101"/>
      <w:r>
        <w:rPr/>
        <w:t>4</w:t>
      </w:r>
      <w:r>
        <w:rPr>
          <w:rtl w:val="true"/>
        </w:rPr>
        <w:t xml:space="preserve"> - </w:t>
      </w:r>
      <w:r>
        <w:rPr>
          <w:rtl w:val="true"/>
        </w:rPr>
        <w:t>عموم القاعدتين لغير الصلاة والوضوء</w:t>
      </w:r>
      <w:bookmarkEnd w:id="102"/>
    </w:p>
    <w:p>
      <w:pPr>
        <w:pStyle w:val="BookText"/>
        <w:rPr/>
      </w:pPr>
      <w:r>
        <w:rPr>
          <w:rFonts w:ascii="Amiri" w:hAnsi="Amiri" w:eastAsia="Amiri" w:cs="Amiri"/>
          <w:color w:val="111111"/>
          <w:sz w:val="28"/>
          <w:sz w:val="28"/>
          <w:szCs w:val="28"/>
          <w:rtl w:val="true"/>
          <w:lang w:bidi="ar-SA"/>
        </w:rPr>
        <w:t>وقع البحث في عموم القاعدتين لغير باب الصلاة والوضوء ، فالحج مثلا هل يمكن تطبيق ذلك عليه؟ سؤال اختلفت الاجابة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قاعدة الفراغ فينبغي الجزم بعمومها ، فان موثقة محمد بن مسلم عن أبي جعفر  عليه‌ السلام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تشمل بعمومها مثل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موثقة 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فان النكتة المذكورة للزوم الحكم بالصحة بعد الفراغ تعم مثل الحج</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ينبغي التشكيك في عمومها لبقية العبادات غير الصلاة والوضوء ، بل يمكن ان يقال بشمول موثقة ابن مسلم لباب </w:t>
      </w:r>
      <w:bookmarkStart w:id="103" w:name="pg19380_259420"/>
    </w:p>
    <w:p>
      <w:pPr>
        <w:pStyle w:val="BookText"/>
        <w:rPr/>
      </w:pPr>
      <w:bookmarkEnd w:id="103"/>
      <w:r>
        <w:rPr>
          <w:rFonts w:ascii="Amiri" w:hAnsi="Amiri" w:eastAsia="Amiri" w:cs="Amiri"/>
          <w:color w:val="111111"/>
          <w:sz w:val="28"/>
          <w:sz w:val="28"/>
          <w:szCs w:val="28"/>
          <w:rtl w:val="true"/>
          <w:lang w:bidi="ar-SA"/>
        </w:rPr>
        <w:t>المعاملات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قاعدة التجاوز فيمكن أن يقال بعمومها أيضا فيما اذا بني على أحد الأمور التالية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بوحدة القاعدتين بالشكل الذي أفاده الشيخ الأعظم قدس‌سره ، فانه بناء على ان الكبرى المجعولة فيهما واحدة ، وان الاختلاف بين قاعدة الفراغ والتجاوز ليس إلا من قبيل اختلاف مصاديق الشي‌ء الواحد ، انّه بناء على هذا يلزم بعد البناء على عمومية قاعدة الفراغ البناء على عمومية قاعدة التجاوز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أحد ثمرات البحث عن تعدد القاعدتين ووحدتهما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وجود القدر المتيقن في مقام التخاطب لا يمنع من انعقاد الاطلاق ، فانّه بناء عليه يمكن التمسك بإطلاق القاعدة التي ذكرها الامام  عليه‌ السلام في آخر صحيحة زرارة </w:t>
      </w:r>
      <w:r>
        <w:rPr>
          <w:rStyle w:val="FootnoteAnchor"/>
          <w:rtl w:val="true"/>
        </w:rPr>
        <w:footnoteReference w:id="37"/>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اذا خرجت من شي‌ء ثم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بوجود عموم لموثقة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صحة الجزء أو أصل وجوده وعدم اختصاصه بالشك في صحة المركب بعد الفراغ منه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7479219_1280447820"/>
      <w:bookmarkStart w:id="105" w:name="_Toc38"/>
      <w:bookmarkEnd w:id="104"/>
      <w:r>
        <w:rPr/>
        <w:t>5</w:t>
      </w:r>
      <w:r>
        <w:rPr>
          <w:rtl w:val="true"/>
        </w:rPr>
        <w:t xml:space="preserve"> - </w:t>
      </w:r>
      <w:r>
        <w:rPr>
          <w:rtl w:val="true"/>
        </w:rPr>
        <w:t>استثناء الوضوء من قاعدة التجاوز</w:t>
      </w:r>
      <w:bookmarkEnd w:id="105"/>
    </w:p>
    <w:p>
      <w:pPr>
        <w:pStyle w:val="Heading4"/>
        <w:numPr>
          <w:ilvl w:val="3"/>
          <w:numId w:val="1"/>
        </w:numPr>
        <w:rPr/>
      </w:pPr>
      <w:bookmarkStart w:id="106" w:name="__RefHeading___Toc17479221_1280447820"/>
      <w:bookmarkStart w:id="107" w:name="_Toc39"/>
      <w:bookmarkEnd w:id="106"/>
      <w:r>
        <w:rPr>
          <w:rtl w:val="true"/>
        </w:rPr>
        <w:t>اشارة</w:t>
      </w:r>
      <w:bookmarkEnd w:id="10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البناء على شمول قاعدة التجاوز لجميع العبادات وعدم اختصاصها بالصلاة نعود لنستدرك من ذلك الوضوء ، فإن من شك في </w:t>
      </w:r>
    </w:p>
    <w:p>
      <w:pPr>
        <w:pStyle w:val="BookText"/>
        <w:rPr/>
      </w:pPr>
      <w:r>
        <w:rPr>
          <w:rFonts w:ascii="Amiri" w:hAnsi="Amiri" w:eastAsia="Amiri" w:cs="Amiri"/>
          <w:color w:val="111111"/>
          <w:sz w:val="28"/>
          <w:sz w:val="28"/>
          <w:szCs w:val="28"/>
          <w:rtl w:val="true"/>
          <w:lang w:bidi="ar-SA"/>
        </w:rPr>
        <w:t>الجزء السابق من الوضوء بعد الانتقال الى الجزء اللاحق يلزمه العود اليه والاتيان به بشكل صحيح ، سواء كان شكّه في أصل الاتيان به أو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اذا فرغ من الوضوء وطرأ عليه الشك بعد ذلك فلا يعتدّ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الوضوء شذّ عن قاعدة التجاوز ولم يشذّ عن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استثناء الوضوء من قاعدة التجاوز صحيحة زرارة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كنت قاعدا على وضوئك فلم تدر أغسلت ذراعيك أم لا فأعد عليهما وعلى جميع ما شككت فيه أنّك لم تغسله أو تمسحه مما سمى اللّه ما دمت في حال الوضوء ، فاذا قمت من الوضوء وفرغت منه وقد صرت الى حال أخرى في الصلاة أو في غيرها فشككت في بعض ما سمّى اللّه مما أوجب اللّه عليك فيه وضوءه لا شي‌ء عليك فيه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وهي صحيحة السند لأن الحر العاملي رواها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المفيد عن أحمد بن محمد عن أبيه عن أحمد بن إدريس وسعد بن عبد اللّه عن أحمد بن محمد عن الحسين بن سعيد عن حماد عن حريز عن زرارة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محمد بن الحسن فهو الشيخ الطوسي وهو غني عن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المفيد فهو غني عن التعريف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محمد فهو أحمد بن محمد بن الحسن بن الوليد الذي هو من مشايخ المفيد ، ولم يذكر في حقه توثيق ، ولذلك وقع محلا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محمد بن الحسن بن الوليد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وفقيههم ومتقدمهم ووجههم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إدريس وسعد بن عبد اللّه فيكفينا وثاقة أحدهما ، ومن حسن الصدفة وثاقة‌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9380_259422"/>
    </w:p>
    <w:p>
      <w:pPr>
        <w:pStyle w:val="Heading4"/>
        <w:numPr>
          <w:ilvl w:val="3"/>
          <w:numId w:val="1"/>
        </w:numPr>
        <w:rPr/>
      </w:pPr>
      <w:bookmarkStart w:id="109" w:name="__RefHeading___Toc17479223_1280447820"/>
      <w:bookmarkStart w:id="110" w:name="_Toc40"/>
      <w:bookmarkEnd w:id="108"/>
      <w:bookmarkEnd w:id="109"/>
      <w:r>
        <w:rPr>
          <w:rtl w:val="true"/>
        </w:rPr>
        <w:t>الوضوء وقاعدة الفراغ</w:t>
      </w:r>
      <w:bookmarkEnd w:id="110"/>
    </w:p>
    <w:p>
      <w:pPr>
        <w:pStyle w:val="BookText"/>
        <w:rPr/>
      </w:pPr>
      <w:r>
        <w:rPr>
          <w:rFonts w:ascii="Amiri" w:hAnsi="Amiri" w:eastAsia="Amiri" w:cs="Amiri"/>
          <w:color w:val="111111"/>
          <w:sz w:val="28"/>
          <w:sz w:val="28"/>
          <w:szCs w:val="28"/>
          <w:rtl w:val="true"/>
          <w:lang w:bidi="ar-SA"/>
        </w:rPr>
        <w:t>وبعد أن عرفنا عدم جريان قاعدة التجاوز في باب الوضوء فهل الأمر في قاعدة الفراغ كذلك ، أي لا تجري في الوضوء كما لم تجر قاعدة التجاوز؟</w:t>
      </w:r>
    </w:p>
    <w:p>
      <w:pPr>
        <w:pStyle w:val="BookText"/>
        <w:rPr/>
      </w:pPr>
      <w:r>
        <w:rPr>
          <w:rFonts w:ascii="Amiri" w:hAnsi="Amiri" w:eastAsia="Amiri" w:cs="Amiri"/>
          <w:color w:val="111111"/>
          <w:sz w:val="28"/>
          <w:sz w:val="28"/>
          <w:szCs w:val="28"/>
          <w:rtl w:val="true"/>
          <w:lang w:bidi="ar-SA"/>
        </w:rPr>
        <w:t xml:space="preserve">المناسب جريانها لعدم الموجب لاستثناء الوضوء من عمومها ، والمفروض ان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موثقة محمد بن مسلم كل ما شككت فيه مما قد مضى فامضه كما هو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وسعد بن عبد اللّه قد تقدمت الإشارة له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أحمد بن محمد فهو أحمد بن محمد بن عيسى ، وقد تقدمت الاشارة له وبقية رجال السند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الرواية لها سند ثان ذكره الحر العاملي آخر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كانت هي بهذا السند قابلة للتشكيك في صحتها من ناحية أحمد بن محمد بن الحسن بن الوليد ولكنها بالسند الثاني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للوضوء</w:t>
      </w:r>
      <w:r>
        <w:rPr>
          <w:rFonts w:eastAsia="IRNazanin" w:cs="IRNazanin"/>
          <w:color w:val="111111"/>
          <w:sz w:val="28"/>
          <w:szCs w:val="28"/>
          <w:rtl w:val="true"/>
          <w:lang w:bidi="fa-IR"/>
        </w:rPr>
        <w:t>.</w:t>
      </w:r>
    </w:p>
    <w:p>
      <w:pPr>
        <w:pStyle w:val="Heading4"/>
        <w:numPr>
          <w:ilvl w:val="3"/>
          <w:numId w:val="1"/>
        </w:numPr>
        <w:rPr/>
      </w:pPr>
      <w:bookmarkStart w:id="111" w:name="__RefHeading___Toc17479225_1280447820"/>
      <w:bookmarkStart w:id="112" w:name="_Toc41"/>
      <w:bookmarkEnd w:id="111"/>
      <w:r>
        <w:rPr>
          <w:rtl w:val="true"/>
        </w:rPr>
        <w:t>الغسل والتيمم</w:t>
      </w:r>
      <w:bookmarkEnd w:id="112"/>
    </w:p>
    <w:p>
      <w:pPr>
        <w:pStyle w:val="BookText"/>
        <w:rPr/>
      </w:pPr>
      <w:r>
        <w:rPr>
          <w:rFonts w:ascii="Amiri" w:hAnsi="Amiri" w:eastAsia="Amiri" w:cs="Amiri"/>
          <w:color w:val="111111"/>
          <w:sz w:val="28"/>
          <w:sz w:val="28"/>
          <w:szCs w:val="28"/>
          <w:rtl w:val="true"/>
          <w:lang w:bidi="ar-SA"/>
        </w:rPr>
        <w:t>وهل الغسل والتيمم ملحقان بالوضوء في عدم جريان قاعدة التجاوز في أجزائهما؟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المنسوب الى الشيخ الأعظم الإلحاق بتقريب ان النكتة التي من أجلها لم تجر قاعدة التجاوز في الوضوء هي ان الواجب في باب الوضوء هو الطهارة المسببة عن الغسلات والمسحات ، والغسلات والمسحات ما هي إلاّ محصّل لتحقق الطهارة، وحيث ان الطهارة الواجبة </w:t>
      </w:r>
    </w:p>
    <w:p>
      <w:pPr>
        <w:pStyle w:val="BookText"/>
        <w:rPr/>
      </w:pPr>
      <w:r>
        <w:rPr>
          <w:rFonts w:ascii="Amiri" w:hAnsi="Amiri" w:eastAsia="Amiri" w:cs="Amiri"/>
          <w:color w:val="111111"/>
          <w:sz w:val="28"/>
          <w:sz w:val="28"/>
          <w:szCs w:val="28"/>
          <w:rtl w:val="true"/>
          <w:lang w:bidi="ar-SA"/>
        </w:rPr>
        <w:t>أمر بسيط وليست مركبة من أجزاء فلذا لم يجر الشارع فيها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أريد اجراء قاعدة التجاوز في باب الوضوء ففيم تجري؟هل تجري في نفس الطهارة ، وهذا لا معنى له لأنها أمر بسيط ، أو في الغسلات والمسحات ، وهذا لا معنى له أيضا لأنها ليست بنفسها واجبة بل هي محصلة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فالشك في حصول بعض الغسلات والمسحات يستلزم الشك في تمامية تحقق المحصّل للواجب ، وواضح ان الشك في المحصّل مجرى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النكتة التي من أجلها لم تجر قاعدة التجاوز في الوضوء ، وهي عامة للتيمم والغسل أيضا ولا تختص بالوضوء ، ومعه فالمناسب عدم جريان قاعدة التجاوز في الغسل والتيمم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عدم إلحاق الغسل والتيمم بالوضوء لأنّه حتى لو سلمنا بالمبنى الذي يرتكز عليه هذا البيان وهو ان الواجب في باب الطهارات الثلاث هو الطهارة المسببة دون نفس الغسلات والمسحات ، فبالامكان ان نقول ان كون الغسلات والمسحات محصلا للطهارة الواجبة وليست بنفسها مركز الوجوب لا يشكّل مانعا من جريان قاعدة التجاوز فيها ، لأن مجرد كونها ليست واجبة بل محصلة للواجب لا يمنع من جريان القاعدة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فاذا كان لدليل قاعدة التجاوز اطلاق يشمل الغسل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عن إعمالها فيهما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ما ذكر صالحا لتشكيل مانع من جريان قاعدة التجاوز في الوضوء فلما ذا اذن لم يجر الشارع قاعدة التجاوز </w:t>
      </w:r>
      <w:bookmarkStart w:id="113" w:name="pg19380_259424"/>
    </w:p>
    <w:p>
      <w:pPr>
        <w:pStyle w:val="BookText"/>
        <w:rPr/>
      </w:pPr>
      <w:bookmarkEnd w:id="113"/>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لنكتة لا يلزم أن نكون مطلعين عليها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7479227_1280447820"/>
      <w:bookmarkStart w:id="115" w:name="_Toc42"/>
      <w:bookmarkEnd w:id="114"/>
      <w:r>
        <w:rPr/>
        <w:t>6</w:t>
      </w:r>
      <w:r>
        <w:rPr>
          <w:rtl w:val="true"/>
        </w:rPr>
        <w:t xml:space="preserve"> - </w:t>
      </w:r>
      <w:r>
        <w:rPr>
          <w:rtl w:val="true"/>
        </w:rPr>
        <w:t>وهل يعتبر الدخول في الغير؟</w:t>
      </w:r>
      <w:bookmarkEnd w:id="115"/>
    </w:p>
    <w:p>
      <w:pPr>
        <w:pStyle w:val="BookText"/>
        <w:rPr/>
      </w:pPr>
      <w:r>
        <w:rPr>
          <w:rFonts w:ascii="Amiri" w:hAnsi="Amiri" w:eastAsia="Amiri" w:cs="Amiri"/>
          <w:color w:val="111111"/>
          <w:sz w:val="28"/>
          <w:sz w:val="28"/>
          <w:szCs w:val="28"/>
          <w:rtl w:val="true"/>
          <w:lang w:bidi="ar-SA"/>
        </w:rPr>
        <w:t>وقع الكلام في انه هل يلزم لجريان قاعدة التجاوز والفراغ الدخول في الغير؟ فمن شك في الركوع وبعد لم يسجد هل تجري في حقه قاعدة التجاوز؟ ومن شك في صحة الكل أو صحة الجزء وبعد لم يدخل في غيره هل تجري في حقه قاعدة الفراغ؟</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الاتيان بالجزء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اعتبار الدخول في الجزء اللاحق لصراحة صحيحة زرارة المتقدمة في ذلك حيث قال  عليه‌ السلام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بالنسبة الى قاعدة الفراغ فقد يقال باعتبار الدخول في الغير أيضا ، فمن شك في صحة الجزء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يجزم بتحققه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يا بني على صحته إلا بعد الدخول في الجزء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ذلك بعدّة وجوه نذكر اثنين منها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النائيني من ان عنوان المضي هو من قبيل الكلي المشكك فصدقه مع عدم الدخول في الغير ليس في درجة صدقه مع الدخول في الغير بل صدقه مع فرض الدخول في الغير أوضح ، </w:t>
      </w:r>
    </w:p>
    <w:p>
      <w:pPr>
        <w:pStyle w:val="BookText"/>
        <w:rPr/>
      </w:pPr>
      <w:r>
        <w:rPr>
          <w:rFonts w:ascii="Amiri" w:hAnsi="Amiri" w:eastAsia="Amiri" w:cs="Amiri"/>
          <w:color w:val="111111"/>
          <w:sz w:val="28"/>
          <w:sz w:val="28"/>
          <w:szCs w:val="28"/>
          <w:rtl w:val="true"/>
          <w:lang w:bidi="ar-SA"/>
        </w:rPr>
        <w:t xml:space="preserve">ومعه فلا يكون المضي مع عدم الدخول في الغير مشمولا لأدلّة قاعدة الفراغ لانصراف المطلق عنه ، ولا أقل من كون حالة الدخول في الغير هي القدر المتيقن في مقام التخاطب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الأفراد في درجة الوضوح لا يمنع من شمول الدليل لجميعها ، فمثلا صدق العالم على الأكثر علما أوضح من صدقه على الأقلّ علما ولكن ذلك لا يمنع من شمول أكرم العالم لجميع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اذا كان صدق العنوان على بعض الأفراد خفيا جدا أمكن أن يكون ذلك موجبا للانصراف عنه ، اما اذا لم يفرض مثل هذا الخفاء وانما كان الصدق على البعض أوضح وأظهر فلا يمنع ذلك من الشمول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اعتبر في قاعدة التجاوز الدخول في الغير فيلزم أن يكون ذلك معتبرا في قاعدة الفراغ أيضا بناء على وحدة القاعدتين وعدم اختلافهما في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يمكن عدّه من أحد ثمرات البحث عن وحدة القاعدتين وتعددهما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التجاوز لو كان يعتبر فيها الدخول في الغير فاعتباره في قاعدة الفراغ جيد ، لاستظهار وحدة القاعدتين ، إلا ان اعتبار ذلك في قاعدة التجاوز محل 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الملاك لعدم الاعتناء بالشك هو المضي عن الشي‌ء ، فإن موثقة محمد بن مسلم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مضى وشككت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 ان المضي عن الشي‌ء يختلف محققه باختلاف كون الشك في أصل وجود الشي‌ء أو في صحته ، فمتى ما كان الشك في أصل وجود الشي‌ء فالمضي عنه لا يتحقق إلا بالانتقال الى الجزء المتأخر عنه ، إذ ما دام أصل وجود الشي‌ء مشكوكا فكيف يصدق المضي عن الشي‌ء؟ انه لا يصدق إلا باعتبار المضي عن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فالمضي عنه نفسه لا يمكن صدقه ما دام أصل وجوده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والمضي عن محل الجزء لا يتحقق إلا بالدخول في الجزء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اعتبر في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الشك في أصل تحقق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الجزء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اعتبار ذلك ليس لاعتبار الدخول في الجزء اللاحق بعنوانه بل لكون ذلك طريقا لتحقق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صحة الشي‌ء المتحقق سواء كان جزءا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ان الشي‌ء المشكوك صحته يتيقن بوجوده فالمضي عنه لا يتوقف صدقه على الدخول في جزء لاحق بل بالانتهاء عنه يصدق المضي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ألغى الشك بعد المضي عن الشي‌ء ولم يعتبر في إلغاء الشك سوى المضي عن الشي‌ء ، إلا ان تحقق المضي عن الشي‌ء يختلف باختلاف كون الشك في أصل الوجود وكونه في صحة الشي‌ء الموجود ، فعدم الاعتناء بالشك في أصل الوجود يشترط فيه الدخول في الجزء اللاحق ، لأنّه لا يصدق المضي إلا بذلك ، بينما عدم الاعتناء بالشك في صحة الموجود لا يلزم فيه ذلك لصدق </w:t>
      </w:r>
      <w:bookmarkStart w:id="116" w:name="pg19380_259427"/>
    </w:p>
    <w:p>
      <w:pPr>
        <w:pStyle w:val="BookText"/>
        <w:rPr/>
      </w:pPr>
      <w:bookmarkEnd w:id="116"/>
      <w:r>
        <w:rPr>
          <w:rFonts w:ascii="Amiri" w:hAnsi="Amiri" w:eastAsia="Amiri" w:cs="Amiri"/>
          <w:color w:val="111111"/>
          <w:sz w:val="28"/>
          <w:sz w:val="28"/>
          <w:szCs w:val="28"/>
          <w:rtl w:val="true"/>
          <w:lang w:bidi="ar-SA"/>
        </w:rPr>
        <w:t>المضي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النكات المهمة التي يلزم الالتفات اليها ، وهي انه في قاعدة التجاوز يعتبر الدخول في الغير ، بخلافه في قاعدة الفراغ فانّه لا يعتبر ذلك بالرغم من وحدة القاعدتين ، وما ذاك إلا للبيان المتقدم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479229_1280447820"/>
      <w:bookmarkStart w:id="118" w:name="_Toc43"/>
      <w:bookmarkEnd w:id="117"/>
      <w:r>
        <w:rPr/>
        <w:t>7</w:t>
      </w:r>
      <w:r>
        <w:rPr>
          <w:rtl w:val="true"/>
        </w:rPr>
        <w:t xml:space="preserve"> - </w:t>
      </w:r>
      <w:r>
        <w:rPr>
          <w:rtl w:val="true"/>
        </w:rPr>
        <w:t>ما المراد من الغير؟</w:t>
      </w:r>
      <w:bookmarkEnd w:id="118"/>
    </w:p>
    <w:p>
      <w:pPr>
        <w:pStyle w:val="Heading4"/>
        <w:numPr>
          <w:ilvl w:val="3"/>
          <w:numId w:val="1"/>
        </w:numPr>
        <w:rPr/>
      </w:pPr>
      <w:bookmarkStart w:id="119" w:name="__RefHeading___Toc17479231_1280447820"/>
      <w:bookmarkStart w:id="120" w:name="_Toc4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ذكرنا ان شرط جريان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بالشك في أصل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الجزء الثاني ، وليس ذلك إلاّ من باب توقف تحقق المضي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نتساءل عن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نطرح عدّة أسئلة لنجيب عنها </w:t>
      </w:r>
      <w:r>
        <w:rPr>
          <w:rFonts w:eastAsia="Amiri" w:cs="Amiri" w:ascii="Amiri" w:hAnsi="Amiri"/>
          <w:color w:val="111111"/>
          <w:sz w:val="28"/>
          <w:szCs w:val="28"/>
          <w:rtl w:val="true"/>
          <w:lang w:bidi="ar-SA"/>
        </w:rPr>
        <w:t>: -</w:t>
      </w:r>
    </w:p>
    <w:p>
      <w:pPr>
        <w:pStyle w:val="Heading4"/>
        <w:numPr>
          <w:ilvl w:val="3"/>
          <w:numId w:val="1"/>
        </w:numPr>
        <w:rPr/>
      </w:pPr>
      <w:bookmarkStart w:id="121" w:name="__RefHeading___Toc17479233_1280447820"/>
      <w:bookmarkStart w:id="122" w:name="_Toc45"/>
      <w:bookmarkEnd w:id="121"/>
      <w:r>
        <w:rPr>
          <w:rtl w:val="true"/>
        </w:rPr>
        <w:t xml:space="preserve">الدخول في جزء الجزء </w:t>
      </w:r>
      <w:r>
        <w:rPr>
          <w:rtl w:val="true"/>
        </w:rPr>
        <w:t>:</w:t>
      </w:r>
      <w:bookmarkEnd w:id="12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القراءة بعد الدخول في الركوع لا يعتني بشكه ، لأنّه شك في الجزء السابق بعد الدخول في الجزء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عمّن شك في الحمد بعد الدخول في السورة فهل لا يعتني لشكه أيضا بعد الالتفات الى ان مجموع القراءة جزء واحد وليست الفاتحة جزءا مستقلا في مقابل السورة؟ نعم لا يعتني لشكه ؛ لأن عنوان المضي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مجموع القراءة اذا كان جزءا فأبعاضه أجزاء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يفرض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خرجت من شي‌ء ودخلت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الشي‌ء جزءا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زرارة مثّلت بالشك في القراءة بعد الدخول في الركوع ، ولم تمثّل بالشك في ابعاض القراءة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باب فرض الشك في مجموع القراءة ، وهذا </w:t>
      </w:r>
      <w:bookmarkStart w:id="123" w:name="pg19380_259428"/>
    </w:p>
    <w:p>
      <w:pPr>
        <w:pStyle w:val="BookText"/>
        <w:rPr/>
      </w:pPr>
      <w:bookmarkEnd w:id="123"/>
      <w:r>
        <w:rPr>
          <w:rFonts w:ascii="Amiri" w:hAnsi="Amiri" w:eastAsia="Amiri" w:cs="Amiri"/>
          <w:color w:val="111111"/>
          <w:sz w:val="28"/>
          <w:sz w:val="28"/>
          <w:szCs w:val="28"/>
          <w:rtl w:val="true"/>
          <w:lang w:bidi="ar-SA"/>
        </w:rPr>
        <w:t>لا يدلّ على عدم صحة الفروض الاخرى ؛ خصوصا اذا التفتنا الى ان الأمثلة قد ذكرت في كلام زرارة دون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الغريب ما نسب الى جماعة ؛ منهم الشهيد الثاني ، والميرزا </w:t>
      </w:r>
      <w:r>
        <w:rPr>
          <w:rStyle w:val="FootnoteAnchor"/>
          <w:rtl w:val="true"/>
        </w:rPr>
        <w:footnoteReference w:id="42"/>
      </w:r>
      <w:r>
        <w:rPr>
          <w:rFonts w:ascii="Amiri" w:hAnsi="Amiri" w:eastAsia="Amiri" w:cs="Amiri"/>
          <w:color w:val="111111"/>
          <w:sz w:val="28"/>
          <w:sz w:val="28"/>
          <w:szCs w:val="28"/>
          <w:rtl w:val="true"/>
          <w:lang w:bidi="ar-SA"/>
        </w:rPr>
        <w:t>من اعتبار الدخول في الأجزاء المستقلة ، ولا يكفي الدخول في أجزاء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خلف اطلاق كلمة الجزء المذكورة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تقريب الميرزا لعدم الشمول</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7479235_1280447820"/>
      <w:bookmarkStart w:id="125" w:name="_Toc46"/>
      <w:bookmarkEnd w:id="124"/>
      <w:r>
        <w:rPr>
          <w:rtl w:val="true"/>
        </w:rPr>
        <w:t>الدخول في آية أخرى</w:t>
      </w:r>
      <w:bookmarkEnd w:id="12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الشك في آية بعد الدخول في آية أخرى لا يعتنى به أيضا؟</w:t>
      </w:r>
    </w:p>
    <w:p>
      <w:pPr>
        <w:pStyle w:val="BookText"/>
        <w:rPr/>
      </w:pPr>
      <w:r>
        <w:rPr>
          <w:rFonts w:ascii="Amiri" w:hAnsi="Amiri" w:eastAsia="Amiri" w:cs="Amiri"/>
          <w:color w:val="111111"/>
          <w:sz w:val="28"/>
          <w:sz w:val="28"/>
          <w:szCs w:val="28"/>
          <w:rtl w:val="true"/>
          <w:lang w:bidi="ar-SA"/>
        </w:rPr>
        <w:t xml:space="preserve">ذكر الميرزا في أجود التقريرات </w:t>
      </w:r>
      <w:r>
        <w:rPr>
          <w:rStyle w:val="FootnoteAnchor"/>
          <w:rtl w:val="true"/>
        </w:rPr>
        <w:footnoteReference w:id="43"/>
      </w:r>
      <w:r>
        <w:rPr>
          <w:rFonts w:ascii="Amiri" w:hAnsi="Amiri" w:eastAsia="Amiri" w:cs="Amiri"/>
          <w:color w:val="111111"/>
          <w:sz w:val="28"/>
          <w:sz w:val="28"/>
          <w:szCs w:val="28"/>
          <w:rtl w:val="true"/>
          <w:lang w:bidi="ar-SA"/>
        </w:rPr>
        <w:t>عدم جريان قاعدة التجاوز في مثل ذلك ، لأن المجعول حسب مبناه هو قاعدة الفراغ فقط ، أي عدم الاعتناء بالشك بعد الفراغ من تمام المركب ؛ غايته ان الشارع نزّل أجزاء المركب منزلة تمام المركب في عدم الاعتناء بالشك بعده ، والقدر المتيقن من التنزيل المذكور هو تنزيل الأجزاء المستقلة كما تشهد به الأمثلة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المبنى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شامل للجزء غير المستقل ، وبذلك يثبت التنزيل في الأجزاء غير المستقلة أيضا</w:t>
      </w:r>
      <w:r>
        <w:rPr>
          <w:rFonts w:eastAsia="Amiri" w:cs="Amiri" w:ascii="Amiri" w:hAnsi="Amiri"/>
          <w:color w:val="111111"/>
          <w:sz w:val="28"/>
          <w:szCs w:val="28"/>
          <w:rtl w:val="true"/>
          <w:lang w:bidi="ar-SA"/>
        </w:rPr>
        <w:t xml:space="preserve">. </w:t>
      </w:r>
      <w:bookmarkStart w:id="126" w:name="pg19380_259429"/>
    </w:p>
    <w:p>
      <w:pPr>
        <w:pStyle w:val="Heading4"/>
        <w:numPr>
          <w:ilvl w:val="3"/>
          <w:numId w:val="1"/>
        </w:numPr>
        <w:rPr/>
      </w:pPr>
      <w:bookmarkStart w:id="127" w:name="__RefHeading___Toc17479237_1280447820"/>
      <w:bookmarkStart w:id="128" w:name="_Toc47"/>
      <w:bookmarkEnd w:id="126"/>
      <w:bookmarkEnd w:id="127"/>
      <w:r>
        <w:rPr>
          <w:rtl w:val="true"/>
        </w:rPr>
        <w:t>الدخول في كلمة ثانية</w:t>
      </w:r>
      <w:bookmarkEnd w:id="12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كلمة بعد الدخول في كلمة أخرى فهل لا يعتنى للشك أيضا؟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صادقا على الكلمة بحسب الدقة ، إلا انه منصرف عنها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 ذلك الشك في الحرف السابق بعد الدخول في حرف جديد ، فان الانصراف فيه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لاحظنا القاعدة المذكورة في صحيحة زرارة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دخلت في شي‌ء وخرجت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لو لاحظنا موثقة محمد بن مسلم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مضى وشككت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 ، لعدم صدق المضي عرفا في مثل الحالات المذكورة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7479239_1280447820"/>
      <w:bookmarkStart w:id="130" w:name="_Toc48"/>
      <w:bookmarkEnd w:id="129"/>
      <w:r>
        <w:rPr>
          <w:rtl w:val="true"/>
        </w:rPr>
        <w:t>الدخول في الأجزاء المستحبة</w:t>
      </w:r>
      <w:bookmarkEnd w:id="13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بعض الأجزاء الواجبة السابقة بعد الدخول في بعض الأجزاء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شك في القراءة بعد الدخول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التمسك بقاعدة التجاوز؟</w:t>
      </w:r>
    </w:p>
    <w:p>
      <w:pPr>
        <w:pStyle w:val="BookText"/>
        <w:rPr/>
      </w:pPr>
      <w:r>
        <w:rPr>
          <w:rFonts w:ascii="Amiri" w:hAnsi="Amiri" w:eastAsia="Amiri" w:cs="Amiri"/>
          <w:color w:val="111111"/>
          <w:sz w:val="28"/>
          <w:sz w:val="28"/>
          <w:szCs w:val="28"/>
          <w:rtl w:val="true"/>
          <w:lang w:bidi="ar-SA"/>
        </w:rPr>
        <w:t>ذكر السيد اليزدي في العروة الوثقى ، ووافقه جملة من المحشين ، عدم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ذهب جماعة منهم السيد الخوئي الى عدم الاعتداد بالدخول في الجزء المستحب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توجيه ذلك حسبما يستفاد من مصباح الاصول </w:t>
      </w:r>
      <w:r>
        <w:rPr>
          <w:rStyle w:val="FootnoteAnchor"/>
          <w:rtl w:val="true"/>
        </w:rPr>
        <w:footnoteReference w:id="44"/>
      </w:r>
      <w:r>
        <w:rPr>
          <w:rFonts w:ascii="Amiri" w:hAnsi="Amiri" w:eastAsia="Amiri" w:cs="Amiri"/>
          <w:color w:val="111111"/>
          <w:sz w:val="28"/>
          <w:sz w:val="28"/>
          <w:szCs w:val="28"/>
          <w:rtl w:val="true"/>
          <w:lang w:bidi="ar-SA"/>
        </w:rPr>
        <w:t xml:space="preserve">بالبيانين التاليين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 </w:t>
      </w:r>
      <w:bookmarkStart w:id="131" w:name="pg19380_259430"/>
    </w:p>
    <w:p>
      <w:pPr>
        <w:pStyle w:val="Heading4"/>
        <w:numPr>
          <w:ilvl w:val="3"/>
          <w:numId w:val="1"/>
        </w:numPr>
        <w:rPr/>
      </w:pPr>
      <w:bookmarkStart w:id="132" w:name="__RefHeading___Toc17479241_1280447820"/>
      <w:bookmarkStart w:id="133" w:name="_Toc49"/>
      <w:bookmarkEnd w:id="131"/>
      <w:bookmarkEnd w:id="132"/>
      <w:r>
        <w:rPr>
          <w:rtl w:val="true"/>
        </w:rPr>
        <w:t>البيان الأول</w:t>
      </w:r>
      <w:bookmarkEnd w:id="133"/>
    </w:p>
    <w:p>
      <w:pPr>
        <w:pStyle w:val="BookText"/>
        <w:rPr/>
      </w:pPr>
      <w:r>
        <w:rPr>
          <w:rFonts w:ascii="Amiri" w:hAnsi="Amiri" w:eastAsia="Amiri" w:cs="Amiri"/>
          <w:color w:val="111111"/>
          <w:sz w:val="28"/>
          <w:sz w:val="28"/>
          <w:szCs w:val="28"/>
          <w:rtl w:val="true"/>
          <w:lang w:bidi="ar-SA"/>
        </w:rPr>
        <w:t>ان الجزء المستحب ليس معقولا في نفسه ، بل الجزء اما أن يكون واجبا أو لا يكون جزءا أصلا ، اما كونه جزءا مستحبا فهو غير معقول ، لأن القنوت مثلا ان كان مقوما لماهية الصلاة ومعتبرا فيها فهو واجب ، وإلا لم يكن جزءا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فإطلاق الجزء على مثل القنوت المستحب مشتمل على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 الحال هو ان مثل القنوت مأمور به بأمر استحبابي مستقل ، غاية الأمر هو مستحب في ظرف الصلاة وبعد القراءة في الركعة الثانية فهو مستحب باستحباب نفسي في ظرف الواجب ، ومعه فيكون الدخول فيه كالدخول في أي فعل آخر ليس هو جزء من الصلاة ، فكما انه لا يتحقق التجاوز عن المحل بذلك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مرتبة القنوت ما دام قد قررها الشارع بعد مرتبة القراءة ، فالداخل في القنوت بعد شكّه في القراءة يصدق عليه انه دخل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يكفي مطلق الدخول في الغير إلاّ فيما اذا كان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اعتبار كون الغير جزءا غير لازم بعد ما قرر الشارع له محلا متأخرا عن القراءة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اذا سلمنا المبنى المتقدم والحال انه قابل للمناقشة ، لأن ما ذكر خاص بالمركبات الحقيقية ، واما الاعتبارية كالصلاة مثلا فيمكن افتراض كون الشي‌ء دخيلا في الماهية بدرجة ضعيفة تقتضي الاستحباب دون اللزوم ؛ فان الاعتبار سهل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وفي المركبات الاعتبارية سلم بامكان أن يكون الشي‌ء جزءا للواجب حالة </w:t>
      </w:r>
      <w:bookmarkStart w:id="134" w:name="pg19380_259431"/>
    </w:p>
    <w:p>
      <w:pPr>
        <w:pStyle w:val="BookText"/>
        <w:rPr/>
      </w:pPr>
      <w:bookmarkEnd w:id="134"/>
      <w:r>
        <w:rPr>
          <w:rFonts w:ascii="Amiri" w:hAnsi="Amiri" w:eastAsia="Amiri" w:cs="Amiri"/>
          <w:color w:val="111111"/>
          <w:sz w:val="28"/>
          <w:sz w:val="28"/>
          <w:szCs w:val="28"/>
          <w:rtl w:val="true"/>
          <w:lang w:bidi="ar-SA"/>
        </w:rPr>
        <w:t xml:space="preserve">وجوده وليس بجزء حالة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التشهد فانه جزء حالة وجوده وليس بجزء حالة تركه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بالأولوية امكان أن يكون الشي‌ء دخيلا في المركب الاعتباري بدرجة ضعيفة تستدعي صيرورته جزءا مستحبا لا واجبا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7479243_1280447820"/>
      <w:bookmarkStart w:id="136" w:name="_Toc50"/>
      <w:bookmarkEnd w:id="135"/>
      <w:r>
        <w:rPr>
          <w:rtl w:val="true"/>
        </w:rPr>
        <w:t>البيان الثاني</w:t>
      </w:r>
      <w:bookmarkEnd w:id="136"/>
    </w:p>
    <w:p>
      <w:pPr>
        <w:pStyle w:val="BookText"/>
        <w:rPr/>
      </w:pPr>
      <w:r>
        <w:rPr>
          <w:rFonts w:ascii="Amiri" w:hAnsi="Amiri" w:eastAsia="Amiri" w:cs="Amiri"/>
          <w:color w:val="111111"/>
          <w:sz w:val="28"/>
          <w:sz w:val="28"/>
          <w:szCs w:val="28"/>
          <w:rtl w:val="true"/>
          <w:lang w:bidi="ar-SA"/>
        </w:rPr>
        <w:t>ان مثل القنوت وان اعتبر تأخره عن القراءة ، إلا ان القراءة لم يعتبر تقدمها على القنوت ، إذ ليس من شرط صحة القراءة ان تتقدم على القنوت ، وإلا يلزم عدم صحة القراءة فيما اذا لم يتعقبها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اشتراط تعقب القراءة بالقنوت فالآتي بالقنوت لا يصدق عليه انه قد تجاوز عن محل القراءة ، إذ محلها غير مشروط بكونه قبل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بالرغم من ذلك يصدق التجاوز والدخول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ان المكلف لو كان مشغولا بالتعقيب وشك في انه هل صلّى صلاة الظهر أو لا ، فبالامكان تطبيق قاعدة التجاوز والحكم عليه بعدم لزوم الاتيان بالظهر ، لأن محل التعقيب متأخر عن الصلاة وان كانت هي غير مشروطة بالتقدم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 المكلف قد دخل في العصر وهو شاك هل أتى بالظهر أو لا ، انه يلزم الحكم بالاتيان بالظهر ، لأن العصر متأخرة عن الظهر وان كانت الظهر غير مشروطة بالتقدم على العصر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ما دام قد أعطى للقنوت رتبة متأخرة عن القراءة فالآتي به يصدق عليه انّه دخل في غيره وقد تجاوز عن محل القراءة</w:t>
      </w:r>
      <w:r>
        <w:rPr>
          <w:rFonts w:eastAsia="Amiri" w:cs="Amiri" w:ascii="Amiri" w:hAnsi="Amiri"/>
          <w:color w:val="111111"/>
          <w:sz w:val="28"/>
          <w:szCs w:val="28"/>
          <w:rtl w:val="true"/>
          <w:lang w:bidi="ar-SA"/>
        </w:rPr>
        <w:t xml:space="preserve">. </w:t>
      </w:r>
      <w:bookmarkStart w:id="137" w:name="pg19380_259432"/>
    </w:p>
    <w:p>
      <w:pPr>
        <w:pStyle w:val="BookText"/>
        <w:rPr/>
      </w:pPr>
      <w:bookmarkEnd w:id="137"/>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يكفي إلا اذا فرض اعتبار تقدّم القراءة على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والاستشهاد بالمثالين مدفوع بأن قاعدة التجاوز يمكن دعوى اختصاصها باجزاء المركب خاصة ، وواضح ان الشك في المثالين ليس من قبيل الشك في أجزاء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امكان دعوى وجود نص خاص أخرج المثالين المذكورين من قاعدة التجاوز ، وهو ما دلّ على ان الشاك في أصل الاتيان بالصلاة لا يعتني بشكه ما دام ذلك بعد خروج الوقت </w:t>
      </w:r>
      <w:r>
        <w:rPr>
          <w:rStyle w:val="FootnoteAnchor"/>
          <w:rtl w:val="true"/>
        </w:rPr>
        <w:footnoteReference w:id="46"/>
      </w:r>
      <w:r>
        <w:rPr>
          <w:rFonts w:ascii="Amiri" w:hAnsi="Amiri" w:eastAsia="Amiri" w:cs="Amiri"/>
          <w:color w:val="111111"/>
          <w:sz w:val="28"/>
          <w:sz w:val="28"/>
          <w:szCs w:val="28"/>
          <w:rtl w:val="true"/>
          <w:lang w:bidi="ar-SA"/>
        </w:rPr>
        <w:t>، فانه يدلّ على ان الشك ما دام داخل الوقت فيجب الاحتياط ، وباطلاقه يشمل صورة الدخول في التعقيب أو الصلاة الثانية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7479245_1280447820"/>
      <w:bookmarkStart w:id="139" w:name="_Toc51"/>
      <w:bookmarkEnd w:id="138"/>
      <w:r>
        <w:rPr>
          <w:rtl w:val="true"/>
        </w:rPr>
        <w:t>الدخول في المقدمات</w:t>
      </w:r>
      <w:bookmarkEnd w:id="139"/>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الدخول في مقدمات الأجزاء لتطبيق قاعدة التجاوز؟ فمن شك في الركوع بعد الهوي الى السجود هل يحكم عليه بعدم الاعتناء بشكّه؟ سؤال اختلفت الاجابة عنه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عدم تطبيق قاعدة التجاوز ، لانصراف كلمة الغير عن مثل الهوي ، فانه ليس معتبرا في الصلاة لا بنحو الوجوب ولا الاستحباب وليس له رتبة متأخرة ، بل لو أمكن لإنسان أن يأتي بالركوع والسجود بلا هوي كفاه ذلك ، وهو نظير ما اذا كان المصلي من عادته تحريك رأسه بشكل خاص بعد الركوع فهل ترى انّه لو شك في </w:t>
      </w:r>
    </w:p>
    <w:p>
      <w:pPr>
        <w:pStyle w:val="BookText"/>
        <w:rPr/>
      </w:pPr>
      <w:r>
        <w:rPr>
          <w:rFonts w:ascii="Amiri" w:hAnsi="Amiri" w:eastAsia="Amiri" w:cs="Amiri"/>
          <w:color w:val="111111"/>
          <w:sz w:val="28"/>
          <w:sz w:val="28"/>
          <w:szCs w:val="28"/>
          <w:rtl w:val="true"/>
          <w:lang w:bidi="ar-SA"/>
        </w:rPr>
        <w:t>الركوع وهو في حالة يحرّك رأسه فيها عدم اعتنائه لشكه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ما نقول ان الامام الباقر  عليه‌ السلام في صحيحة اسماعيل بن جابر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شك في الركوع بعد ما سجد فليمض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وانما لم نذكر صحيحة زرارة لأن الأمثلة فيها ليس من الامام  عليه‌ السلام بل من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الهوي كافيا كان من المناسب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شك في الركوع بعد ما هوى أو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ورد في موثقة عبد الرحمن بن أبي عبد اللّه  عليه‌ السلام قال 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أهوى الى السجود فلم يدر أركع أم لم يركع؟</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فانّه قد يقال بدلالتها على كفاية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تحقق الهوي والفراغ منه ، ولازم الانتهاء من الهوي تحقق السجود ، فتكون دالة على حدوث الشك بعد تحقق السجود أو لا أقل هي مطلقة فتقيد بصحيحة اسماعيل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قيل انه مع فرض تحقق السجود لا يعبر باهوى بل بسجد أمكن تقديم جواب ثان هو ان الرواية المذكورة قد رويت بنفس السند بشكل آخر بحيث يمكن تحصيل الاطمئنان بعدم التعدد ، فقد نقل الشكل الأوّل في التهذيب </w:t>
      </w:r>
      <w:r>
        <w:rPr>
          <w:rStyle w:val="FootnoteAnchor"/>
          <w:rtl w:val="true"/>
        </w:rPr>
        <w:footnoteReference w:id="49"/>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50"/>
      </w:r>
      <w:r>
        <w:rPr>
          <w:rFonts w:ascii="Amiri" w:hAnsi="Amiri" w:eastAsia="Amiri" w:cs="Amiri"/>
          <w:color w:val="111111"/>
          <w:sz w:val="28"/>
          <w:sz w:val="28"/>
          <w:szCs w:val="28"/>
          <w:rtl w:val="true"/>
          <w:lang w:bidi="ar-SA"/>
        </w:rPr>
        <w:t xml:space="preserve">هكذا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Style w:val="FootnoteAnchor"/>
          <w:rtl w:val="true"/>
        </w:rPr>
        <w:footnoteReference w:id="51"/>
      </w:r>
      <w:r>
        <w:rPr>
          <w:rFonts w:ascii="Amiri" w:hAnsi="Amiri" w:eastAsia="Amiri" w:cs="Amiri"/>
          <w:color w:val="111111"/>
          <w:sz w:val="28"/>
          <w:sz w:val="28"/>
          <w:szCs w:val="28"/>
          <w:rtl w:val="true"/>
          <w:lang w:bidi="ar-SA"/>
        </w:rPr>
        <w:t xml:space="preserve">عن أحمد بن محمد بن أبي نصر عن ابان بن عثمان عن عبد الرحمن بن أبي عبد اللّه عن ابي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الى السجود فلم يدر أركع أم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الشكل الثاني في التهذيب </w:t>
      </w:r>
      <w:r>
        <w:rPr>
          <w:rStyle w:val="FootnoteAnchor"/>
          <w:rtl w:val="true"/>
        </w:rPr>
        <w:footnoteReference w:id="53"/>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54"/>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سعد عن أحمد بن محمد عن أحمد بن محمد بن أبي نصر عن ابان بن عثمان عن عبد الرحمن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رفع رأسه عن السجود فشك قبل أن يستوي جالسا فلم يدر أسجد أم لم يسجد؟ قال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نهض من سجوده فشك قبل أن يستوي قائما فلم يدر أسجد أم لم يسجد؟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الرواية اما أن تكون واحدة ، وبذلك يلزم عدم العلم بالصادر ويسقطان عن الحجية أو يفترض صدق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السائل قد سأل ثلاثة أسئلة ، والشيخ الطوسي قطّع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التعارض ؛ لأن إحداهما تدلّ على كفاية الدخول في مقدمة الجزء لتطبيق قاعدة التجاوز ، والاخرى تدلّ على عدم كفاية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قيل ان النقل الثاني يدلّ على ان المرتكز في ذهن السائل كفاية الاستواء في تطبيق قاعدة التجاوز ، وحيث ان الامام  عليه‌ السلام لم يردع عنه فتثبت بذلك حجيته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نحتاج الى التمسك بهذا الارتكاز واثبات حجيته بل نحن نلتزم بمضمونه حتى لو قطعنا النظر عنه فإن الاستواء ما بين السجدتين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من السجدة الثانية واجب أيضا لتتحقق بذلك القراءة الواجبة إذ القراءة تجب حالة الوقوف</w:t>
      </w:r>
      <w:r>
        <w:rPr>
          <w:rFonts w:eastAsia="Amiri" w:cs="Amiri" w:ascii="Amiri" w:hAnsi="Amiri"/>
          <w:color w:val="111111"/>
          <w:sz w:val="28"/>
          <w:szCs w:val="28"/>
          <w:rtl w:val="true"/>
          <w:lang w:bidi="ar-SA"/>
        </w:rPr>
        <w:t xml:space="preserve">. </w:t>
      </w:r>
      <w:bookmarkStart w:id="140" w:name="pg19380_259435"/>
    </w:p>
    <w:p>
      <w:pPr>
        <w:pStyle w:val="BookText"/>
        <w:rPr/>
      </w:pPr>
      <w:bookmarkEnd w:id="140"/>
      <w:r>
        <w:rPr>
          <w:rFonts w:ascii="Amiri" w:hAnsi="Amiri" w:eastAsia="Amiri" w:cs="Amiri"/>
          <w:color w:val="111111"/>
          <w:sz w:val="28"/>
          <w:sz w:val="28"/>
          <w:szCs w:val="28"/>
          <w:rtl w:val="true"/>
          <w:lang w:bidi="ar-SA"/>
        </w:rPr>
        <w:t xml:space="preserve">ومع وجوب الاستواء يصح تطبيق قاعدة التجاوز عند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عنوان الغير عليه ويكون مشمولا لصحيحة زرارة التي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خرجت من شي‌ء ودخلت في غيره </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7479247_1280447820"/>
      <w:bookmarkStart w:id="142" w:name="_Toc52"/>
      <w:bookmarkEnd w:id="141"/>
      <w:r>
        <w:rPr>
          <w:rtl w:val="true"/>
        </w:rPr>
        <w:t>الجزء المترتب</w:t>
      </w:r>
      <w:bookmarkEnd w:id="142"/>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المكلف في جزء سابق فتارة يفرض انه لم يدخل في جزء جديد ، وأخرى يفرض دخوله في جزء جديد مترتب على سابقه شرعا ، وثالثة يفرض دخوله في جزء جديد غير مترتب على سابقه شرعا ، كمن تشهد في الركعة الأولى غفلة عن كونها أولى وشك في اتيانه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التشهد حيث لم يؤمر به في الركعة الأولى فالدخول فيه دخول في جزء غير مترتب شرعا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في عدم جريان قاعدة التجاوز في الحالة الأولى ، كما ولا اشكال في جريانها في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الاشكال في جريانها في الحالة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اليزدي في العروة الوثقى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تمسكا باطلاق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خرجت من شي‌ء ثم دخلت في غيره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الحكيم والخوئي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الجريان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ذلك بأن التجاوز عن الشي‌ء المشكوك حيث لا يمكن تحققه </w:t>
      </w:r>
      <w:bookmarkStart w:id="143" w:name="pg19380_259436"/>
    </w:p>
    <w:p>
      <w:pPr>
        <w:pStyle w:val="BookText"/>
        <w:rPr/>
      </w:pPr>
      <w:bookmarkEnd w:id="143"/>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الشك في أصل الاتيان بالشي‌ء ، والتجاوز عن شي‌ء فرع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كون المقصود التجاوز عن محله ، وواضح ان التجاوز عن محل الشي‌ء المشكوك لا يتحقق إلاّ بالدخول في الجزء المترتب شرعا على الشي‌ء المشكوك ، إذ غير المترتب حيث لا محل له شرعا فالدخول فيه لا يتحقق به التجاوز عن محل الجزء المشكوك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مقام التعليق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الاعلام القائلين بالجريان والقائلين بعدمه مبني على التعامل مع ألفاظ القاعدة ، فبعضهم لاحظ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باطلاقه ، وبعض لاحظ لفظ التجاوز وارتأى عدم صدقه إلاّ بالدخول في الجزء المترتب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التعامل مع نكتة القاعدة فان القاعدة المذكورة تبتني على نكتة عقلائية وهي ان المكلف حيث انّه في صدد الامتثال وتحقيق الاتيان بكل جزء في محله الشرعي فيكون ظاهر حاله عند الدخول في جزء جديد الاتيان بالجزء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هذه نكتة القاعدة ولا يحتمل كونها قاعدة تعبدية فمن اللازم الحكم بعموم القاعدة لحالة الدخول في جزء غير مترتب على سابقه شرعا لعموم النكتة المذكورة لكلتا الحالتين</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7479249_1280447820"/>
      <w:bookmarkStart w:id="145" w:name="_Toc53"/>
      <w:bookmarkEnd w:id="144"/>
      <w:r>
        <w:rPr>
          <w:rtl w:val="true"/>
        </w:rPr>
        <w:t>الشك في الجزء الاخير</w:t>
      </w:r>
      <w:bookmarkEnd w:id="14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المصلّي في اتيانه بالجزء الأخير كالتسليم فما هو حكمه بعد الالتفات الى عدم وجود جزء آخر بعد التسليم ليتحقق الدخول فيه الذي هو شرط تطبيق قاعدة التجاوز</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تارة يقصر النظر على الجزء الأخير ويحاول اثبات حصوله </w:t>
      </w:r>
      <w:bookmarkStart w:id="146" w:name="pg19380_259437"/>
    </w:p>
    <w:p>
      <w:pPr>
        <w:pStyle w:val="BookText"/>
        <w:rPr/>
      </w:pPr>
      <w:bookmarkEnd w:id="146"/>
      <w:r>
        <w:rPr>
          <w:rFonts w:ascii="Amiri" w:hAnsi="Amiri" w:eastAsia="Amiri" w:cs="Amiri"/>
          <w:color w:val="111111"/>
          <w:sz w:val="28"/>
          <w:sz w:val="28"/>
          <w:szCs w:val="28"/>
          <w:rtl w:val="true"/>
          <w:lang w:bidi="ar-SA"/>
        </w:rPr>
        <w:t>وتحققه من خلال قاعدة التجاوز ، وأخرى تلحظ الصلاة ككل ويحاول اثبات صحتها من خلال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حالة الجزم بالاتيان بالتسليم والشك في صحته فلا اشكال في الحكم بصحته 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أخذنا بالملاحظة الاولى فالتمسك بقاعدة التجاوز مشكل ، لأن التجاوز عن محل الشي‌ء انما يتحقق بالدخول فيما تكون مرتبته متأخرة عن المشكوك ، وهو ليس إلا ما كان جزءا واجبا أو مستحبا من الصلاة ، اما ما كان خارجا عن الصلاة فتحقق التجاوز عن المحل به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أخذنا بالملاحظة الثانية فالتمسك بقاعدة الفراغ انما يتم فيما اذا صدق عنوان مضي الصلاة والفراغ عنها ، وذلك لا يكون إلا بالدخول في أفعال أخرى منافية للصلاة سواء صدرت عمدا أو سهوا كالاستدبار أو نقض الطهارة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7479251_1280447820"/>
      <w:bookmarkStart w:id="148" w:name="_Toc54"/>
      <w:bookmarkEnd w:id="147"/>
      <w:r>
        <w:rPr/>
        <w:t>8</w:t>
      </w:r>
      <w:r>
        <w:rPr>
          <w:rtl w:val="true"/>
        </w:rPr>
        <w:t xml:space="preserve"> - </w:t>
      </w:r>
      <w:r>
        <w:rPr>
          <w:rtl w:val="true"/>
        </w:rPr>
        <w:t>احتمال الالتفات</w:t>
      </w:r>
      <w:bookmarkEnd w:id="148"/>
    </w:p>
    <w:p>
      <w:pPr>
        <w:pStyle w:val="Heading4"/>
        <w:numPr>
          <w:ilvl w:val="3"/>
          <w:numId w:val="1"/>
        </w:numPr>
        <w:rPr/>
      </w:pPr>
      <w:bookmarkStart w:id="149" w:name="__RefHeading___Toc17479253_1280447820"/>
      <w:bookmarkStart w:id="150" w:name="_Toc55"/>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تارة يفرض ان الشخص بعد فراغه من العمل وطرو الشك عليه يقطع بكونه حين العمل كان غافلا عن الجزء أو الشرط المشكوك ، وأخرى يفترض احتماله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الشخص الذي يتوضأ وهو لابس للخاتم وبعد اتمامه الوضوء شك هل وصل الماء تحته أو 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الحالة تارة يقطع بكونه غافلا حالة الوضوء عن وجود الخاتم بيده وعن تحريكه ، غايته يحتمل تسرّب الماء تحته بلا التفات منه ، وأخرى يحتمل انه كان حالة الوضوء ملتفتا الى الخاتم والى </w:t>
      </w:r>
    </w:p>
    <w:p>
      <w:pPr>
        <w:pStyle w:val="BookText"/>
        <w:rPr/>
      </w:pPr>
      <w:r>
        <w:rPr>
          <w:rFonts w:ascii="Amiri" w:hAnsi="Amiri" w:eastAsia="Amiri" w:cs="Amiri"/>
          <w:color w:val="111111"/>
          <w:sz w:val="28"/>
          <w:sz w:val="28"/>
          <w:szCs w:val="28"/>
          <w:rtl w:val="true"/>
          <w:lang w:bidi="ar-SA"/>
        </w:rPr>
        <w:t>تحريكه وايصال الماء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حالتان ولا ثالثة لهما ، إذ الثالثة ليست هي إلا حالة القطع بالالتفات ، ولكن مع وجود القطع بالالتفات لا يبقى مجال للشك واحتمال عدم وصول الماء ليحتاج الى تطبيق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فرض احتمال الالتفات فلا اشكال في جواز تطبيق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فرض القطع بالغافلة فهناك من رفض تطبيقها مدّعيا عدم شمولها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هؤلاء السيد الخوئي والسيد الشهيد قدس‌سرهما ، وذلك لوجهين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الفراغ والتجاوز لم تشرعا لتأسيس مطلب جديد تعبدي على خلاف المرتكزات العقلائية ، بل هما قاعدتان ناظرتان الى ما عليه سيرة العقلاء من عدم الاعتناء بالشك بعد الفراغ من العمل وترشدان الى ذلك ، وواضح ان العقلاء انما يلغون الشك فيما اذا لم يقطع بالغافلة حين العمل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بتعبير الأذكرية والأقربية ، ففي موثقة بكير بن أعين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وفي رواية محمد بن مسلم الواردة فيمن شك بعد الفراغ من الصلاة انّه صلّى ثلاثا أو أربعا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حين انصرف أقرب الى الحق منه بعد ذلك</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وانما عبرنا عنها بالرواية لأن الصدوق رواها عن محمد بن مسلم ، وسنده إليه على ما في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بعلي بن أحمد بن عبد اللّه البرقي الذي يروي عنه مباشرة حيث انّه مجهول الحال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مقتضى</w:t>
      </w:r>
      <w:bookmarkStart w:id="151" w:name="pg19380_259439"/>
    </w:p>
    <w:p>
      <w:pPr>
        <w:pStyle w:val="BookText"/>
        <w:rPr/>
      </w:pPr>
      <w:bookmarkEnd w:id="151"/>
      <w:r>
        <w:rPr>
          <w:rFonts w:ascii="Amiri" w:hAnsi="Amiri" w:eastAsia="Amiri" w:cs="Amiri"/>
          <w:color w:val="111111"/>
          <w:sz w:val="28"/>
          <w:sz w:val="28"/>
          <w:szCs w:val="28"/>
          <w:rtl w:val="true"/>
          <w:lang w:bidi="ar-SA"/>
        </w:rPr>
        <w:t xml:space="preserve">التعليل بالأذكرية والأقربية الاقتصار على الموارد التي يحتمل فيها الالتفات ، واما الموارد التي يقطع فيها بعدم الالتفات فلا مجال للأذكرية والأقربية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ونترك التعليق على ذلك الى مستوى أعلى</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7479255_1280447820"/>
      <w:bookmarkStart w:id="153" w:name="_Toc56"/>
      <w:bookmarkEnd w:id="152"/>
      <w:r>
        <w:rPr>
          <w:rtl w:val="true"/>
        </w:rPr>
        <w:t>أبحاث أخرى</w:t>
      </w:r>
      <w:bookmarkEnd w:id="153"/>
    </w:p>
    <w:p>
      <w:pPr>
        <w:pStyle w:val="BookText"/>
        <w:rPr/>
      </w:pPr>
      <w:r>
        <w:rPr>
          <w:rFonts w:ascii="Amiri" w:hAnsi="Amiri" w:eastAsia="Amiri" w:cs="Amiri"/>
          <w:color w:val="111111"/>
          <w:sz w:val="28"/>
          <w:sz w:val="28"/>
          <w:szCs w:val="28"/>
          <w:rtl w:val="true"/>
          <w:lang w:bidi="ar-SA"/>
        </w:rPr>
        <w:t>وهناك أبحاث أخرى في قاعدة الفراغ والتجاوز تعرض لها الأعلام نعرض عنها خوف الاطناب والملل ونقتصر على التطبيقات</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7479257_1280447820"/>
      <w:bookmarkStart w:id="155" w:name="_Toc57"/>
      <w:bookmarkEnd w:id="154"/>
      <w:r>
        <w:rPr/>
        <w:t>9</w:t>
      </w:r>
      <w:r>
        <w:rPr>
          <w:rtl w:val="true"/>
        </w:rPr>
        <w:t xml:space="preserve"> - </w:t>
      </w:r>
      <w:r>
        <w:rPr>
          <w:rtl w:val="true"/>
        </w:rPr>
        <w:t>تطبيقات</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شك المكلّف أثناء الصلاة أو بعدها انّه توضأ أو لا فما هو حكمه؟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المكلف بانه قد توضأ ولكنه شك أثناء الصلاة أو بعدها في انّه هل ترك جزءا من الوضوء أو لا فما هو حكمه؟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أثناء السعي شك انه طاف بالكعبة المشرّفة سبعا أو ستا فما ذا يفعل؟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أنهى الطائف طوافه ، وقبل ان يشرع في صلاة الطواف شك هل توضأ قبل الطواف أو لا فما هو حكمه بلحاظ الطواف؟ وما هو حكمه بلحاظ صلاة الطواف؟</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أنهى المصلّي صلاة المغرب وشك بعدها انّه صلاّها </w:t>
      </w:r>
    </w:p>
    <w:p>
      <w:pPr>
        <w:pStyle w:val="BookText"/>
        <w:rPr/>
      </w:pPr>
      <w:r>
        <w:rPr>
          <w:rFonts w:ascii="Amiri" w:hAnsi="Amiri" w:eastAsia="Amiri" w:cs="Amiri"/>
          <w:color w:val="111111"/>
          <w:sz w:val="28"/>
          <w:sz w:val="28"/>
          <w:szCs w:val="28"/>
          <w:rtl w:val="true"/>
          <w:lang w:bidi="ar-SA"/>
        </w:rPr>
        <w:t>ركعتين أو أربعا فما ذا يفعل؟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انهى المكلّف الظهرين وجزم بفوات الركوع اما من الظهر أو من العصر فهل تجري قاعدة الفراغ بالنسبة الى كلتا الصلاتين أو تجري بلحاظ إحداهما ، أو لا تجري في شي‌ء منهما؟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السابقة مع فرض التشهد بدل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المكلف بعد صلاته انّه فاته اما القنوت أو الركوع فهل هناك مجال لتطبيق قاعدة الفراغ؟</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المكلف بعد الصلاة اما بفوات الركوع منها أو بعدم غسل بعض أعضاء الوضوء فهل بالإمكان تطبيق قاعدة الفراغ على الصلاة أو الوضوء؟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المكلف بعد صلاته اما بفوات التشهد منها أو عدم غسل بعض أعضاء الوضوء فما هو حكمه؟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شك المصلي في الركعة الثانية ان الركوع من الاولى هل أتى به بشكل صحيح أو لا فهل هذا مجال قاعدة التجاوز أو الفراغ؟</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أنهى المصلّي اثناء قراءة الحمد آية معينة ، وبمجرد انهائها شك هل أتى بها بشكل صحيح أو ملحون ، فهل عليه إعادتها ولما ذا؟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المكلف بعد انهاء وضوئه اما ببطلانه أو بطلان وضوء أحد اصدقائه فما هو الحكم؟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المأموم بعد إكمال صلاته ببطلان اما صلاته أو صلاة المأموم الآخر فما هو الحكم؟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علم المأموم اما هو لم يتوضأ أو إمامه لم يتوضأ فما هو </w:t>
      </w:r>
    </w:p>
    <w:p>
      <w:pPr>
        <w:pStyle w:val="BookText"/>
        <w:rPr/>
      </w:pPr>
      <w:r>
        <w:rPr>
          <w:rFonts w:ascii="Amiri" w:hAnsi="Amiri" w:eastAsia="Amiri" w:cs="Amiri"/>
          <w:color w:val="111111"/>
          <w:sz w:val="28"/>
          <w:sz w:val="28"/>
          <w:szCs w:val="28"/>
          <w:rtl w:val="true"/>
          <w:lang w:bidi="ar-SA"/>
        </w:rPr>
        <w:t>حكم صلاته التي فرغ منها؟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المكلف بعد انهاء صلاته ببطلان اما صلاته أو وضوئه فما هو الحكم؟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المكلف ببطلان اما وضوء صلاة الصبح أو وضوء صلاة الظهر فما هو الحكم؟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علم المكلف ببطلان اما وضوء صلاة الظهر أو وضوء صلاة العصر فما هو الحكم؟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المكلف قبل دخوله في تشهد الركعة الثانية بأنه قد ترك سجدتين جزما اما من الركعة الأولى أو من الركعة الثانية التي هي بيده فما هو الحكم؟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السابقة مع فرض حصول العلم الإجمالي المذكور بعد الدخول في التشهد</w:t>
      </w:r>
      <w:r>
        <w:rPr>
          <w:rFonts w:eastAsia="Amiri" w:cs="Amiri" w:ascii="Amiri" w:hAnsi="Amiri"/>
          <w:color w:val="111111"/>
          <w:sz w:val="28"/>
          <w:szCs w:val="28"/>
          <w:rtl w:val="true"/>
          <w:lang w:bidi="ar-SA"/>
        </w:rPr>
        <w:t xml:space="preserve">. </w:t>
      </w:r>
      <w:bookmarkStart w:id="156" w:name="pg19380_259442"/>
    </w:p>
    <w:p>
      <w:pPr>
        <w:pStyle w:val="Heading2"/>
        <w:numPr>
          <w:ilvl w:val="1"/>
          <w:numId w:val="1"/>
        </w:numPr>
        <w:rPr/>
      </w:pPr>
      <w:bookmarkStart w:id="157" w:name="__RefHeading___Toc17479259_1280447820"/>
      <w:bookmarkStart w:id="158" w:name="_Toc58"/>
      <w:bookmarkEnd w:id="156"/>
      <w:bookmarkEnd w:id="157"/>
      <w:r>
        <w:rPr>
          <w:rtl w:val="true"/>
        </w:rPr>
        <w:t>أصالة الصحة</w:t>
      </w:r>
      <w:bookmarkEnd w:id="158"/>
    </w:p>
    <w:p>
      <w:pPr>
        <w:pStyle w:val="Heading3"/>
        <w:numPr>
          <w:ilvl w:val="2"/>
          <w:numId w:val="1"/>
        </w:numPr>
        <w:rPr/>
      </w:pPr>
      <w:bookmarkStart w:id="159" w:name="__RefHeading___Toc17479261_1280447820"/>
      <w:bookmarkStart w:id="160" w:name="_Toc59"/>
      <w:bookmarkEnd w:id="159"/>
      <w:r>
        <w:rPr>
          <w:rtl w:val="true"/>
        </w:rPr>
        <w:t>اشارة</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بينها وبين قاعدة الفراغ</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العلم بالصحة والفساد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تختص بحالة الشك في وجود المانع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احراز وقوع الفعل الجامع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عند الفاعل أو عند الحامل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الاصول المسلمة بين الاعلام اصالة الصحة 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بحثها الشيخ الأعظم في الرسائل بعد الفراغ من قاعدة الفراغ والتجاوز تحت عنوان المسألة الثالثة من المسائل التي تعرّض فيها لبيان النسبة بين الاستصحاب وبقية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 الشيخ الأعظم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في بحثها استاذه النراقي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ذلك يقع ضمن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بينها وبين 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يشترط العلم بالصحة والفساد؟ </w:t>
      </w:r>
      <w:bookmarkStart w:id="161" w:name="pg19380_259445"/>
    </w:p>
    <w:p>
      <w:pPr>
        <w:pStyle w:val="BookText"/>
        <w:rPr/>
      </w:pPr>
      <w:bookmarkEnd w:id="16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تختص بحالة الشك في وجود المانع؟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احراز وقوع الفعل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عند الفاعل أو عند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7479263_1280447820"/>
      <w:bookmarkStart w:id="163" w:name="_Toc60"/>
      <w:bookmarkEnd w:id="162"/>
      <w:r>
        <w:rPr/>
        <w:t>1</w:t>
      </w:r>
      <w:r>
        <w:rPr>
          <w:rtl w:val="true"/>
        </w:rPr>
        <w:t xml:space="preserve"> - </w:t>
      </w:r>
      <w:r>
        <w:rPr>
          <w:rtl w:val="true"/>
        </w:rPr>
        <w:t>المقصود من القاعدة</w:t>
      </w:r>
      <w:bookmarkEnd w:id="163"/>
    </w:p>
    <w:p>
      <w:pPr>
        <w:pStyle w:val="BookText"/>
        <w:rPr/>
      </w:pPr>
      <w:r>
        <w:rPr>
          <w:rFonts w:ascii="Amiri" w:hAnsi="Amiri" w:eastAsia="Amiri" w:cs="Amiri"/>
          <w:color w:val="111111"/>
          <w:sz w:val="28"/>
          <w:sz w:val="28"/>
          <w:szCs w:val="28"/>
          <w:rtl w:val="true"/>
          <w:lang w:bidi="ar-SA"/>
        </w:rPr>
        <w:t xml:space="preserve">لا يقصد بالقاعدة المذكورة ان المسلم اذا صدر منه فعل يحتمل كونه محرما يحمل على كونه مباحا ، ان هذا وان كان أمرا مسلما ولكنه ليس هو المقصود من القاعدة المذكورة ، وانما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كان أو ايقاعا أو تطهير شي‌ء أو صلاة استيجار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وشك في كونه صحيحا يترتب عليه الأثر أو باطلا لا يترتب عليه أثر فباصالة الصحة يحمل على كونه صحيحا ذا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تطهير الثوب سواء كان صحيحا أم فاسدا هو مباح وليس بمحرم ، وباصالة الصحة لا يراد اثبات كونه مباحا في مقابل كونه محرما وانما يراد اثبات كونه صحيحا ذا أثر في مقابل الفاسد الفاقد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بخلافه في اصالة الصحة بالمعنى الأول فانه يراد بها نفي صدور الحرام ، كما لو تكلم مؤمن بكلام وشك في كونه غيبة محرمة أو غيبة مباحة فانّه بحمل فعل المسلم على المباح ينفى كونه غيبة محرمة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7479265_1280447820"/>
      <w:bookmarkStart w:id="165" w:name="_Toc61"/>
      <w:bookmarkEnd w:id="164"/>
      <w:r>
        <w:rPr/>
        <w:t>2</w:t>
      </w:r>
      <w:r>
        <w:rPr>
          <w:rtl w:val="true"/>
        </w:rPr>
        <w:t xml:space="preserve"> - </w:t>
      </w:r>
      <w:r>
        <w:rPr>
          <w:rtl w:val="true"/>
        </w:rPr>
        <w:t>الفرق بينها وبين قاعدة الفراغ</w:t>
      </w:r>
      <w:bookmarkEnd w:id="1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عرفنا فيما سبق ان قاعدة الفراغ تقتضي حمل الفعل بعد الفراغ </w:t>
      </w:r>
    </w:p>
    <w:p>
      <w:pPr>
        <w:pStyle w:val="BookText"/>
        <w:rPr/>
      </w:pPr>
      <w:r>
        <w:rPr>
          <w:rFonts w:ascii="Amiri" w:hAnsi="Amiri" w:eastAsia="Amiri" w:cs="Amiri"/>
          <w:color w:val="111111"/>
          <w:sz w:val="28"/>
          <w:sz w:val="28"/>
          <w:szCs w:val="28"/>
          <w:rtl w:val="true"/>
          <w:lang w:bidi="ar-SA"/>
        </w:rPr>
        <w:t xml:space="preserve">منه على الصحيح ، والآن قد تسأل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اذا كانت تقتضي هذا فما الفارق اذن بينها وبين اصالة الصحة التي تقتضي حمل الفعل على الصحيح أيضا؟</w:t>
      </w:r>
    </w:p>
    <w:p>
      <w:pPr>
        <w:pStyle w:val="BookText"/>
        <w:rPr/>
      </w:pPr>
      <w:r>
        <w:rPr>
          <w:rFonts w:ascii="Amiri" w:hAnsi="Amiri" w:eastAsia="Amiri" w:cs="Amiri"/>
          <w:color w:val="111111"/>
          <w:sz w:val="28"/>
          <w:sz w:val="28"/>
          <w:szCs w:val="28"/>
          <w:rtl w:val="true"/>
          <w:lang w:bidi="ar-SA"/>
        </w:rPr>
        <w:t xml:space="preserve">ان الفارق بينهما ثابت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الصحة ناظرة الى فعل الغير ، بخلاف قاعدة الفراغ فانها ناظرة الى فعل المكلف نفسه ، فمن صلّى على الميت وشك بعد ذلك في صحة صلاة نفسه أجرى قاعدة الفراغ ، اما اذا صلّى الغير على الميت وشككنا في صحة صلاته بعد فراغه فلا يمكننا اجراء قاعدة الفراغ وانما تجري اصالة الصحة 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الفراغ لا تجري في أثناء العمل لتصحيحه بخلاف اصالة الصحة فانها تجري ، فلو فرض ان شخصا يصلّي وفي الأثناء شك هل هو متوضأ أو لا فلا يمكنه اجراء قاعدة الفراغ لتصحيح صلاته ، لأنها تقول له بما انك فرغت مما سبق فما سبق صحيح ، واما ما يأتي فبما انك لم تفرغ منه فلا معنى لإجراء قاعدة الفراغ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يبقى ما يأتي بدون قاعدة تقتضي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بخلاف ما لو كان الغير يصلّي على الميت مثلا وشككنا هل هو يصلّي عن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نجتزئ بصلاته ولا نحتاج الى الصلاة عليه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فإنّه بإمكاننا اجراء اصالة الصحة في صلاته والاجتزاء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فرقان بين قاعدة الفراغ واصالة الصحة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يقول قائل بوجود فرق ثالث بينهما ، وهو ان قاعدة الفراغ خاصة بالعبادات كالصلاة ونحوها بخلاف اصالة الصحة فانها لا </w:t>
      </w:r>
      <w:bookmarkStart w:id="166" w:name="pg19380_259447"/>
    </w:p>
    <w:p>
      <w:pPr>
        <w:pStyle w:val="BookText"/>
        <w:rPr/>
      </w:pPr>
      <w:bookmarkEnd w:id="166"/>
      <w:r>
        <w:rPr>
          <w:rFonts w:ascii="IRNazanin" w:hAnsi="IRNazanin" w:eastAsia="IRNazanin"/>
          <w:color w:val="111111"/>
          <w:sz w:val="28"/>
          <w:sz w:val="28"/>
          <w:szCs w:val="28"/>
          <w:rtl w:val="true"/>
          <w:lang w:bidi="fa-IR"/>
        </w:rPr>
        <w:t>تختص بالعبادات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باطل ، فإن قاعدة الفراغ تعمّ غير العبادات أيضا ، فمن أوقع عقدا وبعد الفراغ منه شك في صحته فبامكانه اجراء قاعدة الفراغ ، لأن موثقة محمد ابن مسلم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من دون تخصيص بالعبادات</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7479267_1280447820"/>
      <w:bookmarkStart w:id="168" w:name="_Toc62"/>
      <w:bookmarkEnd w:id="167"/>
      <w:r>
        <w:rPr/>
        <w:t>3</w:t>
      </w:r>
      <w:r>
        <w:rPr>
          <w:rtl w:val="true"/>
        </w:rPr>
        <w:t xml:space="preserve"> - </w:t>
      </w:r>
      <w:r>
        <w:rPr>
          <w:rtl w:val="true"/>
        </w:rPr>
        <w:t>مدرك القاعدة</w:t>
      </w:r>
      <w:bookmarkEnd w:id="168"/>
    </w:p>
    <w:p>
      <w:pPr>
        <w:pStyle w:val="BookText"/>
        <w:rPr/>
      </w:pPr>
      <w:r>
        <w:rPr>
          <w:rFonts w:ascii="Amiri" w:hAnsi="Amiri" w:eastAsia="Amiri" w:cs="Amiri"/>
          <w:color w:val="111111"/>
          <w:sz w:val="28"/>
          <w:sz w:val="28"/>
          <w:szCs w:val="28"/>
          <w:rtl w:val="true"/>
          <w:lang w:bidi="ar-SA"/>
        </w:rPr>
        <w:t xml:space="preserve">قد يستدل على اصالة الصحة في فعل الغير بمثل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w:t>
      </w:r>
      <w:r>
        <w:rPr>
          <w:rFonts w:eastAsia="Amiri" w:cs="Amiri" w:ascii="Amiri" w:hAnsi="Amiri"/>
          <w:color w:val="111111"/>
          <w:sz w:val="28"/>
          <w:szCs w:val="28"/>
          <w:rtl w:val="true"/>
          <w:lang w:bidi="ar-SA"/>
        </w:rPr>
        <w:t xml:space="preserve">... ) </w:t>
      </w:r>
      <w:r>
        <w:rPr>
          <w:rStyle w:val="FootnoteAnchor"/>
          <w:rtl w:val="true"/>
        </w:rPr>
        <w:footnoteReference w:id="64"/>
      </w:r>
      <w:r>
        <w:rPr>
          <w:rFonts w:ascii="Amiri" w:hAnsi="Amiri" w:eastAsia="Amiri" w:cs="Amiri"/>
          <w:color w:val="111111"/>
          <w:sz w:val="28"/>
          <w:sz w:val="28"/>
          <w:szCs w:val="28"/>
          <w:rtl w:val="true"/>
          <w:lang w:bidi="ar-SA"/>
        </w:rPr>
        <w:t xml:space="preserve">أو بمثل قول صادق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اتهم المؤمن أخاه انماث الايمان في قلبه كما ينماث الملح في الماء</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أو بمثل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يغلبك منه ولا تظنن بكلمة خرجت من أخيك سوأ وأنت تجد لها في الخير محملا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الاستدلال بهذه وجيه لو اريد اصالة الصحة بالمعنى الأول ، أي بمعنى حمل فعل المسلم على المباح وعدم ارتكابه للمحرم ، ولكن ليس هذا هو المهم ، وانما المهم اثبات الصحة بمعنى ترتب الأثر وعدم كون الفعل فاسدا ، والنصوص المذكورة لا تفي باثبات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 الدليل على ذلك هو السيرة العقلائية والمتشرعية على </w:t>
      </w:r>
    </w:p>
    <w:p>
      <w:pPr>
        <w:pStyle w:val="BookText"/>
        <w:rPr/>
      </w:pPr>
      <w:r>
        <w:rPr>
          <w:rFonts w:ascii="Amiri" w:hAnsi="Amiri" w:eastAsia="Amiri" w:cs="Amiri"/>
          <w:color w:val="111111"/>
          <w:sz w:val="28"/>
          <w:sz w:val="28"/>
          <w:szCs w:val="28"/>
          <w:rtl w:val="true"/>
          <w:lang w:bidi="ar-SA"/>
        </w:rPr>
        <w:t xml:space="preserve">التعامل مع الفعل الصادر من الآخرين معاملة الصحيح ، فمتى ما أخبر انسان اني بعت داري ، أو عقدت على امرأة ، أو طهّرت ثوبي يصدّق اخباره ويحمل على كون فعله صحيحا ، ولا يشكك في صحة بيع داره ، أو عقده على المرأة ، أو تطهيره للثوب، واذا أراد شخص أن يشكك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يعصر الثوب جيدا ، أو لعله لم يجر العقد بالماضوية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ذلك منه على الشذوذ والوسواس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لا تختص بما اذا كان فاعل العقد ونحوه مسلما ، بل حتى غير المسلم اذا صدر منه ذلك يحمل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نكتة هذه السيرة هي ظهور حال فعل العاقل في انه لا يرتكب إلا الفعل الصحيح ذا الأثر ولا يكون لاغيا أو عابثا في أفعاله ، أو لأنّه يلزم العسر والحرج الغالب واختلال النظام لو لم تحمل أفعال الآخرين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أسلّم السيرة المذكورة ، ولكن ما هو الدليل على حجيتها؟ كان الجواب ان السيرة المذكورة اذا كانت عقلائية فليست سيرة جديدة جزما بل هي سابقة ومتصلة بعهد المعصوم  عليه‌ السلام فاذا لم يردع عنها كان ذلك دليلا على امضائها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كانت سيرة متشرعة فحيث ان هذه السيرة لا يحتمل كونها جديدة حدثت في الآونة المتأخرة بل هي متداولة يدا بيد بين المتشرعة فيلزم كونها متلقاة من المعصوم  عليه‌ السلام وإلا لم تكن سيرة متشرّعة ، فنفس افتراض كون السيرة ثابتة بين المتشرعة يقتضي وصولها من الامام  عليه‌ السلام بلا حاجة الى التمسك بعدم الردع لإثبات حجيتها فاننا قرأنا في علم الاصول وجود فارق بين سيرة العقلاء وسيرة المتشرعة ، </w:t>
      </w:r>
      <w:bookmarkStart w:id="169" w:name="pg19380_259449"/>
    </w:p>
    <w:p>
      <w:pPr>
        <w:pStyle w:val="BookText"/>
        <w:rPr/>
      </w:pPr>
      <w:bookmarkEnd w:id="169"/>
      <w:r>
        <w:rPr>
          <w:rFonts w:ascii="Amiri" w:hAnsi="Amiri" w:eastAsia="Amiri" w:cs="Amiri"/>
          <w:color w:val="111111"/>
          <w:sz w:val="28"/>
          <w:sz w:val="28"/>
          <w:szCs w:val="28"/>
          <w:rtl w:val="true"/>
          <w:lang w:bidi="ar-SA"/>
        </w:rPr>
        <w:t>فالأولى تحتاج الى امضاء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هو ان سيرة المتشرعة ما دامت سيرة للمتشرعة فنفس هذا الافتراض يعني انها متلقاة يدا بيد من حاشية الامام  عليه‌ السلام وأصحابه وإلا لم تكن سيرة متشرعة ، ومع تلقيها من الامام  عليه‌ السلام فأي حاجة للإمضاء ، وهذا بخلاف سيرة العقلاء فانه لا يفترض فيها ذلك</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7479269_1280447820"/>
      <w:bookmarkStart w:id="171" w:name="_Toc63"/>
      <w:bookmarkEnd w:id="170"/>
      <w:r>
        <w:rPr/>
        <w:t>4</w:t>
      </w:r>
      <w:r>
        <w:rPr>
          <w:rtl w:val="true"/>
        </w:rPr>
        <w:t xml:space="preserve"> - </w:t>
      </w:r>
      <w:r>
        <w:rPr>
          <w:rtl w:val="true"/>
        </w:rPr>
        <w:t>وهل يشترط العلم بالصحة والفساد</w:t>
      </w:r>
      <w:bookmarkEnd w:id="171"/>
    </w:p>
    <w:p>
      <w:pPr>
        <w:pStyle w:val="BookText"/>
        <w:rPr/>
      </w:pPr>
      <w:r>
        <w:rPr>
          <w:rFonts w:ascii="Amiri" w:hAnsi="Amiri" w:eastAsia="Amiri" w:cs="Amiri"/>
          <w:color w:val="111111"/>
          <w:sz w:val="28"/>
          <w:sz w:val="28"/>
          <w:szCs w:val="28"/>
          <w:rtl w:val="true"/>
          <w:lang w:bidi="ar-SA"/>
        </w:rPr>
        <w:t>ان الشخص الذي يجري العقد على امرأة مثلا تارة يفرض اننا نجزم باطلاعه ومعرفته بالعقد الصحيح وتمييزه عن 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اشكال في حمل فعله على الصحيح ، لأن هذه الحالة هي القدر المتيقن من السيرة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يفرض جزمنا بجهله وعدم تمييزه العقد الصحيح عن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تجري اصالة الصحة ولا يمكن التمسك بها للحمل على الصحيح ، لأن السيرة التي هي المدرك دليل لبي لا اطلاق له فيقتصر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يفرض الشك في تمييزه بين الصحيح والفاسد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الحالة يمكن ان يقال بشمول السيرة لها أيضا كالحالة الأولى لأن غالب الناس الذين يجرون العقود لا يعرفون شروط العقود والموانع من صحتها بشكل تفصيلي ، لأنهم اما لم يتفقهوا بأحكام دينهم أو أنهم تفقهوا ولكنهم لم يطلعوا على أن هذا شرط في صحة العقد وذاك مانع ، فكثير من أهل العلم في يومنا هذا لا يعرفون بشكل </w:t>
      </w:r>
      <w:bookmarkStart w:id="172" w:name="pg19380_259450"/>
    </w:p>
    <w:p>
      <w:pPr>
        <w:pStyle w:val="BookText"/>
        <w:rPr/>
      </w:pPr>
      <w:bookmarkEnd w:id="172"/>
      <w:r>
        <w:rPr>
          <w:rFonts w:ascii="Amiri" w:hAnsi="Amiri" w:eastAsia="Amiri" w:cs="Amiri"/>
          <w:color w:val="111111"/>
          <w:sz w:val="28"/>
          <w:sz w:val="28"/>
          <w:szCs w:val="28"/>
          <w:rtl w:val="true"/>
          <w:lang w:bidi="ar-SA"/>
        </w:rPr>
        <w:t>تفصيلي شروط صحّة بعض العقود فيلزم لو لم تطبق اصالة الصحة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اصالة الصحة ثابتة في موارد الجزم بالتمييز بين الصحيح والفاسد أو الشك في ذلك</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7479271_1280447820"/>
      <w:bookmarkStart w:id="174" w:name="_Toc64"/>
      <w:bookmarkEnd w:id="173"/>
      <w:r>
        <w:rPr/>
        <w:t>5</w:t>
      </w:r>
      <w:r>
        <w:rPr>
          <w:rtl w:val="true"/>
        </w:rPr>
        <w:t xml:space="preserve"> - </w:t>
      </w:r>
      <w:r>
        <w:rPr>
          <w:rtl w:val="true"/>
        </w:rPr>
        <w:t>وهل تختص بحالة الشك في وجود المانع</w:t>
      </w:r>
      <w:bookmarkEnd w:id="174"/>
    </w:p>
    <w:p>
      <w:pPr>
        <w:pStyle w:val="BookText"/>
        <w:rPr/>
      </w:pPr>
      <w:r>
        <w:rPr>
          <w:rFonts w:ascii="Amiri" w:hAnsi="Amiri" w:eastAsia="Amiri" w:cs="Amiri"/>
          <w:color w:val="111111"/>
          <w:sz w:val="28"/>
          <w:sz w:val="28"/>
          <w:szCs w:val="28"/>
          <w:rtl w:val="true"/>
          <w:lang w:bidi="ar-SA"/>
        </w:rPr>
        <w:t xml:space="preserve">اذا أجرى شخص عقدا وشك في صحته فسبب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هو احتمال كون البائع ليس بمالك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هو احتمال كون المبيع خمرا أو ليس بمال عرفا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هو احتمال اجرائه بالفارسية أو بالمضارع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الأول بالشك في الصحة من جهة الشك في قابلية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بالشك في الصحة من جهة الشك في قابلية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بالشك في الصحة من جهة احتمال عدم شرط أو ثبوت مانع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اشكال في جريان اصالة الصحة في الحالة الثالثة واما الحالة الأولى والثانية فالصحيح عدم جريانها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 المتيقن من السيرة هو الحالة الثالثة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الأعظم وجماعة حيث اختاروا جريانها مطلقا</w:t>
      </w:r>
      <w:r>
        <w:rPr>
          <w:rFonts w:eastAsia="Amiri" w:cs="Amiri" w:ascii="Amiri" w:hAnsi="Amiri"/>
          <w:color w:val="111111"/>
          <w:sz w:val="28"/>
          <w:szCs w:val="28"/>
          <w:rtl w:val="true"/>
          <w:lang w:bidi="ar-SA"/>
        </w:rPr>
        <w:t xml:space="preserve">. </w:t>
      </w:r>
      <w:bookmarkStart w:id="175" w:name="pg19380_259451"/>
    </w:p>
    <w:p>
      <w:pPr>
        <w:pStyle w:val="Heading3"/>
        <w:numPr>
          <w:ilvl w:val="2"/>
          <w:numId w:val="1"/>
        </w:numPr>
        <w:rPr/>
      </w:pPr>
      <w:bookmarkStart w:id="176" w:name="__RefHeading___Toc17479273_1280447820"/>
      <w:bookmarkStart w:id="177" w:name="_Toc65"/>
      <w:bookmarkEnd w:id="175"/>
      <w:bookmarkEnd w:id="176"/>
      <w:r>
        <w:rPr/>
        <w:t>6</w:t>
      </w:r>
      <w:r>
        <w:rPr>
          <w:rtl w:val="true"/>
        </w:rPr>
        <w:t xml:space="preserve"> - </w:t>
      </w:r>
      <w:r>
        <w:rPr>
          <w:rtl w:val="true"/>
        </w:rPr>
        <w:t>يلزم احراز وقوع الفعل الجامع</w:t>
      </w:r>
      <w:bookmarkEnd w:id="177"/>
    </w:p>
    <w:p>
      <w:pPr>
        <w:pStyle w:val="BookText"/>
        <w:rPr/>
      </w:pPr>
      <w:r>
        <w:rPr>
          <w:rFonts w:ascii="Amiri" w:hAnsi="Amiri" w:eastAsia="Amiri" w:cs="Amiri"/>
          <w:color w:val="111111"/>
          <w:sz w:val="28"/>
          <w:sz w:val="28"/>
          <w:szCs w:val="28"/>
          <w:rtl w:val="true"/>
          <w:lang w:bidi="ar-SA"/>
        </w:rPr>
        <w:t>تارة يفرض اننا نجزم بإجراء شخص عقدا على امرأة ولكن نشك هل هو صحيح أو فاسد ،</w:t>
      </w:r>
    </w:p>
    <w:p>
      <w:pPr>
        <w:pStyle w:val="BookText"/>
        <w:rPr/>
      </w:pPr>
      <w:r>
        <w:rPr>
          <w:rFonts w:ascii="Amiri" w:hAnsi="Amiri" w:eastAsia="Amiri" w:cs="Amiri"/>
          <w:color w:val="111111"/>
          <w:sz w:val="28"/>
          <w:sz w:val="28"/>
          <w:szCs w:val="28"/>
          <w:rtl w:val="true"/>
          <w:lang w:bidi="ar-SA"/>
        </w:rPr>
        <w:t>وأخرى يفرض الشك في أصل وقوع العقد منه ، كما اذا رأيناه يتلفظ بألفاظ معينة مع امرأة وشككنا هل هي ألفاظ العقد أو ألفاظ أخرى هي أجنبية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الاولى هي القدر المتيقن من السيرة ، واما الثانية فان لم يجزم بعدم انعقاد السيرة فيها فلا أقل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لو فرض ان وصي الميت استأجر شخصا لأداء الصلاة عن الميت فأتى الأجير بعمل لا يدري الولي انه قد قصد به النيابة أو لا فلا يمكن اجراء اصالة الصحة للحكم بفراغ ذمة الميت ، لأن فراغ الذمة موقوف على قصد النيابة فاذا أحرز قصده أمكن آنذاك اجراء اصالة الصحة فيما لو شك في اختلال أحد الشروط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لو أخبر الأجير بأني قد قصدت النيابة وأتيت بالصلاة بقصد النيابة صدّق في ذلك ، لكن لا لأجل اصالة الصحة بل لقاعدة أخرى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 مثلا يملك تطليق زوجته فاذا أخبر بأنه قد طلقها صدّق للقاعدة المذكورة ، وهكذا الحال في المقام</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7479275_1280447820"/>
      <w:bookmarkStart w:id="179" w:name="_Toc66"/>
      <w:bookmarkEnd w:id="178"/>
      <w:r>
        <w:rPr/>
        <w:t>7</w:t>
      </w:r>
      <w:r>
        <w:rPr>
          <w:rtl w:val="true"/>
        </w:rPr>
        <w:t xml:space="preserve"> - </w:t>
      </w:r>
      <w:r>
        <w:rPr>
          <w:rtl w:val="true"/>
        </w:rPr>
        <w:t>الصحة عند الفاعل أو عند الحامل</w:t>
      </w:r>
      <w:bookmarkEnd w:id="17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فرض ان شخصا أجرى عقدا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أن العربية شرط </w:t>
      </w:r>
    </w:p>
    <w:p>
      <w:pPr>
        <w:pStyle w:val="BookText"/>
        <w:rPr/>
      </w:pPr>
      <w:r>
        <w:rPr>
          <w:rFonts w:ascii="Amiri" w:hAnsi="Amiri" w:eastAsia="Amiri" w:cs="Amiri"/>
          <w:color w:val="111111"/>
          <w:sz w:val="28"/>
          <w:sz w:val="28"/>
          <w:szCs w:val="28"/>
          <w:rtl w:val="true"/>
          <w:lang w:bidi="ar-SA"/>
        </w:rPr>
        <w:t>في نظر مجري العقد ونظر الشخص الثاني الشاك في صحة العقد الذي يريد تطبيق اصالة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انها شرط في نظر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الشك في تطابق النظرين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اختلاف النظرين بشكل لا يجتمعان ، كما لو كان احدهما يرى ان الجهر في الجمعة واجب والآخر يرى ان الاخفات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هو ان اصالة الصحة هل تقتضي الحمل على ما هو صحيح في نظر الفاعل للفعل ، أو تقتضي الحمل على ما هو صحيح في نظر الحامل الذي يريد الحمل على الصحة؟ وقد يعبر عن ذلك بالصحة الواقعية فيقال هل المدار على الصحة عند الفاعل أو على 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هذا التساؤل لا معنى لطرحه في الحالة الاولى لفرض اتفاق النظرين ، وينبغي أيضا الجزم في الحالة الرابعة بالحمل على ما هو صحيح في نظر الفاعل ، لأن ما هو صحيح في نظر الحامل فاسد في نظر الفاعل ، فكيف يقدم عليه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الحالة الثالثة فالمناسب الحكم فيها بكون المدار على الصحة في نظر الحامل ، لأن العقلاء في سيرتهم لا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شروط العقد في نظر الفاعل تطابق الشروط في نظرنا أو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الحالة الثانية فالجزم فيها بانعقاد السيرة على الحمل على الصحة الواقعية مشكل</w:t>
      </w:r>
      <w:r>
        <w:rPr>
          <w:rFonts w:eastAsia="Amiri" w:cs="Amiri" w:ascii="Amiri" w:hAnsi="Amiri"/>
          <w:color w:val="111111"/>
          <w:sz w:val="28"/>
          <w:szCs w:val="28"/>
          <w:rtl w:val="true"/>
          <w:lang w:bidi="ar-SA"/>
        </w:rPr>
        <w:t xml:space="preserve">. </w:t>
      </w:r>
      <w:bookmarkStart w:id="180" w:name="pg19380_259453"/>
    </w:p>
    <w:p>
      <w:pPr>
        <w:pStyle w:val="Heading3"/>
        <w:numPr>
          <w:ilvl w:val="2"/>
          <w:numId w:val="1"/>
        </w:numPr>
        <w:rPr/>
      </w:pPr>
      <w:bookmarkStart w:id="181" w:name="__RefHeading___Toc17479277_1280447820"/>
      <w:bookmarkStart w:id="182" w:name="_Toc67"/>
      <w:bookmarkEnd w:id="180"/>
      <w:bookmarkEnd w:id="181"/>
      <w:r>
        <w:rPr/>
        <w:t>8</w:t>
      </w:r>
      <w:r>
        <w:rPr>
          <w:rtl w:val="true"/>
        </w:rPr>
        <w:t xml:space="preserve"> - </w:t>
      </w:r>
      <w:r>
        <w:rPr>
          <w:rtl w:val="true"/>
        </w:rPr>
        <w:t>تطبيقات</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استأجرناه لأداء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مضي فترة الحج أخبرنا بأنّه قد حجّ ، فتارة نشك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حج واقعا أو انه ذهب الى مكة لغرض النزهة أو التجارة ، وثانية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بأنه قد حج ولكن لا ندري ؛ هل أتى به عن نفسه أو عمّن استأجرناه لأداء الحج عنه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نجزم بأنه قد حج ونجزم بأنه قد قصد به النيابة ، ولكن لا ندري هل أتى به بشكله الصحيح الكامل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قاعدة يمكن تطبيقها في الحالات الثلاث المذكورة؟ وما هي؟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رأيناه واقفا مقابل ميت وهو يتلفّظ بألفاظ لا ندري هل قصد بها اداء الصلاة على الميت أو قصد بها الدعاء للميت دون الصلاة عليه فهل هناك قاعدة يمكن تطبيقها؟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اخبر شخص غير مسلم انه اجرى عقدا من العقود فهل يصدّق في اخباره هذا؟ وبأي نكتة؟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أجرى شخص عقدا وبعد الفراغ منه بفترة شك نفسه في صحة عقده فما ذا يحكم؟ ولأي نكتة؟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رأيناه من بعيد يتكلم معنا لا ندري انّه سلّم علينا أو يسأل عن صحتنا فبما ذا نحكم؟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الموقوفة اذا باعها الناظر عليها وشك في ان بيعه هل هو مع وجود المسوغ أو لا فبما ذا نحكم؟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أجرى شخص عقد صرف الذي يشترط فيه التقابض وشككنا في حصول التقابض وعدمه فهل يمكن تطبيق اصالة الصحة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العقد واثبات انه صحيح ومن ثم اثبات تحقق التقابض؟ وهكذا الكلام في الهبة،فلو فرض ان شخصا وهب لغيره مالا وشك في تحقق القبض فهل يمكن تطبيق اصالة الصحة على العقد واثبات تحقق القبض؟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9380_259456"/>
      <w:bookmarkStart w:id="184" w:name="pg19380_259456"/>
      <w:bookmarkEnd w:id="184"/>
    </w:p>
    <w:p>
      <w:pPr>
        <w:pStyle w:val="Heading2"/>
        <w:numPr>
          <w:ilvl w:val="1"/>
          <w:numId w:val="1"/>
        </w:numPr>
        <w:rPr/>
      </w:pPr>
      <w:bookmarkStart w:id="185" w:name="pg19380_259456"/>
      <w:bookmarkStart w:id="186" w:name="__RefHeading___Toc17479279_1280447820"/>
      <w:bookmarkStart w:id="187" w:name="_Toc68"/>
      <w:bookmarkEnd w:id="185"/>
      <w:bookmarkEnd w:id="186"/>
      <w:r>
        <w:rPr>
          <w:rtl w:val="true"/>
        </w:rPr>
        <w:t>قاعدة لا ضرر</w:t>
      </w:r>
      <w:bookmarkEnd w:id="187"/>
    </w:p>
    <w:p>
      <w:pPr>
        <w:pStyle w:val="Heading3"/>
        <w:numPr>
          <w:ilvl w:val="2"/>
          <w:numId w:val="1"/>
        </w:numPr>
        <w:rPr/>
      </w:pPr>
      <w:bookmarkStart w:id="188" w:name="__RefHeading___Toc17479281_1280447820"/>
      <w:bookmarkStart w:id="189" w:name="_Toc69"/>
      <w:bookmarkEnd w:id="188"/>
      <w:r>
        <w:rPr>
          <w:rtl w:val="true"/>
        </w:rPr>
        <w:t>اشارة</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صيغة الحديث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في الرواية أو في المروي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مفردات الحديث</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قاعدة لا ضرر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الحديث على قضية سمرة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يدفع محذور كثرة التخصيص</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الحديث للأحكام العدمية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تقدم الحديث على الأدلّة الأوّلية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الضرر الواقعي أو العلمي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الضررين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قاعدة لا ضرر من القواعد المهمة في مقام الاستنباط ، فانّه بناء على كون المقصود منها نفي الحكم الذي ينشأ منه الضرر فسوف يثبت لدى الفقيه نفي وجوب الوضوء إذا ترتّب عليه الضرر ، ونفي وجوب الصوم إذا ترتّب عليه الضرر ، ونفي حرمة حلق اللحية إذا ترتّب على عدمه الضرر ، ونفي حرمة ابراز المرأة بعض محاسنها إذا ترتّب على عدمه الضرر ، ونفي حرمة كشف المرأة عورتها أمام الطبيب لأجل العلاج أو التلقيح أو الولادة إذا ترتّب على عدمه الضرر ، وأمثال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بالغ بعض العامّة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الفقه يدور على خمسة أحاديث ، أحدها حديث لا ضرر ولا ضرار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اهتم بها علماؤنا الأعلام حتى ألّف كثير منهم رسائل مستقلة </w:t>
      </w:r>
    </w:p>
    <w:p>
      <w:pPr>
        <w:pStyle w:val="BookText"/>
        <w:rPr/>
      </w:pPr>
      <w:r>
        <w:rPr>
          <w:rFonts w:ascii="Amiri" w:hAnsi="Amiri" w:eastAsia="Amiri" w:cs="Amiri"/>
          <w:color w:val="111111"/>
          <w:sz w:val="28"/>
          <w:sz w:val="28"/>
          <w:szCs w:val="28"/>
          <w:rtl w:val="true"/>
          <w:lang w:bidi="ar-SA"/>
        </w:rPr>
        <w:t>في ذلك ، كشيخ الشريعة الاصفهاني والميرزا النائيني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بحثها الشيخ الأعظم في الرسائل </w:t>
      </w:r>
      <w:r>
        <w:rPr>
          <w:rStyle w:val="FootnoteAnchor"/>
          <w:rtl w:val="true"/>
        </w:rPr>
        <w:footnoteReference w:id="68"/>
      </w:r>
      <w:r>
        <w:rPr>
          <w:rFonts w:ascii="Amiri" w:hAnsi="Amiri" w:eastAsia="Amiri" w:cs="Amiri"/>
          <w:color w:val="111111"/>
          <w:sz w:val="28"/>
          <w:sz w:val="28"/>
          <w:szCs w:val="28"/>
          <w:rtl w:val="true"/>
          <w:lang w:bidi="ar-SA"/>
        </w:rPr>
        <w:t xml:space="preserve">في مبحث شرائط جريان الاصول العملية الذي ذكره تحت عنوان خاتمة ، فانّه نقل عن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جملة شرائط جريان أصل البراءة عدم ترتّب ضرر على اجراء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أخذ بالبحث عن قاعدة لا ضرر بشكل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وتابعه على ذلك من تأخر عنه ، فأخذوا بالبحث عنها في الموضع المذكور ، وبعضهم يطنب وبعضهم يختصر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نحاول الاختصار كي يسهل على الطالب هضم مباحثها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ونمنهج الحديث عنها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صيغة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في الرواية أو في المروي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مفردات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قاعدة 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الحديث على قضية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يدفع محذور كثرة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الحديث للأحكام العدمية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تقدم الحديث على الأدلّة الأوّلية</w:t>
      </w:r>
      <w:r>
        <w:rPr>
          <w:rFonts w:eastAsia="Amiri" w:cs="Amiri" w:ascii="Amiri" w:hAnsi="Amiri"/>
          <w:color w:val="111111"/>
          <w:sz w:val="28"/>
          <w:szCs w:val="28"/>
          <w:rtl w:val="true"/>
          <w:lang w:bidi="ar-SA"/>
        </w:rPr>
        <w:t xml:space="preserve">. </w:t>
      </w:r>
      <w:bookmarkStart w:id="190" w:name="pg19380_259460"/>
    </w:p>
    <w:p>
      <w:pPr>
        <w:pStyle w:val="BookText"/>
        <w:rPr/>
      </w:pPr>
      <w:bookmarkEnd w:id="19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الضرر الواقعي أو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الضررين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7479283_1280447820"/>
      <w:bookmarkStart w:id="192" w:name="_Toc70"/>
      <w:bookmarkEnd w:id="191"/>
      <w:r>
        <w:rPr/>
        <w:t>1</w:t>
      </w:r>
      <w:r>
        <w:rPr>
          <w:rtl w:val="true"/>
        </w:rPr>
        <w:t xml:space="preserve"> - </w:t>
      </w:r>
      <w:r>
        <w:rPr>
          <w:rtl w:val="true"/>
        </w:rPr>
        <w:t>مضمون القاعدة</w:t>
      </w:r>
      <w:bookmarkEnd w:id="192"/>
    </w:p>
    <w:p>
      <w:pPr>
        <w:pStyle w:val="BookText"/>
        <w:rPr/>
      </w:pPr>
      <w:r>
        <w:rPr>
          <w:rFonts w:ascii="Amiri" w:hAnsi="Amiri" w:eastAsia="Amiri" w:cs="Amiri"/>
          <w:color w:val="111111"/>
          <w:sz w:val="28"/>
          <w:sz w:val="28"/>
          <w:szCs w:val="28"/>
          <w:rtl w:val="true"/>
          <w:lang w:bidi="ar-SA"/>
        </w:rPr>
        <w:t xml:space="preserve">وقع الاختلاف بين الأعلام في المقصود من قاعدة لا ضرر ولا ضرار ، فالشيخ الأعظم في رسائله 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حكم يتسبّب من ثبوته ضرر على المكلّف فهو مرفوع وغير ثابت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شرّع في الإسلام فهو ثابت ما دام لا يلزم من ثبوته ضرر على المكلّف ، وفي أي فترة وحالة يلزم الضرر من ثبوته فيها كان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تابع الشيخ الأعظم في رأيه هذا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جملتهم شيخ الشريعة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المقصود النهي عن الاضرار بالآخرين وتحريم ذلك ، وليست بناظرة إلى الاحكام الشرعية ونفيها حالة لزوم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تفاسير اخرى نكتفي الآن بما ذكر ، وسيتّضح بعضها الآخر فيما بعد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7479285_1280447820"/>
      <w:bookmarkStart w:id="194" w:name="_Toc71"/>
      <w:bookmarkEnd w:id="193"/>
      <w:r>
        <w:rPr/>
        <w:t>2</w:t>
      </w:r>
      <w:r>
        <w:rPr>
          <w:rtl w:val="true"/>
        </w:rPr>
        <w:t xml:space="preserve"> - </w:t>
      </w:r>
      <w:r>
        <w:rPr>
          <w:rtl w:val="true"/>
        </w:rPr>
        <w:t>مدرك القاعدة</w:t>
      </w:r>
      <w:bookmarkEnd w:id="194"/>
    </w:p>
    <w:p>
      <w:pPr>
        <w:pStyle w:val="Heading4"/>
        <w:numPr>
          <w:ilvl w:val="3"/>
          <w:numId w:val="1"/>
        </w:numPr>
        <w:rPr/>
      </w:pPr>
      <w:bookmarkStart w:id="195" w:name="__RefHeading___Toc17479287_1280447820"/>
      <w:bookmarkStart w:id="196" w:name="_Toc72"/>
      <w:bookmarkEnd w:id="195"/>
      <w:r>
        <w:rPr>
          <w:rtl w:val="true"/>
        </w:rPr>
        <w:t>اشارة</w:t>
      </w:r>
      <w:bookmarkEnd w:id="19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موارد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سمرة بن جندب التي رواها الكليني في الكافي </w:t>
      </w:r>
      <w:r>
        <w:rPr>
          <w:rStyle w:val="FootnoteAnchor"/>
          <w:rtl w:val="true"/>
        </w:rPr>
        <w:footnoteReference w:id="69"/>
      </w:r>
      <w:r>
        <w:rPr>
          <w:rFonts w:ascii="Amiri" w:hAnsi="Amiri" w:eastAsia="Amiri" w:cs="Amiri"/>
          <w:color w:val="111111"/>
          <w:sz w:val="28"/>
          <w:sz w:val="28"/>
          <w:szCs w:val="28"/>
          <w:rtl w:val="true"/>
          <w:lang w:bidi="ar-SA"/>
        </w:rPr>
        <w:t xml:space="preserve">بالشكل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بن خالد عن أبيه عن عبد اللّه بن بكير عن زرارة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سمرة بن جندب كان له عذق </w:t>
      </w:r>
      <w:r>
        <w:rPr>
          <w:rStyle w:val="FootnoteAnchor"/>
          <w:rtl w:val="true"/>
        </w:rPr>
        <w:footnoteReference w:id="70"/>
      </w:r>
      <w:r>
        <w:rPr>
          <w:rFonts w:ascii="Amiri" w:hAnsi="Amiri" w:eastAsia="Amiri" w:cs="Amiri"/>
          <w:color w:val="111111"/>
          <w:sz w:val="28"/>
          <w:sz w:val="28"/>
          <w:szCs w:val="28"/>
          <w:rtl w:val="true"/>
          <w:lang w:bidi="ar-SA"/>
        </w:rPr>
        <w:t xml:space="preserve">في حائط </w:t>
      </w:r>
      <w:r>
        <w:rPr>
          <w:rStyle w:val="FootnoteAnchor"/>
          <w:rtl w:val="true"/>
        </w:rPr>
        <w:footnoteReference w:id="71"/>
      </w:r>
      <w:r>
        <w:rPr>
          <w:rFonts w:ascii="IRNazanin" w:hAnsi="IRNazanin" w:eastAsia="IRNazanin"/>
          <w:color w:val="111111"/>
          <w:sz w:val="28"/>
          <w:sz w:val="28"/>
          <w:szCs w:val="28"/>
          <w:rtl w:val="true"/>
          <w:lang w:bidi="fa-IR"/>
        </w:rPr>
        <w:t xml:space="preserve">لرجل من الأنصار ، وكان منزل الأنصاري بباب البستان ، وكان يمر به إلى نخلته ولا يستأذن ، فكلّمه الانصاري ان يستأذن إذا جاء فأبى سمرة ، فلمّا تأبّى جاء الأنصاري إلى رسول اللّه  صلی اللّه عليه وآله وسلم  فشكا إليه وخبّره الخبر ، فأرسل إليه رسول اللّه  صلی اللّه عليه وآله وسلم  وخبّره بقول الأنصاري وما شكا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أردت الدخول فاستأذن فأبى ، فلمّا أبى ساومه حتى بلغ به من الثمن ما شاء اللّه ، فأبى أن يبيع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بها عذق يمدّ لك في الجنة ، فأبى أن يقبل ، فقال رسول اللّه  صلی اللّه عليه وآله وسلم  للأنصاري اذهب فاقلعها وارم بها إليه فانّه لا ضرر ولا ضرار</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أمّا العدة من أصحابنا فقد تعرّضنا إليها في أبحاثنا الرجالية ، وانتهينا إلى عدم وجود مشكلة من ناحيتها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أحمد بن محمّد بن خالد فهو البرقي المعروف بصاحب المحاسن ، وقد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 نفسه ، يروي عن الضعفاء ، واعتمد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والده فهو محمّد بن خالد البرقي وقد وثّقه الشيخ الطوسي في رجاله في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 اللّه بن بكير فقد قال عنه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فطحي المذهب إلاّ انّه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زرارة فهو أجلّ من أن يحتاج إلى توثيق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9380_259462"/>
    </w:p>
    <w:p>
      <w:pPr>
        <w:pStyle w:val="Heading4"/>
        <w:numPr>
          <w:ilvl w:val="3"/>
          <w:numId w:val="1"/>
        </w:numPr>
        <w:rPr/>
      </w:pPr>
      <w:bookmarkStart w:id="198" w:name="__RefHeading___Toc17479289_1280447820"/>
      <w:bookmarkStart w:id="199" w:name="_Toc73"/>
      <w:bookmarkEnd w:id="197"/>
      <w:bookmarkEnd w:id="198"/>
      <w:r>
        <w:rPr>
          <w:rtl w:val="true"/>
        </w:rPr>
        <w:t xml:space="preserve">اضافة كلمة </w:t>
      </w:r>
      <w:r>
        <w:rPr>
          <w:rtl w:val="true"/>
        </w:rPr>
        <w:t>«</w:t>
      </w:r>
      <w:r>
        <w:rPr>
          <w:rtl w:val="true"/>
        </w:rPr>
        <w:t>على مؤمن</w:t>
      </w:r>
      <w:r>
        <w:rPr>
          <w:rtl w:val="true"/>
        </w:rPr>
        <w:t>»</w:t>
      </w:r>
      <w:bookmarkEnd w:id="199"/>
    </w:p>
    <w:p>
      <w:pPr>
        <w:pStyle w:val="BookText"/>
        <w:rPr/>
      </w:pPr>
      <w:r>
        <w:rPr>
          <w:rFonts w:ascii="IRNazanin" w:hAnsi="IRNazanin" w:eastAsia="IRNazanin"/>
          <w:color w:val="111111"/>
          <w:sz w:val="28"/>
          <w:sz w:val="28"/>
          <w:szCs w:val="28"/>
          <w:rtl w:val="true"/>
          <w:lang w:bidi="fa-IR"/>
        </w:rPr>
        <w:t xml:space="preserve">وقد رواها الكليني نفسه ثانية وبعد عدة أحاديث بهذا الشكل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محمد بن بندار عن أحمد بن أبي عبد اللّه عن أبيه عن بعض أصحابنا عن عبد اللّه بن مسكان عن زرارة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رجل مضار ، ولا ضرر ولا ضرار على مؤمن</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الرواية المذكورة ضعيفة السند من ناحية الارسال عن بعض اصحابنا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كما نرى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له تأثير من بعض الجوانب ،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قضية سمرة المشتملة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كل من الشيخ الطوسي </w:t>
      </w:r>
      <w:r>
        <w:rPr>
          <w:rStyle w:val="FootnoteAnchor"/>
          <w:rtl w:val="true"/>
        </w:rPr>
        <w:footnoteReference w:id="74"/>
      </w:r>
      <w:r>
        <w:rPr>
          <w:rFonts w:ascii="Amiri" w:hAnsi="Amiri" w:eastAsia="Amiri" w:cs="Amiri"/>
          <w:color w:val="111111"/>
          <w:sz w:val="28"/>
          <w:sz w:val="28"/>
          <w:szCs w:val="28"/>
          <w:rtl w:val="true"/>
          <w:lang w:bidi="ar-SA"/>
        </w:rPr>
        <w:t xml:space="preserve">والشيخ الصدوق </w:t>
      </w:r>
      <w:r>
        <w:rPr>
          <w:rStyle w:val="FootnoteAnchor"/>
          <w:rtl w:val="true"/>
        </w:rPr>
        <w:footnoteReference w:id="75"/>
      </w:r>
      <w:r>
        <w:rPr>
          <w:rFonts w:ascii="Amiri" w:hAnsi="Amiri" w:eastAsia="Amiri" w:cs="Amiri"/>
          <w:color w:val="111111"/>
          <w:sz w:val="28"/>
          <w:sz w:val="28"/>
          <w:szCs w:val="28"/>
          <w:rtl w:val="true"/>
          <w:lang w:bidi="ar-SA"/>
        </w:rPr>
        <w:t>، وكل منهما رواها عن ابن بكير عن زرارة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ان الشيخ الصدوق روى بسنده عن الحسن الصيقل عن أبي عبيدة الحذّاء عن أبي جعفر  عليه‌ السلام قصة سمرة ، ولكن ليس في آخرها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 وإنّما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يا سمرة إلاّ مضارا اذهب يا فلان فاقطعها ، واضرب بها وجهه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ان قضية سمرة رويت في مصادرنا الحديثية بثلاثة أشكال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فتارة رويت وفي آخرها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وثانية رويت وفي آخرها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رويت من دون ذكر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يقال بعدم ثبوت ذكر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سمرة لأجل تعارض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ذلك بأن التعارض المذكور تعارض بين الزيادة والنقيصة ، وأصالة عدم الزيادة مقدمة على أصالة عدم النقيصة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الشفعة ؛ فقد روى المشايخ الثلاثة عن عاقبة بن خالد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  صلی اللّه عليه وآله وسلم  بالشفعة بين الشركاء في الأرضين والمساكن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 وقال إذا ارّفت الارف </w:t>
      </w:r>
      <w:r>
        <w:rPr>
          <w:rStyle w:val="FootnoteAnchor"/>
          <w:rtl w:val="true"/>
        </w:rPr>
        <w:footnoteReference w:id="77"/>
      </w:r>
      <w:r>
        <w:rPr>
          <w:rFonts w:ascii="Amiri" w:hAnsi="Amiri" w:eastAsia="Amiri" w:cs="Amiri"/>
          <w:color w:val="111111"/>
          <w:sz w:val="28"/>
          <w:sz w:val="28"/>
          <w:szCs w:val="28"/>
          <w:rtl w:val="true"/>
          <w:lang w:bidi="ar-SA"/>
        </w:rPr>
        <w:t xml:space="preserve">وحدت الحدود فلا شفعة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مشارب النخل وفضل الماء ؛ فقد روى الكليني بسنده إلى عاقبة بن خالد أيضا عن أبي عبد اللّه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رسول اللّه  صلی اللّه عليه وآله وسلم  بين أهل المدينة في مشارب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يمنع نفع الشي‌ء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200" w:name="pg19380_259464"/>
    </w:p>
    <w:p>
      <w:pPr>
        <w:pStyle w:val="BookText"/>
        <w:rPr/>
      </w:pPr>
      <w:bookmarkEnd w:id="200"/>
      <w:r>
        <w:rPr>
          <w:rFonts w:ascii="Amiri" w:hAnsi="Amiri" w:eastAsia="Amiri" w:cs="Amiri"/>
          <w:color w:val="111111"/>
          <w:sz w:val="28"/>
          <w:sz w:val="28"/>
          <w:szCs w:val="28"/>
          <w:rtl w:val="true"/>
          <w:lang w:bidi="ar-SA"/>
        </w:rPr>
        <w:t>وقضى بين أهل البادية انّه لا يمنع فضل ماء ليمنع فضل كلاء فقال لا ضرر ولا ضرار</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ثم إنّه يحتمل أن يكون 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فضل ماء ليمنع فضل 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الشخص الذي عنده بئر فضل قسم من مائها لو منع الناس من ذلك الفاضل فسوف يصير منعه سببا لعدم مرور رعاة الأنعام على تلك المنطقة التي فيها البئر ، ومن ثمّ سوف يبقى الكلأ الفاضل عاطلا في الصحراء ومن دون حيوانات تستفيد من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انّ اللام للعاقبة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فضل الماء الذي عاقبته المنع من فاضل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شيخ الشريعة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المعروف في تفسير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الشيخ الطوسي في المبسوط الحكم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قلنا انه يملك البئر فانه احق بمائها بقدر حاجته لشربه وشرب ماشيته وسقي زرعه ، فإذا فضل بعد ذلك شي‌ء وجب عليه بذله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منع الماء الفاضل من حاجته حتى لا يتمكن غيره من رعي الكلأ الذي يقرب ذلك الماء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عاقبة بن خالد لم يثبت توثيقه ، فيكون المدار على روايات قصة سمرة</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7479291_1280447820"/>
      <w:bookmarkStart w:id="202" w:name="_Toc74"/>
      <w:bookmarkEnd w:id="201"/>
      <w:r>
        <w:rPr>
          <w:rtl w:val="true"/>
        </w:rPr>
        <w:t>اتّضح ممّا تقدم</w:t>
      </w:r>
      <w:bookmarkEnd w:id="202"/>
    </w:p>
    <w:p>
      <w:pPr>
        <w:pStyle w:val="BookText"/>
        <w:rPr/>
      </w:pPr>
      <w:r>
        <w:rPr>
          <w:rFonts w:ascii="Amiri" w:hAnsi="Amiri" w:eastAsia="Amiri" w:cs="Amiri"/>
          <w:color w:val="111111"/>
          <w:sz w:val="28"/>
          <w:sz w:val="28"/>
          <w:szCs w:val="28"/>
          <w:rtl w:val="true"/>
          <w:lang w:bidi="ar-SA"/>
        </w:rPr>
        <w:t xml:space="preserve">اتضح مما تقدم 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رواية معتبرة السند ، وعليه فما افاده الشيخ الأعظم من انّ أصح الروايات سندا ما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تأمّل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واتّضح انّه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سمرة قضية واحدة لا يحتمل فيها التعدد ، وقد نقلت تارة متضمّنة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متضمّنة لشي‌ء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يا سمرة إلاّ 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فلان فاقطعها واضرب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تعارض النقل لا يبقى ما يثبت وجود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bookmarkStart w:id="203" w:name="pg19380_259465"/>
    </w:p>
    <w:p>
      <w:pPr>
        <w:pStyle w:val="BookText"/>
        <w:rPr/>
      </w:pPr>
      <w:bookmarkEnd w:id="203"/>
      <w:r>
        <w:rPr>
          <w:rFonts w:ascii="Amiri" w:hAnsi="Amiri" w:eastAsia="Amiri" w:cs="Amiri"/>
          <w:color w:val="111111"/>
          <w:sz w:val="28"/>
          <w:sz w:val="28"/>
          <w:szCs w:val="28"/>
          <w:rtl w:val="true"/>
          <w:lang w:bidi="ar-SA"/>
        </w:rPr>
        <w:t xml:space="preserve">ووجه بطلان المعارضة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مستند النقل الثاني هو رواية الحذاء ، وهي ضعيفة السند بالحسن الصيقل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امكان أن يقال إنّ المقام ليس من صغريات باب المعارضة ، إذ النقل الفاقد للزيادة لا ينفي وجود الزيادة ليعارض ما دلّ على وجود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 نبقى بحاجة إلى ما أفاده الميرزا لنفي الزيادة من انّ مدرك عدم الزيادة هو أصالة عدم الزيادة التي مستندها سيرة العقلاء ، ولكن لا يعلم بناء العقلاء في مثل المقام على تقديم أصالة عدم الزيادة ، حيث يحتمل قريبا كون الزيادة قد حصلت من الراوي لمغروسيتها في ذهنه عند نقله الرواية بالمعنى بمناسبة الحكم والموضوع وملاحظة أشباه ذلك من مثل لا رهبانية في الإسلام ولا اخصاء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البيان الميرزائي لسنا بحاجة إليه بعد ضعف مستند وجود الزيادة في نفسه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7479293_1280447820"/>
      <w:bookmarkStart w:id="205" w:name="_Toc75"/>
      <w:bookmarkEnd w:id="204"/>
      <w:r>
        <w:rPr/>
        <w:t>3</w:t>
      </w:r>
      <w:r>
        <w:rPr>
          <w:rtl w:val="true"/>
        </w:rPr>
        <w:t xml:space="preserve"> - </w:t>
      </w:r>
      <w:r>
        <w:rPr>
          <w:rtl w:val="true"/>
        </w:rPr>
        <w:t>اختلاف صيغة الحديث</w:t>
      </w:r>
      <w:bookmarkEnd w:id="205"/>
    </w:p>
    <w:p>
      <w:pPr>
        <w:pStyle w:val="Heading4"/>
        <w:numPr>
          <w:ilvl w:val="3"/>
          <w:numId w:val="1"/>
        </w:numPr>
        <w:rPr/>
      </w:pPr>
      <w:bookmarkStart w:id="206" w:name="__RefHeading___Toc17479295_1280447820"/>
      <w:bookmarkStart w:id="207" w:name="_Toc76"/>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ورد في بعض مصادر الحديث زيادة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سابقا، وأشرنا إلى انّ ذلك لم يثبت بطريق معتبر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بعض مصادر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إضرار ، فالفقرة الثانية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المصادر التي ورد فيها ذلك الفقيه ، حيث نقل الحديث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ضرر ولا إضرار </w:t>
      </w:r>
    </w:p>
    <w:p>
      <w:pPr>
        <w:pStyle w:val="BookText"/>
        <w:rPr/>
      </w:pP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مصادر حديث العامّة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في الإسلام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بحذف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من بين هذه النقول التي نريد لفت النظر إليه هو ما اشتمل على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شيخ الشريعة الاصفهاني ذهب إلى أن المقصود من الحديث المذكور افادة النهي التكليفي ، ولكن الذي كان يقف أمامه وجود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ذلك لا يتلاءم وافادة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أخذ ينفي القيد المذكور ، حيث ذكر في الفصل الثالث من الفصول الاثني عشر التي رتّب رسالته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المذكور غير موجود في الروايات بما في ذلك روايات العامّة ، فقد تفحّصت كتبهم وصحاحهم ومسانيدهم ومعاجمهم فحصا أكيدا فلم أجد رواية أصل الحديث إلاّ عن ابن عباس وعن عبادة بن الصامت ، وكلاهما رويا الحديث بدون الزيادة السابقة ، وبعد هذا فلا ندري من أين جاء ابن الأثير بهذه الزيادة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نهاية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الكلّ ما رأيته في كلام بعض المعاصرين من دعوى الاستفاضة مع هذا القيد واسناده إلى المحقّقين تواتر الحديث مع الزيادة المذكورة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لسنا في صدد التعليق على كلام شيخ الشريعة من جميع جوانبه ، فحصر رواة الحديث بابن عباس وعبادة في غير محله ، فهناك </w:t>
      </w:r>
    </w:p>
    <w:p>
      <w:pPr>
        <w:pStyle w:val="BookText"/>
        <w:rPr/>
      </w:pPr>
      <w:r>
        <w:rPr>
          <w:rFonts w:ascii="IRNazanin" w:hAnsi="IRNazanin" w:eastAsia="IRNazanin"/>
          <w:color w:val="111111"/>
          <w:sz w:val="28"/>
          <w:sz w:val="28"/>
          <w:szCs w:val="28"/>
          <w:rtl w:val="true"/>
          <w:lang w:bidi="fa-IR"/>
        </w:rPr>
        <w:t xml:space="preserve">عدة آخرون يبلغ عددهم ستة أو سبعة يروون هذا الحديث عن النبي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 زيادة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رواية أبي لبابة ورواية جابر بن عبداللّه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نريد لفت النظر إليه هو ان اضافة القيد المذكور ثابت في مصادرنا أيضا ، فالصدوق </w:t>
      </w:r>
      <w:r>
        <w:rPr>
          <w:rStyle w:val="FootnoteAnchor"/>
          <w:rtl w:val="true"/>
        </w:rPr>
        <w:footnoteReference w:id="85"/>
      </w:r>
      <w:r>
        <w:rPr>
          <w:rFonts w:ascii="Amiri" w:hAnsi="Amiri" w:eastAsia="Amiri" w:cs="Amiri"/>
          <w:color w:val="111111"/>
          <w:sz w:val="28"/>
          <w:sz w:val="28"/>
          <w:szCs w:val="28"/>
          <w:rtl w:val="true"/>
          <w:lang w:bidi="ar-SA"/>
        </w:rPr>
        <w:t xml:space="preserve">، روى بشكل مرسل حديث لا ضرر مع الزيادة المذكورة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مع القيد المذكور كل من ابن أبي جمهور الاحسائي في عوالي اللآلي عن الشهيد الأوّل في بعض مصنفاته عن أبي سعيد الخدري ، والشيخ الطوسي في كتاب الشفعة من الخلاف ، والعلاّمة في خيار الغبن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يحاول تصحيح رواية الصدوق المرسلة ببيان أنّ مراسيل الصدوق إذا كانت بلسان قال فهي حجة دون ما إذا كانت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ذلك بأحد البيانين التاليين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تبنّاه جماعة منهم السيد الخوئي في رأيه القديم المذكور في الدراسات </w:t>
      </w:r>
      <w:r>
        <w:rPr>
          <w:rStyle w:val="FootnoteAnchor"/>
          <w:rtl w:val="true"/>
        </w:rPr>
        <w:footnoteReference w:id="87"/>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ثبوت الرواية </w:t>
      </w:r>
    </w:p>
    <w:p>
      <w:pPr>
        <w:pStyle w:val="BookText"/>
        <w:rPr/>
      </w:pPr>
      <w:r>
        <w:rPr>
          <w:rFonts w:ascii="IRNazanin" w:hAnsi="IRNazanin" w:eastAsia="IRNazanin"/>
          <w:color w:val="111111"/>
          <w:sz w:val="28"/>
          <w:sz w:val="28"/>
          <w:szCs w:val="28"/>
          <w:rtl w:val="true"/>
          <w:lang w:bidi="fa-IR"/>
        </w:rPr>
        <w:t>وصحتها لدى الصدوق ، وإلاّ لما جاز له الإخبار بنحو الجزم وانّ النبيّ  صلی اللّه عليه وآله وسلم  قال كذا، فإخباره الجزمي يدل على حجيتها وصحتها لديه ،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وجواب ذلك واضح فانّ حجّية خبر عنده لا تستلزم حجيته عندنا ، إذ لعله اطمأن به بسبب قرائن لو اطّلعنا عليها لم توجب لنا الاطمئنان ، كما أوضح هذا التراجع قدس‌سره في مصباح الاصول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جزم الصدوق ، وإذا احتملنا استناد هذا الجزم إلى الحس طبّقنا أصالة الحسّ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حيث نحتمل انّ الجزم وليد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تواتر في نقل الحديث المذكور استند إليه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فنحكم بكونه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تواتر فلما ذا لم نعثر على نقل الحديث من غير الطرق القليلة المذكورة سابقا؟</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بما أنّه نبوي وديدن الأصحاب لم يكن على ضبط الأحاديث النبوية المروية عن غير الأئمّة  عليهم‌ السلام فنحتمل انّ التواتر كان ولم يضبط ، ولا استبعاد في كون هذا الخبر زمن الصدوق كان متواترا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تعبير الصدوق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على الجزم فهو يدل على الجزم الأعم من الوجداني والتعبدي ولا يتعين في الوجداني ، والجزم التعبدي يكفي فيه اطمئنانه بصدور الرواية ولو لقرائن لو اطلعنا عليها </w:t>
      </w:r>
    </w:p>
    <w:p>
      <w:pPr>
        <w:pStyle w:val="BookText"/>
        <w:rPr/>
      </w:pPr>
      <w:r>
        <w:rPr>
          <w:rFonts w:ascii="Amiri" w:hAnsi="Amiri" w:eastAsia="Amiri" w:cs="Amiri"/>
          <w:color w:val="111111"/>
          <w:sz w:val="28"/>
          <w:sz w:val="28"/>
          <w:szCs w:val="28"/>
          <w:rtl w:val="true"/>
          <w:lang w:bidi="ar-SA"/>
        </w:rPr>
        <w:t>قد لا نراها موجبة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الحسّ تجري لتعيين حال النقل وانّه عن حسن لا عن حدس ، ولا جزم بانعقادها لتعيين حال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نقل الصدوق يشتمل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الرواية ، وانه جازم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الحسّ تجري بلحاظ أصل النقل لإثبات انه عن حسّ دون تعيين حال الجزم لعدم الجزم بانعقادها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التواتر المحتمل امّا هو بلحاظ نقل الشيعة ، أو بلحاظ نقل العامة ، أو بلحاظ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لاحظنا جميع المصادر لربّما يحصل للشخص تواتر ، إلاّ انّ الذي يمكن حصوله هو التواتر بلحاظ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من دون ضم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إذا أردنا ملاحظة هذا القيد فلا يمكن تحصيل التواتر ، لأنّ القيد المذكور وارد في نقول قليلة لا تتجاوز الثلاثة أو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تعبير الصدوق لا يدل على الجزم أصلا ، لأنّ ظاهر كلامه انّه بصدد الاحتجاج على العامة ، فانّ الحديث ذكره تحت عنوان ميراث أهل الملل ، فالمسلم إذا مات هل يرثه الكافر ، والكافر إذا مات هل يرثه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ذكر أنّ الكافر لا يرث المسلم عقوبة له على كفره ، ثم 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المسلم فلأي جرم وعقوبة يحرم الميراث؟</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صار الإسلام يزيده شرّا مع قول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يزيد ولا ينقص، ومع قوله  عليه‌ السلام لا ضرر ولا إضرار في الإسلام؟ فالإسلام يزيد </w:t>
      </w:r>
    </w:p>
    <w:p>
      <w:pPr>
        <w:pStyle w:val="BookText"/>
        <w:rPr/>
      </w:pPr>
      <w:r>
        <w:rPr>
          <w:rFonts w:ascii="Amiri" w:hAnsi="Amiri" w:eastAsia="Amiri" w:cs="Amiri"/>
          <w:color w:val="111111"/>
          <w:sz w:val="28"/>
          <w:sz w:val="28"/>
          <w:szCs w:val="28"/>
          <w:rtl w:val="true"/>
          <w:lang w:bidi="ar-SA"/>
        </w:rPr>
        <w:t>المسلم خيرا ولا يزيده شرا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بذلك يقصد الرّد على العامة الذين حرموا المسلم من ارث الكافر أيضا ، فهو كأنه يخاطبهم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يرث المسلم الكافر ، والحال أنّ الحديث الوارد في رواياتكم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إضرار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ذكره بعض الأعلام قدس‌سره من 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الفقيه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الاشتباه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كون الوارد في أصل الفقيه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ولا اضرار فالإسلام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ذكر من دون قيد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ذكر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فالإسلام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تكملة ردّه على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الكاتب اشتبه فكرّر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من باب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جاء دور من تأخر عن الكاتب ورأى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كررت مرتين ، فظن الاشتباه وتخيّل ان المناسب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فصحّح العبارة وصارت النتيجة كما نراه اليوم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مجرّد احتمال لم يقم دليلا على اثباته ، بل الدليل على عكسه،وهو اتفاق النسخ على ما هو الموجود اليوم ، ولم ينقل عن أحد وجود نسخة اخرى للعبارة المذكورة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في كلام الصدوق نفسه قرينة تدل على ضرورة وجود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كونه في صدد الرّد على العامة ، وكأنه يريد ان </w:t>
      </w:r>
      <w:bookmarkStart w:id="208" w:name="pg19380_259471"/>
    </w:p>
    <w:p>
      <w:pPr>
        <w:pStyle w:val="BookText"/>
        <w:rPr/>
      </w:pPr>
      <w:bookmarkEnd w:id="208"/>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إضرار بسبب الإسلام ، والمسلم إذا حرم من ارث الكافر لزم تضرره بسبب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يتّضح 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سببية ، نظير ما ورد عن أبي هريرة عن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امرأة دخلت النار في 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هرّة</w:t>
      </w:r>
      <w:r>
        <w:rPr>
          <w:rFonts w:eastAsia="IRNazanin" w:cs="IRNazanin"/>
          <w:color w:val="111111"/>
          <w:sz w:val="28"/>
          <w:szCs w:val="28"/>
          <w:rtl w:val="true"/>
          <w:lang w:bidi="fa-IR"/>
        </w:rPr>
        <w:t>.</w:t>
      </w:r>
    </w:p>
    <w:p>
      <w:pPr>
        <w:pStyle w:val="Heading4"/>
        <w:numPr>
          <w:ilvl w:val="3"/>
          <w:numId w:val="1"/>
        </w:numPr>
        <w:rPr/>
      </w:pPr>
      <w:bookmarkStart w:id="209" w:name="__RefHeading___Toc17479297_1280447820"/>
      <w:bookmarkStart w:id="210" w:name="_Toc77"/>
      <w:bookmarkEnd w:id="209"/>
      <w:r>
        <w:rPr>
          <w:rtl w:val="true"/>
        </w:rPr>
        <w:t>لفت نظر</w:t>
      </w:r>
      <w:bookmarkEnd w:id="210"/>
    </w:p>
    <w:p>
      <w:pPr>
        <w:pStyle w:val="BookText"/>
        <w:rPr/>
      </w:pPr>
      <w:r>
        <w:rPr>
          <w:rFonts w:ascii="Amiri" w:hAnsi="Amiri" w:eastAsia="Amiri" w:cs="Amiri"/>
          <w:color w:val="111111"/>
          <w:sz w:val="28"/>
          <w:sz w:val="28"/>
          <w:szCs w:val="28"/>
          <w:rtl w:val="true"/>
          <w:lang w:bidi="ar-SA"/>
        </w:rPr>
        <w:t xml:space="preserve">ذكرنا أنّ نكتة البحث عن وجود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تظهر في امكان استفادة النهي التكليفي من الحديث ، فان شيخ الشريعة اختار إرادة التحريم التكليفي من حديث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الرأي يقف أمامه وجود القيد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أخذ شيخ الشريعة ينفي القيد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في الإسلام بنحو يقصد الإنشاء دون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وبالامكان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القيد المذكور إنّما يتنافى مع إرادة النهي لو فرض انّا فسرنا النفي بالنهي ، امّا إذا وجّهنا ذلك بأن المقصود هو الإخبار بداعي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يعيد بداعي إنشاء وجوب الاعادة ، أو قدّرنا خبرا محذوفا ؛ أي لا ضرر جائزا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القيد المذكور وإرادة النهي</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7479299_1280447820"/>
      <w:bookmarkStart w:id="212" w:name="_Toc78"/>
      <w:bookmarkEnd w:id="211"/>
      <w:r>
        <w:rPr/>
        <w:t>4</w:t>
      </w:r>
      <w:r>
        <w:rPr>
          <w:rtl w:val="true"/>
        </w:rPr>
        <w:t xml:space="preserve"> - </w:t>
      </w:r>
      <w:r>
        <w:rPr>
          <w:rtl w:val="true"/>
        </w:rPr>
        <w:t>الجمع في الرواية أو في المروي</w:t>
      </w:r>
      <w:bookmarkEnd w:id="212"/>
    </w:p>
    <w:p>
      <w:pPr>
        <w:pStyle w:val="Heading4"/>
        <w:numPr>
          <w:ilvl w:val="3"/>
          <w:numId w:val="1"/>
        </w:numPr>
        <w:rPr/>
      </w:pPr>
      <w:bookmarkStart w:id="213" w:name="__RefHeading___Toc17479301_1280447820"/>
      <w:bookmarkStart w:id="214" w:name="_Toc79"/>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 xml:space="preserve">ورد في حديث الشفعة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عليه وآله وسلم  بالشفعة بين الشركاء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هذا الحديث احتمالين ، فيحتمل ان الجملة الثانية قد صدرت </w:t>
      </w:r>
    </w:p>
    <w:p>
      <w:pPr>
        <w:pStyle w:val="BookText"/>
        <w:rPr/>
      </w:pPr>
      <w:r>
        <w:rPr>
          <w:rFonts w:ascii="IRNazanin" w:hAnsi="IRNazanin" w:eastAsia="IRNazanin"/>
          <w:color w:val="111111"/>
          <w:sz w:val="28"/>
          <w:sz w:val="28"/>
          <w:szCs w:val="28"/>
          <w:rtl w:val="true"/>
          <w:lang w:bidi="fa-IR"/>
        </w:rPr>
        <w:t xml:space="preserve">من النبي  صلی اللّه عليه وآله وسلم  مستقلة عن الجملة الاولى ؛ احداهما في مجلس والاخرى في مجلس ثان، إلاّ ان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عاقبة بن خالد قد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الروايتين المستقلّتين في مقام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انهما صدرتا من النبي  صلی اللّه عليه وآله وسلم  في مجلس واحد ، بنحو تكون الثانية قد ذكرها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تبرع بها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مكملة للثانية ومبينة للحكمة بالشفعة بين الشركاء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ويصطلح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الروايتين في مقام النقل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المرويين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بين الاعلام في ان الجمع بين الفقرتين المذكورتين هل هو من النحو الأول أو من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طرح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الاحتمالات في المقصود من قاعدة لا ضرر هو افادة النهي عن ارتكاب الضرر وبيان تحريمه في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 الشريعة الاصفهاني من روّاد هذا الاحتمال ومؤيديه ، إلاّ انّ الذي يقف أمام هذا الاحتمال هو ان قاعدة لا ضرر إذا كان يقصد بها إفادة النهي التحريمي فلما ذا ذكرت في ذيل حديث الشفعة وفي ذيل حديث المنع من فضل الماء؟</w:t>
      </w:r>
    </w:p>
    <w:p>
      <w:pPr>
        <w:pStyle w:val="BookText"/>
        <w:rPr/>
      </w:pPr>
      <w:r>
        <w:rPr>
          <w:rFonts w:ascii="Amiri" w:hAnsi="Amiri" w:eastAsia="Amiri" w:cs="Amiri"/>
          <w:color w:val="111111"/>
          <w:sz w:val="28"/>
          <w:sz w:val="28"/>
          <w:szCs w:val="28"/>
          <w:rtl w:val="true"/>
          <w:lang w:bidi="ar-SA"/>
        </w:rPr>
        <w:t xml:space="preserve">ان ذكرها ذيل حديث الشفعة لا وجه له باعتبار ان الشفعة بين الشركاء حكم وضعي ولا معنى لتعليله بما يدلّ على الحكم التكليفي ، فلا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ثابتة بين الشركاء لأنّه يحرم الاضرار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ربط له بهذا حتى يذكر كتعليل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إذا لم يكن المقصود من قاعدة لا ضرر إفادة </w:t>
      </w:r>
    </w:p>
    <w:p>
      <w:pPr>
        <w:pStyle w:val="BookText"/>
        <w:rPr/>
      </w:pPr>
      <w:r>
        <w:rPr>
          <w:rFonts w:ascii="Amiri" w:hAnsi="Amiri" w:eastAsia="Amiri" w:cs="Amiri"/>
          <w:color w:val="111111"/>
          <w:sz w:val="28"/>
          <w:sz w:val="28"/>
          <w:szCs w:val="28"/>
          <w:rtl w:val="true"/>
          <w:lang w:bidi="ar-SA"/>
        </w:rPr>
        <w:t xml:space="preserve">النهي التكليفي ، بل إفادة معنى آخر كالمعنى الذي ذكره الشيخ الأعظم في الرسائل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كل حكم يستلزم ثبوته الضرر بالمكلّف ؛ فكل حكم من هذا القبيل منتف في التشريع الإسلامي وليس بثابت ، انّه بناء على هذا تكون المناسبة واضحة ، فكأنه يراد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أحد الشريكين حصته فالشفعة ثابتة للشريك الثاني وله الحق في أخذ حصة الشريك بالشفعة ؛ إذ لو لم يكن له هذا الحق وكان بيع الشريك لازما يلزم تضرّر الشريك الثاني ، ولزوم بيع الشريك ما دام يلزم منه الضرر على الشريك الثاني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حديث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حديث المنع من فضل الماء فالوجه في عدم صحة ذكر قاعدة نفي الضرر في ذيله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من فضل الماء ليس محرما بل هو مكروه ، فمن كانت له بئر وفضل من مائها شي‌ء فمن حقه منع الآخرين من الاستفادة من ذلك الماء ، لكن ذلك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مكروها فلا معنى لأن يعلّل بحرمة الاضرار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لو كان المنع من فضل الماء محرما لكان تعليله بحرمة الاضرار وجيها ، إلاّ انه لمّا كان مكروها فلا معنى لتعليله بقاعدة نفي الضرر بناء على كون المقصود منها افادة تحريم الاضرار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اشكال عدم المناسبة بين التعليل والحكم المعلل يتم في حديث الشفعة والمنع من فضل الماء ولا يتمّ وارم في الحديث الناقل لقصة سمرة لأنّه قد حكم  صلی اللّه عليه وآله وسلم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بها إليه فانّه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المناسبة واضحة ، فالنبي  صلی اللّه عليه وآله وسلم  جوّز قلع النخلة ، </w:t>
      </w:r>
    </w:p>
    <w:p>
      <w:pPr>
        <w:pStyle w:val="BookText"/>
        <w:rPr/>
      </w:pPr>
      <w:r>
        <w:rPr>
          <w:rFonts w:ascii="Amiri" w:hAnsi="Amiri" w:eastAsia="Amiri" w:cs="Amiri"/>
          <w:color w:val="111111"/>
          <w:sz w:val="28"/>
          <w:sz w:val="28"/>
          <w:szCs w:val="28"/>
          <w:rtl w:val="true"/>
          <w:lang w:bidi="ar-SA"/>
        </w:rPr>
        <w:t xml:space="preserve">لأنّ دخول سمرة إليها يوجب اضرار الأنصاري ، والاضرار محرم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ان إشكال عدم المناسبة بين التعليل والحكم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التحريم التكليفي من 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بحديث الشفعة والمنع من فضل الماء دون حديث قصة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حاول شيخ الشريعة التغلب على هذه المشكلة بدعوى ان فقرة لا ضرر المذكورة في حديث الشفعة والمنع من فضل الماء لم تذكر كتتمة للفقرة الاولى ليرد إشكال عدم المناسبة ، وإنّما ذكرها عاقبة بن خالد من باب نقل روايتين احداهما مستقلة عن الاخرى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قدس‌سره في رسالته التي ألّفها لبحث قاعدة لا ضرر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الراجع في نظري القاصر إرادة النهي التكليفي من حديث الضرر ، وكنت استظهر منه عند البحث عنه في أوقات مختلفة إرادة التحريم التكليفي فقط ، إلاّ انه يثبّطني من الجزم به حديث الشفعة وحديث النهي عن منع فضل الماء ، حيث ان اللفظ واحد ولا مجال لإرادة ما عدا الحكم الوضعي في حديث الشفعة ولا التحريم في النهي عن منع فضل الماء ، بناء على ما اشتهر عند الفريقين من حمل النهي على التنزيه فكنت اتشبّث ببعض الامور في دفع الإشكال إلى ان استرحت في هذه الأواخر وتبيّن عندي انّ حديث الشفعة والناهي عن منع الفضل لم يكونا حال صدورهما من النبي  صلی اللّه عليه وآله وسلم  مذيلين بحديث الضرر وان الجمع بينهما وبينه جمع من الراوي بين روايتين صادرتين عنه  صلی اللّه عليه وآله وسلم  في وقتين مختلفين </w:t>
      </w:r>
      <w:r>
        <w:rPr>
          <w:rFonts w:eastAsia="IRNazanin" w:cs="IRNazanin"/>
          <w:color w:val="111111"/>
          <w:sz w:val="28"/>
          <w:szCs w:val="28"/>
          <w:rtl w:val="true"/>
          <w:lang w:bidi="fa-IR"/>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بيان اثبات الدعوى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كانت رسالة لا ضرر لشيخ الشريعة تعدّ من الرسائل الجيدة في هذا المجال فذلك ليس إلاّ من جهة تحقيقه الذي قام به لإثبات دعوى كون الفقرتين روايتين مستقلتين جمعتا في رواية واحدة في مقام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 في هذه الفكرة جمع من الأعلام منهم الشيخ النائيني والشيخ الاصفهاني ، ولكن لبيانات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ما ذكره شيخ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من النبي صلی اللّه عليه وآله وسلم  قد صدرت كقضاء مستقل ، إلاّ انّ عاقبة بن خالد قد ألحقها بقضية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والناظر إلى حديث عاقبة يتخيّل انّ ذلك الالحاق هو من باب كون قضية لا ضرر علّة للحكم بثبوت الشفعة ، والحال أنّ الأمر ليس كذلك بل هو قضاء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والدليل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أحمد بن حنبل في مسنده الكبير روى عن عبادة بن الصامت مجموعة من الأقضية المستقلة للنبي  صلی اللّه عليه وآله وسلم  ، وذكر من جملتها قضية الشفعة من دون أن تكون مذيّلة بحديث لا ضرر ، وهكذا ذكر من جملتها قضية المنع عن فضل الماء من دون ان يكون مذيلا بقضيّة لا ضرر ، وإنّما ذكر عبادة قضيّة لا ضرر بشكل مستقل عن قضيّة الشفعة وقضيّة فضل الماء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ان يتّضح المطلب ننقل رواية عبادة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قضاء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المعدن جبار والبئر جبار والعجماء جرحها جبار </w:t>
      </w:r>
      <w:r>
        <w:rPr>
          <w:rStyle w:val="FootnoteAnchor"/>
          <w:rtl w:val="true"/>
        </w:rPr>
        <w:footnoteReference w:id="94"/>
      </w:r>
      <w:r>
        <w:rPr>
          <w:rFonts w:ascii="Amiri" w:hAnsi="Amiri" w:eastAsia="Amiri" w:cs="Amiri"/>
          <w:color w:val="111111"/>
          <w:sz w:val="28"/>
          <w:sz w:val="28"/>
          <w:szCs w:val="28"/>
          <w:rtl w:val="true"/>
          <w:lang w:bidi="ar-SA"/>
        </w:rPr>
        <w:t xml:space="preserve">، وقضى في الركاز الخمس ، وقضى انّ ثمر النخل لمن ابّرها إلاّ </w:t>
      </w:r>
    </w:p>
    <w:p>
      <w:pPr>
        <w:pStyle w:val="BookText"/>
        <w:rPr/>
      </w:pPr>
      <w:r>
        <w:rPr>
          <w:rFonts w:ascii="Amiri" w:hAnsi="Amiri" w:eastAsia="Amiri" w:cs="Amiri"/>
          <w:color w:val="111111"/>
          <w:sz w:val="28"/>
          <w:sz w:val="28"/>
          <w:szCs w:val="28"/>
          <w:rtl w:val="true"/>
          <w:lang w:bidi="ar-SA"/>
        </w:rPr>
        <w:t xml:space="preserve">ان يشترط المبتاع ، وقضى ان مال المملوك لمن باعه إلاّ انّ يشترط المبتاع ، وقضى ان الولد للفراش وللعاهر الحجر ، وقضى بالشفعة بين الشركاء في الأرضين والدور ، وقضى لحمل ابن مالك الهذلي بميراثه عن امرأته التي قتلتها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ان لا ضرر ولا ضرار ، وقضى انّه ليس لعرق ظالم حق ، وقضى بين أهل المدينة في النخل لا يمنع نقع البئر ، وقضى بين أهل البادية انّه لا يمنع فضل ماء ليمنع فضل الكلأ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نجد بوضوح في هذه الرواية انّ قضية لا ضرر ذكرت كقضاء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رجعنا إلى روايات الشيعة لوجدنا انّ عاقبة بن خالد ينقل مقدارا كبيرا من تلك الأقضية التي نقلها عبادة ، ولكن لم ينقلها علماؤنا مجموعة في رواية واحدة بل فرقت على الأبواب المختلفة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قارنا بين ما هو المنقول بطرقنا من تلك الأقضية المستقلة وما هو المنقول في رواية عبادة لوجدنا تشابها كبيرا ، الأمر الذي يوجب الوثوق بانّ قضية لا ضرر المذكورة في رواية عاقبة بعد الحكم بالشفعة ذكرت كقضاء مستقل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وبكلمة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وثوق بأنّ ما صدر من النبي  صلی اللّه عليه وآله وسلم  في قضية الشفعة قد صدر غير مذيّل بقضية لا ضرر ، وإنّما عاقبة قد جمع </w:t>
      </w:r>
    </w:p>
    <w:p>
      <w:pPr>
        <w:pStyle w:val="BookText"/>
        <w:rPr/>
      </w:pPr>
      <w:r>
        <w:rPr>
          <w:rFonts w:ascii="Amiri" w:hAnsi="Amiri" w:eastAsia="Amiri" w:cs="Amiri"/>
          <w:color w:val="111111"/>
          <w:sz w:val="28"/>
          <w:sz w:val="28"/>
          <w:szCs w:val="28"/>
          <w:rtl w:val="true"/>
          <w:lang w:bidi="ar-SA"/>
        </w:rPr>
        <w:t>بينهما من باب الجمع بين الروايتين المستقلّتين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حديث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بالنسبة إلى حديث المنع من فضل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شيخ الشريعة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كون عبادة قد فصل بين قضية الشفعة وقضية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كانت الاولى مذيّلة بالثانية ، فصل نتيجة لتصرّف شخصي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بعيد جدا ، خصوصا بعد استقراء رواياته وثبوت ضبطه واتقانه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أجلاّء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الكشّي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السابقين الذين رجعوا إلى أمير المؤمنين  عليه‌ السلام ، كحذيفة وخزيمة بن ثابت وابن التيّهان ، وهو ممّن شهد العقبة الاولى والثانية وبدرا واحدا والخندق والمشاهد كلّها مع رسول اللّه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توضيح ما أفاده قدس‌سره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وخوفا من الاطالة نترك المناقشة إلى مستوى أعلى من البحث إلاّ انّه بشكل مختصر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قدس‌سره لا يتم إلاّ بناء على انّ جملة لا ضرر الصادرة من النبي  صلی اللّه عليه وآله وسلم  قد صدرت مرة واحدة لا أكثر ، امّا إذا افترضنا انّها صدرت مرّتين ؛ مرة كقضاء مستقل نقله عبادة ، وأخرى كتعليل للحكم بالشفعة وفضل الماء فلا يتم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انّ احتمال التعدّد موجود ، ومعه تبطل القرينة المذكورة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قيل دفاعا عن شيخ الشريعة بانّ من يقارن بين الأقضية التي نقلها عبادة والأقضية التي نقلها عاقبة يجد تشابها تاما ، إلاّ من ناحية تذييل قضية الشفعة وفضل الماء بقضية لا ضرر ، وهذا يورث الاطمئنان بأنّهما بصدد نقل شي‌ء واحد صادر من النبي  صلی اللّه عليه وآله وسلم  وليسا </w:t>
      </w:r>
    </w:p>
    <w:p>
      <w:pPr>
        <w:pStyle w:val="BookText"/>
        <w:rPr/>
      </w:pPr>
      <w:r>
        <w:rPr>
          <w:rFonts w:ascii="IRNazanin" w:hAnsi="IRNazanin" w:eastAsia="IRNazanin"/>
          <w:color w:val="111111"/>
          <w:sz w:val="28"/>
          <w:sz w:val="28"/>
          <w:szCs w:val="28"/>
          <w:rtl w:val="true"/>
          <w:lang w:bidi="fa-IR"/>
        </w:rPr>
        <w:t>بصدد نقل شيئين صدرا منه  صلی اللّه عليه وآله وسلم  ؛ وحيث انّ عبادة من أجلاّء الأصحاب ولا يحتمل وجود مصلحة له تدعوه إلى حذف قضية لا ضرر من الذيلية فيثبت انّ قضية لا ضرر الصادرة من النبي  صلی اللّه عليه وآله وسلم  قضية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البيان لا ينفع في ردّه احتمال تعدد الصادر من النبي  صلی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اطمئنانا بكون عاقبة ناظرا في نقله إلى نقل نفس ما ينقله عبادة ، ولا يقصد عاقبة نقل أشياء اخر غير ما ينقله عبادة ، وحيث انّ عبادة دقيق في نقله ولا نحتمل وجود مصلحة له في الفصل فيثبت انّ قضية لا ضرر حينما صدرت من النبي  صلی اللّه عليه وآله وسلم  صدرت مستقلة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قضية لا ضرر في نقل عاقبة لو كانت قضية مستقلة فما معنى اقحامها بين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رسول اللّه  صلی اللّه عليه وآله وسلم  بالشفعة بين الشركاء في الأرضين والمساكن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هاتين الجملتين مرتبطتان بمسألة الشفعة ، واقحام شي‌ء مستقل بينهما أمر غير مناسب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وجمعا بين تصديق عاقبة وتصديق عبادة يمكن ان نفترض انّ عبادة قد سمع مرتين من النبي  صلی اللّه عليه وآله وسلم  قضية لا ضرر ؛ سمعها مرة كقضاء مستقل ، وسمعها اخرى في ذيل قضية الشفعة ، ونقل القضاء المستقل في روايته السابقة وتساهل عن نقلها ثانية كذيل لقضية الشفعة من باب أنّ إسقاطه لا يغيّر في المعنى شيئا ، إذ هو إسقاط للتعليل لا أكثر ؛ وقد شجّعه على ذلك ذكره لقضية لا ضرر بعد ذلك </w:t>
      </w:r>
      <w:bookmarkStart w:id="215" w:name="pg19380_259479"/>
    </w:p>
    <w:p>
      <w:pPr>
        <w:pStyle w:val="BookText"/>
        <w:rPr/>
      </w:pPr>
      <w:bookmarkEnd w:id="215"/>
      <w:r>
        <w:rPr>
          <w:rFonts w:ascii="Amiri" w:hAnsi="Amiri" w:eastAsia="Amiri" w:cs="Amiri"/>
          <w:color w:val="111111"/>
          <w:sz w:val="28"/>
          <w:sz w:val="28"/>
          <w:szCs w:val="28"/>
          <w:rtl w:val="true"/>
          <w:lang w:bidi="ar-SA"/>
        </w:rPr>
        <w:t>كقضاء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سلّمنا بوثاقة عبادة وصحّة الرواية من ناحيته ومن ناحية بقية أفراد السند ، وإلاّ فالمجال للمناقشة واسع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بوثاقة عبادة وجلالته ، ولكن ذلك لا يلزم منه وثاقة جميع أفراد السند غير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ثبوت صحّة الرواية سندا كيف تجعل قرينة على التصرّف في رواية عاقبة بن خالد؟</w:t>
      </w:r>
    </w:p>
    <w:p>
      <w:pPr>
        <w:pStyle w:val="Heading4"/>
        <w:numPr>
          <w:ilvl w:val="3"/>
          <w:numId w:val="1"/>
        </w:numPr>
        <w:rPr/>
      </w:pPr>
      <w:bookmarkStart w:id="216" w:name="__RefHeading___Toc17479303_1280447820"/>
      <w:bookmarkStart w:id="217" w:name="_Toc80"/>
      <w:bookmarkEnd w:id="216"/>
      <w:r>
        <w:rPr>
          <w:rtl w:val="true"/>
        </w:rPr>
        <w:t>نكات اخرى</w:t>
      </w:r>
      <w:bookmarkEnd w:id="217"/>
    </w:p>
    <w:p>
      <w:pPr>
        <w:pStyle w:val="BookText"/>
        <w:rPr/>
      </w:pPr>
      <w:r>
        <w:rPr>
          <w:rFonts w:ascii="Amiri" w:hAnsi="Amiri" w:eastAsia="Amiri" w:cs="Amiri"/>
          <w:color w:val="111111"/>
          <w:sz w:val="28"/>
          <w:sz w:val="28"/>
          <w:szCs w:val="28"/>
          <w:rtl w:val="true"/>
          <w:lang w:bidi="ar-SA"/>
        </w:rPr>
        <w:t xml:space="preserve">ذكر الميرزا في رسالته بعض النكات الاخرى لإثبات انّ قضية لا ضرر قضية مستقلة لا ربط لها بسابقها ، ووافقه السيد الخوئي على بعضها وأشار لها في مصباح الاصول </w:t>
      </w:r>
      <w:r>
        <w:rPr>
          <w:rStyle w:val="FootnoteAnchor"/>
          <w:rtl w:val="true"/>
        </w:rPr>
        <w:footnoteReference w:id="96"/>
      </w:r>
      <w:r>
        <w:rPr>
          <w:rFonts w:ascii="Amiri" w:hAnsi="Amiri" w:eastAsia="Amiri" w:cs="Amiri"/>
          <w:color w:val="111111"/>
          <w:sz w:val="28"/>
          <w:sz w:val="28"/>
          <w:szCs w:val="28"/>
          <w:rtl w:val="true"/>
          <w:lang w:bidi="ar-SA"/>
        </w:rPr>
        <w:t xml:space="preserve">،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قاعدة لا ضرر لا ربط لها بمسألة الشفعة ، فانّ قاعدة لا ضرر تنفي كل حكم يتولّد منه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امّا ان ينشأ من بيع الشريك حصته لشخص ثالث أو ينشأ من لزوم ذلك البيع لا من نفسه ؛ وعلى الأوّل يلزم بطلان البيع وانتفاؤه لا الحكم بصحته وثبوت حق الشفعة للشريك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يلزم انتفاء لزوم البيع وكونه مشتملا على الخيار بحيث يحقّ للشريك الأوّل فسخ البيع ورجوع الحصة المباعة إلى ملك الشريك البائع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كلا التقديرين لا معنى لثبوت الشفعة للشريك بنحو ينقلها </w:t>
      </w:r>
    </w:p>
    <w:p>
      <w:pPr>
        <w:pStyle w:val="BookText"/>
        <w:rPr/>
      </w:pPr>
      <w:r>
        <w:rPr>
          <w:rFonts w:ascii="Amiri" w:hAnsi="Amiri" w:eastAsia="Amiri" w:cs="Amiri"/>
          <w:color w:val="111111"/>
          <w:sz w:val="28"/>
          <w:sz w:val="28"/>
          <w:szCs w:val="28"/>
          <w:rtl w:val="true"/>
          <w:lang w:bidi="ar-SA"/>
        </w:rPr>
        <w:t>إلى ملك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حكم لا يستفاد من قضية لا ضرر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لو قلنا بأنّ حديث لا ضرر يدلّ على لزوم جبران الضرر الوارد على الشخص لأمكن أن يقال بانّ الاستشهاد بقضية لا ضرر هو من باب إفادة انّ الضرر الوارد على الشريك لا بدّ من جبره ، وذلك لا يكون إلاّ بتشريع 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ذلك أنّ حديث نفي الضرر حديث نفي لا حديث إثبات فهو وارد لبيان انتفاء كل حكم يلزم منه الضرر لا اثبات كل حكم ينجبر به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حصيلة النكتة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حقّ الشفعة لو لم يمكنّا استفادته من حديث لا ضرر فهذا لا يعني رفع اليد عن ظهور حديث عاقبة في كون قاعدة لا ضرر ذكرت فيه كذيل وتعليل ، بل ينبغي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التعليل قد خفي علينا ولا نعرفه لا انّه لا يوجد وجه للتعليل وبالتالي ننكر كونه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إمكان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قضية لا ضرر كتعليل يدل على انّ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ممّا نفهمه ، فنحن كنّا نفهم منها انّها واردة لبيان النفي لا اثبات وتشريع ما يجبر به الضرر ، ومن المناسب انّ نرفع اليد عن هذا الفهم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منها الأعم من النفي واثبات التشريع الجابر بقرينة ذكرها ذيلا وتعليلا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بالامكان استفادة ثبوت حق الشفعة من قاعدة لا ضرر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الشريك إذا أراد بيع حصته فالمجتمع والفطرة والعقلاء يحكمون بأحقيّة الشريك الآخر بالحصة فيما إذا استعدّ لأخذها بالثمن </w:t>
      </w:r>
    </w:p>
    <w:p>
      <w:pPr>
        <w:pStyle w:val="BookText"/>
        <w:rPr/>
      </w:pPr>
      <w:r>
        <w:rPr>
          <w:rFonts w:ascii="Amiri" w:hAnsi="Amiri" w:eastAsia="Amiri" w:cs="Amiri"/>
          <w:color w:val="111111"/>
          <w:sz w:val="28"/>
          <w:sz w:val="28"/>
          <w:szCs w:val="28"/>
          <w:rtl w:val="true"/>
          <w:lang w:bidi="ar-SA"/>
        </w:rPr>
        <w:t>الذي يطلبه بائعها ، فانّ غرض البائع ليس إلاّ تحصيل الثمن والمفروض انّ الشريك الآخر يبذله ، وبيع الحصة لغيره دونه ادخال للشريك عليه دون أي 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الحق ثابت للشريك ، فإذا لم يشرّع له حق الشفعة لزم سلب حقه ، وسلب الحق نحو من أنحاء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الضرر لا يختص بالنقص في المال أو البدن ، بل يعمّ عدم منح صاحب الحق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هناك بعض الحقوق الاجتماعية لم يمضها الشارع فعدم منحها لا يعدّ ضررا ، من قبيل عدم تزويج بنت العمّ لابن 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مثل حق الشفعة فهو حق اجتماعي وعقلائي وقد أمضاه الشارع ، وسلب مثله وعدم منحه يعدّ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انّ الضرر اللازم في المقام ليس هو في البيع نفسه ولا في لزومه ، بل في عدم إعمال حق الشريك الذي تولّد بسبب بيع الشريك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النكتة ناظرة إلى حديث فضل الماء ، وحاصلها انّ قضية لا ضرر لا يمكن أن تكون ذيلا وعلّة للحكم بالمنع عن فضل الماء ، لأن الشخص الذي له بئر وفضل قسم من مائها له الحق في منع الآخرين من الاستفادة من مائها لأنّها ملكه وحقه ، غايته ان منعه الآخرين مكروه ومرجوح لا انّه محرّم ، ومع كون المنع جائزا ومرجوحا فلا معنى لتعليله بقضية لا ضرر التي تدل على حكم لزومي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التعليل بقضية لا ضرر يدل على انّ منع الآخرين من الاستفادة من فاضل الماء محرم ، والحال ان المنع مكروه ، وتعليل المنع </w:t>
      </w:r>
    </w:p>
    <w:p>
      <w:pPr>
        <w:pStyle w:val="BookText"/>
        <w:rPr/>
      </w:pPr>
      <w:r>
        <w:rPr>
          <w:rFonts w:ascii="Amiri" w:hAnsi="Amiri" w:eastAsia="Amiri" w:cs="Amiri"/>
          <w:color w:val="111111"/>
          <w:sz w:val="28"/>
          <w:sz w:val="28"/>
          <w:szCs w:val="28"/>
          <w:rtl w:val="true"/>
          <w:lang w:bidi="ar-SA"/>
        </w:rPr>
        <w:t>المكروه بما يدل على التحريم غير وجيه ، وعليه فيتعين ان تكون قضية لا ضرر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هذه النكتة يرتبط بتحقيق الحال في مسألة المنع عن فضل الماء وهل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لصاحب البئر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المعروف انّ من حفر بئرا أو عينا فهو مالك لها ، سواء كان ذلك الحفر في أرض مباحة أو في التي هي ملكه ، إلاّ انّ بالامكان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يملكها أو بالأحرى يملكها في حدود حاجته ، ولا بدّ له من فسح المجال أمام الآخرين بالمقدار الزائد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الملكيّة ، امّا قاعدة من حاز ملك ، أو السيرة العقلائية على انّ من حفر بئرا أو استخرج معدنا فهو ملك له ، أو هو الاجماع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قاعدة من حاز ملك فهي مردودة ، باعتبار انّها ليست مدلولا لدليل لفظي ليتمسك باطلاقه وإنّما مستندها السيرة العقلائية ؛ وعليه فيلزم الرجوع إلى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مدفوعة بأن القدر المتيقن منها الحكم بملك الحائز فيما إذا كانت الحيازة للطير أو للسمك أو للأرض أو لغير ذلك مما هو في حدود حاجة الحائز ، اما إذا حاز مقدارا أكبر من حاجته فلا يحرز التعامل معه معاملة المالك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ثبوت مثل هذه السيرة على اطلاقها فهي لا تكون حجة إلاّ مع الامضاء الشرعي ، وهو غير ثابت لاحتمال الردع بمثل رواية عاقبة وغيرها التي نهي فيها عن فضل الماء ليمنع من فضل الكلأ</w:t>
      </w:r>
      <w:r>
        <w:rPr>
          <w:rFonts w:eastAsia="Amiri" w:cs="Amiri" w:ascii="Amiri" w:hAnsi="Amiri"/>
          <w:color w:val="111111"/>
          <w:sz w:val="28"/>
          <w:szCs w:val="28"/>
          <w:rtl w:val="true"/>
          <w:lang w:bidi="ar-SA"/>
        </w:rPr>
        <w:t xml:space="preserve">. </w:t>
      </w:r>
      <w:bookmarkStart w:id="218" w:name="pg19380_259483"/>
    </w:p>
    <w:p>
      <w:pPr>
        <w:pStyle w:val="BookText"/>
        <w:rPr/>
      </w:pPr>
      <w:bookmarkEnd w:id="218"/>
      <w:r>
        <w:rPr>
          <w:rFonts w:ascii="Amiri" w:hAnsi="Amiri" w:eastAsia="Amiri" w:cs="Amiri"/>
          <w:color w:val="111111"/>
          <w:sz w:val="28"/>
          <w:sz w:val="28"/>
          <w:szCs w:val="28"/>
          <w:rtl w:val="true"/>
          <w:lang w:bidi="ar-SA"/>
        </w:rPr>
        <w:t>وإذا قيل بأنّ هذه الرواية لم تثبت حجيتها لضعف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وانّ كانت ضعيفة السند إلاّ انّه يحتمل صدورها واقعا ، ومع ثبوت الاحتمال المذكور فلا نجزم بعدم الردع وبالتالي لا يجزم بالامضاء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الاجماع التعبّدي فهو مدفوع بمخالفة الشيخ الطوسي ، حيث ذكر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يملك البئر فانّه أحق بمائها بقدر حاجته لشربه وشرب ماشيته وسقي زرعه ، فإذا فضل بعد ذلك شي‌ء وجب عليه بذله بلا عوض لمن احتاج إليه لشربه وشرب ماشيته من السابلة وغيرهم ، وليس له منع الماء الفاضل من حاجته حتى لا يتمكن غيره من رعي الكلأ الذي يقرب ذلك الماء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التعليل بقاعدة لا ضرر من هذه الناحية</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7479305_1280447820"/>
      <w:bookmarkStart w:id="220" w:name="_Toc81"/>
      <w:bookmarkEnd w:id="219"/>
      <w:r>
        <w:rPr/>
        <w:t>5</w:t>
      </w:r>
      <w:r>
        <w:rPr>
          <w:rtl w:val="true"/>
        </w:rPr>
        <w:t xml:space="preserve"> - </w:t>
      </w:r>
      <w:r>
        <w:rPr>
          <w:rtl w:val="true"/>
        </w:rPr>
        <w:t>توضيح مفردات الحديث</w:t>
      </w:r>
      <w:bookmarkEnd w:id="220"/>
    </w:p>
    <w:p>
      <w:pPr>
        <w:pStyle w:val="BookText"/>
        <w:rPr/>
      </w:pPr>
      <w:r>
        <w:rPr>
          <w:rFonts w:ascii="Amiri" w:hAnsi="Amiri" w:eastAsia="Amiri" w:cs="Amiri"/>
          <w:color w:val="111111"/>
          <w:sz w:val="28"/>
          <w:sz w:val="28"/>
          <w:szCs w:val="28"/>
          <w:rtl w:val="true"/>
          <w:lang w:bidi="ar-SA"/>
        </w:rPr>
        <w:t xml:space="preserve">اشتمل الحديث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بدّ من توضيح المقصود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الضرر فقد ذكر غير واحد أنّه النقص في المال أو البدن أو العرض</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يقيد ذلك بما إذا كان النقص موجبا لوقوع الشخص في الضيق والشدّة؛فالتاجر الذي يملك الملايين إذا ضاع منه بعض الدنانير لا يصدق عليه انّه تضرر ، بخلاف ذلك في الفقير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والمناسب عدم تخصيص الضرر بالنقص في أحد الامور الثلاثة المتقدمة ، بل تعميمه للنقص في الحق أيضا ؛ فمن كان له حق عقلائي وشرعي في قضية معيّنة فالمنع من ممارسته لحقه المذكور ضرر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من حق الشخص ان يعيش في داره حرّا ، والحيلولة دون ممارسة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حال سمرة دون إعمال الأنصاري حقّه هذا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 كل إنسان ممارسة أي عمل شرعي كالتصدير والاستيراد ونحو ذلك من الأعمال ، والحيلولة دون ذلك ضرر فيما إذا لم يشكّل ذلك خطرا من ناحية اخرى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مثل حق الطباعة والنشر والتأليف وحقّ الاختراع ، وأمثال ذلك من الحقوق المتداولة في يومنا هذا فهي لو ثبت كونها حقوقا عقلائية وشرعية لأمكن ان تعدّ طباعة الغير للكتاب تضييعا لحق دار النشر والطباعة ، ومن ثمّ يلزم أن يكون ذلك محرما ، إلاّ انّ كون هذه حقوقا عقلائية وشرعية لأصحابها أوّل الكلام ، فان كل دار نشر لديها جهاز خاص بالطباعة لنفسها ، ولها حقّ التصرف في جهازها وأوراقها والأدوات الخاصة بها ، والحيلولة دون ممارسة حقّها هذا هو الذي يعدّ ضررا ، وإذا مارست حقها هذا لم يعد ذلك اضرارا بدار النشر التي احتفظت بهذا الحق لنفسها ، فانّ هذا الحق الذي احتفظت به لنفسها ليس حقا في نظر الشرع والعقلاء ؛ وأي حق يتولد بمجرد الكتابة على صفحة 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حقوق الطبع محفوظة لدار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يحتمل ان طبعه </w:t>
      </w:r>
    </w:p>
    <w:p>
      <w:pPr>
        <w:pStyle w:val="BookText"/>
        <w:rPr/>
      </w:pPr>
      <w:r>
        <w:rPr>
          <w:rFonts w:ascii="Amiri" w:hAnsi="Amiri" w:eastAsia="Amiri" w:cs="Amiri"/>
          <w:color w:val="111111"/>
          <w:sz w:val="28"/>
          <w:sz w:val="28"/>
          <w:szCs w:val="28"/>
          <w:rtl w:val="true"/>
          <w:lang w:bidi="ar-SA"/>
        </w:rPr>
        <w:t>للكتاب قبل غيره ومسارعته إلى ذلك يولّد له حقا؟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ان ذلك مضحك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نحن نسلّم ان بعض هذه أو كلها لو ثبت كونها حقوقا عقلائية وشرعية فالتجاوز عليها ضرر ، إلاّ ان الكلام في كونها حقوقا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النتيجة التي نريد الخروج بها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لا يختص بالنقص في المال أو العرض أو البدن ، بل التجاوز على حقوق الآخرين والتعدّي عليها ضرر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الضرر والضرار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عرفنا فيما سبق ان مادة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كلمة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النقص ، وكلتا الكلمتين تشتركان في هذا المعنى ، وذلك نقطة اشتراك بينهما ، ولكن ما هي مادة الامتياز؟</w:t>
      </w:r>
    </w:p>
    <w:p>
      <w:pPr>
        <w:pStyle w:val="BookText"/>
        <w:rPr/>
      </w:pPr>
      <w:r>
        <w:rPr>
          <w:rFonts w:ascii="Amiri" w:hAnsi="Amiri" w:eastAsia="Amiri" w:cs="Amiri"/>
          <w:color w:val="111111"/>
          <w:sz w:val="28"/>
          <w:sz w:val="28"/>
          <w:szCs w:val="28"/>
          <w:rtl w:val="true"/>
          <w:lang w:bidi="ar-SA"/>
        </w:rPr>
        <w:t>فمثلا كلمة كتب وكاتب تشتركان في الدلالة على أصل الكتابة ، ولكن بالرغم من هذا الاشتراك تمتاز كل واحدة عن الأخرى في نقطة ، وهي ان كتب تدل على الكتابة بنحو تلبّس الفاعل بها في الزمن السابق ، وهذا بخلاف كاتب فانّها تدل على التلبّس الفعلي من دون دلالة على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في مقامنا عن الفارق بين كلمة ضرر وضرار بعد اشتراكهما في الدلالة على أصل النقص</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يفرّق بينهما بان الضرر اسم مصدر ، بينما الضرار 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والفارق بين المصدر واسمه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الكلمة تارة تدل على مجرد الحدث مع قطع النظر عن حيثيّة صدوره من الفاعل ، أو بالأحرى من دون دلالتها على النسبة إلى الفاعل ، وأخرى تدل عليه مع ملاحظة حيثيّة صدوره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اسم المصدر ، والثاني هو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العلم إذا لوحظ منسوبا إلى الفاعل وقيل علم زيد بالقضية ثابت فهو مصدر ، أمّا إذا قيل العلم خير من الجهل فهو اسم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وغالبا لا فرق بين المصدر واسمه في اللفظ في اللغة العربية </w:t>
      </w:r>
      <w:r>
        <w:rPr>
          <w:rStyle w:val="FootnoteAnchor"/>
          <w:rtl w:val="true"/>
        </w:rPr>
        <w:footnoteReference w:id="99"/>
      </w:r>
      <w:r>
        <w:rPr>
          <w:rFonts w:ascii="IRNazanin" w:hAnsi="IRNazanin" w:eastAsia="IRNazanin"/>
          <w:color w:val="111111"/>
          <w:sz w:val="28"/>
          <w:sz w:val="28"/>
          <w:szCs w:val="28"/>
          <w:rtl w:val="true"/>
          <w:lang w:bidi="fa-IR"/>
        </w:rPr>
        <w:t xml:space="preserve">، بينما على العكس في اللغة الفارسية ، حيث يختم المصدر بالنون بخلاف اسم المصدر فيقال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وگفتار ، ورفتن ورفتار ، وكشتن وكشتار ، وكتك وزدن ، و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ان نمثل للمصدر واسمه المختلفين في اللغة العربية فيمكن ان نمثل بالضرر والضرار ؛ فان الضرر هو نفس النقص بلا لحاظ حيثية صدوره من الفاعل،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فلان عظيم يقصد انّ نفس النقيصة فاحشة وعظيمة ، ولا يراد انّ النقيصة التي أدخلها وفعلها فلان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حيثيّة فعلها من فلان أو فلان ليست ملحوظة ، وإنّما الملحوظ هو النقص بما هو نقص بقطع النظر عن صدوره من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بخلاف الضرار فان حيثية الصدور من الفاعل ملحوظة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فلان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الذي قام به فلان وصدر منه عظيم</w:t>
      </w:r>
      <w:r>
        <w:rPr>
          <w:rFonts w:eastAsia="Amiri" w:cs="Amiri" w:ascii="Amiri" w:hAnsi="Amiri"/>
          <w:color w:val="111111"/>
          <w:sz w:val="28"/>
          <w:szCs w:val="28"/>
          <w:rtl w:val="true"/>
          <w:lang w:bidi="ar-SA"/>
        </w:rPr>
        <w:t xml:space="preserve">. </w:t>
      </w:r>
      <w:bookmarkStart w:id="221" w:name="pg19380_259487"/>
    </w:p>
    <w:p>
      <w:pPr>
        <w:pStyle w:val="Heading3"/>
        <w:numPr>
          <w:ilvl w:val="2"/>
          <w:numId w:val="1"/>
        </w:numPr>
        <w:rPr/>
      </w:pPr>
      <w:bookmarkStart w:id="222" w:name="__RefHeading___Toc17479307_1280447820"/>
      <w:bookmarkStart w:id="223" w:name="_Toc82"/>
      <w:bookmarkEnd w:id="221"/>
      <w:bookmarkEnd w:id="222"/>
      <w:r>
        <w:rPr>
          <w:rtl w:val="true"/>
        </w:rPr>
        <w:t>معنى الضرار</w:t>
      </w:r>
      <w:bookmarkEnd w:id="223"/>
    </w:p>
    <w:p>
      <w:pPr>
        <w:pStyle w:val="BookText"/>
        <w:rPr/>
      </w:pPr>
      <w:r>
        <w:rPr>
          <w:rFonts w:ascii="Amiri" w:hAnsi="Amiri" w:eastAsia="Amiri" w:cs="Amiri"/>
          <w:color w:val="111111"/>
          <w:sz w:val="28"/>
          <w:sz w:val="28"/>
          <w:szCs w:val="28"/>
          <w:rtl w:val="true"/>
          <w:lang w:bidi="ar-SA"/>
        </w:rPr>
        <w:t xml:space="preserve">بعد ان عرفنا ان الضرار مصدر نسأل عن معناه ، إذ الضرار يحتمل كونه مصدرا لضرّ ، ويحتمل كونه مصدرا لضارّ ؛ فان ضرّ يأتي مصدره ضرا وضرارا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على وزن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مصدره على وزن فعال ومفاعلة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ومضارة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إذا كان مصدرا لضارّ ، يقال بان الضرار مصدر باب المفاعلة ؛ إذ مصدر ضارّ وإن لم ينحصر بالمفاعلة بل يأتي مصدره على وزن فعال ، إلاّ انّه ينسب إلى باب المفاعلة من باب النسبة إلى أشهر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إذا كان الضرار مصدرا 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مصدرا من باب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بدلالته على المشاركة ، أي لا يضرّ هذا ذاك ولا ذاك هذا فان المنسوب إلى جملة من اللغويين ان باب المفاعلة موضوع للمشاركة ، فقاتل زيد عمرا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ذاك وذاك قاتل هذا ، إلاّ ان النسبة في أحدهما أصلية وفي الآخر تبعية ، فالنسبة بلحاظ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بينما بلحاظ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الشيخ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على ذلك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دلالة باب المفاعلة على المشاركة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تتبّعت القرآن من أوله إلى آخره فلم أجد استعمال باب المفاعلة في الدلالة على المشاركة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أي حال ، سواء تمّ ما أفاده أو لا ففي خصوص الحديث لم يقصد من كلمة الضرار الدلالة على المشاركة ، إذ الضرر كان صادرا من سمرة فقط دون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يأتي إن شاء اللّه تعالى في النقطة التالية أنّ استشهاد الرسول  صلی اللّه عليه وآله وسلم  إنما هو بفقرة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عدم كون المشاركة مقصودة فما هو المقصود إذن؟</w:t>
      </w:r>
    </w:p>
    <w:p>
      <w:pPr>
        <w:pStyle w:val="BookText"/>
        <w:rPr/>
      </w:pPr>
      <w:r>
        <w:rPr>
          <w:rFonts w:ascii="Amiri" w:hAnsi="Amiri" w:eastAsia="Amiri" w:cs="Amiri"/>
          <w:color w:val="111111"/>
          <w:sz w:val="28"/>
          <w:sz w:val="28"/>
          <w:szCs w:val="28"/>
          <w:rtl w:val="true"/>
          <w:lang w:bidi="ar-SA"/>
        </w:rPr>
        <w:t>ان المصدر وان دلّ على صدور الحدث من الفاعل ، إلاّ ان هذا المقدار قضية تشترك فيها جميع المصادر ، ولكن دلالة بعض المصادر تختلف عن دلالة بعضها الآخر ، والسؤال عن دلالة هيئة الضرار ما هي؟</w:t>
      </w:r>
    </w:p>
    <w:p>
      <w:pPr>
        <w:pStyle w:val="BookText"/>
        <w:rPr/>
      </w:pPr>
      <w:r>
        <w:rPr>
          <w:rFonts w:ascii="Amiri" w:hAnsi="Amiri" w:eastAsia="Amiri" w:cs="Amiri"/>
          <w:color w:val="111111"/>
          <w:sz w:val="28"/>
          <w:sz w:val="28"/>
          <w:szCs w:val="28"/>
          <w:rtl w:val="true"/>
          <w:lang w:bidi="ar-SA"/>
        </w:rPr>
        <w:t xml:space="preserve">لا يبعد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صدور الضرر من الفاعل أمّا بنحو الاستمرار والتكرّر ، أو بنحو التقصّد والتعمّد واتّخاذ ذريعة باطلة إليه ، فلا ضرار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منكم الضرر متقصدين إليه ومتشبّثين ببعض الذرائع الواهية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الاستعمالات القرآنية تساعد على ذلك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فَبَلَغْنَ أَجَلَهُنَّ فَأَمْسِكُوهُنَّ بِمَعْرُوفٍ أَوْ سَرِّحُوهُنَّ بِمَعْرُوفٍ وَلا تُمْسِكُوهُنَّ ضِراراً لِتَعْتَدُوا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اتَّخَذُوا مَسْجِداً ضِراراً وَكُفْراً وَتَفْرِيقاً بَيْنَ الْمُؤْمِنِينَ </w:t>
      </w:r>
      <w:r>
        <w:rPr>
          <w:rFonts w:eastAsia="Amiri" w:cs="Amiri" w:ascii="Amiri" w:hAnsi="Amiri"/>
          <w:color w:val="111111"/>
          <w:sz w:val="28"/>
          <w:szCs w:val="28"/>
          <w:rtl w:val="true"/>
          <w:lang w:bidi="ar-SA"/>
        </w:rPr>
        <w:t xml:space="preserve">... ) </w:t>
      </w:r>
      <w:r>
        <w:rPr>
          <w:rStyle w:val="FootnoteAnchor"/>
          <w:rtl w:val="true"/>
        </w:rPr>
        <w:footnoteReference w:id="10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يُضَارَّ كاتِبٌ وَلا شَهِيدٌ </w:t>
      </w:r>
      <w:r>
        <w:rPr>
          <w:rFonts w:eastAsia="Amiri" w:cs="Amiri" w:ascii="Amiri" w:hAnsi="Amiri"/>
          <w:color w:val="111111"/>
          <w:sz w:val="28"/>
          <w:szCs w:val="28"/>
          <w:rtl w:val="true"/>
          <w:lang w:bidi="ar-SA"/>
        </w:rPr>
        <w:t xml:space="preserve">... ) </w:t>
      </w:r>
      <w:r>
        <w:rPr>
          <w:rStyle w:val="FootnoteAnchor"/>
          <w:rtl w:val="true"/>
        </w:rPr>
        <w:footnoteReference w:id="104"/>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bookmarkStart w:id="224" w:name="pg19380_259489"/>
    </w:p>
    <w:p>
      <w:pPr>
        <w:pStyle w:val="BookText"/>
        <w:rPr/>
      </w:pPr>
      <w:bookmarkEnd w:id="22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rtl w:val="true"/>
          <w:lang w:bidi="ar-SA"/>
        </w:rPr>
        <w:t xml:space="preserve">... ) </w:t>
      </w:r>
      <w:r>
        <w:rPr>
          <w:rStyle w:val="FootnoteAnchor"/>
          <w:rtl w:val="true"/>
        </w:rPr>
        <w:footnoteReference w:id="10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المستخلصة من كل هذا أنّ كلمة الضرر تدل على نفس النقص ، وكلمة الضرار تدل على الضرر الصادر من الفاعل عن تعمّد وقصد</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7479309_1280447820"/>
      <w:bookmarkStart w:id="226" w:name="_Toc83"/>
      <w:bookmarkEnd w:id="225"/>
      <w:r>
        <w:rPr/>
        <w:t>6</w:t>
      </w:r>
      <w:r>
        <w:rPr>
          <w:rtl w:val="true"/>
        </w:rPr>
        <w:t xml:space="preserve"> - </w:t>
      </w:r>
      <w:r>
        <w:rPr>
          <w:rtl w:val="true"/>
        </w:rPr>
        <w:t>المقصود من قاعدة لا ضرر</w:t>
      </w:r>
      <w:bookmarkEnd w:id="226"/>
    </w:p>
    <w:p>
      <w:pPr>
        <w:pStyle w:val="Heading4"/>
        <w:numPr>
          <w:ilvl w:val="3"/>
          <w:numId w:val="1"/>
        </w:numPr>
        <w:rPr/>
      </w:pPr>
      <w:bookmarkStart w:id="227" w:name="__RefHeading___Toc17479311_1280447820"/>
      <w:bookmarkStart w:id="228" w:name="_Toc84"/>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بعد أن عرفنا المقصود من كلمة الضرر والضرار يقع الكلام في المقصود من مجموع الجملة وأنّه ما ذا تريد أن تقول وتبيّن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نقطة من نقاط البحث عن قاعدة لا ضرر هي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الاجابة عن هذا التساؤل ، ونذكر المهمّ منها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النهي وإفادة تحريم الضرر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ذكره الآخوند في الكفاية ، واختاره شيخ الشريعة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نفي الضرر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المنسوب للفاضل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نفي تشريع الحكم الذي يستلزم الضرر ويسببه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اختاره الشيخ الاعظم والميرزا والسيد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نفي الحكم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اختاره الآخوند الخراساني في الكفاية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فيما بعد إن شاء اللّه تعالى توضيح الفرق بين هذا الرأي وما قبله</w:t>
      </w:r>
      <w:r>
        <w:rPr>
          <w:rFonts w:eastAsia="Amiri" w:cs="Amiri" w:ascii="Amiri" w:hAnsi="Amiri"/>
          <w:color w:val="111111"/>
          <w:sz w:val="28"/>
          <w:szCs w:val="28"/>
          <w:rtl w:val="true"/>
          <w:lang w:bidi="ar-SA"/>
        </w:rPr>
        <w:t xml:space="preserve">. </w:t>
      </w:r>
      <w:bookmarkStart w:id="229" w:name="pg19380_259490"/>
    </w:p>
    <w:p>
      <w:pPr>
        <w:pStyle w:val="BookText"/>
        <w:rPr/>
      </w:pPr>
      <w:bookmarkEnd w:id="229"/>
      <w:r>
        <w:rPr>
          <w:rFonts w:ascii="Amiri" w:hAnsi="Amiri" w:eastAsia="Amiri" w:cs="Amiri"/>
          <w:color w:val="111111"/>
          <w:sz w:val="28"/>
          <w:sz w:val="28"/>
          <w:szCs w:val="28"/>
          <w:rtl w:val="true"/>
          <w:lang w:bidi="ar-SA"/>
        </w:rPr>
        <w:t>وبعد هذا نأخذ بالتحدّث بشكل مختصر عن كل واحد من هذه الآراء ، ثم بيان ما هو المختار</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7479313_1280447820"/>
      <w:bookmarkStart w:id="231" w:name="_Toc85"/>
      <w:bookmarkEnd w:id="230"/>
      <w:r>
        <w:rPr>
          <w:rtl w:val="true"/>
        </w:rPr>
        <w:t>توضيح الرأي الأول</w:t>
      </w:r>
      <w:bookmarkEnd w:id="231"/>
    </w:p>
    <w:p>
      <w:pPr>
        <w:pStyle w:val="BookText"/>
        <w:rPr/>
      </w:pPr>
      <w:r>
        <w:rPr>
          <w:rFonts w:ascii="Amiri" w:hAnsi="Amiri" w:eastAsia="Amiri" w:cs="Amiri"/>
          <w:color w:val="111111"/>
          <w:sz w:val="28"/>
          <w:sz w:val="28"/>
          <w:szCs w:val="28"/>
          <w:rtl w:val="true"/>
          <w:lang w:bidi="ar-SA"/>
        </w:rPr>
        <w:t xml:space="preserve">ان تفسير القاعدة بالتحريم التكليفي للضرر يمكن ان يتم بأحد الطرق الثلاث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في النهي بنحو المجاز والاستعمال في المعنى غير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خبر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الجملة مستعملة في الإخبار عن النفي بقصد النهي ، نظير استعمال جملة بعت بداعي الانشاء</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7479315_1280447820"/>
      <w:bookmarkStart w:id="233" w:name="_Toc86"/>
      <w:bookmarkEnd w:id="232"/>
      <w:r>
        <w:rPr>
          <w:rtl w:val="true"/>
        </w:rPr>
        <w:t>الدليل على الرأي الاول</w:t>
      </w:r>
      <w:bookmarkEnd w:id="233"/>
    </w:p>
    <w:p>
      <w:pPr>
        <w:pStyle w:val="BookText"/>
        <w:rPr/>
      </w:pPr>
      <w:r>
        <w:rPr>
          <w:rFonts w:ascii="Amiri" w:hAnsi="Amiri" w:eastAsia="Amiri" w:cs="Amiri"/>
          <w:color w:val="111111"/>
          <w:sz w:val="28"/>
          <w:sz w:val="28"/>
          <w:szCs w:val="28"/>
          <w:rtl w:val="true"/>
          <w:lang w:bidi="ar-SA"/>
        </w:rPr>
        <w:t>ان كيفية تخريج إرادة النهي من الحديث ليس بمهم ، وإنّما المهم إقامة الدليل على اثبات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كلمات شيخ الشريعة في رسالة لا ضرر وجدناه يذكر الوجوه التالية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الشائع من الاستعمال المذكور إرادة النهي ،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لَكَ فِي الْحَياةِ أَنْ تَقُولَ لا مِساسَ </w:t>
      </w:r>
      <w:r>
        <w:rPr>
          <w:rFonts w:eastAsia="Amiri" w:cs="Amiri" w:ascii="Amiri" w:hAnsi="Amiri"/>
          <w:color w:val="111111"/>
          <w:sz w:val="28"/>
          <w:szCs w:val="28"/>
          <w:rtl w:val="true"/>
          <w:lang w:bidi="ar-SA"/>
        </w:rPr>
        <w:t xml:space="preserve">... ) </w:t>
      </w:r>
      <w:r>
        <w:rPr>
          <w:rStyle w:val="FootnoteAnchor"/>
          <w:rtl w:val="true"/>
        </w:rPr>
        <w:footnoteReference w:id="107"/>
      </w:r>
      <w:r>
        <w:rPr>
          <w:rFonts w:ascii="IRNazanin" w:hAnsi="IRNazanin" w:eastAsia="IRNazanin"/>
          <w:color w:val="111111"/>
          <w:sz w:val="28"/>
          <w:sz w:val="28"/>
          <w:szCs w:val="28"/>
          <w:rtl w:val="true"/>
          <w:lang w:bidi="fa-IR"/>
        </w:rPr>
        <w:t xml:space="preserve">، ومن قبيل قوله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طاعة لمخلوق في معصية </w:t>
      </w:r>
    </w:p>
    <w:p>
      <w:pPr>
        <w:pStyle w:val="BookText"/>
        <w:rPr/>
      </w:pP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الشواهد التي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في المقام ان الآخوند ذكر في الكفاية ان استعمال التركيب المذكور لإفادة النهي غير معهود ، بينما شيخ الشريعة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أشكلنا على شيخ الشريعة بأنّ استعمال التركيب المذكور في غير النهي معهود أيضا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بأنّ الأمثلة المذكورة لا يصح الاستشهاد بها ، لأنّ الشارع المقدّس قد أعطى للربا حكما معينا وهو الحرمة ، وقد أثبت ذلك لطبيعيّه ، واريد بالجملة المذكورة نفي الموضوع وتنزيله منزلة العدم بلحاظ بعض أفراده ، وكأنّه يراد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 ليس من الربا ، ومن ثمّ لا يثبت له الحكم الثابت لطبيعي الربا وهو الحرمة ؛ وأين ذلك من المقام الذي لا يوجد فيه حكم عام للضرر ليراد نفي ذلك الحكم من خلال تنزيل بعض أفراده 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بالتبادر وان الأذهان الفارغة من الشبهات العلمية لا تنسبق إلاّ إليه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الوارد في الحديث انّ النبيّ  صلی اللّه عليه وآله وسلم  قال 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رجل مضار ولا ضرر ولا ضرار 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بمنزلة صغرى وكبرى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مضار ، والمضارة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وجيه ، بينما لو كان المقصود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تمسّني</w:t>
      </w:r>
      <w:r>
        <w:rPr>
          <w:rFonts w:eastAsia="IRNazanin" w:cs="IRNazanin"/>
          <w:color w:val="111111"/>
          <w:sz w:val="28"/>
          <w:szCs w:val="28"/>
          <w:rtl w:val="true"/>
          <w:lang w:bidi="fa-IR"/>
        </w:rPr>
        <w:t xml:space="preserve">. </w:t>
      </w:r>
      <w:bookmarkStart w:id="234" w:name="pg19380_259492"/>
    </w:p>
    <w:p>
      <w:pPr>
        <w:pStyle w:val="BookText"/>
        <w:rPr/>
      </w:pPr>
      <w:bookmarkEnd w:id="234"/>
      <w:r>
        <w:rPr>
          <w:rFonts w:ascii="Amiri" w:hAnsi="Amiri" w:eastAsia="Amiri" w:cs="Amiri"/>
          <w:color w:val="111111"/>
          <w:sz w:val="28"/>
          <w:sz w:val="28"/>
          <w:szCs w:val="28"/>
          <w:rtl w:val="true"/>
          <w:lang w:bidi="ar-SA"/>
        </w:rPr>
        <w:t xml:space="preserve">نفي الحكم الضرري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رجل مضار ، والحكم الضرري منتف، ولا يظن بالأذهان المستقيمة ارتضاءه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أهل اللغة على فهم النهي من الحديث</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7479317_1280447820"/>
      <w:bookmarkStart w:id="236" w:name="_Toc87"/>
      <w:bookmarkEnd w:id="235"/>
      <w:r>
        <w:rPr>
          <w:rtl w:val="true"/>
        </w:rPr>
        <w:t>مناقشة أدلّة شيخ الشريعة</w:t>
      </w:r>
      <w:bookmarkEnd w:id="236"/>
    </w:p>
    <w:p>
      <w:pPr>
        <w:pStyle w:val="BookText"/>
        <w:rPr/>
      </w:pPr>
      <w:r>
        <w:rPr>
          <w:rFonts w:ascii="Amiri" w:hAnsi="Amiri" w:eastAsia="Amiri" w:cs="Amiri"/>
          <w:color w:val="111111"/>
          <w:sz w:val="28"/>
          <w:sz w:val="28"/>
          <w:szCs w:val="28"/>
          <w:rtl w:val="true"/>
          <w:lang w:bidi="ar-SA"/>
        </w:rPr>
        <w:t xml:space="preserve">ويمكن مناقشة الوجوه المذكورة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الأول فلأنّ مجرد استعمال التركيب المذكور في جملة من الموارد لإفادة النهي لا يعني ان التركيب المذكور اينما ورد يلزم حمله على ذلك بل لا بدّ من ملاحظة المناسبات والنكات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توجد بعض النكات التي تعيق عن ذلك ، فان الضرر على ما تقدم هو نفس النقص بدون التفات إلى حيثيّة الصدور من الفاعل ، والنهي عن نفس النقص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الضرار حيث ان الملحوظ فيه حيثية الصدور من الفاعل فاستعماله لإفادة النهي وجيه ، ويصير لا ضرار بمنزلة لا إضرار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يتضح ان المناسب هو التفكيك بين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فالثانية تفيد النهي دون الاولى ؛ ولا ينبغي ملاحظة الجملتين كجملة واحدة بدون تفكيك بينهما ، انّه خطأ لا توجيه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كلمات المشهور وإن كان عدم التفكيك بينهما إلاّ ان المناسب هو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فعهدة دعوى التبادر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فلأنّ استفادة الصغرى والكبرى وإن كانت أمرا وجيها إلاّ انّه يكفي لذلك تفسير فقرة لا ضرار بالنهي ، ولا يتوقف على تفسير الفقرة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w:t>
      </w:r>
      <w:r>
        <w:rPr>
          <w:rFonts w:eastAsia="Amiri" w:cs="Amiri" w:ascii="Amiri" w:hAnsi="Amiri"/>
          <w:color w:val="111111"/>
          <w:sz w:val="28"/>
          <w:szCs w:val="28"/>
          <w:rtl w:val="true"/>
          <w:lang w:bidi="ar-SA"/>
        </w:rPr>
        <w:t xml:space="preserve">. </w:t>
      </w:r>
      <w:bookmarkStart w:id="237" w:name="pg19380_259493"/>
    </w:p>
    <w:p>
      <w:pPr>
        <w:pStyle w:val="BookText"/>
        <w:rPr/>
      </w:pPr>
      <w:bookmarkEnd w:id="237"/>
      <w:r>
        <w:rPr>
          <w:rFonts w:ascii="Amiri" w:hAnsi="Amiri" w:eastAsia="Amiri" w:cs="Amiri"/>
          <w:color w:val="111111"/>
          <w:sz w:val="28"/>
          <w:sz w:val="28"/>
          <w:szCs w:val="28"/>
          <w:rtl w:val="true"/>
          <w:lang w:bidi="ar-SA"/>
        </w:rPr>
        <w:t>وأمّا الوجه الرابع فيرده ان فهم أهل اللغة لا حجيّة له ، فان الحجّية لو كانت ثابتة لأهل اللغة فهي ثابتة في مقام تشخيص معاني المفردات دون معنى الجمل ، فان ذلك اجتهاد محض منهم</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7479319_1280447820"/>
      <w:bookmarkStart w:id="239" w:name="_Toc88"/>
      <w:bookmarkEnd w:id="238"/>
      <w:r>
        <w:rPr>
          <w:rtl w:val="true"/>
        </w:rPr>
        <w:t>الاستدلال على الرأي الثاني</w:t>
      </w:r>
      <w:bookmarkEnd w:id="239"/>
    </w:p>
    <w:p>
      <w:pPr>
        <w:pStyle w:val="BookText"/>
        <w:rPr/>
      </w:pPr>
      <w:r>
        <w:rPr>
          <w:rFonts w:ascii="Amiri" w:hAnsi="Amiri" w:eastAsia="Amiri" w:cs="Amiri"/>
          <w:color w:val="111111"/>
          <w:sz w:val="28"/>
          <w:sz w:val="28"/>
          <w:szCs w:val="28"/>
          <w:rtl w:val="true"/>
          <w:lang w:bidi="ar-SA"/>
        </w:rPr>
        <w:t>وأمّا ما أفاده الفاضل التوني فيمكن ان يوجّه بأنّ الحديث نفى وجود الضرر خارجا ، وحيث ان ذلك كذب فلا بدّ وان نفترض تدارك الضرر الموجود خارجا ، إذ بتداركه يكون وجوده كالعدم فانّ الضرر المتدارك في حكم العدم ، وحيث انّه لا يمكن أن يكون المقصود انّ كل ضرر هو متدارك بالفعل وخارجا ، لأنّ ذلك كذب أيضا ، إذ ما أكثر الإضرار التي لم يتحقق تداركها بالفعل ، فلا بدّ وأن يكون المقصود انّ كل ضرر خارجا هو محكوم شرعا بوجوب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يثبت ان كل ضرر هو محكوم بوجوب التدارك والضمان شرعا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الحديث جعل الضمان شرعا لكل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هو الضامن؟</w:t>
      </w:r>
    </w:p>
    <w:p>
      <w:pPr>
        <w:pStyle w:val="BookText"/>
        <w:rPr/>
      </w:pPr>
      <w:r>
        <w:rPr>
          <w:rFonts w:ascii="Amiri" w:hAnsi="Amiri" w:eastAsia="Amiri" w:cs="Amiri"/>
          <w:color w:val="111111"/>
          <w:sz w:val="28"/>
          <w:sz w:val="28"/>
          <w:szCs w:val="28"/>
          <w:rtl w:val="true"/>
          <w:lang w:bidi="ar-SA"/>
        </w:rPr>
        <w:t>ان الحديث يدل على ان الضرر إذا كان منسوبا إلى شخص معين فهو الضامن ، وهذا ما تدل عليه فقرة لا ضرار ، حيث ان الضرار هو الضرر الملحوظ نسبته إلى الفاعل ، فإذا نفي دلّ ذلك على انه ضامن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لم يكن الضرر منسوبا إلى شخص فالضامن هو الدولة أو بالأحرى هو بيت مال المسلمين ، وهذا ما تدل عليه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الضرر هو النقص من دون لحاظ نسبته إلى الفاعل ، فنفيه يدل على وجوب ضمانه وليس الضامن في مثل ذلك إلاّ الدولة ، إذ لا يوجد ما يمكن ان يكون ضامنا غيرها</w:t>
      </w:r>
      <w:r>
        <w:rPr>
          <w:rFonts w:eastAsia="Amiri" w:cs="Amiri" w:ascii="Amiri" w:hAnsi="Amiri"/>
          <w:color w:val="111111"/>
          <w:sz w:val="28"/>
          <w:szCs w:val="28"/>
          <w:rtl w:val="true"/>
          <w:lang w:bidi="ar-SA"/>
        </w:rPr>
        <w:t xml:space="preserve">. </w:t>
      </w:r>
      <w:bookmarkStart w:id="240" w:name="pg19380_259494"/>
    </w:p>
    <w:p>
      <w:pPr>
        <w:pStyle w:val="BookText"/>
        <w:rPr/>
      </w:pPr>
      <w:bookmarkEnd w:id="240"/>
      <w:r>
        <w:rPr>
          <w:rFonts w:ascii="Amiri" w:hAnsi="Amiri" w:eastAsia="Amiri" w:cs="Amiri"/>
          <w:color w:val="111111"/>
          <w:sz w:val="28"/>
          <w:sz w:val="28"/>
          <w:szCs w:val="28"/>
          <w:rtl w:val="true"/>
          <w:lang w:bidi="ar-SA"/>
        </w:rPr>
        <w:t>وتحقيق من هو الضامن قضية غير مهمة فيما نحن بصدده الآن ، وإنّما المهم هو الالتفات إلى تقريب دلالة الحديث على مدعى الفاضل التوني بالشكل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 هذا التقريب قد تستفاد من عبارة الفاضل التوني حيث قال في الوافية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نفي الضرر غير محمول على نفي حقيقته لأنّه غير منفي ، بل الظاهر ان المراد به نفي الضرر من غير جبران بحسب الشرع</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7479321_1280447820"/>
      <w:bookmarkStart w:id="242" w:name="_Toc89"/>
      <w:bookmarkEnd w:id="241"/>
      <w:r>
        <w:rPr>
          <w:rtl w:val="true"/>
        </w:rPr>
        <w:t>مناقشة الرأي الثاني</w:t>
      </w:r>
      <w:bookmarkEnd w:id="242"/>
    </w:p>
    <w:p>
      <w:pPr>
        <w:pStyle w:val="BookText"/>
        <w:rPr/>
      </w:pPr>
      <w:r>
        <w:rPr>
          <w:rFonts w:ascii="Amiri" w:hAnsi="Amiri" w:eastAsia="Amiri" w:cs="Amiri"/>
          <w:color w:val="111111"/>
          <w:sz w:val="28"/>
          <w:sz w:val="28"/>
          <w:szCs w:val="28"/>
          <w:rtl w:val="true"/>
          <w:lang w:bidi="ar-SA"/>
        </w:rPr>
        <w:t xml:space="preserve">وقد يناقش هذا الرأي بما ذكره السيد الخوئي </w:t>
      </w:r>
      <w:r>
        <w:rPr>
          <w:rStyle w:val="FootnoteAnchor"/>
          <w:rtl w:val="true"/>
        </w:rPr>
        <w:footnoteReference w:id="109"/>
      </w:r>
      <w:r>
        <w:rPr>
          <w:rFonts w:ascii="Amiri" w:hAnsi="Amiri" w:eastAsia="Amiri" w:cs="Amiri"/>
          <w:color w:val="111111"/>
          <w:sz w:val="28"/>
          <w:sz w:val="28"/>
          <w:szCs w:val="28"/>
          <w:rtl w:val="true"/>
          <w:lang w:bidi="ar-SA"/>
        </w:rPr>
        <w:t>، من انّ لازم هذا الرأي تقييد الضرر بغير المتدارك وهو بحاجة إلى دليل لأنّه خلاف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بإمكان شيخ الشريعة ان يدّعي تارة بأنّي لا أدّعي تقييد لفظ الضرر بلفظ غير المتدارك ليكون ذلك بحاجة إلى قرينة ، وإنّما أدّعي ان الشارع لمّا حكم بوجوب التدارك صحّ له ان ينفي الضرر وينزّله منزلة العدم ، فالضرر منفي خارجا باعتبار حكم الشارع بلزوم التدارك من دون ان نقيّد لفظ الضرر في الحديث</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بإمكان الفاضل التوني ان يختار التقييد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عليه موجود بتقريب ان الشارع حينما أخبر بعدم تحقّق الضرر خارجا فذلك منه كذب من دون تقييد بالتدارك فصيانة لكلام الشارع من الكذب لا بدّ من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في مناقشته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حكم الشارع بلزوم التدارك لا يكفي لتصحيح نفي الضرر خارجا ، وإنّما المصحح لذلك هو تحقّق التدارك خارجا وبالفعل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جعل لذلك قوة اجرائية ، فباعتبار ذلك يكون التدارك في نظره جاريا مجرى الأمر الواقع والمتحقق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وإن جعل قوة اجرائية لكن ذلك على مستوى التشريع لا على مستوى التكوين ، ومجرد تشريع القوة الاجرائية بدون ان تمارس أعمالها تكوينا لا يصحح له الاخبار بانتفاء الضرر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امكان ذكر جواب ثان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الحديث على ما ذكره الفاضل التوني يلزم منه تخصيص الأكثر ، فالانسان إذا عثر وانكسرت رجله لا يضمن ضرره أحد ، وإذا احترقت داره أو كتبه بدون نسبة الاحراق إلى شخص لم يضمن أحد ذلك ، وإذا مات ربّ الاسرة تضرّر أعضاؤها ولم يضمن ذلك أحد ، وإذا مرض الإنسان وانحرفت صحته تضرّر ولم يضمن ذلك أحد ، إلى غير ذلك من الأمثلة التي لا يكون الضرر فيها منسوبا إلى شخص معين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في خصوص القتل إذا فرض ان الشخص وجد مقتولا ولم يعرف قاتله ، أو فرض انّ الزحام الشديد في منى أو عرفات أو صلاة الجمعة أودى بحياته أمكن الحكم بضمان ديته من بيت مال المسلمين ، للخبر الصحيح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امير المؤمنين  عليه‌ السلام في رجل وجد مقتولا لا يدرى من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عرف له اولياء يطلبون ديته اعطوا ديته من بيت مال المسلمين ، ولا يبطل دم امرئ </w:t>
      </w:r>
      <w:bookmarkStart w:id="243" w:name="pg19380_259496"/>
    </w:p>
    <w:p>
      <w:pPr>
        <w:pStyle w:val="BookText"/>
        <w:rPr/>
      </w:pPr>
      <w:bookmarkEnd w:id="243"/>
      <w:r>
        <w:rPr>
          <w:rFonts w:ascii="Amiri" w:hAnsi="Amiri" w:eastAsia="Amiri" w:cs="Amiri"/>
          <w:color w:val="111111"/>
          <w:sz w:val="28"/>
          <w:sz w:val="28"/>
          <w:szCs w:val="28"/>
          <w:rtl w:val="true"/>
          <w:lang w:bidi="ar-SA"/>
        </w:rPr>
        <w:t>مسلم ، لان ميراثه للإمام ، فكذلك تكون ديته على الإمام ويصلّون عليه ويدفنونه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رجل زحمه الناس يوم الجمعة في زحام الناس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7479323_1280447820"/>
      <w:bookmarkStart w:id="245" w:name="_Toc90"/>
      <w:bookmarkEnd w:id="244"/>
      <w:r>
        <w:rPr>
          <w:rtl w:val="true"/>
        </w:rPr>
        <w:t>الاستدلال على الرأي الثالث</w:t>
      </w:r>
      <w:bookmarkEnd w:id="245"/>
    </w:p>
    <w:p>
      <w:pPr>
        <w:pStyle w:val="BookText"/>
        <w:rPr/>
      </w:pPr>
      <w:r>
        <w:rPr>
          <w:rFonts w:ascii="Amiri" w:hAnsi="Amiri" w:eastAsia="Amiri" w:cs="Amiri"/>
          <w:color w:val="111111"/>
          <w:sz w:val="28"/>
          <w:sz w:val="28"/>
          <w:szCs w:val="28"/>
          <w:rtl w:val="true"/>
          <w:lang w:bidi="ar-SA"/>
        </w:rPr>
        <w:t>إنّ تفسير الحديث بنفي الحكم الضرري هو المعروف بين المتأخرين ، واختاره الشيخ الأعظم والميرزا والسيد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التفسير يلزم الاستفادة الكثيرة من الحديث ، حيث يثبت انّ كل حكم من الأحكام منفي حالة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وتصوير هذا الاحتمال يمكن أن يكون بأحد أشكال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ضرريا أو لا حكم ينشأ منه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تقدر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تجعل كلمة الضرر بنفسها معبّرة عن الحكم ، فعبّر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منها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الأول لا تلزم المجازية في كلمة ضرر ، بل تكون مستعملة في معناها بنحو الحقيقة ، وإنّما العناية من حيث التقدير،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على الاحتمال الثاني تلزم المجازية في استعمال كلمة الضرر حيث قصد بها غير معناها ، والمصحح هو ان الحكم يستلزم الضرر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نفس الحكم كما على </w:t>
      </w:r>
      <w:bookmarkStart w:id="246" w:name="pg19380_259497"/>
    </w:p>
    <w:p>
      <w:pPr>
        <w:pStyle w:val="BookText"/>
        <w:rPr/>
      </w:pPr>
      <w:bookmarkEnd w:id="246"/>
      <w:r>
        <w:rPr>
          <w:rFonts w:ascii="Amiri" w:hAnsi="Amiri" w:eastAsia="Amiri" w:cs="Amiri"/>
          <w:color w:val="111111"/>
          <w:sz w:val="28"/>
          <w:sz w:val="28"/>
          <w:szCs w:val="28"/>
          <w:rtl w:val="true"/>
          <w:lang w:bidi="ar-SA"/>
        </w:rPr>
        <w:t xml:space="preserve">الاحتمال الثاني ، ولكن يدعى هنا ان الاستعمال المذكور حقيقي وليس بمجازي ، بدعوى انّ المورد من موارد السبب والمسبب التوليدي ، واستعمال لفظ المسبب التوليدي في السبب التوليدي استعمال عرفي حقيقي وليس مجازيا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أحرق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ألقاها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قتل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أطلق عليه الرصاص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ومثال ذلك النار والاحراق ، فالنار سبب توليدي والاحراق مسبب توليدي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المصطلح الفعل المباشري ، وهو الفعل الذي يصدر من الفاعل باختياره ، فالانسان يشعل النار ويحصل بذلك الاحراق ؛ ان اشعال النار فعل يصدر منه بارادته واختياره ، ويسمى بالفعل المباشري ، واما الاحراق فيصدر منه بدون اختياره ، اذ اشتعال النار علّة تامة للإحراق بدون مدخلية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الاشعال بالسبب التوليدي والاحراق بالمسبب التوليدي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التقريب ذكره الشيخ النائيني</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7479325_1280447820"/>
      <w:bookmarkStart w:id="248" w:name="_Toc91"/>
      <w:bookmarkEnd w:id="247"/>
      <w:r>
        <w:rPr>
          <w:rtl w:val="true"/>
        </w:rPr>
        <w:t>مناقشة الرأي الثالث</w:t>
      </w:r>
      <w:bookmarkEnd w:id="248"/>
    </w:p>
    <w:p>
      <w:pPr>
        <w:pStyle w:val="BookText"/>
        <w:rPr/>
      </w:pPr>
      <w:r>
        <w:rPr>
          <w:rFonts w:ascii="Amiri" w:hAnsi="Amiri" w:eastAsia="Amiri" w:cs="Amiri"/>
          <w:color w:val="111111"/>
          <w:sz w:val="28"/>
          <w:sz w:val="28"/>
          <w:szCs w:val="28"/>
          <w:rtl w:val="true"/>
          <w:lang w:bidi="ar-SA"/>
        </w:rPr>
        <w:t>هذا ما يمكن به تقريب الرأي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في نفسه وجيها إلاّ ان تقريباته الثلاثة قابلة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فلأنّه بحاجة إلى تقدير ، والدليل عليه مفقود ، مضافا إلى ان الحكم لا يوصف بالضرر وإنّما هو 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فلأن استعمال الضرر وارادة الحكم ليس عرفيا ولو بنحو المجاز</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التنزّل وصحة الاستعمال المذكور فالذي يصحّ هو </w:t>
      </w:r>
      <w:bookmarkStart w:id="249" w:name="pg19380_259498"/>
    </w:p>
    <w:p>
      <w:pPr>
        <w:pStyle w:val="BookText"/>
        <w:rPr/>
      </w:pPr>
      <w:bookmarkEnd w:id="249"/>
      <w:r>
        <w:rPr>
          <w:rFonts w:ascii="Amiri" w:hAnsi="Amiri" w:eastAsia="Amiri" w:cs="Amiri"/>
          <w:color w:val="111111"/>
          <w:sz w:val="28"/>
          <w:sz w:val="28"/>
          <w:szCs w:val="28"/>
          <w:rtl w:val="true"/>
          <w:lang w:bidi="ar-SA"/>
        </w:rPr>
        <w:t>استعمال لفظ الضرار في الحكم لا لفظ الضرر فإن الضرر هو نفس النقص ، والحكم ليس نفس النقص بل هو يوجده ويحصّله ، بخلاف ذلك في الضرار فانّ النسبة فيه 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وهن التقريب الثالث بالاولى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وهن هذه التقريبات الثلاثة لا يعني وهن أصل الرأي الثالث ، بل سيأتي تقريبه ببيان آخر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7479327_1280447820"/>
      <w:bookmarkStart w:id="251" w:name="_Toc92"/>
      <w:bookmarkEnd w:id="250"/>
      <w:r>
        <w:rPr>
          <w:rtl w:val="true"/>
        </w:rPr>
        <w:t>الاستدلال على الرأي الرابع</w:t>
      </w:r>
      <w:bookmarkEnd w:id="251"/>
    </w:p>
    <w:p>
      <w:pPr>
        <w:pStyle w:val="BookText"/>
        <w:rPr/>
      </w:pPr>
      <w:r>
        <w:rPr>
          <w:rFonts w:ascii="Amiri" w:hAnsi="Amiri" w:eastAsia="Amiri" w:cs="Amiri"/>
          <w:color w:val="111111"/>
          <w:sz w:val="28"/>
          <w:sz w:val="28"/>
          <w:szCs w:val="28"/>
          <w:rtl w:val="true"/>
          <w:lang w:bidi="ar-SA"/>
        </w:rPr>
        <w:t>والرأي الرابع يرى ان المقصود من الحديث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الرأي والرأي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الثالث يجعل كلمة الضرر مستعملة في الحكم ودالّة عليه ، بينما هذا الرأي يرى أنّها مستعملة في الموضوع دون الحكم ، ففي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واجب يكون الوضوء بمنزلة الموضوع والوجوب حكما ، وعلى الرأي الثالث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الوجوب ، بينما على الرأي الرابع تكون مستعملة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وفارق ثان أنّه على الراي الثالث ينتفي الحكم كلّما استوجب الضرر ، سواء كان الضرر بسبب موضوعه أو بعض مقدماته ، وهذا بخلافه على الرأي الرابع فانه لا ينتفي إلاّ إذا كان موضوعه ضرريا ، ولا يكفي لانتفائه كون مقدماته ضررية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مثال الوضوء تارة نفترض ان الوضوء نفسه ضرري ، وأخرى يفترض ان مقدمات تحصيل الوضوء تستوجب الضرر ، ففي الحالة الاولى يرتفع وجوب الوضوء بدون فرق بين الاحتمالين ، وفي </w:t>
      </w:r>
      <w:bookmarkStart w:id="252" w:name="pg19380_259499"/>
    </w:p>
    <w:p>
      <w:pPr>
        <w:pStyle w:val="BookText"/>
        <w:rPr/>
      </w:pPr>
      <w:bookmarkEnd w:id="252"/>
      <w:r>
        <w:rPr>
          <w:rFonts w:ascii="Amiri" w:hAnsi="Amiri" w:eastAsia="Amiri" w:cs="Amiri"/>
          <w:color w:val="111111"/>
          <w:sz w:val="28"/>
          <w:sz w:val="28"/>
          <w:szCs w:val="28"/>
          <w:rtl w:val="true"/>
          <w:lang w:bidi="ar-SA"/>
        </w:rPr>
        <w:t>الحالة الثانية يرتفع وجوب الوضوء على الاحتمال الثالث ولا يرتفع على الاحتمال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الآخوند على رأيه هذا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امكان إرادة نفي الحقيقة حقيقة ، فاقرب المجازات هو نفيها ادعاء ، مضافا إلى انّ التركيب المذكور كثيرا ما يستعمل في النفي الادعائي بخلاف غيره من المعاني</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7479329_1280447820"/>
      <w:bookmarkStart w:id="254" w:name="_Toc93"/>
      <w:bookmarkEnd w:id="253"/>
      <w:r>
        <w:rPr>
          <w:rtl w:val="true"/>
        </w:rPr>
        <w:t>مناقشة الرأي الرابع</w:t>
      </w:r>
      <w:bookmarkEnd w:id="254"/>
    </w:p>
    <w:p>
      <w:pPr>
        <w:pStyle w:val="BookText"/>
        <w:rPr/>
      </w:pPr>
      <w:r>
        <w:rPr>
          <w:rFonts w:ascii="Amiri" w:hAnsi="Amiri" w:eastAsia="Amiri" w:cs="Amiri"/>
          <w:color w:val="111111"/>
          <w:sz w:val="28"/>
          <w:sz w:val="28"/>
          <w:szCs w:val="28"/>
          <w:rtl w:val="true"/>
          <w:lang w:bidi="ar-SA"/>
        </w:rPr>
        <w:t xml:space="preserve">ويمكن ان يناقش الرأي المذكور بانّ فكرة نفي الحكم بلسان نفي موضوعه يصعب تطبيقها في المقام ، ففي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 الفكرة المذكورة، لأن الربا موضوع للحرمة فنفيه نفي لها ، وفي المقام حكم الضرر هو الحرمة والضمان </w:t>
      </w:r>
      <w:r>
        <w:rPr>
          <w:rStyle w:val="FootnoteAnchor"/>
          <w:rtl w:val="true"/>
        </w:rPr>
        <w:footnoteReference w:id="113"/>
      </w:r>
      <w:r>
        <w:rPr>
          <w:rFonts w:ascii="Amiri" w:hAnsi="Amiri" w:eastAsia="Amiri" w:cs="Amiri"/>
          <w:color w:val="111111"/>
          <w:sz w:val="28"/>
          <w:sz w:val="28"/>
          <w:szCs w:val="28"/>
          <w:rtl w:val="true"/>
          <w:lang w:bidi="ar-SA"/>
        </w:rPr>
        <w:t>، فإذا نفي لزم من ذلك نفي الحرمة والضمان ، وذلك عكس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فلتصحيح تطبيق الفكرة المذكورة لا بدّ من أخذ عنوان الضرر مشيرا إلى مثل الوضوء حتى يكون المنفي هو الوضوء ومن ثمّ حكمه 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قابل للتأمل لان التعبير عن الوضوء بالضرر الذي هو نفس النقص ليس عرفيا ، فان الوضوء يستوجب الضرر وسبب له لا انّه نفسه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المحاورات العرفية وان كان قد يستعمل اللفظ أحيانا بنحو المرآتية إلى شي‌ء آخر ، إلاّ ان ذلك يختص بباب العنوان والمعنون ، فالعنوان قد يطلق بنحو المراتبة على معنونه ، والمصحح لذلك هو </w:t>
      </w:r>
    </w:p>
    <w:p>
      <w:pPr>
        <w:pStyle w:val="BookText"/>
        <w:rPr/>
      </w:pPr>
      <w:r>
        <w:rPr>
          <w:rFonts w:ascii="Amiri" w:hAnsi="Amiri" w:eastAsia="Amiri" w:cs="Amiri"/>
          <w:color w:val="111111"/>
          <w:sz w:val="28"/>
          <w:sz w:val="28"/>
          <w:szCs w:val="28"/>
          <w:rtl w:val="true"/>
          <w:lang w:bidi="ar-SA"/>
        </w:rPr>
        <w:t>الاتحاد الثابت بينهما ، فالعنوان عين المعنون ومتّحد معه ، وهذا بخلافه في باب السبب والمسبب فانه لا يستعمل احدهما مرآة للآخر ، فلا تستعمل كلمة النار مرآة للإحراق ولا بالعكس ، وما ذاك إلاّ لعدم الاتّحاد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المقام كذلك فان الضرر مسبب عن الوضوء وليس عينه وعنوانا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 فكرة نفي الحكم بلسان نفي موضوعه لا يمكن تطبيقها على المقام من جهة أخرى ، باعتبار انّه عندنا مصطلحان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ومتعلّق ، والذي يصح نفي الحكم بنفيه هو الموضوع دون المتعلق ، وفي المقام الوضوء متعلق وليس موضوعا فلا يصح بنفيه 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المصطلحين المذكورين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يلزم فرضه في المرتبة السابقة وبعد ذلك يثبت الحكم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يكون الحكم مقتضيا لإيجاده أو نفيه ، ويكون تحققه من نتائج الحكم بدون ان يلزم فرضه في المرتبة السابقة فهو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المستطيع يكون المستطيع موضوعا ، لأنه متى ما فرض تحقّقه يثبت الحكم ، بينما الحجّ متعلّق لأنه لا يلزم فرضه في المرتبة السابقة وبعد ذلك يتحقق الوجوب ، بل ان الوجوب يحرك نحو تحقيقه ، بخلاف ذلك في المستطيع ، فانّ الوجوب لا يحرك نحو تحقيقه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محرم ، يكون الربا موضوعا للحرمة ، لأنّه متى ما فرض صدق الربا على البيع أو القرض كان ارتكابه محرما ، فالربا </w:t>
      </w:r>
      <w:bookmarkStart w:id="255" w:name="pg19380_259501"/>
    </w:p>
    <w:p>
      <w:pPr>
        <w:pStyle w:val="BookText"/>
        <w:rPr/>
      </w:pPr>
      <w:bookmarkEnd w:id="255"/>
      <w:r>
        <w:rPr>
          <w:rFonts w:ascii="Amiri" w:hAnsi="Amiri" w:eastAsia="Amiri" w:cs="Amiri"/>
          <w:color w:val="111111"/>
          <w:sz w:val="28"/>
          <w:sz w:val="28"/>
          <w:szCs w:val="28"/>
          <w:rtl w:val="true"/>
          <w:lang w:bidi="ar-SA"/>
        </w:rPr>
        <w:t xml:space="preserve">موضوع وارتكابه متعلق ، وفي مثل ذلك يصح نفي الحكم بلسان نفي الموضوع ، فيقال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بخلافه في مثل الوضوء ، فانّه متعلق حيث يجب ايجاده ، لا انّه على تقدير فرض تحقّقه يصير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اختصاص الفكرة السابقة بذلك هو الوجدان العرفي فهل ترى يصح ان يقال لا وضوء عند الضرر ويقصد بذلك انّه ليس بواجب؟ كلا لا يصح ذلك ، وهذا بخلافه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وولده فانه يصح ، إذ الربا إذا لم يتحقق لم تثبت الحرمة ، وهذا بخلافه في الوضوء فانه إذا لم يتحقق لم يلزم انتفاء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ذكرناه مطلب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ونكتته هي أنّ الموضوع إذا لم يتحقق لم يتحقق الحكم ، ولذا يصح التعبير بانتفاء الموضوع بقصد إفادة انتفاء الحكم ، وهذا بخلافه في المتعلق فان انتفاءه لا يستلزم انتفاء الحكم ، فمن لا يتوضأ عصيانا لا ينتفي الوجوب عنه ، ومن هنا لا يصح التعبير عن انتفاء هذا بانتفاء ذاك</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7479331_1280447820"/>
      <w:bookmarkStart w:id="257" w:name="_Toc94"/>
      <w:bookmarkEnd w:id="256"/>
      <w:r>
        <w:rPr>
          <w:rtl w:val="true"/>
        </w:rPr>
        <w:t>الصحيح أن يقال</w:t>
      </w:r>
      <w:bookmarkEnd w:id="257"/>
    </w:p>
    <w:p>
      <w:pPr>
        <w:pStyle w:val="BookText"/>
        <w:rPr/>
      </w:pP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توجد لدينا فقرتان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واحدة منهما يمكن ان يستفاد منها غير ما يستفاد من الأخرى ، ولا ينبغي التعامل معهما بشكل واحد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نستفيد منها انتفاء كل حكم يكون ثبوته مستلزما للضرر كما افاده الشيخ الاعظم ، ولكن لا لأحد البيانات السابقة فانها ضعيفة كما تقدم ، وانما ذلك من جهة ان كلمة الضرر تعني نفس النقص كما تقدم ، وإرادة النهي عن ذلك غير محتملة كما </w:t>
      </w:r>
    </w:p>
    <w:p>
      <w:pPr>
        <w:pStyle w:val="BookText"/>
        <w:rPr/>
      </w:pPr>
      <w:r>
        <w:rPr>
          <w:rFonts w:ascii="Amiri" w:hAnsi="Amiri" w:eastAsia="Amiri" w:cs="Amiri"/>
          <w:color w:val="111111"/>
          <w:sz w:val="28"/>
          <w:sz w:val="28"/>
          <w:szCs w:val="28"/>
          <w:rtl w:val="true"/>
          <w:lang w:bidi="ar-SA"/>
        </w:rPr>
        <w:t>تقدم ، اذ نفس النقص لا معنى للنهي عنه فما ذا يقصد اذن؟</w:t>
      </w:r>
    </w:p>
    <w:p>
      <w:pPr>
        <w:pStyle w:val="BookText"/>
        <w:rPr/>
      </w:pPr>
      <w:r>
        <w:rPr>
          <w:rFonts w:ascii="IRNazanin" w:hAnsi="IRNazanin" w:eastAsia="IRNazanin"/>
          <w:color w:val="111111"/>
          <w:sz w:val="28"/>
          <w:sz w:val="28"/>
          <w:szCs w:val="28"/>
          <w:rtl w:val="true"/>
          <w:lang w:bidi="fa-IR"/>
        </w:rPr>
        <w:t>انّ النبي  صلی اللّه عليه وآله وسلم  حينما يتكلم لا بدّ وانه يتكلّم بما هو شارع ، والشارع حينما يخبر عن عدم الضرر لا بدّ وأن يكون مقصوده نفي تحقّق الضرر من ناحية أحكامه وتشريعاته ، انّ ذلك هو المناسب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يثبت انّ المقصود نفي تحقّق الضرر في حق المكلّف من ناحية التشريع والأحكام ، فكل حكم يكون ثبوته مستلزما للضرر يكون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هذا التقريب عن التقريبات السابقة انّه على هذا التقريب لا نكون بحاجة إلى تقدير كلمة حكم ، كما انّه لا يلزم استعمال كلمة الضرر في الحكم وإنّما المنفي هو نفس الضرر لكننا نقيد النفي وانّه نفي للضرر من ناحية الحكم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لو خلينا نحن وهذه الفقرة لأمكن ان نستفيد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إلى ما ذكرناه من انتفاء كل حكم 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الاضرار بالآخرين وعدم اباحته ، لأنّ الحكم بإباحته مستلزم للضرر </w:t>
      </w:r>
      <w:r>
        <w:rPr>
          <w:rStyle w:val="FootnoteAnchor"/>
          <w:rtl w:val="true"/>
        </w:rPr>
        <w:footnoteReference w:id="114"/>
      </w:r>
      <w:r>
        <w:rPr>
          <w:rFonts w:ascii="Amiri" w:hAnsi="Amiri" w:eastAsia="Amiri" w:cs="Amiri"/>
          <w:color w:val="111111"/>
          <w:sz w:val="28"/>
          <w:sz w:val="28"/>
          <w:szCs w:val="28"/>
          <w:rtl w:val="true"/>
          <w:lang w:bidi="ar-SA"/>
        </w:rPr>
        <w:t>على الآخرين فيكون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رامه شيخ الشريعة من استفادة تحريم الضرر يكون ثابتا ضمن هذا التفسير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إلى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منها النهي عن </w:t>
      </w:r>
      <w:bookmarkStart w:id="258" w:name="pg19380_259503"/>
    </w:p>
    <w:p>
      <w:pPr>
        <w:pStyle w:val="BookText"/>
        <w:rPr/>
      </w:pPr>
      <w:bookmarkEnd w:id="258"/>
      <w:r>
        <w:rPr>
          <w:rFonts w:ascii="Amiri" w:hAnsi="Amiri" w:eastAsia="Amiri" w:cs="Amiri"/>
          <w:color w:val="111111"/>
          <w:sz w:val="28"/>
          <w:sz w:val="28"/>
          <w:szCs w:val="28"/>
          <w:rtl w:val="true"/>
          <w:lang w:bidi="ar-SA"/>
        </w:rPr>
        <w:t xml:space="preserve">الاضرار وتحريمه كما رام ذلك شيخ الشريعة ، حيث ان الضرار لوحظ فيه جنبة الصدور من الفاعل ، وهو أشبه بكلمة اضرار ، فكما انّه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النهي عن الاضرار كذلك في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إلى ان تحريم الاضرار بدون تشريع وسائل وقائية تحول دون حدوث الضرر أو دون بقائه ليس عقلائيا ، فالتحريم تكليفا للإضرار يلازم تشريع الوسائل المانعة من حدوث أو بقاء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الجواب عن التساؤل الذي ستأتي الإشارة له إن شاء اللّه تعالى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المناسب لحرمة الاضرار منع دخول سمرة الى منزل الأنصاري دون الأمر بقلع النخلة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تحريم الاضرار منفكّا عن تشريع الوسائل الوقائية حيث انّه ليس عقلائيا فيكون أمر النبي  صلی اللّه عليه وآله وسلم  بقلع النخلة من هذه الناحية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يتّضح من خلال ما ذكرناه وجه الارتباط بين تحريم الاضرار وتشريع حق الشفعة ، ان ذلك من جهة ان بيع الشريك لحصته لما كان يولّد حقا للشريك الأول في المطالبة بالحصة لنفسه بازاء بذله للثمن ، ولمّا كان منعه من إعمال حقه هذا اضرارا به فمن المناسب بعد حرمة الاضرار ثبوت 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فالتناسب على هذا تناسب بين الفقرة الثانية وثبوت حق الشفعة ، وليس تناسبا بين الفقرة الأولى وحق الشفعة</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7479333_1280447820"/>
      <w:bookmarkStart w:id="260" w:name="_Toc95"/>
      <w:bookmarkEnd w:id="259"/>
      <w:r>
        <w:rPr/>
        <w:t>7</w:t>
      </w:r>
      <w:r>
        <w:rPr>
          <w:rtl w:val="true"/>
        </w:rPr>
        <w:t xml:space="preserve"> - </w:t>
      </w:r>
      <w:r>
        <w:rPr>
          <w:rtl w:val="true"/>
        </w:rPr>
        <w:t>تطبيق الحديث على قضية سمرة</w:t>
      </w:r>
      <w:bookmarkEnd w:id="26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إشكال ذكره الشيخ الأعظم في رسالة لا ضرر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p>
    <w:p>
      <w:pPr>
        <w:pStyle w:val="BookText"/>
        <w:rPr/>
      </w:pPr>
      <w:r>
        <w:rPr>
          <w:rFonts w:ascii="IRNazanin" w:hAnsi="IRNazanin" w:eastAsia="IRNazanin"/>
          <w:color w:val="111111"/>
          <w:sz w:val="28"/>
          <w:sz w:val="28"/>
          <w:szCs w:val="28"/>
          <w:rtl w:val="true"/>
          <w:lang w:bidi="fa-IR"/>
        </w:rPr>
        <w:t>هذه القضية إشكال من حيث حكم النبي  صلی اللّه عليه وآله وسلم  بقطع العذق مع أنّ القواعد لا تقتضيه ، ونفي الضرر لا يوجب ذلك ، لكن ذلك لا يخلّ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عليه وآله وسلم  أمر بقلع الشجرة وعلّل ذلك بقوله لا ضرر ولا ضرار، والحال ان تحريم الضرر لا يقتضي جواز قلع الشجرة ، وإنّما أقصى ما يقتضي منع سمرة من الدخول بدون استئذان ، حيث ان في ذلك اضرارا وهو محرم ، ولا معنى لتجويز قلع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بناء على انّ مفاد قاعدة لا ضرر تحريم الاضرار ، وامّا إذا كان مفادها نفي الحكم الضرري فالامر مشكل أيضا ، لأنّ الحكم بثبوت حق لسمرة في بقاء نخلته في ملك الأنصاري ليس ضررا على الأنصاري لكي يكون مرفوعا بالقاعدة ، وإنّما الحكم الضرري هو تجويز الاستطراق بدون استئذان فيكون هو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اجيب عن ذلك بعدة أجوبة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الشيخ الأعظم في العبارة السابقة وهو ان عدم المعرفة بكيفية التطبيق لا يمنع من الاستدلال بالقاعدة ولا يؤثر على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التعرّف على كيفية التطبيق على نفس المورد يولّد احتمال كون المقصود من القاعدة شيئا آخر غير ما نفهمه ، إذ لو كان المقصود ما نفهمه منها يلزم عدم الملاءمة بين ما نفهمه منها وبين تطبيقها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جماعة كالميرزا والسيد الخوئي </w:t>
      </w:r>
      <w:r>
        <w:rPr>
          <w:rStyle w:val="FootnoteAnchor"/>
          <w:rtl w:val="true"/>
        </w:rPr>
        <w:footnoteReference w:id="115"/>
      </w:r>
      <w:r>
        <w:rPr>
          <w:rFonts w:ascii="IRNazanin" w:hAnsi="IRNazanin" w:eastAsia="IRNazanin"/>
          <w:color w:val="111111"/>
          <w:sz w:val="28"/>
          <w:sz w:val="28"/>
          <w:szCs w:val="28"/>
          <w:rtl w:val="true"/>
          <w:lang w:bidi="fa-IR"/>
        </w:rPr>
        <w:t>، من ان الأمر بالقلع لم يستند إلى القاعدة ، وإنّما استند إلى ولايته  صلی اللّه عليه وآله وسلم  وكونه حاكما وظيفته حفظ النظام ، فمن باب كونه يجب عليه الحفاظ على النظام أمر بالقلع وليس من باب 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عليه وآله وسلم  حينما أمر بالقلع علل بقوله لا ضرر ، حيث قال  صلی اللّه عليه وآله وسلم  اذهب فاقلعها وارم بها إليه فانّه لا ضرر ولا ضرار ؛ فإنّ ذلك واضح في كون القاعدة قد ذكرت كتعليل للأمر بالقلع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بعض الأعلام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قاعدة لا ضرر ولا ضرار التي ذكرها النبيّ صلی اللّه عليه وآله وسلم  وتمسّك بها لم يذكرها من باب أنّها قاعدة من القواعد الإلهيّة التي امر النبيّ صلی اللّه عليه وآله وسلم  بتبليغها كقانون من اللّه سبحانه ، وإنّما ذلك حكم صادر منه  صلی اللّه عليه وآله وسلم  بما هو رئيس للحكومة الإسلامية ، فالقاعدة حكم سلطاني وحكومتي وليس إلهيّا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وتوجيه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الروايات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عبّر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رواية عبادة وعاقبة ، حيث قيل قضى رسول اللّه  صلی اللّه عليه وآله وسلم  بالشفعة وقال لا ضرر، ودلالة مثل ذلك بقرينة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كون القاعدة حكما سلطانيا واضحة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رواية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يعبّر فيها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بالرغم من ذلك تكون القاعدة فيه حكما سلطانيا ؛ لأنّ الأنصاري لما ظلمه سمرة شكا أمره إلى النبيّ  صلی اللّه عليه وآله وسلم  بما هو سلطان ورئيس للحكومة فحكم  صلی اللّه عليه وآله وسلم  بأنّه لا يضرّ أحد أخاه في حكومتي ودولتي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قدس‌سره بعد استعراض الإشكال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الإشكال فلا يرد على ما ذكرنا ضرورة أنّ المورد مندرج تحت الحكم السلطاني الكلّي ، فيكون الأمر بالقطع لقطع مادة الفساد المتوقّع في المقام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يكون مفاد الحديث هو النهي عن الضرر وهو نفس ما أفاده شيخ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شيخ الشريعة كان يقول بأنّ المقصود بيان التحريم والنهي الإلهي ، بينما على هذا التصوير يكون المقصود بيان التحريم والنهي السلطاني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الأوّل يكون النبيّ  صلی اللّه عليه وآله وسلم  مبلّغا لحكم إلهي ، وعلى الثاني لا يكون النبيّ  صلی اللّه عليه وآله وسلم  مبلّغا بل مقنّنا لحكم سلطاني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هذا الجواب والجواب الثالث الذي ذكر فيه كون الأمر بالقلع حكما ولايتيّا؟</w:t>
      </w:r>
    </w:p>
    <w:p>
      <w:pPr>
        <w:pStyle w:val="BookText"/>
        <w:rPr/>
      </w:pPr>
      <w:r>
        <w:rPr>
          <w:rFonts w:ascii="IRNazanin" w:hAnsi="IRNazanin" w:eastAsia="IRNazanin"/>
          <w:color w:val="111111"/>
          <w:sz w:val="28"/>
          <w:sz w:val="28"/>
          <w:szCs w:val="28"/>
          <w:rtl w:val="true"/>
          <w:lang w:bidi="fa-IR"/>
        </w:rPr>
        <w:t xml:space="preserve">كان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على الجواب السابق تكون قاعدة لا ضرر ولا ضرار حكما إلهيّا قد أمر النبيّ  صلی اللّه عليه وآله وسلم  بتبليغه ، غايته أنّه أمر بالقلع من باب الولاية وحفظ النظام ، وهذا بخلافه على هذا الجواب ، فإنّ القاعدة بنفسها حكم سلطاني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المشكلة لا تنحلّ بكون النهي عن الضرر والضرار سلطانيا ؛ إذ يبقى أنّ مجرّد تحريم الاضرار والمنع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إلاّ المنع من الدخول بلا إذن ولا يقتضي تجويز القلع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اخترناه سابقا وهو أنّ الحديث يشتمل على فقرتين ، وفي فقرته الثانية يدلّ على تحريم الاضرار ، وتحريم الاضطرار يستبطن </w:t>
      </w:r>
      <w:bookmarkStart w:id="261" w:name="pg19380_259507"/>
    </w:p>
    <w:p>
      <w:pPr>
        <w:pStyle w:val="BookText"/>
        <w:rPr/>
      </w:pPr>
      <w:bookmarkEnd w:id="261"/>
      <w:r>
        <w:rPr>
          <w:rFonts w:ascii="Amiri" w:hAnsi="Amiri" w:eastAsia="Amiri" w:cs="Amiri"/>
          <w:color w:val="111111"/>
          <w:sz w:val="28"/>
          <w:sz w:val="28"/>
          <w:szCs w:val="28"/>
          <w:rtl w:val="true"/>
          <w:lang w:bidi="ar-SA"/>
        </w:rPr>
        <w:t>بالملازمة العقلائية تشريع الوسائل الوقائية والوقوف أمام تحقّق الظلم أو بقائه ولو بإعطاء ذلك كصلاحيّة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النهي عن الاحتكار ، فإنّه لو نهي شخص عن الاحتكار وبالرغم من ذلك احتكر ، فلو جاء الحاكم وأخرج السلع المحتكرة وباعها لم يشكل على ذلك بأنّ النهي عن الاحتكار لا يستوجب إلاّ تحريم الاحتكار لا أكثر ، بل يرون وجود ملازمة بين تحريم الاحتكار وتشريع الوسيلة الوقائية وانّ الأوّل دون الثاني أشبه بالتفكيك بين المتلازمين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المقام أحد تلك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النخلة ، إذ بدون قلعها يبقى سمرة داخلا وخارجا ، وذلك يستلزم استمرار الاضرار ، ومجرّد منعه بدون استئذان لا يكفي للوقوف أمام ظلمه ، اللّهمّ إلاّ إذا فرض ايقاف شرطي عند الباب يأمر سمرة بالاستئذان ، وذلك أمر غير عملي ، ولأجل انحصار الوسيلة الوقائية بالقلع أمر  صلی اللّه عليه وآله وسلم  بالقلع</w:t>
      </w:r>
      <w:r>
        <w:rPr>
          <w:rFonts w:eastAsia="IRNazanin" w:cs="IRNazanin"/>
          <w:color w:val="111111"/>
          <w:sz w:val="28"/>
          <w:szCs w:val="28"/>
          <w:rtl w:val="true"/>
          <w:lang w:bidi="fa-IR"/>
        </w:rPr>
        <w:t>.</w:t>
      </w:r>
    </w:p>
    <w:p>
      <w:pPr>
        <w:pStyle w:val="Heading3"/>
        <w:numPr>
          <w:ilvl w:val="2"/>
          <w:numId w:val="1"/>
        </w:numPr>
        <w:rPr/>
      </w:pPr>
      <w:bookmarkStart w:id="262" w:name="__RefHeading___Toc17479335_1280447820"/>
      <w:bookmarkStart w:id="263" w:name="_Toc96"/>
      <w:bookmarkEnd w:id="262"/>
      <w:r>
        <w:rPr/>
        <w:t>8</w:t>
      </w:r>
      <w:r>
        <w:rPr>
          <w:rtl w:val="true"/>
        </w:rPr>
        <w:t xml:space="preserve"> - </w:t>
      </w:r>
      <w:r>
        <w:rPr>
          <w:rtl w:val="true"/>
        </w:rPr>
        <w:t>كيف يدفع محذور كثرة التخصيص</w:t>
      </w:r>
      <w:bookmarkEnd w:id="2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إشكال أشار له الشيخ الأعظم في الرسائل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لا ضرر قد طرأت عليها تخصيصات كثيرة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أحكاما كثيرة ثابتة في الإسلام وهي ضررية ولا ترتفع بقاعدة لا ضرر ، كما هو الحال في الحدود ، والديات ، والتعزيرات ، والقصاص ، وباب الضمان بالاتلاف أو اليد ، وباب الخمس ، والزكاة ، والجهاد ، والحجّ ، والانفاق على الزوجة والأقارب ، وباب الكفارات ، ككفارة خلف اليمين ، أو الافطار ، أو كفّارات الحجّ ، وباب تنجّس الملاقي ؛ فإنّ المرق </w:t>
      </w:r>
    </w:p>
    <w:p>
      <w:pPr>
        <w:pStyle w:val="BookText"/>
        <w:rPr/>
      </w:pPr>
      <w:r>
        <w:rPr>
          <w:rFonts w:ascii="Amiri" w:hAnsi="Amiri" w:eastAsia="Amiri" w:cs="Amiri"/>
          <w:color w:val="111111"/>
          <w:sz w:val="28"/>
          <w:sz w:val="28"/>
          <w:szCs w:val="28"/>
          <w:rtl w:val="true"/>
          <w:lang w:bidi="ar-SA"/>
        </w:rPr>
        <w:t xml:space="preserve">الكثير إذا لاقى نجاسة وجب التجنّب عنه وإن كان كثيرا ، وذلك ضرر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الحكم بالحدّ والتعزير والقصاص إدخال للنقص على الجاني واضرار به ، وهكذا الأمر في باب الضمان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وكثرة التخصيص هذه توجب بلا ريب وهن القاعدة ، ومن ثمّ توجب أن لا يكون المقصود من القاعدة معناها الظاهر ؛ إذ لازمه كثرة التخصيص المستهجن ، وعليه فيلزم أن يكون المقصود من القاعدة معنى آخر لا يلزم من إرادته محذور تخصيص الأكثر ، وحيث إنّ ذلك المعنى غير معلوم لنا فيلزم سقوط القاعدة عن الاعتبار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التمسّك بها إلاّ في الموارد التي تمسّك فيها المشهور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بالقاعدة على عمومها بحيث لا يلتزم بتخصيصها بما تقدّم من الموارد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جديد ، والالتزام بتخصيصها يلزم منه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حصيلة الإشكال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نطرحه بصيغة ثانية أو بروح أخرى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كثرة تخصيص الحديث يعني أنّ في الإسلام أحكاما كثيرة هي ضررية ولا ترتفع بحديث نفي الضرر ، ومن ثمّ تكون ثابتة بالرغم من كونها ضررية ، 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ضرري في كثير من أحكامه وأنّه يوقع أتباعه 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تشويه واضح لسمعة الإسلام النزيه عن هذا وأمثاله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وإشكال كثرة التخصيص الذي طرحه الشيخ الأعظم يمكن أن يجعل منه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فمك أدينك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للطعن على الإسلام ، فإنّ من قبل بلزوم تخصيص الأكثر بشكل وآخر فقد قبل بتشويه سمعة الإسلام من حيث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صياغة ثانية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نتقدّم بصياغة ثالثة للإشكال ، وهي أنّ الحديث مسوق مساق الامتنان على الامّة الإسلامية ، وسوق القضية مساق الامتنان يجعلها عرفا تأبى عن التخصيص حتى ولو فرض عدم كثرته أو فرض عدم استهجان كثرة التخصيص ، خصوصا إذا التفتنا إلى أنّ الخارج من القاعدة هو من القضايا الأساسية في الإسلام ، كالحدود والديات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خروج أمثال هذه الأحكام الأساسية في الإسلام عن القاعدة المسوقة مساق الامتنان مستهجن ومرفوض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ترى من المناسب 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أجعل عليكم حكما ضرريا امتنانا منّي عليكم إلاّ في باب الحدود والديات والقصاص فقد أثبتّ عليكم حكما ضرريا ولم أمتن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صيغ ثلاث للإشكال ، والمذكور منها في كلمات الأعلام هو الصيغة الاولى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للجواب عن ذلك عدّة وجوه نذكر من بينها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الشيخ الأعظم من أنّ خروج الأكثر حصل بعنوان واحد جامع لها ولم يخرج كل واحد منها بعنوانه الخاصّ ، كل ما في الأمر انّ ذلك العنوان الجامع مجهول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 كان الخروج بعنوان </w:t>
      </w:r>
    </w:p>
    <w:p>
      <w:pPr>
        <w:pStyle w:val="BookText"/>
        <w:rPr/>
      </w:pPr>
      <w:r>
        <w:rPr>
          <w:rFonts w:ascii="Amiri" w:hAnsi="Amiri" w:eastAsia="Amiri" w:cs="Amiri"/>
          <w:color w:val="111111"/>
          <w:sz w:val="28"/>
          <w:sz w:val="28"/>
          <w:szCs w:val="28"/>
          <w:rtl w:val="true"/>
          <w:lang w:bidi="ar-SA"/>
        </w:rPr>
        <w:t xml:space="preserve">واحد فهو ليس بمستهجن حتى ولو كان الخارج به الأكثر ، كما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دليل آخر على خروج الفاسق الذي هو شامل لأكثر الأفراد ، فإنّه لا استهجان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الآخوند ذلك بأنّه لا فرق في الاستهجان بين أن يكون ذلك بعنوان واحد أو بعناوين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والميرزا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بين القضية الحقيقية والخارجية ، ففي الخارجية يمتنع تخصيص الأكثر ولو بعنوان واحد ،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في العسكر ، ثمّ أخرج بني تميم الذين يساوي عددهم عدد العسكر باستثناء ثلاثة أو أربعة، وأمّا في القضية الحقيقيّة فلا يمتنع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أفاد أنّ الحديث الشريف حيث إنّه من قبيل القضايا الخارجية باعتبار أنّه ناظر إلى الأحكام التي بلّغها اللّه سبحانه إلى الناس بلسان نبيّه  صلی اللّه عليه وآله وسلم  فالحقّ مع الآخوند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الجواب كما ترى يسلّم بأنّ أكثر الأحكام ضررية فيبقى الإشكال بصيغته الثانية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في جملة من الكلمات بالنسبة إلى الديات والحدود والقصاص والحجّ والجهاد ، من أنّها مجعولة ضررية ومبنيّة على الضرر ، والحديث ناظر إلى العمومات التي قد تكون ضررية وقد لا تكون ويقيّدها بصورة عدم الضرر ، ومعه فكل حكم جعل ضرريا بطبعه من أوّل الأمر لا يكون مشمولا لحديث لا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كما ترى يسلّم بالضرر في الأحكام المذكورة فيبقي الإشكال بصيغته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في باب الخمس لا يصدق الضرر ، لأنّ الشارع لم يعتبر الشخص مالكا لمقدار الخمس حتى يكون وجوب إخراجه ضررا عليه ، بل اعتبره شريكا مع السادة ، ولكن يصدق قلّة النفع وهي ليست بضرر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الزكاة هي فرع الملك ويصدق الضرر بالنسبة إليها ، ولكن لا يشملها الحديث من باب أنّها بطبعها مبنيّة على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في غير واحد من الكلمات ، من أنّ موارد الضمان والقصاص هي من موارد تعارض الضررين ، فإنّ عدم الضمان ضرر على المضمون له والضمان ضرر على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يرد في موارد القصاص ، فإنّه ضرر على الجاني وعدمه ضرر على المجني عليه ، والحديث لا يشمل موارد تعارض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الأجوبة ، وهي كما ترى لا يخلو أكثرها من تكلّف ، مضافا إلى أنّها لا تحلّ الإشكال بجميع صيغه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فرضنا اسرة كبيرة تعيش في بيت واحد ، وكان ربّ الاسرة يشرف عليها ويدير أمرها بما يراه صلاحا لها فقال من باب الحفاظ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الثري من أفراد الاسرة أن يدفع في نهاية كل عام جزءا من الفائض عنده ليصرف في إصلاح شئون الفقراء من الاسرة ، أو ليرمّم به البيت الذي تعيش فيه الاسرة ، أو ليشترى به للأسرة سيّارة يستفيد منها كل أفرادها ، هل ترى في مثل </w:t>
      </w:r>
    </w:p>
    <w:p>
      <w:pPr>
        <w:pStyle w:val="BookText"/>
        <w:rPr/>
      </w:pPr>
      <w:r>
        <w:rPr>
          <w:rFonts w:ascii="Amiri" w:hAnsi="Amiri" w:eastAsia="Amiri" w:cs="Amiri"/>
          <w:color w:val="111111"/>
          <w:sz w:val="28"/>
          <w:sz w:val="28"/>
          <w:szCs w:val="28"/>
          <w:rtl w:val="true"/>
          <w:lang w:bidi="ar-SA"/>
        </w:rPr>
        <w:t>ذلك أنّ مدير الاسرة قد أضرّ بحال من أخذ منه الأموال؟ انّه لم يأخذها ليضعها في كيسه الخاص بل أخذها لإصلاح شئونهم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فرض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أموالا لغيره بعمد أو غير عمد فيلزم أن يدفع عوضها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جنى على غيره فللمجني عليه ، أو أوليائه الجناية بالمثل أو أخذ الفداء </w:t>
      </w:r>
      <w:r>
        <w:rPr>
          <w:rStyle w:val="FootnoteAnchor"/>
          <w:rtl w:val="true"/>
        </w:rPr>
        <w:footnoteReference w:id="121"/>
      </w:r>
      <w:r>
        <w:rPr>
          <w:rFonts w:ascii="Amiri" w:hAnsi="Amiri" w:eastAsia="Amiri" w:cs="Amiri"/>
          <w:color w:val="111111"/>
          <w:sz w:val="28"/>
          <w:sz w:val="28"/>
          <w:szCs w:val="28"/>
          <w:rtl w:val="true"/>
          <w:lang w:bidi="ar-SA"/>
        </w:rPr>
        <w:t>، هل ترى أنّ أمثال هذه المقررات التي يصدرها ربّ الاسرة أو شيخ العشيرة ضرر ، أو هي عين النفع والعدالة والاستقامة التي بها ينتظم أمر المجتمع؟</w:t>
      </w:r>
    </w:p>
    <w:p>
      <w:pPr>
        <w:pStyle w:val="BookText"/>
        <w:rPr/>
      </w:pPr>
      <w:r>
        <w:rPr>
          <w:rFonts w:ascii="Amiri" w:hAnsi="Amiri" w:eastAsia="Amiri" w:cs="Amiri"/>
          <w:color w:val="111111"/>
          <w:sz w:val="28"/>
          <w:sz w:val="28"/>
          <w:szCs w:val="28"/>
          <w:rtl w:val="true"/>
          <w:lang w:bidi="ar-SA"/>
        </w:rPr>
        <w:t xml:space="preserve">وهكذا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تلوّث طعامه بالميكروبات فعليه عدم تناوله حفاظا على صحّته ، هل مثل هذا يعدّ إضراراً بهم؟</w:t>
      </w:r>
    </w:p>
    <w:p>
      <w:pPr>
        <w:pStyle w:val="BookText"/>
        <w:rPr/>
      </w:pPr>
      <w:r>
        <w:rPr>
          <w:rFonts w:ascii="Amiri" w:hAnsi="Amiri" w:eastAsia="Amiri" w:cs="Amiri"/>
          <w:color w:val="111111"/>
          <w:sz w:val="28"/>
          <w:sz w:val="28"/>
          <w:szCs w:val="28"/>
          <w:rtl w:val="true"/>
          <w:lang w:bidi="ar-SA"/>
        </w:rPr>
        <w:t xml:space="preserve">وهكذا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أفراد الاسرة القادرين على حمل السلاح مداهمة العدو والهجوم عليه بين آونة وأخرى حفاظا على الاسرة من العدوّ ، هل مثل ذلك يعدّ اضراراً بها؟</w:t>
      </w:r>
    </w:p>
    <w:p>
      <w:pPr>
        <w:pStyle w:val="BookText"/>
        <w:rPr/>
      </w:pPr>
      <w:r>
        <w:rPr>
          <w:rFonts w:ascii="Amiri" w:hAnsi="Amiri" w:eastAsia="Amiri" w:cs="Amiri"/>
          <w:color w:val="111111"/>
          <w:sz w:val="28"/>
          <w:sz w:val="28"/>
          <w:szCs w:val="28"/>
          <w:rtl w:val="true"/>
          <w:lang w:bidi="ar-SA"/>
        </w:rPr>
        <w:t xml:space="preserve">وهكذا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 أولادي المتزوّجين سدّ حاجة زوجته وأطفاله، هل يعدّ مثل ذلك إضراراً؟</w:t>
      </w:r>
    </w:p>
    <w:p>
      <w:pPr>
        <w:pStyle w:val="BookText"/>
        <w:rPr/>
      </w:pPr>
      <w:r>
        <w:rPr>
          <w:rFonts w:ascii="Amiri" w:hAnsi="Amiri" w:eastAsia="Amiri" w:cs="Amiri"/>
          <w:color w:val="111111"/>
          <w:sz w:val="28"/>
          <w:sz w:val="28"/>
          <w:szCs w:val="28"/>
          <w:rtl w:val="true"/>
          <w:lang w:bidi="ar-SA"/>
        </w:rPr>
        <w:t xml:space="preserve">وهكذا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التزم على نفسه بقضية معيّنة فعليه الوفاء بالتزامه ، وإذا لمّ يف فعليه دفع غرامة معيّنة ، هل ترى مثل ذلك إضرارا؟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خالف المقرّرات المرسومة لصالحة عزّر ، أو سجن لفترة تأديبا ، أو يلزمه دفع غرامة معيّنة ، هل يعدّ مثل ذلك إضرارا؟ </w:t>
      </w:r>
    </w:p>
    <w:p>
      <w:pPr>
        <w:pStyle w:val="BookText"/>
        <w:rPr/>
      </w:pPr>
      <w:r>
        <w:rPr>
          <w:rFonts w:ascii="Amiri" w:hAnsi="Amiri" w:eastAsia="Amiri" w:cs="Amiri"/>
          <w:color w:val="111111"/>
          <w:sz w:val="28"/>
          <w:sz w:val="28"/>
          <w:szCs w:val="28"/>
          <w:rtl w:val="true"/>
          <w:lang w:bidi="ar-SA"/>
        </w:rPr>
        <w:t xml:space="preserve">وهكذا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التلاميذ إطاعة تكاليف المعلّم ، وعلى الأولاد إطاعة أوامر أبيهم، وعلى الزوجة إطاعة أمر زوجها ، هل مثل ذلك يعدّ إضرارا؟</w:t>
      </w:r>
    </w:p>
    <w:p>
      <w:pPr>
        <w:pStyle w:val="BookText"/>
        <w:rPr/>
      </w:pPr>
      <w:r>
        <w:rPr>
          <w:rFonts w:ascii="Amiri" w:hAnsi="Amiri" w:eastAsia="Amiri" w:cs="Amiri"/>
          <w:color w:val="111111"/>
          <w:sz w:val="28"/>
          <w:sz w:val="28"/>
          <w:szCs w:val="28"/>
          <w:rtl w:val="true"/>
          <w:lang w:bidi="ar-SA"/>
        </w:rPr>
        <w:t xml:space="preserve">إنّنا إذا قبلنا عدم كون مثل هذه القوانين إضرارا بأفراد الاسرة ، أو هي بالاحرى ليست إضرارا بالنظرة العقلائية وبلحاظ القيم العقلائية التي يسمو الإنسان إلى 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إضرارا من زاوية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لا نقول مثل ذلك في الإسلام؟</w:t>
      </w:r>
    </w:p>
    <w:p>
      <w:pPr>
        <w:pStyle w:val="BookText"/>
        <w:rPr/>
      </w:pPr>
      <w:r>
        <w:rPr>
          <w:rFonts w:ascii="Amiri" w:hAnsi="Amiri" w:eastAsia="Amiri" w:cs="Amiri"/>
          <w:color w:val="111111"/>
          <w:sz w:val="28"/>
          <w:sz w:val="28"/>
          <w:szCs w:val="28"/>
          <w:rtl w:val="true"/>
          <w:lang w:bidi="ar-SA"/>
        </w:rPr>
        <w:t>إنّ الإسلام ينظر إلى المجتمع الإسلامي كاسرة واحدة ، والشارع هو المشرف على مصالحها ، كيف لا ، والمسلمون في تراحمهم وتعاطفهم كمثل الجسد الواحد إذا اشتكى منه عضو تداعى له سائر الأعضاء بالحمى والسهر؟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وتكفينا الآيات القرآنية حيث تخاطب المسلمين بخاطب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قوانين الإسلام في باب الحدود والديات والتعزيرات والقصاص والضمان والخمس والجهاد والزكاة والإنفاق على الزوجة والأقارب ترجع مصالحها إلى المجتمع الواحد ، فكيف تكون اضرارا؟</w:t>
      </w:r>
    </w:p>
    <w:p>
      <w:pPr>
        <w:pStyle w:val="BookText"/>
        <w:rPr/>
      </w:pPr>
      <w:r>
        <w:rPr>
          <w:rFonts w:ascii="Amiri" w:hAnsi="Amiri" w:eastAsia="Amiri" w:cs="Amiri"/>
          <w:color w:val="111111"/>
          <w:sz w:val="28"/>
          <w:sz w:val="28"/>
          <w:szCs w:val="28"/>
          <w:rtl w:val="true"/>
          <w:lang w:bidi="ar-SA"/>
        </w:rPr>
        <w:t>انّ بها ديمومة المجتمع وبدونها لا يدوم ولا يمكن له الاستمرار ، فكيف تكون اضرارا؟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حكم الشارع بتنجّس المضاف ووجوب اراقته حفاظا على المجتمع الإسلامي من الميكروبات إضرار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هل الحجّ الذي به يلتقي المسلمون بعضهم ببعضهم الآخر ، ويحصل التعرّف بينهم وحلّ مشاكلهم ، وفيه ارتزاق أهل مكّة واستفادة الفقراء من الذبائح والتجارة ، والاطّلاع على مهد الرسالة ومواضع نزول جبرئيل والتقاء أفراد الامّة بأئمتها وعلمائها ، والتواجد في مثل تلك المشاعر الشريفة التي يشعر فيها المؤمن بالاتّصال باللّه وصقل روحه صقلا كاملا ، هل في مثل ذلك كلّه ضرر؟</w:t>
      </w:r>
    </w:p>
    <w:p>
      <w:pPr>
        <w:pStyle w:val="BookText"/>
        <w:rPr/>
      </w:pPr>
      <w:r>
        <w:rPr>
          <w:rFonts w:ascii="Amiri" w:hAnsi="Amiri" w:eastAsia="Amiri" w:cs="Amiri"/>
          <w:color w:val="111111"/>
          <w:sz w:val="28"/>
          <w:sz w:val="28"/>
          <w:szCs w:val="28"/>
          <w:rtl w:val="true"/>
          <w:lang w:bidi="ar-SA"/>
        </w:rPr>
        <w:t>إن بذلك وحدة المسلمين وقوّتهم واستمرارهم ، هل مثل ذلك ضرر أو عين النفع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لو أردنا أن نؤسّس مجتمعا عقلائيا يعيش المدينة الفاضلة لما كنّا نعدو أمثال هذه القوانين ، ولئن كنّا نعدو بعضها فذلك وليد جهلنا بها وعدم توصّل عقول العقلاء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سببا لنشوء فكرة التخصيص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الإسلام كمجموعة تشريعات جاءت لإصلاح شئون الأفراد دون المجتمع ، انّ النظر إلى الإسلام بهذا الشكل يولّد حتما مثل هذه الشبهة ، أمّا إذا نظرنا إليه بصفته مجموعة تشريعات جاءت لإصلاح الساحة العالمية أيضا فلا يتمّ ما ذكر ، لأنّ الساحة العالمية تحتاج إلى مثل هذه القوانين ليلتئم فيها النظام وتسود به السعادة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يا أُولِي الْأَلْبابِ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والكلمة المختصرة في حلّ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في الأمثلة المتقدّمة وغيرها يصدق فيما إذا لم يعد نفع القانون إلى الشخص نفسه </w:t>
      </w:r>
      <w:bookmarkStart w:id="264" w:name="pg19380_259515"/>
    </w:p>
    <w:p>
      <w:pPr>
        <w:pStyle w:val="BookText"/>
        <w:rPr/>
      </w:pPr>
      <w:bookmarkEnd w:id="264"/>
      <w:r>
        <w:rPr>
          <w:rFonts w:ascii="Amiri" w:hAnsi="Amiri" w:eastAsia="Amiri" w:cs="Amiri"/>
          <w:color w:val="111111"/>
          <w:sz w:val="28"/>
          <w:sz w:val="28"/>
          <w:szCs w:val="28"/>
          <w:rtl w:val="true"/>
          <w:lang w:bidi="ar-SA"/>
        </w:rPr>
        <w:t xml:space="preserve">أو إلى المجتمع الإسلامي ، أمّا بعد عود النفع إلى أحد هذين فالضرر غير صادق على المستوى العقلائي ولا يعد لدى العقلاء ضررا ، أو على الأقل يعدّ ضررا غير أنّه ضرر مقبول لدى العقلاء ، وحديث نفي الضرر حينما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يقصد نفي ما يكون ضررا على المستوى العقلائي</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7479337_1280447820"/>
      <w:bookmarkStart w:id="266" w:name="_Toc97"/>
      <w:bookmarkEnd w:id="265"/>
      <w:r>
        <w:rPr/>
        <w:t>9</w:t>
      </w:r>
      <w:r>
        <w:rPr>
          <w:rtl w:val="true"/>
        </w:rPr>
        <w:t xml:space="preserve"> - </w:t>
      </w:r>
      <w:r>
        <w:rPr>
          <w:rtl w:val="true"/>
        </w:rPr>
        <w:t>شمول الحديث للأحكام العدمية</w:t>
      </w:r>
      <w:bookmarkEnd w:id="266"/>
    </w:p>
    <w:p>
      <w:pPr>
        <w:pStyle w:val="BookText"/>
        <w:rPr/>
      </w:pPr>
      <w:r>
        <w:rPr>
          <w:rFonts w:ascii="Amiri" w:hAnsi="Amiri" w:eastAsia="Amiri" w:cs="Amiri"/>
          <w:color w:val="111111"/>
          <w:sz w:val="28"/>
          <w:sz w:val="28"/>
          <w:szCs w:val="28"/>
          <w:rtl w:val="true"/>
          <w:lang w:bidi="ar-SA"/>
        </w:rPr>
        <w:t xml:space="preserve">وقع الكلام في أنّ حديث لا ضرر هل يشمل الأحكام العدمية أو يختصّ بالأحكام الوجودية ، فوجوب الوضوء مثلا حكم وجودي ولا إشكال في شمول الحديث له حالة الضرر ، وأمّا عدم ثبوت حقّ الطلاق لغير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قيامه بالإنفاق على الزوجة ، أو عند حبس الزوج لفترة طويلة تستوجب تضرّر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عدمي ، وعدم انتفائه في الحالات المذكورة وأمثالها يستوجب الضرر ، فهل يمكن تطبيق الحديث عليه ومن ثمّ ليثبت حقّ الطلاق لغير الزوج؟</w:t>
      </w:r>
    </w:p>
    <w:p>
      <w:pPr>
        <w:pStyle w:val="BookText"/>
        <w:rPr/>
      </w:pPr>
      <w:r>
        <w:rPr>
          <w:rFonts w:ascii="Amiri" w:hAnsi="Amiri" w:eastAsia="Amiri" w:cs="Amiri"/>
          <w:color w:val="111111"/>
          <w:sz w:val="28"/>
          <w:sz w:val="28"/>
          <w:szCs w:val="28"/>
          <w:rtl w:val="true"/>
          <w:lang w:bidi="ar-SA"/>
        </w:rPr>
        <w:t xml:space="preserve">اختار السيّد اليزدي في ملحقات العروة ثبوت حقّ الطلاق للحاكم ، لأنّ عدم ثبوته له يستلزم الضرر ، فينتفي ذلك العدم بحديث لا ضرر وبالتالي يثبت الوجود ، أي يثبت حقّ الطلاق للحاكم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ثان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حبس شخص شخصا آخر حرّا يوما أو يومين وفات بذلك عمله ، انّ المشهور قالوا بعدم الضمان ويختصّ الضمان بمن حبس عبد الغير أو حبس أجير الغير ، فإنّ منافع العبد </w:t>
      </w:r>
    </w:p>
    <w:p>
      <w:pPr>
        <w:pStyle w:val="BookText"/>
        <w:rPr/>
      </w:pPr>
      <w:r>
        <w:rPr>
          <w:rFonts w:ascii="Amiri" w:hAnsi="Amiri" w:eastAsia="Amiri" w:cs="Amiri"/>
          <w:color w:val="111111"/>
          <w:sz w:val="28"/>
          <w:sz w:val="28"/>
          <w:szCs w:val="28"/>
          <w:rtl w:val="true"/>
          <w:lang w:bidi="ar-SA"/>
        </w:rPr>
        <w:t xml:space="preserve">والأجير فاتت بسبب الحبس فيمكن تطبيق قاعدة من أتلف مال الغير فهو له ضامن وهذا بخلاف الحرّ فإنّه ليس بمال فلا تشمله قاعدة من أتلف مال الغير ، بل إذا كان هناك مدرك للضمان فهو يختصّ بقاعدة لا ضرر بناء على شمولها للأحكام العدمية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ضمان منافع الحرّ المحبوس ضرر عليه فيلزم ضمانها بحديث لا ضرر بناء على شمولاه الأحكام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ثالث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العبد تحت الشدّة والمولى يؤذيه كثيرا ، فإنّ عدم انعتاقه ضرر عليه فيلزم انعتاقه تطبيقا لحديث لا ضرر بناء على شمولاه للأحكام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عدم شمول الحديث للأحكام العدمية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الشيخ النائيني </w:t>
      </w:r>
      <w:r>
        <w:rPr>
          <w:rStyle w:val="FootnoteAnchor"/>
          <w:rtl w:val="true"/>
        </w:rPr>
        <w:footnoteReference w:id="125"/>
      </w:r>
      <w:r>
        <w:rPr>
          <w:rFonts w:ascii="Amiri" w:hAnsi="Amiri" w:eastAsia="Amiri" w:cs="Amiri"/>
          <w:color w:val="111111"/>
          <w:sz w:val="28"/>
          <w:sz w:val="28"/>
          <w:szCs w:val="28"/>
          <w:rtl w:val="true"/>
          <w:lang w:bidi="ar-SA"/>
        </w:rPr>
        <w:t>، من أنّ حديث لا ضرر ناظر إلى الأحكام التي جعلها الشارع وشرّعها لينفيها حالة الضرر ، وعدم الحكم ليس أمرا مجعولا من قبله ليشمله الحديث ، وإنّما هو عدم جعل لا جعل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الخوئي في مصباح الاصول </w:t>
      </w:r>
      <w:r>
        <w:rPr>
          <w:rStyle w:val="FootnoteAnchor"/>
          <w:rtl w:val="true"/>
        </w:rPr>
        <w:footnoteReference w:id="126"/>
      </w:r>
      <w:r>
        <w:rPr>
          <w:rFonts w:ascii="Amiri" w:hAnsi="Amiri" w:eastAsia="Amiri" w:cs="Amiri"/>
          <w:color w:val="111111"/>
          <w:sz w:val="28"/>
          <w:sz w:val="28"/>
          <w:szCs w:val="28"/>
          <w:rtl w:val="true"/>
          <w:lang w:bidi="ar-SA"/>
        </w:rPr>
        <w:t>سلّم نظر الحديث إلى خصوص الأحكام المجعولة ، ولكنّه دفع ذلك بأنّ عدم جعل الحكم في الموضع القابل للجعل نحو جعل للعدم ، وكأنّ الشارع قد جعل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لا يخلو من تكلّف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لتخصيص نظر الحديث إلى </w:t>
      </w:r>
    </w:p>
    <w:p>
      <w:pPr>
        <w:pStyle w:val="BookText"/>
        <w:rPr/>
      </w:pPr>
      <w:r>
        <w:rPr>
          <w:rFonts w:ascii="Amiri" w:hAnsi="Amiri" w:eastAsia="Amiri" w:cs="Amiri"/>
          <w:color w:val="111111"/>
          <w:sz w:val="28"/>
          <w:sz w:val="28"/>
          <w:szCs w:val="28"/>
          <w:rtl w:val="true"/>
          <w:lang w:bidi="ar-SA"/>
        </w:rPr>
        <w:t>خصوص الأحكام المجعولة ، فان ذلك بلا موجب ، إذ المقصود نفي الضرر اللازم من الموقف الشرعي ، ففي عالم التشريع لم يتّخذ الشارع موقفا يلزم منه الضرر على المكلّفين ، ومن الواضح أنّ عدم حكم الشارع بثبوت حقّ الطلاق للزوجة ، أو للحاكم الشرعي موقف من قبل الشارع يلزم منه الضرر على الزوجة ، وهكذا بالنسبة إلى بقية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بعض الأمثلة المتقدّمة يمكن تصوير الحكم فيها وجوديا ، كما هو الحال في مثال الزوجية ، فإنّ ثبوت حقّ الطلاق للزوج وكونه خاصّا به بشكل مطلق يستلزم الضرر في الحالات المتقدّمة 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تصوير الحكم وجوديا في مثال العبد ، فان حكم الشارع ببقاء الرقيه بشكل مطلق وفي كل الحالات يستلزم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الشيخ النائيني أيضا من أنّ لازم شمول الحديث للأحكام العدمية تأسيس فقه جديد ، إذ يلزم صيرورة أمر الطلاق بيد الزوجة في حالة تضرّرها ، فمن حقّها أن تطلّق نفسها ولو لم يطلّقها الزوج ، وهذا غريب لم يعهد من أحد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ليس إلاّ مجرّد شعار وإعلام ، فقد نقل هو قدس‌سره أنّ السيّد الطباطبائي اليزدي في ملحقّات العروة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الحكم بثبوت حقّ الطلاق لغير الزوج تمسّكا بحديث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أن يقال بشمول الحديث للأحكام العدمية والالتزام بما يؤدّي إليه من نتائج فيما إذا لم يكن هناك إجماع على خلافها ، ومجرّد عدم كونها معروفة بين الفقهاء لا يمنع من التمسّك بعموم الحديث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حديث لا ضرر حديث نفي وليس حديث إثبات ، فهو كأنّه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أنفي الأحكام التي يستلزم ثبوتها الضرر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أثبت الأحكام التي يستلزم عدمها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نسلّم ظهوره في النفي دون الإثبات حيث عبّر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إلاّ أنّه ينفي الضرر من زاوية عالم التشريع ، فكأنّه يقول لا يلزم ضرر من ناحية مواقفي التشريعيّة في عالم التشريع ، وواضح أنّ نفي الضرر من هذه الزاوية له مصداقان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الذي يستلزم ثبوته الضرر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الحكم الذي يستلزم عدمه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الحكم الذي يستلزم عدمه الضرر إذن مصداق للمدلول المباشري ، ولا ندّعي كونه مدلولا مباشريّا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بناء على شمول الحديث للأحكام العدمية يكون مفيدا بيان تشريع أحكام يستلزم عدمها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المناسب للإنسان العرفي إذا أراد بيان تشريع أحكام وجودية أن يعبّر بنفس الحكم الوجودي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هذا الحكم الوجودي ، وليس من المناسب الاستعانة بنفي النفي ، فإنّ نفي النفي وإن كان إثباتا ، إلاّ أنّه ليس طريقة عرفية لإفادة الحكم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لو كان عدم ثبوت حقّ الطلاق للزوجة ضررياً ومشمولاً للحديث لكان لازم ذلك دلالة الحديث على نفي عدم ثبوت حقّ الطلاق للزوجة ، الذي هو عبارة اخرى عن ثبوت حقّ الطلاق للزوجة ، ومثل هذه الطريقة ليست عرفية ، فليس من المناسب بيان ثبوت حقّ الطلاق للزوجة بنفي النفي ، فالحديث بناء على شمولاه للأحكام العدمية يكون قد استعان بهذه الطريقة التي هي ليست عرفية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بلسانه المباشري ينفي الضرر من زاوية </w:t>
      </w:r>
      <w:bookmarkStart w:id="267" w:name="pg19380_259519"/>
    </w:p>
    <w:p>
      <w:pPr>
        <w:pStyle w:val="BookText"/>
        <w:rPr/>
      </w:pPr>
      <w:bookmarkEnd w:id="267"/>
      <w:r>
        <w:rPr>
          <w:rFonts w:ascii="Amiri" w:hAnsi="Amiri" w:eastAsia="Amiri" w:cs="Amiri"/>
          <w:color w:val="111111"/>
          <w:sz w:val="28"/>
          <w:sz w:val="28"/>
          <w:szCs w:val="28"/>
          <w:rtl w:val="true"/>
          <w:lang w:bidi="ar-SA"/>
        </w:rPr>
        <w:t xml:space="preserve">الموقف التشريعي لا أكثر ، لكن نفي الضرر من هذه الزاوية قد يتطابق بحسب النتيجة مع نفي النفي ، فنفي النفي ليس مدلولا للدليل بشكل مباشر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أمر غير عرفي ؛ وإنّما هو قضية متطابقة بحسب النتيجة مع مفاد الدليل المباشري ، والذي هو مستهجن كون مفاد الدليل بشكل مباشر نفي النفى ، أمّا مجرّد التطابق فليس بمستهجن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7479339_1280447820"/>
      <w:bookmarkStart w:id="269" w:name="_Toc98"/>
      <w:bookmarkEnd w:id="268"/>
      <w:r>
        <w:rPr/>
        <w:t>10</w:t>
      </w:r>
      <w:r>
        <w:rPr>
          <w:rtl w:val="true"/>
        </w:rPr>
        <w:t xml:space="preserve"> - </w:t>
      </w:r>
      <w:r>
        <w:rPr>
          <w:rtl w:val="true"/>
        </w:rPr>
        <w:t>وجه تقديم الحديث على الأدلّة الأوّلية</w:t>
      </w:r>
      <w:bookmarkEnd w:id="269"/>
    </w:p>
    <w:p>
      <w:pPr>
        <w:pStyle w:val="Heading4"/>
        <w:numPr>
          <w:ilvl w:val="3"/>
          <w:numId w:val="1"/>
        </w:numPr>
        <w:rPr/>
      </w:pPr>
      <w:bookmarkStart w:id="270" w:name="__RefHeading___Toc17479341_1280447820"/>
      <w:bookmarkStart w:id="271" w:name="_Toc99"/>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لا إشكال في أنّ نسبة حديث نفي الضرر إلى أدلّة الأحكام الأوّلية نسبة العموم من وجه ، فدليل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الوضوء في حالتي الضرر وعدمها ، وحديث نفي الضرر يدلّ على نفي الحكم الضرري ، سواء كان من قبيل وجوب الوضوء أو غيره ، فذاك يشمل حالة الضرر وغيرها ، وهذا يشمل وجوب الوضوء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ومادة الاجتماع التي يتعارضان فيها هي الوضوء الضرري ، فإنّ أحدهما يثبت الوجوب فيها والآخر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في موارد المعارضة بنحو العموم من وجه هو تساقط الدليلين في مادة المعارضة لا تقديم أحدهما ، ومعه فلما ذا يقدّم حديث نفي الضرر على الأدلّة الأوّلية؟</w:t>
      </w:r>
    </w:p>
    <w:p>
      <w:pPr>
        <w:pStyle w:val="BookText"/>
        <w:rPr/>
      </w:pPr>
      <w:r>
        <w:rPr>
          <w:rFonts w:ascii="Amiri" w:hAnsi="Amiri" w:eastAsia="Amiri" w:cs="Amiri"/>
          <w:color w:val="111111"/>
          <w:sz w:val="28"/>
          <w:sz w:val="28"/>
          <w:szCs w:val="28"/>
          <w:rtl w:val="true"/>
          <w:lang w:bidi="ar-SA"/>
        </w:rPr>
        <w:t>ونلفت النظر إلى أنّه لا إشكال بين الأعلام في تقدّم حديث نفي الضرر ، وإنّما الإشكال والتساؤل عن النكتة الفنيّة لذلك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ذكرت عدّة أجوبة كان أحدها كون التقديم من جهة حكومة الحديث</w:t>
      </w:r>
      <w:r>
        <w:rPr>
          <w:rFonts w:eastAsia="Amiri" w:cs="Amiri" w:ascii="Amiri" w:hAnsi="Amiri"/>
          <w:color w:val="111111"/>
          <w:sz w:val="28"/>
          <w:szCs w:val="28"/>
          <w:rtl w:val="true"/>
          <w:lang w:bidi="ar-SA"/>
        </w:rPr>
        <w:t xml:space="preserve">. </w:t>
      </w:r>
      <w:bookmarkStart w:id="272" w:name="pg19380_259520"/>
    </w:p>
    <w:p>
      <w:pPr>
        <w:pStyle w:val="BookText"/>
        <w:rPr/>
      </w:pPr>
      <w:bookmarkEnd w:id="272"/>
      <w:r>
        <w:rPr>
          <w:rFonts w:ascii="Amiri" w:hAnsi="Amiri" w:eastAsia="Amiri" w:cs="Amiri"/>
          <w:color w:val="111111"/>
          <w:sz w:val="28"/>
          <w:sz w:val="28"/>
          <w:szCs w:val="28"/>
          <w:rtl w:val="true"/>
          <w:lang w:bidi="ar-SA"/>
        </w:rPr>
        <w:t>وحينما انجرّ الحديث إلى الحكومة وقع اختلاف ثان في المقصود من مصطلح الحكومة فهل يقصد منه نظر أحد الدليلين إلى الآخر أو يقصد منه شي‌ء آخر؟</w:t>
      </w:r>
    </w:p>
    <w:p>
      <w:pPr>
        <w:pStyle w:val="BookText"/>
        <w:rPr/>
      </w:pPr>
      <w:r>
        <w:rPr>
          <w:rFonts w:ascii="Amiri" w:hAnsi="Amiri" w:eastAsia="Amiri" w:cs="Amiri"/>
          <w:color w:val="111111"/>
          <w:sz w:val="28"/>
          <w:sz w:val="28"/>
          <w:szCs w:val="28"/>
          <w:rtl w:val="true"/>
          <w:lang w:bidi="ar-SA"/>
        </w:rPr>
        <w:t xml:space="preserve">وانجرّ الحديث إلى اختلاف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النكتة الفنيّة التي لأجلها يقدّم الدليل الحاكم على الدليل المحكوم؟</w:t>
      </w:r>
    </w:p>
    <w:p>
      <w:pPr>
        <w:pStyle w:val="BookText"/>
        <w:rPr/>
      </w:pPr>
      <w:r>
        <w:rPr>
          <w:rFonts w:ascii="Amiri" w:hAnsi="Amiri" w:eastAsia="Amiri" w:cs="Amiri"/>
          <w:color w:val="111111"/>
          <w:sz w:val="28"/>
          <w:sz w:val="28"/>
          <w:szCs w:val="28"/>
          <w:rtl w:val="true"/>
          <w:lang w:bidi="ar-SA"/>
        </w:rPr>
        <w:t>انّ هذه مواطن ثلاثة للاختلاف نحاول المرور عليها بشكل سريع</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7479343_1280447820"/>
      <w:bookmarkStart w:id="274" w:name="_Toc100"/>
      <w:bookmarkEnd w:id="273"/>
      <w:r>
        <w:rPr>
          <w:rtl w:val="true"/>
        </w:rPr>
        <w:t>وجه التقدّم</w:t>
      </w:r>
      <w:bookmarkEnd w:id="274"/>
    </w:p>
    <w:p>
      <w:pPr>
        <w:pStyle w:val="BookText"/>
        <w:rPr/>
      </w:pPr>
      <w:r>
        <w:rPr>
          <w:rFonts w:ascii="Amiri" w:hAnsi="Amiri" w:eastAsia="Amiri" w:cs="Amiri"/>
          <w:color w:val="111111"/>
          <w:sz w:val="28"/>
          <w:sz w:val="28"/>
          <w:szCs w:val="28"/>
          <w:rtl w:val="true"/>
          <w:lang w:bidi="ar-SA"/>
        </w:rPr>
        <w:t xml:space="preserve">أمّا بالنسبة إلى وجه تقدّم الحديث على الأدلّة الأوّلية فهناك عدّة آراء ، نذكر 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حديث نفي الضرر حينما نلحظه بالقياس إلى كل دليل من أدلّة الأحكام الأوّلية بانفراده فالنسبة وإن كانت هي العموم من وجه ، إلاّ أنّه حينما نلحظه بالقياس إلى مجموع الأدلّة الأوّلية فالنسبة نسبة العموم والخصوص المطلق ، فإن دليل وجوب الصلاة لو ضمّ إلى دليل وجوب الصوم والحجّ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مجموعها بمنزلة دليل واحد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والصوم وبقية الواجبات ، ونسبة هذا الدليل الواحد الملحوظ بهذا الشكل إلى حديث لا ضرر نسبة العموم والخصوص المطلق ، فحديث لا ضرر بمنزلة الأخص ويقدّم من جهة الأخصيّة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صيرورته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وجوب الصوم والصلاة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يثبت وجوب الامور المذكورة في حالة الضرر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هذه الناحية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حديث نفي الضرر يصير خاصّا وتنتفي عنه جهة العمومية ، لأنّه إنّما كان أعمّ باعتبار أنّه ينفي الحكم </w:t>
      </w:r>
    </w:p>
    <w:p>
      <w:pPr>
        <w:pStyle w:val="BookText"/>
        <w:rPr/>
      </w:pPr>
      <w:r>
        <w:rPr>
          <w:rFonts w:ascii="Amiri" w:hAnsi="Amiri" w:eastAsia="Amiri" w:cs="Amiri"/>
          <w:color w:val="111111"/>
          <w:sz w:val="28"/>
          <w:sz w:val="28"/>
          <w:szCs w:val="28"/>
          <w:rtl w:val="true"/>
          <w:lang w:bidi="ar-SA"/>
        </w:rPr>
        <w:t>الضرري ، سواء كان وجوب الصلاة أو وجوب الصوم أو بقية الأحكام ، فإذا فرض انّ كل الأحكام لوحظت بمنزلة حكم واحد فلا تبقى له 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مجموع الأدلّة الأوّلية بمنزلة دليل واحد عناية تحتاج إلى ما يبرّرها بعد فرض انّ كلّ واحد منها دليل مستقلّ حقيقة ، ولا مبرّر يثبت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يقدّم حديث لا ضرر على الأدلّة الأوّلية يلزم الغاؤه رأسا وعدم بقاء مورد له ، وهذا بخلاف ما لو قدّم فإنّه لا يلزم إلغاء الأدلّة الأوّلية رأسا ، وإنّما يلزم اختصاصها بموارد عدم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دار الأمر بين دليلين من هذا القبيل قدّم ما يلزم من عدم تقديمه الغاؤه رأسا ، وهو حديث لا ضرر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جيّد ، ولكن لا ينحصر وجه التقديم به كما سيتّضح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الآخوند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كان عندنا دليلان،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لبيان الحكم الأوّلي للشي‌ء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الحكم الثانوي له فالعرف يوفّق بينهما بحمل الأوّل على الحكم الاقتضائي والثاني على الحكم الفعلي ، وفي المقام حيث إنّ الضرر عنوان ثانوي للأشياء فالعرف يحمل حديث نفي الضرر على بيان الحكم الفعلي وأنّ الوضوء محكوم فعلا بعدم الوجوب وانّ الوجوب الذي كان ثابتا له ثابت بنحو الاقتضاء ، أي أنّ في الوضوء مصلحة واقتضاء للوجوب بدون أن يصل ذلك إلى مرحلة الفعلية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الآخوند يعتقد أنّه كلّما اجتمع 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وثانوي فالعرف </w:t>
      </w:r>
    </w:p>
    <w:p>
      <w:pPr>
        <w:pStyle w:val="BookText"/>
        <w:rPr/>
      </w:pPr>
      <w:r>
        <w:rPr>
          <w:rFonts w:ascii="Amiri" w:hAnsi="Amiri" w:eastAsia="Amiri" w:cs="Amiri"/>
          <w:color w:val="111111"/>
          <w:sz w:val="28"/>
          <w:sz w:val="28"/>
          <w:szCs w:val="28"/>
          <w:rtl w:val="true"/>
          <w:lang w:bidi="ar-SA"/>
        </w:rPr>
        <w:t>يوفّق بينهما بحمل الأوّلي على الاقتضائي ، والثانوي على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اجتماع الحكم الفعلي والاقتضائي لا إشكال في لزوم الأخذ بالحكم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بوسعنا التصديق بورود الأدلّة الأوّلية لبيان الحكم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يحتمل ورود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w:t>
      </w:r>
      <w:r>
        <w:rPr>
          <w:rFonts w:eastAsia="Amiri" w:cs="Amiri" w:ascii="Amiri" w:hAnsi="Amiri"/>
          <w:color w:val="111111"/>
          <w:sz w:val="28"/>
          <w:szCs w:val="28"/>
          <w:rtl w:val="true"/>
          <w:lang w:bidi="ar-SA"/>
        </w:rPr>
        <w:t xml:space="preserve">... ) </w:t>
      </w:r>
      <w:r>
        <w:rPr>
          <w:rStyle w:val="FootnoteAnchor"/>
          <w:rtl w:val="true"/>
        </w:rPr>
        <w:footnoteReference w:id="127"/>
      </w:r>
      <w:r>
        <w:rPr>
          <w:rFonts w:ascii="Amiri" w:hAnsi="Amiri" w:eastAsia="Amiri" w:cs="Amiri"/>
          <w:color w:val="111111"/>
          <w:sz w:val="28"/>
          <w:sz w:val="28"/>
          <w:szCs w:val="28"/>
          <w:rtl w:val="true"/>
          <w:lang w:bidi="ar-SA"/>
        </w:rPr>
        <w:t>لبيان الحكم الاقتضائي ، وانّ هناك مقتضيا ومصلحة في الوضوء تقتضي وجوبه من دون أن يكون دالاّ على وجوبه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المدّعى أنّ دليل وجوب الوضوء يدلّ على الحكم الاقتضائي دائما وفي جميع الحالات ، وإنّما المدّعى دلالته على ذلك عند كونه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أوضح هو يدلّ على الوجوب الفعلي عند عدم كونه مضرّا ، وعلى وجوبه الاقتضائي عند كونه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الواحد إمّا أن يدلّ على الوجوب الفعلي فقط ، أو يدلّ على الوجوب الاقتضائي فقط ، ولا معنى لأن يدلّ على هذا في حالة وعلى ذاك في حالة اخرى ؛ إذ ذلك مخالف للظاهر جزما ، فإنّ ظاهر كلّ دليل الدلالة على حكم واحد وليس على 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دليل القاعدة والأدلّة الأوّلية متعارضان ، وبعد التعارض والتساقط يرجع إلى الأصل العملي ، وهو يقتضي البراءة التي هي تتّفق مع نتيجة تقديم قاعدة لا ضرر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المعارضة والتساقط غير تامين ، لإمكان الجمع العرفي </w:t>
      </w:r>
      <w:bookmarkStart w:id="275" w:name="pg19380_259523"/>
    </w:p>
    <w:p>
      <w:pPr>
        <w:pStyle w:val="BookText"/>
        <w:rPr/>
      </w:pPr>
      <w:bookmarkEnd w:id="275"/>
      <w:r>
        <w:rPr>
          <w:rFonts w:ascii="Amiri" w:hAnsi="Amiri" w:eastAsia="Amiri" w:cs="Amiri"/>
          <w:color w:val="111111"/>
          <w:sz w:val="28"/>
          <w:sz w:val="28"/>
          <w:szCs w:val="28"/>
          <w:rtl w:val="true"/>
          <w:lang w:bidi="ar-SA"/>
        </w:rPr>
        <w:t>بالحكومة كما سنذكر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الوجه في ذلك هو حكومة حديث لا ضرر على الأدلّة الأوّلية ، وهذا الوجه هو المعروف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تعني الحكومة؟</w:t>
      </w:r>
    </w:p>
    <w:p>
      <w:pPr>
        <w:pStyle w:val="Heading4"/>
        <w:numPr>
          <w:ilvl w:val="3"/>
          <w:numId w:val="1"/>
        </w:numPr>
        <w:rPr/>
      </w:pPr>
      <w:bookmarkStart w:id="276" w:name="__RefHeading___Toc17479345_1280447820"/>
      <w:bookmarkStart w:id="277" w:name="_Toc101"/>
      <w:bookmarkEnd w:id="276"/>
      <w:r>
        <w:rPr>
          <w:rtl w:val="true"/>
        </w:rPr>
        <w:t>الحكومة</w:t>
      </w:r>
      <w:bookmarkEnd w:id="277"/>
    </w:p>
    <w:p>
      <w:pPr>
        <w:pStyle w:val="BookText"/>
        <w:rPr/>
      </w:pPr>
      <w:r>
        <w:rPr>
          <w:rFonts w:ascii="Amiri" w:hAnsi="Amiri" w:eastAsia="Amiri" w:cs="Amiri"/>
          <w:color w:val="111111"/>
          <w:sz w:val="28"/>
          <w:sz w:val="28"/>
          <w:szCs w:val="28"/>
          <w:rtl w:val="true"/>
          <w:lang w:bidi="ar-SA"/>
        </w:rPr>
        <w:t>انّها تعني نظر أحد الدليلين إلى الآخر بحيث يكون الأوّل لغوا لو لم يفرض الثاني في مرحلة أسبق وهذا كما هو الحال في مقامنا ، فإنّ حديث لا ضرر ينفي الضرر من زاوية التشريع ، فلا بدّ من فرض تشريع وأحكام في مرحلة سابقة لينفيها حديث لا ضرر في حالة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وهناك رأي ثان </w:t>
      </w:r>
      <w:r>
        <w:rPr>
          <w:rStyle w:val="FootnoteAnchor"/>
          <w:rtl w:val="true"/>
        </w:rPr>
        <w:footnoteReference w:id="128"/>
      </w:r>
      <w:r>
        <w:rPr>
          <w:rFonts w:ascii="Amiri" w:hAnsi="Amiri" w:eastAsia="Amiri" w:cs="Amiri"/>
          <w:color w:val="111111"/>
          <w:sz w:val="28"/>
          <w:sz w:val="28"/>
          <w:szCs w:val="28"/>
          <w:rtl w:val="true"/>
          <w:lang w:bidi="ar-SA"/>
        </w:rPr>
        <w:t xml:space="preserve">في تفسير الحكومة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الدليلين متى ما كان لسان أحدهما مسالما للدليل الثاني فالأوّل هو الحاكم والثاني هو المحكوم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 ثمّ قيل لا تكرم العالم الفاسق ، كان لسان الثاني منافيا للأوّل ، أمّا لو قيل بدل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ليس بعالم ، كان لسانه مسالما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اللسان مسالما فهو مورد الحكومة ، وإذا لم يكن مسالما فهو مورد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 التفسيرين فيما إذا فرض أنّ حديث لا ضرر لم يثبت نظره إلى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الرأي الأوّل لا يكون حاكما ، في حين أنّه على الرأي الثاني يكون حاكما ، لأنّ لسانه مسالم للأدلّة الأوّلية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الآخوند في الكفاية رفض تقديم حديث لا ضرر من ناحية </w:t>
      </w:r>
      <w:bookmarkStart w:id="278" w:name="pg19380_259524"/>
    </w:p>
    <w:p>
      <w:pPr>
        <w:pStyle w:val="BookText"/>
        <w:rPr/>
      </w:pPr>
      <w:bookmarkEnd w:id="278"/>
      <w:r>
        <w:rPr>
          <w:rFonts w:ascii="Amiri" w:hAnsi="Amiri" w:eastAsia="Amiri" w:cs="Amiri"/>
          <w:color w:val="111111"/>
          <w:sz w:val="28"/>
          <w:sz w:val="28"/>
          <w:szCs w:val="28"/>
          <w:rtl w:val="true"/>
          <w:lang w:bidi="ar-SA"/>
        </w:rPr>
        <w:t>الحكومة ، باعتبار أنّها متقوّمة بالنظر ولم يثبت نظر حديث لا ضرر إلى الأدلّة الأوّلية ، وبنى على كون التقديم من جهة التوفيق العرفي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في إنكاره للنظر أنّ حديث لا ضرر كأنّه يقول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أجعل حكما ضرريا ، وواضح انّ مثل هذا اللسان لا يتوقّف على افتراض وجود أحكام مسبقة ، فإنّ اللسان المذكور يصحّ حتى لو فرض عدم تشريع أحكام مسبقة ، إذ عدم جعل حكم ضرري لا يتوقّف على وجود أحكام 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يتمّ لو فرض انّا كنّا نحتمل أنّ المولى لم يشرّع حكما سوى قاعدة لا ضرر ، أمّا بعد جزمنا بوجود شريعة وأحكام فلا بدّ من كون الحديث ناظرا إلى تلك الشريعة والأحكام ليبيّن أنّها غير ثابتة في حالة الضرر</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7479347_1280447820"/>
      <w:bookmarkStart w:id="280" w:name="_Toc102"/>
      <w:bookmarkEnd w:id="279"/>
      <w:r>
        <w:rPr>
          <w:rtl w:val="true"/>
        </w:rPr>
        <w:t>نكتة تقدم الحاكم</w:t>
      </w:r>
      <w:bookmarkEnd w:id="280"/>
    </w:p>
    <w:p>
      <w:pPr>
        <w:pStyle w:val="BookText"/>
        <w:rPr/>
      </w:pPr>
      <w:r>
        <w:rPr>
          <w:rFonts w:ascii="Amiri" w:hAnsi="Amiri" w:eastAsia="Amiri" w:cs="Amiri"/>
          <w:color w:val="111111"/>
          <w:sz w:val="28"/>
          <w:sz w:val="28"/>
          <w:szCs w:val="28"/>
          <w:rtl w:val="true"/>
          <w:lang w:bidi="ar-SA"/>
        </w:rPr>
        <w:t>يبقى علينا أن نعرف نكتة تقدّم الدليل الحاكم على الدليل المحكوم ، فإنّ من المسلّم بين جميع الأعلام تقديم الدليل الحاكم ، وإنّما اختلفوا في نكتة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يوجد رأيان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الشيخ النائيني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المحكوم يتكفّل إثبات الحكم على تقدير ثبوت الموضوع ولا يتكفّل إثبات الموضوع وأنّه متحقّق بالفعل أو لا في حين أن الدليل الحاكم ينفي تحقّق الموضوع ، ومثل هذين لا تعارض بينهما ، فدليل أكرم العالم </w:t>
      </w:r>
      <w:bookmarkStart w:id="281" w:name="pg19380_259525"/>
    </w:p>
    <w:p>
      <w:pPr>
        <w:pStyle w:val="BookText"/>
        <w:rPr/>
      </w:pPr>
      <w:bookmarkEnd w:id="2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 هذا أو ذاك عالما يجب اكرامه ، أمّا أنّ هذا أو ذاك عالم بالفعل فلا يتكفّل اثباته ، فإذا جاء دليل ثان يقول الفاسق ليس بعالم فلا يكون معارضا للأوّل ليتأمّل في وجه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أكرم العالم يثبت وجوب الإكرام لمن كان عالما حقيقة وواقعا كما هو شأن كل دليل حيث يثبت الحكم للموضوع الواقعي ، وواضح أنّ دليل الفاسق ليس بعالم لا ينفي العالمية واقعا لكي لا يتنافى ووجوب إكرام كلّ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وجه التقدّم هو النظر ، فإنّ كون الدليل الحاكم ناظرا إلى الدليل المحكوم هو بنفسه نكتة تكفي في نظر العرف للتقدّم ، لأنّ معنى كونه ناظرا هو أنّ المتكلّم قد أعدّه لتوضيح المقصود من الدليل المحكوم ، وواضح أنّ ما اعدّ لتوضيح المقصود من غيره يكون هو المقدّم في نظر العرف</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7479349_1280447820"/>
      <w:bookmarkStart w:id="283" w:name="_Toc103"/>
      <w:bookmarkEnd w:id="282"/>
      <w:r>
        <w:rPr/>
        <w:t>11</w:t>
      </w:r>
      <w:r>
        <w:rPr>
          <w:rtl w:val="true"/>
        </w:rPr>
        <w:t xml:space="preserve"> - </w:t>
      </w:r>
      <w:r>
        <w:rPr>
          <w:rtl w:val="true"/>
        </w:rPr>
        <w:t>الضرر الواقعي أو العلمي</w:t>
      </w:r>
      <w:bookmarkEnd w:id="283"/>
    </w:p>
    <w:p>
      <w:pPr>
        <w:pStyle w:val="BookText"/>
        <w:rPr/>
      </w:pPr>
      <w:r>
        <w:rPr>
          <w:rFonts w:ascii="Amiri" w:hAnsi="Amiri" w:eastAsia="Amiri" w:cs="Amiri"/>
          <w:color w:val="111111"/>
          <w:sz w:val="28"/>
          <w:sz w:val="28"/>
          <w:szCs w:val="28"/>
          <w:rtl w:val="true"/>
          <w:lang w:bidi="ar-SA"/>
        </w:rPr>
        <w:t xml:space="preserve">كلّ عنوان يؤخذ في الدليل يحمل على الواقعي دون العلمي ،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نجس فالمقصود انّ ما كان دما واقعا هو نجس ، سواء علم المكلّف بكونه دما أو لا ، فالمدار إذن على تحقّق العنوان بوجوده الواقعي وليس على تحقّقه بنظر المكلّف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يلزم أن يقال بأنّ حديث لا ضرر حينما ينفي كلّ حكم شرعي في حالة الضرر فالمقصود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ذلك حالة تحقّق الضرر واقعا حتى وإن لم يحرز المكلّف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هذا أنّ المكلّف لو كان يعتقد حينما يريد الوضوء </w:t>
      </w:r>
    </w:p>
    <w:p>
      <w:pPr>
        <w:pStyle w:val="BookText"/>
        <w:rPr/>
      </w:pPr>
      <w:r>
        <w:rPr>
          <w:rFonts w:ascii="Amiri" w:hAnsi="Amiri" w:eastAsia="Amiri" w:cs="Amiri"/>
          <w:color w:val="111111"/>
          <w:sz w:val="28"/>
          <w:sz w:val="28"/>
          <w:szCs w:val="28"/>
          <w:rtl w:val="true"/>
          <w:lang w:bidi="ar-SA"/>
        </w:rPr>
        <w:t>بعدم كونه مضرّا ، وبعد أن توضّأ اتّضح أنّه مضر فالمناسب الحكم ببطلانه ، لأنّه ما دام مضرّا واقعا فالأمر به يكون منتفيا بسبب حديث لا ضرر ، ومع انتفاء الأمر به يلزم وقوعه باطلا ، والحال أنّ المعروف بين الأعلام بل قيل بتسالمهم على الحكم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يوجّه الحكم بصحّة الوضوء في الحالة المذكورة ، والحال أنّ المناسب لحديث لا ضرر هو البطلان؟</w:t>
      </w:r>
    </w:p>
    <w:p>
      <w:pPr>
        <w:pStyle w:val="BookText"/>
        <w:rPr/>
      </w:pPr>
      <w:r>
        <w:rPr>
          <w:rFonts w:ascii="Amiri" w:hAnsi="Amiri" w:eastAsia="Amiri" w:cs="Amiri"/>
          <w:color w:val="111111"/>
          <w:sz w:val="28"/>
          <w:sz w:val="28"/>
          <w:szCs w:val="28"/>
          <w:rtl w:val="true"/>
          <w:lang w:bidi="ar-SA"/>
        </w:rPr>
        <w:t xml:space="preserve">وهناك عدّة أجوبة عن ذلك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الشيخ النائيني قدس‌سره من أنّ الضرر في المقام لم ينشأ من الحكم الشرعي بوجوب الوضوء ليرتفع الحكم بالوجوب ، وإنّما نشأ من اعتقاد المكلّف وتخيّله عدم الضرر في وضوئه ، فاعتقاده عدم الضرر هو الذي أوقعه في الضرر وليس الحكم الشرعي بوجوب الوضوء ، ولذا لو فرض أنّ الحكم بوجوب الوضوء لم يكن واقعا لوقع المكلّف في الضرر بسبب اعتقاده 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الضرر لم ينشأ من الحكم الشرعي بوجوب الوضوء فلا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ارتفاع وجوب الوضوء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من جهة تعلّق الأمر به وعدم انتفائه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الوضوء لو كان ثابتا في مورد الفرض فهو ثابت في مورد تحقّق الضرر واقعا فيلزم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أنّ الضرر خارجا لم يتحقّق بسببه غير مهمّ فإنّ الميزان في تطبيق حديث لا ضرر هو على ثبوت الحكم الشرعي في مورد الضرر وليس على نشوء الضرر خارجا من جهة الحكم الشرعي حتى يتعذّر تطبيقه في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حديث نفي الضرر ، حيث انّه وارد مورد الامتنان ، فهو يرفع الالزام والوجوب دون أصل الطلب والمشروعية ، فإنّ رفع ذلك ليس امتنانا وإنّما الامتنان هو في رفع الالزام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ما يقال من أنّ نفي الضرر هو على نحو الرخصة دون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يظهر من السيّد اليزدي في مبحث التيمّم من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على ذلك بأنّ الوجوب ليس مركّبا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الفعل والالزام ليكون حديث نفي الضرر رافعا للجزء الثاني دون الأول، بل هو أمر بسيط عبارة عن الطلب الشديد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تدل على الطلب فقط ، والالزام يستفاد من حكم العقل بناء على المسلك القائل باستفادة الوجوب من حكم العقل دون الوضع</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حتى لو افترضناه أمرا بسيطا ، ولكن جعل الوجوب يستلزم بالتبع جعل المشروعية والطلب ، فالمشروعية مجعولة بالتبع وليس بالأصالة من باب انّها جزء مدلول الوجوب لينكر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الأربعة لها لازم لا ينفكّ عنها وهو الزوجية وان الجاعل للأربعة يكون جاعلا للزوجية بالتبع كذلك الحال في الوجوب ، فان له لازما لا ينفك عنه وهو المشروعية ، وجعل الوجوب يستلزم جعل المشروعية بالتبع ، والامتنان يتحقق برفع المجعول الأصلي بلا حاجة إلى رفع المجعول التبعي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إذا رفع المجعول الأصلي فمن أين نعرف </w:t>
      </w:r>
    </w:p>
    <w:p>
      <w:pPr>
        <w:pStyle w:val="BookText"/>
        <w:rPr/>
      </w:pPr>
      <w:r>
        <w:rPr>
          <w:rFonts w:ascii="Amiri" w:hAnsi="Amiri" w:eastAsia="Amiri" w:cs="Amiri"/>
          <w:color w:val="111111"/>
          <w:sz w:val="28"/>
          <w:sz w:val="28"/>
          <w:szCs w:val="28"/>
          <w:rtl w:val="true"/>
          <w:lang w:bidi="ar-SA"/>
        </w:rPr>
        <w:t>عدم رفعه للمجعول التبعي؟</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الامتنان دليل على عدم رفع اليد عن المجعول التبعي ؛ إذ الامتنان يتحقق برفع اليد عن الوجوب بلا حاجة إلى رفع اليد عن المشروعية ، بل رفع اليد عنها مخالف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المشروعية ما دامت لازما للوجوب فبرفع الوجوب كيف تبقى المشروعية؟ انّ بقاءها خلف كونها لازمة وتابعة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المذكور يتم في الأمور التكوينية دون الاعتبارية ، فان الاعتبار سهل المؤونة ، والوجوب والمشروعية هما من الامور الاعتبارية ، وبالامكان ان يفترض ان المولى يرفع الوجوب دون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يكشف عن صحة ما ذكرناه ان الوجدان قاض بصحة تصريح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ارفع الوجوب دون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وجيه على غير مسلك حكم العقل ، واما بناء على كون الوجوب حكما عقليا فلا يكون الوجوب حكما مجعولا بالأصالة لتكون المشروعية مجعولة بالتبع ثمّ ليتصور رفع المولى يده عن المجعول الأصلي دون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كون الوجوب حكما عقليا يلزم عدم امكان رفع الوجوب حتى مع الانضمام إلى رفع المشروعية ، لأنّ الوجوب ليس أمرا مجعولا ليمكن رفعه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ينبغي عدّه كمنبّه وجداني على بطلان مسلك حكم العقل ، فان له لوازم باطلة ، من جملتها عدم امكان رفع الوجوب بحديث نفي الضرر أو حديث الرفع أو 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دليل وجوب الوضوء يدل على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الوضوء واشتماله على الملاك ، وحديث نفي الضرر حيث انّه وارد مورد الامتنان ، وهو يكفي في تحققه نفي الوجوب فقط دون الملاك فيكون المرفوع بالحديث هو الوجوب فقط دون الملاك ، ومع بقاء الملاك يقع الوضوء صحيحا من ناحية الملاك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ونوقش ذلك بأن الدال على الملاك هو الوجوب ، فإذا ارتفع بالحديث فلا يبقى ما يدل على الملاك ليمكن التقرب به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يضاف إلى ذلك أيضا بأن الملاك أمر تكويني وليس أمرا مجعولا من قبل الشارع ليمكن رفعه أو إبقاءه بالحديث ، فان القابل للرفع والابقاء هو الأمر المجعول دون الأمر التكويني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هاتان مناقشتان قد توردان على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المناقشة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نفي الضرر ما دام واردا مورد الامتنان فلا بدّ من كون المرفوع خصوص الوجوب ؛ إذ رفع الملاك اضافة إلى رفع الوجوب مستلزم لمخالفة الامتنان ، لأنّ لازم ذلك بطلان وضوء الجاهل بالضرر ولزوم الاعادة عليه ، وذلك مخالف للامتنان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ندّعي دلالة الحديث على إبقاء الملاك ليقال بأن إبقاء الملاك ورفعه ليس أمرا ممكنا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يدل على انّ الملاك باق واقعا ولم يتأثر فهو كاشف عن بقاء الملاك لا انّه يبقيه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حينما يذكر سببا للرفع يفهم منه العرف كونه مانعا من تأثير الملاك لا رافعا له من أساسه ، إذ لو كان </w:t>
      </w:r>
      <w:bookmarkStart w:id="284" w:name="pg19380_259530"/>
    </w:p>
    <w:p>
      <w:pPr>
        <w:pStyle w:val="BookText"/>
        <w:rPr/>
      </w:pPr>
      <w:bookmarkEnd w:id="284"/>
      <w:r>
        <w:rPr>
          <w:rFonts w:ascii="Amiri" w:hAnsi="Amiri" w:eastAsia="Amiri" w:cs="Amiri"/>
          <w:color w:val="111111"/>
          <w:sz w:val="28"/>
          <w:sz w:val="28"/>
          <w:szCs w:val="28"/>
          <w:rtl w:val="true"/>
          <w:lang w:bidi="ar-SA"/>
        </w:rPr>
        <w:t xml:space="preserve">مرتفعا لما كان الحديث مسوقا للامتنان ، لأن الامتنان لا يتحقّق مع ارتفاع المصلحة من الأساس ، وإنّما يتحقق لو رفع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وجود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ان الوجه المذكور تام وصالح للاعتماد عليه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7479351_1280447820"/>
      <w:bookmarkStart w:id="286" w:name="_Toc104"/>
      <w:bookmarkEnd w:id="285"/>
      <w:r>
        <w:rPr>
          <w:rtl w:val="true"/>
        </w:rPr>
        <w:t>شرطان لصحة الوضوء</w:t>
      </w:r>
      <w:bookmarkEnd w:id="286"/>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بصحة الوضوء في المقام موقوف على إثبات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آية الوضوء ذات اطلاق تدل بواسطته على صحة الوضوء في جميع الحالات ، بما في ذلك حالة الضرر الواقعي ليمكن التمسك باطلاقها بعد فرض قصور حديث نفي الضرر عن اثبات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قصور حديث لا ضرر عن اثبات بطلان الوضوء لا يستلزم الحكم بصحته إلاّ بعد فرض وجود اطلاق يمكن التمسك به ، وآية الوضوء لا إطلاق فيها ؛ إذ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لامَسْتُمُ النِّساءَ فَلَمْ تَجِدُوا ماءً فَتَيَمَّمُوا </w:t>
      </w:r>
      <w:r>
        <w:rPr>
          <w:rFonts w:eastAsia="Amiri" w:cs="Amiri" w:ascii="Amiri" w:hAnsi="Amiri"/>
          <w:color w:val="111111"/>
          <w:sz w:val="28"/>
          <w:szCs w:val="28"/>
          <w:rtl w:val="true"/>
          <w:lang w:bidi="ar-SA"/>
        </w:rPr>
        <w:t xml:space="preserve">... )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الآية الكريمة تدل على تقيد مطلوبية الوضوء بحالة عدم المرض ، وحيث إنّ المرض ملحوظ بما هو طريق إلى الضرر </w:t>
      </w:r>
      <w:r>
        <w:rPr>
          <w:rStyle w:val="FootnoteAnchor"/>
          <w:rtl w:val="true"/>
        </w:rPr>
        <w:footnoteReference w:id="134"/>
      </w:r>
      <w:r>
        <w:rPr>
          <w:rFonts w:ascii="Amiri" w:hAnsi="Amiri" w:eastAsia="Amiri" w:cs="Amiri"/>
          <w:color w:val="111111"/>
          <w:sz w:val="28"/>
          <w:sz w:val="28"/>
          <w:szCs w:val="28"/>
          <w:rtl w:val="true"/>
          <w:lang w:bidi="ar-SA"/>
        </w:rPr>
        <w:t xml:space="preserve">فيكون </w:t>
      </w:r>
      <w:bookmarkStart w:id="287" w:name="pg19380_259531"/>
    </w:p>
    <w:p>
      <w:pPr>
        <w:pStyle w:val="BookText"/>
        <w:rPr/>
      </w:pPr>
      <w:bookmarkEnd w:id="287"/>
      <w:r>
        <w:rPr>
          <w:rFonts w:ascii="Amiri" w:hAnsi="Amiri" w:eastAsia="Amiri" w:cs="Amiri"/>
          <w:color w:val="111111"/>
          <w:sz w:val="28"/>
          <w:sz w:val="28"/>
          <w:szCs w:val="28"/>
          <w:rtl w:val="true"/>
          <w:lang w:bidi="ar-SA"/>
        </w:rPr>
        <w:t>وجوب الوضوء مقيدا بحالة عدم الضرر وليس له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وجيه لو كانت صحة الوضوء موقوفة على وجود الأمر به ، أمّا بناء على كفاية الملاك فلا نكون بحاجة إلى اطلاق الآية الكريمة وتكفينا دلالة حديث لا ضرر على بقاء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يا بنى على حرمة كل ما هو مضر للإنسان وإلاّ وقع الوضوء باطلا ، لأنّه لو كان مضرّا واقعا يلزم وقوعه محرما ، ومع حرمته كيف يقع صحيحا ومصداقا للمطلوب؟</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حتى لو بنينا على حرمة مطلق ما يوجب الضرر فلا يلزم من ذلك بطلان الوضوء ، لأنّه ما دام مشتملا على الملاك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بقصد التقرب يلزم وقوعه صحيحا ، وحرمته واقعا لا تستلزم امتناع التقرب به بعد فرض كونها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المحرم لا يمكن ان يقع مصداقا لما هو الصحيح شرعا قضية غير مدعومة بالدليل</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7479353_1280447820"/>
      <w:bookmarkStart w:id="289" w:name="_Toc105"/>
      <w:bookmarkEnd w:id="288"/>
      <w:r>
        <w:rPr>
          <w:rtl w:val="true"/>
        </w:rPr>
        <w:t>حرمة الاضرار بالنفس</w:t>
      </w:r>
      <w:bookmarkEnd w:id="289"/>
    </w:p>
    <w:p>
      <w:pPr>
        <w:pStyle w:val="BookText"/>
        <w:rPr/>
      </w:pPr>
      <w:r>
        <w:rPr>
          <w:rFonts w:ascii="Amiri" w:hAnsi="Amiri" w:eastAsia="Amiri" w:cs="Amiri"/>
          <w:color w:val="111111"/>
          <w:sz w:val="28"/>
          <w:sz w:val="28"/>
          <w:szCs w:val="28"/>
          <w:rtl w:val="true"/>
          <w:lang w:bidi="ar-SA"/>
        </w:rPr>
        <w:t>وحيث انجرّ الحديث إلى مسألة حرمة الاضرار بالنفس فلا بأس بالتعرض إلى هذه المسألة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الاضرار بالنفس تارة يكون بدرجة كبيرة موجبة للموت ولا اشكال في حرمة مثل ذلك لقوله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لا يكون واصلا إلى درجة الموت ، ولكنه بدرجة يعلم </w:t>
      </w:r>
    </w:p>
    <w:p>
      <w:pPr>
        <w:pStyle w:val="BookText"/>
        <w:rPr/>
      </w:pPr>
      <w:r>
        <w:rPr>
          <w:rFonts w:ascii="Amiri" w:hAnsi="Amiri" w:eastAsia="Amiri" w:cs="Amiri"/>
          <w:color w:val="111111"/>
          <w:sz w:val="28"/>
          <w:sz w:val="28"/>
          <w:szCs w:val="28"/>
          <w:rtl w:val="true"/>
          <w:lang w:bidi="ar-SA"/>
        </w:rPr>
        <w:t>بمبغوضيّته شرعا ، كقطع الإنسان يده أو رجله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يفترض كونه ليس من أحد النحوين السابقين بل هو بدرجة أخف منهما،كالضرر المتولّد من التدخين ، أو من استعمال الماء للمريض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هو في هذا النحو الثالث فهل هو حرام أو لا؟</w:t>
      </w:r>
    </w:p>
    <w:p>
      <w:pPr>
        <w:pStyle w:val="BookText"/>
        <w:rPr/>
      </w:pPr>
      <w:r>
        <w:rPr>
          <w:rFonts w:ascii="Amiri" w:hAnsi="Amiri" w:eastAsia="Amiri" w:cs="Amiri"/>
          <w:color w:val="111111"/>
          <w:sz w:val="28"/>
          <w:sz w:val="28"/>
          <w:szCs w:val="28"/>
          <w:rtl w:val="true"/>
          <w:lang w:bidi="ar-SA"/>
        </w:rPr>
        <w:t xml:space="preserve">قد يقال بحرمته للوجوه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السيرة العقلائية جارية على التجنب عن كل ما يوجب الضرر ، وحيث لم يردع عنها شرعا فهي ممضاة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وان تجنبوا عن كل ما يوجب الضرر ، إلاّ ان ذلك ليس بنحو الالزام ، بل بنحو الرجحان ومن باب كونه أجدر ، وإلاّ فهل يحتمل حرمة مل‌ء المعدة بالطعام ، أو أكل المصاب بمرض السكر لبعض الأطعمة التي قد ترفع من درجة السكر؟ وهل يحتمل حرمة الجماع الزائد ، أو الخروج من المكان الدافئ إلى البارد وأمثال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بحديث لا ضرر ، حيث ورد في 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ذكرنا سابقا امكان حمل هذه الفقرة على النهي وانّه لا يجوز الاضرار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المنصرف من النهي المذكور هو النهي عن الاضرار بالآخرين دون اضرار الشخص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بالآيات الناهية عن ظلم الإنسان نفسه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ارتكاب ما يضر بالنفس ظلم 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الظلم على ارتكاب شي‌ء فرع حرمته في المرتبة السابقة ، وإلاّ فلا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ظلمها بارتكاب الذنوب وادخالها </w:t>
      </w:r>
    </w:p>
    <w:p>
      <w:pPr>
        <w:pStyle w:val="BookText"/>
        <w:rPr/>
      </w:pPr>
      <w:r>
        <w:rPr>
          <w:rFonts w:ascii="Amiri" w:hAnsi="Amiri" w:eastAsia="Amiri" w:cs="Amiri"/>
          <w:color w:val="111111"/>
          <w:sz w:val="28"/>
          <w:sz w:val="28"/>
          <w:szCs w:val="28"/>
          <w:rtl w:val="true"/>
          <w:lang w:bidi="ar-SA"/>
        </w:rPr>
        <w:t xml:space="preserve">نار جهنّم عقوبة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بعد لم تثبت حرمة مطلق المضر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ببعض الروايات الدالة على انّ علّة تحريم بعض المحرمات هو اضرارها ببدن الإنسان ، من قبيل رواية المفضل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لم حرّم اللّه الخمر والميتة والدم ولحم الخنزير؟</w:t>
      </w:r>
    </w:p>
    <w:p>
      <w:pPr>
        <w:pStyle w:val="BookText"/>
        <w:rPr/>
      </w:pPr>
      <w:r>
        <w:rPr>
          <w:rFonts w:ascii="Amiri" w:hAnsi="Amiri" w:eastAsia="Amiri" w:cs="Amiri"/>
          <w:color w:val="111111"/>
          <w:sz w:val="28"/>
          <w:sz w:val="28"/>
          <w:szCs w:val="28"/>
          <w:rtl w:val="true"/>
          <w:lang w:bidi="ar-SA"/>
        </w:rPr>
        <w:t xml:space="preserve">قال ان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يضرهم فنهاهم عنه وحرّمه عليهم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تحريم المحرمات إذا كانت هي الاضرار بالنفس فيلزم حرمة كل ما يوجب الضرر بالنفس ، وإلاّ لما صلح أن يكون علّة لتحريم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وإن دلّ على حرمة الاضرار بالنفس ، ولكن لم يوضح ان الضرر من أي قسم وبأي درجة يكون محرما ، وليس له اطلاق من هذه الناحية ليتمسّك به ، ولعلّ المحرم حصة خاصة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بعض الأحاديث يستفاد منها عدم حرمة الاضرار بالنفس ، كالأحاديث التي ترشد إلى رجحان عدم تناول بعض الأطعمة لكونها مضرة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حرمة مطلق ما يوجب الضرر ، إلاّ في أحد النحوين الأولين</w:t>
      </w:r>
      <w:r>
        <w:rPr>
          <w:rFonts w:eastAsia="Amiri" w:cs="Amiri" w:ascii="Amiri" w:hAnsi="Amiri"/>
          <w:color w:val="111111"/>
          <w:sz w:val="28"/>
          <w:szCs w:val="28"/>
          <w:rtl w:val="true"/>
          <w:lang w:bidi="ar-SA"/>
        </w:rPr>
        <w:t xml:space="preserve">. </w:t>
      </w:r>
      <w:bookmarkStart w:id="290" w:name="pg19380_259534"/>
    </w:p>
    <w:p>
      <w:pPr>
        <w:pStyle w:val="Heading3"/>
        <w:numPr>
          <w:ilvl w:val="2"/>
          <w:numId w:val="1"/>
        </w:numPr>
        <w:rPr/>
      </w:pPr>
      <w:bookmarkStart w:id="291" w:name="__RefHeading___Toc17479355_1280447820"/>
      <w:bookmarkStart w:id="292" w:name="_Toc106"/>
      <w:bookmarkEnd w:id="290"/>
      <w:bookmarkEnd w:id="291"/>
      <w:r>
        <w:rPr/>
        <w:t>12</w:t>
      </w:r>
      <w:r>
        <w:rPr>
          <w:rtl w:val="true"/>
        </w:rPr>
        <w:t xml:space="preserve"> - </w:t>
      </w:r>
      <w:r>
        <w:rPr>
          <w:rtl w:val="true"/>
        </w:rPr>
        <w:t>تعارض الضررين</w:t>
      </w:r>
      <w:bookmarkEnd w:id="292"/>
    </w:p>
    <w:p>
      <w:pPr>
        <w:pStyle w:val="Heading4"/>
        <w:numPr>
          <w:ilvl w:val="3"/>
          <w:numId w:val="1"/>
        </w:numPr>
        <w:rPr/>
      </w:pPr>
      <w:bookmarkStart w:id="293" w:name="__RefHeading___Toc17479357_1280447820"/>
      <w:bookmarkStart w:id="294" w:name="_Toc107"/>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من الأبحاث التي تعرض لها الشيخ الاعظم في الرسائل في قاعدة لا ضرر مسألة تعارض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وننتخب من ذلك صورتين نتعرض لهما باختصار</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7479359_1280447820"/>
      <w:bookmarkStart w:id="296" w:name="_Toc108"/>
      <w:bookmarkEnd w:id="295"/>
      <w:r>
        <w:rPr>
          <w:rtl w:val="true"/>
        </w:rPr>
        <w:t>الصورة الاولى</w:t>
      </w:r>
      <w:bookmarkEnd w:id="296"/>
    </w:p>
    <w:p>
      <w:pPr>
        <w:pStyle w:val="BookText"/>
        <w:rPr/>
      </w:pPr>
      <w:r>
        <w:rPr>
          <w:rFonts w:ascii="Amiri" w:hAnsi="Amiri" w:eastAsia="Amiri" w:cs="Amiri"/>
          <w:color w:val="111111"/>
          <w:sz w:val="28"/>
          <w:sz w:val="28"/>
          <w:szCs w:val="28"/>
          <w:rtl w:val="true"/>
          <w:lang w:bidi="ar-SA"/>
        </w:rPr>
        <w:t>إذا دار الأمر بين ضررين في حق شخصين فأيهما المقدم؟</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شخصان دار الأمر بين ان يتضرر هذا أو ذاك ، ورفعا أمرهما إلى الحاكم ، فهل يقدّم الحاكم تضرر هذا أو تضرر ذاك؟</w:t>
      </w:r>
    </w:p>
    <w:p>
      <w:pPr>
        <w:pStyle w:val="BookText"/>
        <w:rPr/>
      </w:pPr>
      <w:r>
        <w:rPr>
          <w:rFonts w:ascii="Amiri" w:hAnsi="Amiri" w:eastAsia="Amiri" w:cs="Amiri"/>
          <w:color w:val="111111"/>
          <w:sz w:val="28"/>
          <w:sz w:val="28"/>
          <w:szCs w:val="28"/>
          <w:rtl w:val="true"/>
          <w:lang w:bidi="ar-SA"/>
        </w:rPr>
        <w:t xml:space="preserve">والمثال المتوارث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أدخلت دابة شخص رأسها في قدر شخص آخر، ودار الأمر بين كسر القدر حفاظا على رأس الدابّة وبين قطع رأس الدابّة حفاظا على القدر ، فأيّهما المقدّم؟ بعد وضوح أن الحكم بكسر القدر يستوجب الضرر على صاحبه ، والحكم بقطع رأس الدابة يستوجب الضرر على صاحبها ، فالأمر على هذا يدور بين حكمين يستلزم كل منهما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إذا فرض ان الطرفين تمّ اتفاقهما على أمر معين ، ككسر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 لأن المال مالهما وبامكانهما التصالح كيفما أحبّا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وتنحصر المشكلة بما إذا لم يتصالحا على أمر معين ورفعا أمرهما إلى الحاكم ، فما ذا يفعل؟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بالامكان التمسك بحديث لا ضرر ، لأنّ التمسك به في صالح أي واحد منهما ترجيح بلا مرجح بعد استلزام كل منهما الضرر</w:t>
      </w:r>
      <w:r>
        <w:rPr>
          <w:rFonts w:eastAsia="Amiri" w:cs="Amiri" w:ascii="Amiri" w:hAnsi="Amiri"/>
          <w:color w:val="111111"/>
          <w:sz w:val="28"/>
          <w:szCs w:val="28"/>
          <w:rtl w:val="true"/>
          <w:lang w:bidi="ar-SA"/>
        </w:rPr>
        <w:t xml:space="preserve">. </w:t>
      </w:r>
      <w:bookmarkStart w:id="297" w:name="pg19380_259535"/>
    </w:p>
    <w:p>
      <w:pPr>
        <w:pStyle w:val="BookText"/>
        <w:rPr/>
      </w:pPr>
      <w:bookmarkEnd w:id="297"/>
      <w:r>
        <w:rPr>
          <w:rFonts w:ascii="Amiri" w:hAnsi="Amiri" w:eastAsia="Amiri" w:cs="Amiri"/>
          <w:color w:val="111111"/>
          <w:sz w:val="28"/>
          <w:sz w:val="28"/>
          <w:szCs w:val="28"/>
          <w:rtl w:val="true"/>
          <w:lang w:bidi="ar-SA"/>
        </w:rPr>
        <w:t xml:space="preserve">ولا محيص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امكان التمسك بحديث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من يتضرر أقل فيرجّح اتلاف ماله ، وعند التساوي من هذه الناحية وسائر الخصوصيات الموجبة للترجيح العقلائي ينتقل إلى القرعة ، لأنّها طريق عقلائي في أمثال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ضمان قيمة النقص الطارئ بسبب الكسر أو قطع الرأس على الطرف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هو التمسك بقاعدة العدل والانصاف ، فانّ مقتضى العدالة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المذكورة لم ينعقد عليها بناء عقلائي ، ولا مستند لها سوى عذوبة ألفاظها ، كما ناقش بذلك السيد الخوئي في بعض المواضع من كلماته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لإثباتها في الجملة كتاب اللّه العزيز حيث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حَكَمْتُمْ بَيْنَ النّاسِ أَنْ تَحْكُمُوا بِالْعَدْلِ </w:t>
      </w:r>
      <w:r>
        <w:rPr>
          <w:rFonts w:eastAsia="Amiri" w:cs="Amiri" w:ascii="Amiri" w:hAnsi="Amiri"/>
          <w:color w:val="111111"/>
          <w:sz w:val="28"/>
          <w:szCs w:val="28"/>
          <w:rtl w:val="true"/>
          <w:lang w:bidi="ar-SA"/>
        </w:rPr>
        <w:t xml:space="preserve">... )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7479361_1280447820"/>
      <w:bookmarkStart w:id="299" w:name="_Toc109"/>
      <w:bookmarkEnd w:id="298"/>
      <w:r>
        <w:rPr>
          <w:rtl w:val="true"/>
        </w:rPr>
        <w:t>مثال معاصر</w:t>
      </w:r>
      <w:bookmarkEnd w:id="299"/>
    </w:p>
    <w:p>
      <w:pPr>
        <w:pStyle w:val="BookText"/>
        <w:rPr/>
      </w:pPr>
      <w:r>
        <w:rPr>
          <w:rFonts w:ascii="Amiri" w:hAnsi="Amiri" w:eastAsia="Amiri" w:cs="Amiri"/>
          <w:color w:val="111111"/>
          <w:sz w:val="28"/>
          <w:sz w:val="28"/>
          <w:szCs w:val="28"/>
          <w:rtl w:val="true"/>
          <w:lang w:bidi="ar-SA"/>
        </w:rPr>
        <w:t xml:space="preserve">والمثال الموروث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 بيد أنّه قد يبدل بمثال معاصر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كانت امرأة حاملا بطفل ، ودار الأمر بين الحفاظ على الطفل الموجب لتضرّرها والحفاظ على الام الموجب لقتل الطفل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الشارع بوجوب الحفاظ على الام حيث </w:t>
      </w:r>
      <w:bookmarkStart w:id="300" w:name="pg19380_259536"/>
    </w:p>
    <w:p>
      <w:pPr>
        <w:pStyle w:val="BookText"/>
        <w:rPr/>
      </w:pPr>
      <w:bookmarkEnd w:id="300"/>
      <w:r>
        <w:rPr>
          <w:rFonts w:ascii="Amiri" w:hAnsi="Amiri" w:eastAsia="Amiri" w:cs="Amiri"/>
          <w:color w:val="111111"/>
          <w:sz w:val="28"/>
          <w:sz w:val="28"/>
          <w:szCs w:val="28"/>
          <w:rtl w:val="true"/>
          <w:lang w:bidi="ar-SA"/>
        </w:rPr>
        <w:t>يستلزم الضرر على الطفل ، وهكذا العكس بالعكس فلا يمكن التمسك بحديث نفي الضرر ، لأن ذلك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الاستشهاد بالمثال المذكور قابلا للمناقشة من بعض الجهات ، إلاّ أنّه جيد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تحقيق حاله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ضرر الام بدرجة موتها وكان موتها مستلزما لموت الحمل أيضا فلا إشكال في تعين الحفاظ على حياتها ، لأنّ الأمر يدور بين موت الام وحملها أو موت خصوص الحمل ، والثاني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تضرّرها شديدا ولكنه لا يبلغ درجة الموت فيجوز لها اسقاطه أيضا باعتبار ان الدليل على حرمة الاسقاط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الاجماع والتسالم أو روايات ثبوت الدّية في الاسقاط بناء على دلالة ذلك بالملازمة على الحرمة ، وكلاهما لا اطلاق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جواز الاسقاط لا يعني ارتفاع الدية ، بل هي ثابتة بالرغم من جواز الاسقاط لإطلاق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عملية الاسقاط ينبغي أن تكون من الحامل نفسها أو تجوز من الطبيب أيضا؟</w:t>
      </w:r>
    </w:p>
    <w:p>
      <w:pPr>
        <w:pStyle w:val="BookText"/>
        <w:rPr/>
      </w:pPr>
      <w:r>
        <w:rPr>
          <w:rFonts w:ascii="Amiri" w:hAnsi="Amiri" w:eastAsia="Amiri" w:cs="Amiri"/>
          <w:color w:val="111111"/>
          <w:sz w:val="28"/>
          <w:sz w:val="28"/>
          <w:szCs w:val="28"/>
          <w:rtl w:val="true"/>
          <w:lang w:bidi="ar-SA"/>
        </w:rPr>
        <w:t>المناسب جوازها من الطبيب أيضا ، لأنّ الاسقاط من الطبيب لا دليل على حرمته في مثل هذه الحالة فيتمسك بأصل البراءة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7479363_1280447820"/>
      <w:bookmarkStart w:id="302" w:name="_Toc110"/>
      <w:bookmarkEnd w:id="301"/>
      <w:r>
        <w:rPr>
          <w:rtl w:val="true"/>
        </w:rPr>
        <w:t>الصورة الثانية</w:t>
      </w:r>
      <w:bookmarkEnd w:id="30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يفترض أنّ لإنسان ملكا ، كدار أو غيرها ، وأراد التصرّف باحداث حمام فيها إلى جانب غرفة بيت جاره فاعترض الجار بأن رطوبة الحمام تسري إلى غرفتي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المسألة من موارد الابتلاء الكثيرة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وطبيعي ينبغي ان نحصر الكلام بحالة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صاحب الدار من إحداث الحمام في غير ذلك المكان الذي يضر بالجار ، وإلاّ فمنعه من إحداث الحمام لا يولّد له ضررا ، بل أقصى ما يلزم عدم امكان تصرفه في داره بالشكل الذي يحب ، وذلك لا يعدّ ضررا بالنظر العقلائي ، كما ينبغي ان نفترض أنّ إحداثه للحمام ضروري بحيث يشكّل عدمه ضررا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المالك من التصرف في ملكه كيفما أحبّ حرج عليه ، وهو منفي في التشريع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بحرج ؛ لأنّ الحرج هو المشقة الشديدة ، والمفروض عدم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من فرض البحث في حالة دوران الأمر بين ضررين ، وعلى أساس هذا الافتراض لا يمكن التمسّك بحديث نفي الضرر ، لأنّ الأمر يدور بين حكمين ضرريّين ، فالحكم بجواز إحداث الحمام مستلزم للضرر على الجار ، والحكم بعدم جوازه مستلزم للضرر على المالك ، والتمسك بالحديث بلحاظ أحدهما دون الآخر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الناس مسلطون على أموالهم ترجّح طرف المالك ، حيث ان منعه من التصرّف في ملكه خلاف تسلطه على ماله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المذكورة لا دليل معتبر عليها من الروايات ، فانها لم ترد في معاجمنا الحديثية إلاّ في البحار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قد </w:t>
      </w:r>
      <w:bookmarkStart w:id="303" w:name="pg19380_259538"/>
    </w:p>
    <w:p>
      <w:pPr>
        <w:pStyle w:val="BookText"/>
        <w:rPr/>
      </w:pPr>
      <w:bookmarkEnd w:id="303"/>
      <w:r>
        <w:rPr>
          <w:rFonts w:ascii="Amiri" w:hAnsi="Amiri" w:eastAsia="Amiri" w:cs="Amiri"/>
          <w:color w:val="111111"/>
          <w:sz w:val="28"/>
          <w:sz w:val="28"/>
          <w:szCs w:val="28"/>
          <w:rtl w:val="true"/>
          <w:lang w:bidi="ar-SA"/>
        </w:rPr>
        <w:t xml:space="preserve">تشتمل عليها بعض كتبنا الفقهية ، كالخلاف للشيخ الطوسي </w:t>
      </w:r>
      <w:r>
        <w:rPr>
          <w:rStyle w:val="FootnoteAnchor"/>
          <w:rtl w:val="true"/>
        </w:rPr>
        <w:footnoteReference w:id="141"/>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المعاجم الحديثية المشهورة للعامة لا تشتمل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فمهم المستند للقاعدة المذكورة هو سيرة العقلاء وارتكازهم ، والقدر المتيقّن من ذلك حالة عدم استلزام تصرف الإنسان في ملكه الضرر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عدم امكان التمسك بقاعدة لا ضرر يتعين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الشك في جواز تصرف المالك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 البراءة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7479365_1280447820"/>
      <w:bookmarkStart w:id="305" w:name="_Toc111"/>
      <w:bookmarkEnd w:id="304"/>
      <w:r>
        <w:rPr/>
        <w:t>13</w:t>
      </w:r>
      <w:r>
        <w:rPr>
          <w:rtl w:val="true"/>
        </w:rPr>
        <w:t xml:space="preserve"> - </w:t>
      </w:r>
      <w:r>
        <w:rPr>
          <w:rtl w:val="true"/>
        </w:rPr>
        <w:t>تطبيقات</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ان نستفيد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حديث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التطبير في عزاء سيّد الشهداء  عليه‌ السلام جوازا أو تحريما؟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في ضوء حديث لا ضرر استفادة حكم التدخين جوازا أو تحريما؟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في وجه الشخص احيانا بعض اللحوم الصغيرة الزائدة فإذا أراد قطع تلك اللحوم من خلال شدّ خيط عليها ونحوه مع عدم وصول الماء إليها يوما أو يومين خلال فترة وجود الخيط فهل ذلك جائز بعد الالتفات إلى امتناع الوضوء خلال تلك الفترة؟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أرادت وضع لولب لمنع الحمل فهل ذلك جائز؟ فصّل الشقوق المتصوّرة في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لا يمكنه القيام أثناء الصلاة كيف نشخّص وظيفته </w:t>
      </w:r>
    </w:p>
    <w:p>
      <w:pPr>
        <w:pStyle w:val="BookText"/>
        <w:rPr/>
      </w:pPr>
      <w:r>
        <w:rPr>
          <w:rFonts w:ascii="Amiri" w:hAnsi="Amiri" w:eastAsia="Amiri" w:cs="Amiri"/>
          <w:color w:val="111111"/>
          <w:sz w:val="28"/>
          <w:sz w:val="28"/>
          <w:szCs w:val="28"/>
          <w:rtl w:val="true"/>
          <w:lang w:bidi="ar-SA"/>
        </w:rPr>
        <w:t>طبق الأدلة؟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فرض انّ شخصا يتضرّر بشكل وآخر من أداء الصلاة فهل يجوز له تركها؟ ولما ذا؟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 يعمل في بعض الدوائر الرسمية يحتاج لسبب وآخر إلى حلق لحيته فهل يجوز له ذلك على تفصيل أو مطلقا؟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استعمال أقراص منع الحمل ، ولما ذا؟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 اعتقد بأنّ الصلاة من قيام مضرّة له فصلّى من جلوس ثم اتّضح له خطأ اعتقاده فما حكم صلاته؟ ولو فرض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اعتقد أنّ القيام غير مضر له فصلّى من قيام ثم اتّضح الخطأ فما حكم صلاته؟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يشمل حديث لا ضرر الأحكام الترخيصية؟ فلو فرض ان شخصا كان يضرّه استعمال الماء فهل يرتفع بذلك جواز شرب الماء بمقتضى الحديث؟ اوضح نكتة جوابك</w:t>
      </w:r>
      <w:r>
        <w:rPr>
          <w:rFonts w:eastAsia="Amiri" w:cs="Amiri" w:ascii="Amiri" w:hAnsi="Amiri"/>
          <w:color w:val="111111"/>
          <w:sz w:val="28"/>
          <w:szCs w:val="28"/>
          <w:rtl w:val="true"/>
          <w:lang w:bidi="ar-SA"/>
        </w:rPr>
        <w:t xml:space="preserve">. </w:t>
      </w:r>
      <w:bookmarkStart w:id="306" w:name="pg19380_259540"/>
    </w:p>
    <w:p>
      <w:pPr>
        <w:pStyle w:val="Heading2"/>
        <w:numPr>
          <w:ilvl w:val="1"/>
          <w:numId w:val="1"/>
        </w:numPr>
        <w:rPr/>
      </w:pPr>
      <w:bookmarkStart w:id="307" w:name="__RefHeading___Toc17479367_1280447820"/>
      <w:bookmarkStart w:id="308" w:name="_Toc112"/>
      <w:bookmarkEnd w:id="306"/>
      <w:bookmarkEnd w:id="307"/>
      <w:r>
        <w:rPr>
          <w:rtl w:val="true"/>
        </w:rPr>
        <w:t>قاعدة نفي الحرج</w:t>
      </w:r>
      <w:bookmarkEnd w:id="308"/>
    </w:p>
    <w:p>
      <w:pPr>
        <w:pStyle w:val="Heading3"/>
        <w:numPr>
          <w:ilvl w:val="2"/>
          <w:numId w:val="1"/>
        </w:numPr>
        <w:rPr/>
      </w:pPr>
      <w:bookmarkStart w:id="309" w:name="__RefHeading___Toc17479369_1280447820"/>
      <w:bookmarkStart w:id="310" w:name="_Toc113"/>
      <w:bookmarkEnd w:id="309"/>
      <w:r>
        <w:rPr>
          <w:rtl w:val="true"/>
        </w:rPr>
        <w:t>اشارة</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الحرج والفرق بينه وبين الضرر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تقدم القاعدة على الأدلّة الأوّلية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 القاعدة بكثرة التخصيص</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المدار على رفع الحرج النوعي أو الشخصي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رفع الحرج رخصة أو عزيمة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القاعدة تعم الحكم الوضعي أيضا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المهمة التي يتكل الفقيه كثيرا عليها في مقام الاستنباط قاعدة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التعرض للبحث عن هذه القاعدة بشكل مستقل ومستوعب بعد اهميتها ، ولكن مع الاسف لم يتعرض لها الأعلام كذلك ، وانما يتعرّضون بنحو الإشارة الى كل حكم حرجي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مرفوع من ناحية قاعدة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في كتب القواعد الفقهية تبحث بشكل مستقل ، ولعل أول من بحثها هو النراقي في عوائده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بخلافه في قاعدة لا ضرر وغيرها من القواعد المتقدمة فانها بحثت بشكل مشبّع ومستقل ، إمّا في الكتاب الاصولية أو الفقهية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الكلام في قاعدة لا حرج يقع ضمن نقاط </w:t>
      </w:r>
      <w:r>
        <w:rPr>
          <w:rFonts w:eastAsia="Amiri" w:cs="Amiri" w:ascii="Amiri" w:hAnsi="Amiri"/>
          <w:color w:val="111111"/>
          <w:sz w:val="28"/>
          <w:szCs w:val="28"/>
          <w:rtl w:val="true"/>
          <w:lang w:bidi="ar-SA"/>
        </w:rPr>
        <w:t xml:space="preserve">: </w:t>
      </w:r>
      <w:bookmarkStart w:id="311" w:name="pg19380_259543"/>
    </w:p>
    <w:p>
      <w:pPr>
        <w:pStyle w:val="BookText"/>
        <w:rPr/>
      </w:pPr>
      <w:bookmarkEnd w:id="31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الحرج والفرق بينه وبين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تقدم القاعدة على الأدلّة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 القاعدة بكثرة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المدار على رفع الحرج النوعي أو الشخصي؟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رفع الحرج رخصة أو عزيمة؟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القاعدة تعم الحكم الوضعي أيضا؟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7479371_1280447820"/>
      <w:bookmarkStart w:id="313" w:name="_Toc114"/>
      <w:bookmarkEnd w:id="312"/>
      <w:r>
        <w:rPr/>
        <w:t>1</w:t>
      </w:r>
      <w:r>
        <w:rPr>
          <w:rtl w:val="true"/>
        </w:rPr>
        <w:t xml:space="preserve"> - </w:t>
      </w:r>
      <w:r>
        <w:rPr>
          <w:rtl w:val="true"/>
        </w:rPr>
        <w:t>مضمون القاعدة</w:t>
      </w:r>
      <w:bookmarkEnd w:id="313"/>
    </w:p>
    <w:p>
      <w:pPr>
        <w:pStyle w:val="BookText"/>
        <w:rPr/>
      </w:pPr>
      <w:r>
        <w:rPr>
          <w:rFonts w:ascii="Amiri" w:hAnsi="Amiri" w:eastAsia="Amiri" w:cs="Amiri"/>
          <w:color w:val="111111"/>
          <w:sz w:val="28"/>
          <w:sz w:val="28"/>
          <w:szCs w:val="28"/>
          <w:rtl w:val="true"/>
          <w:lang w:bidi="ar-SA"/>
        </w:rPr>
        <w:t xml:space="preserve">اذا كان المقصود من قاعدة لا ضرر قد وقع فيه الاختلاف بين الاعلام بالشكل المتقدم فان المقصود من قاعدة لا حرج لم يقع فيه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كل حكم يستلزم ثبوته على العباد الحرج ، فوجوب الوضوء أو الغسل أو وجوب اعفاء اللحية أو حرمة كشف المرأة عورتها امام الطبيبة للفحص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استلزم الحرج يكون مرفوعا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عدم الاختلاف هنا هو ان مدرك القاعدة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جَعَلَ عَلَيْكُمْ فِي الدِّينِ مِنْ حَرَجٍ مِلَّةَ أَبِيكُمْ إِبْراهِيمَ </w:t>
      </w:r>
      <w:r>
        <w:rPr>
          <w:rFonts w:eastAsia="Amiri" w:cs="Amiri" w:ascii="Amiri" w:hAnsi="Amiri"/>
          <w:color w:val="111111"/>
          <w:sz w:val="28"/>
          <w:szCs w:val="28"/>
          <w:rtl w:val="true"/>
          <w:lang w:bidi="ar-SA"/>
        </w:rPr>
        <w:t xml:space="preserve">... ) </w:t>
      </w:r>
      <w:r>
        <w:rPr>
          <w:rStyle w:val="FootnoteAnchor"/>
          <w:rtl w:val="true"/>
        </w:rPr>
        <w:footnoteReference w:id="143"/>
      </w:r>
      <w:r>
        <w:rPr>
          <w:rFonts w:ascii="Amiri" w:hAnsi="Amiri" w:eastAsia="Amiri" w:cs="Amiri"/>
          <w:color w:val="111111"/>
          <w:sz w:val="28"/>
          <w:sz w:val="28"/>
          <w:szCs w:val="28"/>
          <w:rtl w:val="true"/>
          <w:lang w:bidi="ar-SA"/>
        </w:rPr>
        <w:t xml:space="preserve">، وعدم جعل الحرج في الدين ليس الاّ عبارة اخرى عن عدم تشريع الاحكام </w:t>
      </w:r>
      <w:bookmarkStart w:id="314" w:name="pg19380_259544"/>
    </w:p>
    <w:p>
      <w:pPr>
        <w:pStyle w:val="BookText"/>
        <w:rPr/>
      </w:pPr>
      <w:bookmarkEnd w:id="314"/>
      <w:r>
        <w:rPr>
          <w:rFonts w:ascii="Amiri" w:hAnsi="Amiri" w:eastAsia="Amiri" w:cs="Amiri"/>
          <w:color w:val="111111"/>
          <w:sz w:val="28"/>
          <w:sz w:val="28"/>
          <w:szCs w:val="28"/>
          <w:rtl w:val="true"/>
          <w:lang w:bidi="ar-SA"/>
        </w:rPr>
        <w:t>المستلزم ثبوتها للحرج ، ولا يحتمل ارادة معنى ثان من الآية الكريمة</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7479373_1280447820"/>
      <w:bookmarkStart w:id="316" w:name="_Toc115"/>
      <w:bookmarkEnd w:id="315"/>
      <w:r>
        <w:rPr/>
        <w:t>2</w:t>
      </w:r>
      <w:r>
        <w:rPr>
          <w:rtl w:val="true"/>
        </w:rPr>
        <w:t xml:space="preserve"> - </w:t>
      </w:r>
      <w:r>
        <w:rPr>
          <w:rtl w:val="true"/>
        </w:rPr>
        <w:t>مدرك القاعدة</w:t>
      </w:r>
      <w:bookmarkEnd w:id="316"/>
    </w:p>
    <w:p>
      <w:pPr>
        <w:pStyle w:val="Heading4"/>
        <w:numPr>
          <w:ilvl w:val="3"/>
          <w:numId w:val="1"/>
        </w:numPr>
        <w:rPr/>
      </w:pPr>
      <w:bookmarkStart w:id="317" w:name="__RefHeading___Toc17479375_1280447820"/>
      <w:bookmarkStart w:id="318" w:name="_Toc116"/>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قد دلّ على القاعدة المذكورة جملة من النصوص بعضها من الكتاب الكريم وبعضها الاخر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الكريم فالآية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واضحة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يستفاد ذلك من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قوله تعالى في آية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مَرِيضاً أَوْ عَلى سَفَرٍ فَعِدَّةٌ مِنْ أَيّامٍ أُخَرَ يُرِيدُ اللّهُ بِكُمُ الْيُسْرَ وَلا يُرِيدُ بِكُمُ الْعُسْرَ </w:t>
      </w:r>
      <w:r>
        <w:rPr>
          <w:rFonts w:eastAsia="Amiri" w:cs="Amiri" w:ascii="Amiri" w:hAnsi="Amiri"/>
          <w:color w:val="111111"/>
          <w:sz w:val="28"/>
          <w:szCs w:val="28"/>
          <w:rtl w:val="true"/>
          <w:lang w:bidi="ar-SA"/>
        </w:rPr>
        <w:t xml:space="preserve">... ) </w:t>
      </w:r>
      <w:r>
        <w:rPr>
          <w:rStyle w:val="FootnoteAnchor"/>
          <w:rtl w:val="true"/>
        </w:rPr>
        <w:footnoteReference w:id="145"/>
      </w:r>
      <w:r>
        <w:rPr>
          <w:rFonts w:ascii="Amiri" w:hAnsi="Amiri" w:eastAsia="Amiri" w:cs="Amiri"/>
          <w:color w:val="111111"/>
          <w:sz w:val="28"/>
          <w:sz w:val="28"/>
          <w:szCs w:val="28"/>
          <w:rtl w:val="true"/>
          <w:lang w:bidi="ar-SA"/>
        </w:rPr>
        <w:t xml:space="preserve">فلا يمكن الاستدلال به لاحتمال اختصاص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بخصوص الصوم ولا يعمّ بقية الأبواب ، فانه ليس علة ليتمسك بعموم العلة في الغاء الاحتمال المذكور ، بل هو حكمة ، لأنه لو كان علة يلزم دوران الحكم مدارها ، والحال ان المسافر يلزمه الافطار حتى ولو لم يعسر عليه الصوم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السّنة الشريفة فيمكن الاستشهاد منها بجملة من النصوص </w:t>
      </w:r>
      <w:bookmarkStart w:id="319" w:name="pg19380_259545"/>
    </w:p>
    <w:p>
      <w:pPr>
        <w:pStyle w:val="BookText"/>
        <w:rPr/>
      </w:pPr>
      <w:bookmarkEnd w:id="319"/>
      <w:r>
        <w:rPr>
          <w:rFonts w:ascii="Amiri" w:hAnsi="Amiri" w:eastAsia="Amiri" w:cs="Amiri"/>
          <w:color w:val="111111"/>
          <w:sz w:val="28"/>
          <w:sz w:val="28"/>
          <w:szCs w:val="28"/>
          <w:rtl w:val="true"/>
          <w:lang w:bidi="ar-SA"/>
        </w:rPr>
        <w:t xml:space="preserve">أنهاها الشيخ النراقي في عوائده الى ثمانية عشر حديثا </w:t>
      </w:r>
      <w:r>
        <w:rPr>
          <w:rStyle w:val="FootnoteAnchor"/>
          <w:rtl w:val="true"/>
        </w:rPr>
        <w:footnoteReference w:id="146"/>
      </w:r>
      <w:r>
        <w:rPr>
          <w:rFonts w:ascii="Amiri" w:hAnsi="Amiri" w:eastAsia="Amiri" w:cs="Amiri"/>
          <w:color w:val="111111"/>
          <w:sz w:val="28"/>
          <w:sz w:val="28"/>
          <w:szCs w:val="28"/>
          <w:rtl w:val="true"/>
          <w:lang w:bidi="ar-SA"/>
        </w:rPr>
        <w:t>، بيد انّه لا حاجة الى استعراضها بعد دلالة الكتاب الكريم على ذلك</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7479377_1280447820"/>
      <w:bookmarkStart w:id="321" w:name="_Toc117"/>
      <w:bookmarkEnd w:id="320"/>
      <w:r>
        <w:rPr>
          <w:rtl w:val="true"/>
        </w:rPr>
        <w:t>العقل والاجماع</w:t>
      </w:r>
      <w:bookmarkEnd w:id="321"/>
    </w:p>
    <w:p>
      <w:pPr>
        <w:pStyle w:val="BookText"/>
        <w:rPr/>
      </w:pPr>
      <w:r>
        <w:rPr>
          <w:rFonts w:ascii="Amiri" w:hAnsi="Amiri" w:eastAsia="Amiri" w:cs="Amiri"/>
          <w:color w:val="111111"/>
          <w:sz w:val="28"/>
          <w:sz w:val="28"/>
          <w:szCs w:val="28"/>
          <w:rtl w:val="true"/>
          <w:lang w:bidi="ar-SA"/>
        </w:rPr>
        <w:t>وهل يمكن الاستدلال على القاعدة المذكورة مضافا الى الكتاب والسنة بالإجماع والعقل؟ كلا لا يمكن الاستدلال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 العقل لا يمكن الاستدلال به فباعتبار انه لا يرى امتناع التكليف بالأمر الشاق ، كيف وقد وقع التكليف بالأمر الشاق في الشرائع السابقة ، كما تشير اليه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 عَلَيْنا إِصْراً كَما حَمَلْتَهُ عَلَى الَّذِينَ مِنْ قَبْلِنا </w:t>
      </w:r>
      <w:r>
        <w:rPr>
          <w:rFonts w:eastAsia="Amiri" w:cs="Amiri" w:ascii="Amiri" w:hAnsi="Amiri"/>
          <w:color w:val="111111"/>
          <w:sz w:val="28"/>
          <w:szCs w:val="28"/>
          <w:rtl w:val="true"/>
          <w:lang w:bidi="ar-SA"/>
        </w:rPr>
        <w:t xml:space="preserve">... ) </w:t>
      </w:r>
      <w:r>
        <w:rPr>
          <w:rStyle w:val="FootnoteAnchor"/>
          <w:rtl w:val="true"/>
        </w:rPr>
        <w:footnoteReference w:id="147"/>
      </w:r>
      <w:r>
        <w:rPr>
          <w:rFonts w:ascii="Amiri" w:hAnsi="Amiri" w:eastAsia="Amiri" w:cs="Amiri"/>
          <w:color w:val="111111"/>
          <w:sz w:val="28"/>
          <w:sz w:val="28"/>
          <w:szCs w:val="28"/>
          <w:rtl w:val="true"/>
          <w:lang w:bidi="ar-SA"/>
        </w:rPr>
        <w:t>فان الاصر عبارة عن الأمر الشاق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العقل يمنع من التكليف بالأمر غير المقدور ، ولكن المفروض ان الحرج ليس هو الامر 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ذلك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الأمر الشاق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الاجماع لا يمكن الاستدلال به فلأنّه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نحتمل أو نجزم بان مدرك المجمعين هو النصوص من الكتاب والسنة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والاجماع المدركي ليس حجة، لأن حجية الاجماع هي باعتبار كاشفيته يدا بيد عن وصول الحكم من الامام عليه‌ السلام، ومع وجود مدرك يحتمل استناد المجمعين إليه لا يجزم بوصول الحكم من الامام عليه‌ السلام حتى يكون حجة ، بل يلزم الرجوع الى المدرك وملاحظة أنّه تام سندا ودلالة أو 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كله يتضح ان المدرك للقاعدة هو الكتاب والسنة </w:t>
      </w:r>
      <w:bookmarkStart w:id="322" w:name="pg19380_259546"/>
    </w:p>
    <w:p>
      <w:pPr>
        <w:pStyle w:val="BookText"/>
        <w:rPr/>
      </w:pPr>
      <w:bookmarkEnd w:id="322"/>
      <w:r>
        <w:rPr>
          <w:rFonts w:ascii="Amiri" w:hAnsi="Amiri" w:eastAsia="Amiri" w:cs="Amiri"/>
          <w:color w:val="111111"/>
          <w:sz w:val="28"/>
          <w:sz w:val="28"/>
          <w:szCs w:val="28"/>
          <w:rtl w:val="true"/>
          <w:lang w:bidi="ar-SA"/>
        </w:rPr>
        <w:t>الشريفان دون العقل والاجماع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ينقل عن بعض </w:t>
      </w:r>
      <w:r>
        <w:rPr>
          <w:rStyle w:val="FootnoteAnchor"/>
          <w:rtl w:val="true"/>
        </w:rPr>
        <w:footnoteReference w:id="148"/>
      </w:r>
      <w:r>
        <w:rPr>
          <w:rFonts w:ascii="Amiri" w:hAnsi="Amiri" w:eastAsia="Amiri" w:cs="Amiri"/>
          <w:color w:val="111111"/>
          <w:sz w:val="28"/>
          <w:sz w:val="28"/>
          <w:szCs w:val="28"/>
          <w:rtl w:val="true"/>
          <w:lang w:bidi="ar-SA"/>
        </w:rPr>
        <w:t xml:space="preserve">، من عدم وجود مدرك صحيح لقاعدة لا حرج ، إنّه غريب بعد تصريح الكتاب الكريم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 .</w:t>
      </w:r>
    </w:p>
    <w:p>
      <w:pPr>
        <w:pStyle w:val="Heading3"/>
        <w:numPr>
          <w:ilvl w:val="2"/>
          <w:numId w:val="1"/>
        </w:numPr>
        <w:rPr/>
      </w:pPr>
      <w:bookmarkStart w:id="323" w:name="__RefHeading___Toc17479379_1280447820"/>
      <w:bookmarkStart w:id="324" w:name="_Toc118"/>
      <w:bookmarkEnd w:id="323"/>
      <w:r>
        <w:rPr/>
        <w:t>3</w:t>
      </w:r>
      <w:r>
        <w:rPr>
          <w:rtl w:val="true"/>
        </w:rPr>
        <w:t xml:space="preserve"> - </w:t>
      </w:r>
      <w:r>
        <w:rPr>
          <w:rtl w:val="true"/>
        </w:rPr>
        <w:t>المقصود من الحرج والفرق بينه وبين الضرر</w:t>
      </w:r>
      <w:bookmarkEnd w:id="324"/>
    </w:p>
    <w:p>
      <w:pPr>
        <w:pStyle w:val="BookText"/>
        <w:rPr/>
      </w:pPr>
      <w:r>
        <w:rPr>
          <w:rFonts w:ascii="Amiri" w:hAnsi="Amiri" w:eastAsia="Amiri" w:cs="Amiri"/>
          <w:color w:val="111111"/>
          <w:sz w:val="28"/>
          <w:sz w:val="28"/>
          <w:szCs w:val="28"/>
          <w:rtl w:val="true"/>
          <w:lang w:bidi="ar-SA"/>
        </w:rPr>
        <w:t>قد يتصور ان المقصود من الحرج عدم القدرة على الشي‌ء ، فكل شي‌ء لا يكون ممكنا ومقدورا يكون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مرفوض ، فان المتبادر من الحرج هو المشقة والضيق دون عدم القدرة ، اجل ليس كل مشقة حرجا ، بل هو عبارة عن خصوص المشقة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قضاء الوجدان والتبادر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تفسيره بمطلق المشقة كون جميع التكاليف حرجية ، لأن التكليف انما كان تكليفا باعتبار اشتماله على الكلفة والمشقة ، والا كان اباحة ولم يكن تكليفا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سألت عن الفرق بين الضرر والحرج 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هو النقص ، إمّا في المال أو البدن أو غيرهما ، فما لا يكون نقصا لا يكون ضررا ، وهذا بخلافه في الحرج ، فانه المشقة ولو لم تكن مشتملة على النقص ، كالوضوء بالماء البارد في الشتاء القارس ، فانه قد يبلغ المشقة الشديدة من دون طرو مرض على البدن</w:t>
      </w:r>
      <w:r>
        <w:rPr>
          <w:rFonts w:eastAsia="Amiri" w:cs="Amiri" w:ascii="Amiri" w:hAnsi="Amiri"/>
          <w:color w:val="111111"/>
          <w:sz w:val="28"/>
          <w:szCs w:val="28"/>
          <w:rtl w:val="true"/>
          <w:lang w:bidi="ar-SA"/>
        </w:rPr>
        <w:t xml:space="preserve">. </w:t>
      </w:r>
      <w:bookmarkStart w:id="325" w:name="pg19380_259547"/>
    </w:p>
    <w:p>
      <w:pPr>
        <w:pStyle w:val="BookText"/>
        <w:rPr/>
      </w:pPr>
      <w:bookmarkEnd w:id="325"/>
      <w:r>
        <w:rPr>
          <w:rFonts w:ascii="Amiri" w:hAnsi="Amiri" w:eastAsia="Amiri" w:cs="Amiri"/>
          <w:color w:val="111111"/>
          <w:sz w:val="28"/>
          <w:sz w:val="28"/>
          <w:szCs w:val="28"/>
          <w:rtl w:val="true"/>
          <w:lang w:bidi="ar-SA"/>
        </w:rPr>
        <w:t>وهكذا الحال فيما لو حصل المكلّف على مقدار من المال يساوي مقدار الاستطاعة الى الحج ، وكان بحاجة الى شراء بيت به ، فان وجوب صرفه في الحج لا يوجب الضرر بمعنى النقص ، وانما يوجب الحرج بمعنى الوقوع في المشقة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في هذين الموردين يصدق الحرج بدون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ينعكس الامر ، كما اذا أوجب الوضوء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يكون ذلك حرجا</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7479381_1280447820"/>
      <w:bookmarkStart w:id="327" w:name="_Toc119"/>
      <w:bookmarkEnd w:id="326"/>
      <w:r>
        <w:rPr/>
        <w:t>4</w:t>
      </w:r>
      <w:r>
        <w:rPr>
          <w:rtl w:val="true"/>
        </w:rPr>
        <w:t xml:space="preserve"> - </w:t>
      </w:r>
      <w:r>
        <w:rPr>
          <w:rtl w:val="true"/>
        </w:rPr>
        <w:t>وجه تقدم القاعدة على الأدلّة الأوّلية</w:t>
      </w:r>
      <w:bookmarkEnd w:id="327"/>
    </w:p>
    <w:p>
      <w:pPr>
        <w:pStyle w:val="BookText"/>
        <w:rPr/>
      </w:pPr>
      <w:r>
        <w:rPr>
          <w:rFonts w:ascii="Amiri" w:hAnsi="Amiri" w:eastAsia="Amiri" w:cs="Amiri"/>
          <w:color w:val="111111"/>
          <w:sz w:val="28"/>
          <w:sz w:val="28"/>
          <w:szCs w:val="28"/>
          <w:rtl w:val="true"/>
          <w:lang w:bidi="ar-SA"/>
        </w:rPr>
        <w:t xml:space="preserve">لو لاحظنا النسبة بين الأدلّة الأوّلية وقاعدة لا حرج وجدناها العموم من وجه ، فدليل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وجوب الوضوء بشكل مطلق وشامل حتى لحالة الحرج ، ودليل نفي الحرج ينفي كل حكم حرجي بما في ذلك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كون النسبة هي العموم من وجه فلما ذا تقديم القاعدة على الأدلّة الأوّلية ولا يعكس الأمر؟</w:t>
      </w:r>
    </w:p>
    <w:p>
      <w:pPr>
        <w:pStyle w:val="BookText"/>
        <w:rPr/>
      </w:pPr>
      <w:r>
        <w:rPr>
          <w:rFonts w:ascii="Amiri" w:hAnsi="Amiri" w:eastAsia="Amiri" w:cs="Amiri"/>
          <w:color w:val="111111"/>
          <w:sz w:val="28"/>
          <w:sz w:val="28"/>
          <w:szCs w:val="28"/>
          <w:rtl w:val="true"/>
          <w:lang w:bidi="ar-SA"/>
        </w:rPr>
        <w:t>وقد تقدم عند البحث عن قاعدة لا ضرر بيان عدة وجوه لتقديم قاعدة لا ضرر، ولعل تلك الوجوه تأتي هنا أيضا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المتعين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هو المتعين في 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الوجه في التقديم هو الحكومة ، فقاعدة لا حرج حاكمة بمعنى انها ناظرة الى الأدلّة الأوّلية وتريد ان تبين ان تلك الأدلّة الأوّلية لا تريد اثبات الاحكام بشكل مطلق وشامل حتى لحالة الحرج ، بل هي تختص بحالة عدم الحرج ، فان اللّه سبحانه لم يجعل على عباده الحرج في تشريعاته ودينه</w:t>
      </w:r>
      <w:r>
        <w:rPr>
          <w:rFonts w:eastAsia="Amiri" w:cs="Amiri" w:ascii="Amiri" w:hAnsi="Amiri"/>
          <w:color w:val="111111"/>
          <w:sz w:val="28"/>
          <w:szCs w:val="28"/>
          <w:rtl w:val="true"/>
          <w:lang w:bidi="ar-SA"/>
        </w:rPr>
        <w:t xml:space="preserve">. </w:t>
      </w:r>
      <w:bookmarkStart w:id="328" w:name="pg19380_259548"/>
    </w:p>
    <w:p>
      <w:pPr>
        <w:pStyle w:val="Heading3"/>
        <w:numPr>
          <w:ilvl w:val="2"/>
          <w:numId w:val="1"/>
        </w:numPr>
        <w:rPr/>
      </w:pPr>
      <w:bookmarkStart w:id="329" w:name="__RefHeading___Toc17479383_1280447820"/>
      <w:bookmarkStart w:id="330" w:name="_Toc120"/>
      <w:bookmarkEnd w:id="328"/>
      <w:bookmarkEnd w:id="329"/>
      <w:r>
        <w:rPr/>
        <w:t>5</w:t>
      </w:r>
      <w:r>
        <w:rPr>
          <w:rtl w:val="true"/>
        </w:rPr>
        <w:t xml:space="preserve"> - </w:t>
      </w:r>
      <w:r>
        <w:rPr>
          <w:rtl w:val="true"/>
        </w:rPr>
        <w:t>وهن القاعدة بكثرة التخصيص</w:t>
      </w:r>
      <w:bookmarkEnd w:id="330"/>
    </w:p>
    <w:p>
      <w:pPr>
        <w:pStyle w:val="BookText"/>
        <w:rPr/>
      </w:pPr>
      <w:r>
        <w:rPr>
          <w:rFonts w:ascii="Amiri" w:hAnsi="Amiri" w:eastAsia="Amiri" w:cs="Amiri"/>
          <w:color w:val="111111"/>
          <w:sz w:val="28"/>
          <w:sz w:val="28"/>
          <w:szCs w:val="28"/>
          <w:rtl w:val="true"/>
          <w:lang w:bidi="ar-SA"/>
        </w:rPr>
        <w:t xml:space="preserve">قد يشكل على قاعدة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أشكل بذلك في 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التخصيص ، فالجهاد حرجي وقد خرج وجوبه من القاعدة ، فهو واجب بالرغم من كونه حرجيا ، وهكذا حرمة الفرار من الزحف أو وجوب تسليم النفس للحدّ والقصاص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التخصيص ، حيث إنّها مستهجنة فيكشف ذلك عن ارادة معنى من القاعدة غير ما نفهمه منها لا تلزم منه كثرة التخصيص ، وحيث إنّ ذلك المعنى مجهول لنا فلا يمكن الاستدلال بعد هذا بالقاعدة في شي‌ء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ما تقدمت الاشارة إليه في قاعدة لا ضرر من ان الالزام بمثل هذه الأمور حيث انه عقلائي فلا يكون مشمولا للقاعدة من البداية لأن رفع الالزام في مثل الموارد المذكورة ما دام ليس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يترتب على الالزام المذكور من المصالح وحفظ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لرفعه ، فان رفعه خلاف عقلائية ثبوته ، والقاعدة ناظرة الى ما يكون رفعه عقلائيا</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7479385_1280447820"/>
      <w:bookmarkStart w:id="332" w:name="_Toc121"/>
      <w:bookmarkEnd w:id="331"/>
      <w:r>
        <w:rPr/>
        <w:t>6</w:t>
      </w:r>
      <w:r>
        <w:rPr>
          <w:rtl w:val="true"/>
        </w:rPr>
        <w:t xml:space="preserve"> - </w:t>
      </w:r>
      <w:r>
        <w:rPr>
          <w:rtl w:val="true"/>
        </w:rPr>
        <w:t>هل المدار على رفع الحرج النوعي أو الشخصي؟</w:t>
      </w:r>
      <w:bookmarkEnd w:id="332"/>
    </w:p>
    <w:p>
      <w:pPr>
        <w:pStyle w:val="BookText"/>
        <w:rPr/>
      </w:pPr>
      <w:r>
        <w:rPr>
          <w:rFonts w:ascii="Amiri" w:hAnsi="Amiri" w:eastAsia="Amiri" w:cs="Amiri"/>
          <w:color w:val="111111"/>
          <w:sz w:val="28"/>
          <w:sz w:val="28"/>
          <w:szCs w:val="28"/>
          <w:rtl w:val="true"/>
          <w:lang w:bidi="ar-SA"/>
        </w:rPr>
        <w:t>الحرج تارة يكون شخصيا واخرى نوعيا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الحرج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الثابت لهذا الشخص بخصوصه أو لذاك بخصوصه ، بينما المراد من الحرج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الثابت لنوع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وجوب الوضوء حالة </w:t>
      </w:r>
      <w:bookmarkStart w:id="333" w:name="pg19380_259549"/>
    </w:p>
    <w:p>
      <w:pPr>
        <w:pStyle w:val="BookText"/>
        <w:rPr/>
      </w:pPr>
      <w:bookmarkEnd w:id="333"/>
      <w:r>
        <w:rPr>
          <w:rFonts w:ascii="Amiri" w:hAnsi="Amiri" w:eastAsia="Amiri" w:cs="Amiri"/>
          <w:color w:val="111111"/>
          <w:sz w:val="28"/>
          <w:sz w:val="28"/>
          <w:szCs w:val="28"/>
          <w:rtl w:val="true"/>
          <w:lang w:bidi="ar-SA"/>
        </w:rPr>
        <w:t>المرض ، فانه حرجي لغالب المرضى وان لم يكن حرجيا بلحاظ بعض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المدار على الحرج الشخصي فوجوب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الا عمن كان ثبوت الوجوب في حقه حرجيا بالخصوص ، ولا يكفي كونه حرجيا بلحاظ النوع والغالب ، وهذا بخلافه بناء على ارادة الحرج النوعي ، فانه يرتفع الوجوب في حق كل مريض حتى من لم يكن ثبوت الوجوب في حقه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المقصود نعود لنطرح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قاعدة لا حرج تنفي الأحكام الأوّلية في حالة لزوم الحرج الشخصي بالخصوص ولا يكفي لزوم الحرج النوعي ، أو انها تنفي الأحكام حالة الحرج النوعي أيضا ولا يلزم تحقق الحرج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كون المدار على الحرج الشخصي ، لأن ذلك هو المتبادر والمفهوم من لسان دليل القاعدة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والحمل على الحرج النوعي يحتاج الى قرينة ، وهي مفقودة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7479387_1280447820"/>
      <w:bookmarkStart w:id="335" w:name="_Toc122"/>
      <w:bookmarkEnd w:id="334"/>
      <w:r>
        <w:rPr/>
        <w:t>7</w:t>
      </w:r>
      <w:r>
        <w:rPr>
          <w:rtl w:val="true"/>
        </w:rPr>
        <w:t xml:space="preserve"> - </w:t>
      </w:r>
      <w:r>
        <w:rPr>
          <w:rtl w:val="true"/>
        </w:rPr>
        <w:t>هل رفع الحرج رخصة أو عزيمة؟</w:t>
      </w:r>
      <w:bookmarkEnd w:id="335"/>
    </w:p>
    <w:p>
      <w:pPr>
        <w:pStyle w:val="BookText"/>
        <w:rPr/>
      </w:pPr>
      <w:r>
        <w:rPr>
          <w:rFonts w:ascii="Amiri" w:hAnsi="Amiri" w:eastAsia="Amiri" w:cs="Amiri"/>
          <w:color w:val="111111"/>
          <w:sz w:val="28"/>
          <w:sz w:val="28"/>
          <w:szCs w:val="28"/>
          <w:rtl w:val="true"/>
          <w:lang w:bidi="ar-SA"/>
        </w:rPr>
        <w:t>إذا كان وجوب الوضوء في حق مريض حرجيا فلا اشكال في ارتفاعه بالقاعدة ، ولكن لو فرض انه تكلّف واتى به بالرغم من كونه حرجيا في حقه فهل يقع منه صحيحا؟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الجواب عن ذلك يرتبط بتحقيق نقطة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المقصود من القاعدة رفع الالزام بالوضوء دون الرخصة في الاتيان به ، أو ان المقصود منها رفع الالزام والرخصة معا؟ </w:t>
      </w:r>
    </w:p>
    <w:p>
      <w:pPr>
        <w:pStyle w:val="BookText"/>
        <w:rPr/>
      </w:pPr>
      <w:r>
        <w:rPr>
          <w:rFonts w:ascii="Amiri" w:hAnsi="Amiri" w:eastAsia="Amiri" w:cs="Amiri"/>
          <w:color w:val="111111"/>
          <w:sz w:val="28"/>
          <w:sz w:val="28"/>
          <w:szCs w:val="28"/>
          <w:rtl w:val="true"/>
          <w:lang w:bidi="ar-SA"/>
        </w:rPr>
        <w:t xml:space="preserve">فعلى الأوّل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في القاعدة وارد بنحو الرخصة ، أي ان المكلّف مرخص في ترك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بملزم به ، ولكنه في نفس الوقت مرخص في الاتيان به ، في حين إنّه على الثاني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الرفع وارد بنحو العزيمة </w:t>
      </w:r>
      <w:r>
        <w:rPr>
          <w:rStyle w:val="FootnoteAnchor"/>
          <w:rtl w:val="true"/>
        </w:rPr>
        <w:footnoteReference w:id="149"/>
      </w:r>
      <w:r>
        <w:rPr>
          <w:rFonts w:ascii="Amiri" w:hAnsi="Amiri" w:eastAsia="Amiri" w:cs="Amiri"/>
          <w:color w:val="111111"/>
          <w:sz w:val="28"/>
          <w:sz w:val="28"/>
          <w:szCs w:val="28"/>
          <w:rtl w:val="true"/>
          <w:lang w:bidi="ar-SA"/>
        </w:rPr>
        <w:t xml:space="preserve">، اي ان المكلّف ملزم بترك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مرخصا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جماعة ، منهم السيد اليزدي في العروة الوثقى </w:t>
      </w:r>
      <w:r>
        <w:rPr>
          <w:rStyle w:val="FootnoteAnchor"/>
          <w:rtl w:val="true"/>
        </w:rPr>
        <w:footnoteReference w:id="150"/>
      </w:r>
      <w:r>
        <w:rPr>
          <w:rFonts w:ascii="Amiri" w:hAnsi="Amiri" w:eastAsia="Amiri" w:cs="Amiri"/>
          <w:color w:val="111111"/>
          <w:sz w:val="28"/>
          <w:sz w:val="28"/>
          <w:szCs w:val="28"/>
          <w:rtl w:val="true"/>
          <w:lang w:bidi="ar-SA"/>
        </w:rPr>
        <w:t>كونه بنحو الرخصة دون العزيمة في حين اختار آخرون كونه بنحو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كون الرفع بنحو العزيمة دون الرخصة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تمسك به الشيخ النائيني في خصوص مسألة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ان الآية الكريمة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كُنْتُمْ مَرْضى أَوْ عَلى سَفَرٍ أَوْ جاءَ أَحَدٌ مِنْكُمْ مِنَ الْغائِطِ أَوْ لامَسْتُمُ النِّساءَ فَلَمْ تَجِدُوا ماءً فَتَيَمَّمُوا صَعِيداً طَيِّباً </w:t>
      </w:r>
      <w:r>
        <w:rPr>
          <w:rFonts w:eastAsia="Amiri" w:cs="Amiri" w:ascii="Amiri" w:hAnsi="Amiri"/>
          <w:color w:val="111111"/>
          <w:sz w:val="28"/>
          <w:szCs w:val="28"/>
          <w:rtl w:val="true"/>
          <w:lang w:bidi="ar-SA"/>
        </w:rPr>
        <w:t xml:space="preserve">... ) </w:t>
      </w:r>
      <w:r>
        <w:rPr>
          <w:rStyle w:val="FootnoteAnchor"/>
          <w:rtl w:val="true"/>
        </w:rPr>
        <w:footnoteReference w:id="151"/>
      </w:r>
      <w:r>
        <w:rPr>
          <w:rFonts w:ascii="Amiri" w:hAnsi="Amiri" w:eastAsia="Amiri" w:cs="Amiri"/>
          <w:color w:val="111111"/>
          <w:sz w:val="28"/>
          <w:sz w:val="28"/>
          <w:szCs w:val="28"/>
          <w:rtl w:val="true"/>
          <w:lang w:bidi="ar-SA"/>
        </w:rPr>
        <w:t xml:space="preserve">تدل على ان موضوع وجوب الوضوء هو الواجد للماء ، بمعنى القادر عليه ، وموضوع وجوب التيمم هو الفاقد للماء ، بمعنى غير القادر عليه ، فإذا فرض كون الرفع في قاعدة لا حرج بنحو الرخصة دون العزيمة فهذا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يجوز له في حالة الحرج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والوضوء ، وهو غير ممكن لان لازمه كون المكلّف واجدا للماء وغير واجد له ، وهو مستحيل لكونه اجتماعا للمتناقضين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كيف يلزم كونه واجدا وغير واجد؟ ذلك باعتبار أنّ الوضوء </w:t>
      </w:r>
    </w:p>
    <w:p>
      <w:pPr>
        <w:pStyle w:val="BookText"/>
        <w:rPr/>
      </w:pPr>
      <w:r>
        <w:rPr>
          <w:rFonts w:ascii="Amiri" w:hAnsi="Amiri" w:eastAsia="Amiri" w:cs="Amiri"/>
          <w:color w:val="111111"/>
          <w:sz w:val="28"/>
          <w:sz w:val="28"/>
          <w:szCs w:val="28"/>
          <w:rtl w:val="true"/>
          <w:lang w:bidi="ar-SA"/>
        </w:rPr>
        <w:t xml:space="preserve">إذا كان جائزا فلازمه كونه واجدا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موضوع وجوب الوضوء هو الواجد للماء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التيمم جائزا له أيضا فلازمه كونه فاقدا للماء ، لأن موضوع وجوب التيمم هو فقدان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يمكن ان يكون رفع الحرج بنحو الرخصة لأن لازمه التخيير بين الوضوء والتيمم في حالة الحرج ، وهو غير ممكن ، لأن لازم التخيير اجتماع المتناقضين ، وان المكلّف واجد للماء وغير واجد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بين المتناقضين يلزم لو فرض أنّنا قلنا بوجوب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بنحو التعيين ، بمعنى انه يجب الاتيان بالوضوء بنحو التعيين وبالتيمم بنحو التعيين ، انه آنذاك يلزم الجمع بين المتناقضين ، اما إذا قلنا بوجوب كل واحد منهما بنحو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مخير في الاتيان باحدهما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المحذور المذكور ، لأن الوجدان ليس موضوعا لوجوب الوضوء بنحو التخيير ، بل هو موضوع لوجوبه بنحو التعيين ، وهكذا بالنسبة الى الفقدان ، فانه موضوع لوجوب التيمم بنحو التعيين ، لأن ذلك هو المستفاد من الآية الكريمة ، والمفروض اننا لا نقول بوجوب كل منهما بنحو التعيين ، بل بوجوب احدهما بنحو التخيير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كون الرفع في قاعدة نفي الحرج بنحو الرخصة دون العزيمة يتم لو فرض اننا قلنا بان المرفوع بالقاعدة هو خصوص الالزام دون أصل الطلب والرجحان والملاك ، انه بناء على هذا يمكن الحكم بصحة الوضوء في موارد الحرج استنادا الى الملاك والرجحان ، ولكن هذا لا يمكن الالتزام به ، حيث ان الدال على الملاك والرجحان هو الوجوب ، فإذا رفع الوجوب بقاعدة لا حرج لا يبقى ما يدل على بقاء </w:t>
      </w:r>
      <w:bookmarkStart w:id="336" w:name="pg19380_259552"/>
    </w:p>
    <w:p>
      <w:pPr>
        <w:pStyle w:val="BookText"/>
        <w:rPr/>
      </w:pPr>
      <w:bookmarkEnd w:id="336"/>
      <w:r>
        <w:rPr>
          <w:rFonts w:ascii="Amiri" w:hAnsi="Amiri" w:eastAsia="Amiri" w:cs="Amiri"/>
          <w:color w:val="111111"/>
          <w:sz w:val="28"/>
          <w:sz w:val="28"/>
          <w:szCs w:val="28"/>
          <w:rtl w:val="true"/>
          <w:lang w:bidi="ar-SA"/>
        </w:rPr>
        <w:t>الملاك والرجحان حتى يمكن بواسطته الحكم بصحة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ندعي 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وارد للامتنان على الامة الاسلامية فهو يدل على مطلبين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الوجوب وبقاء الملاك والرجحان ، إذ لو كان الملاك والرجحان غير باقيين لما كان رفع الحكم في موارد الحرج امتنانيا ، فان رفع الحكم انما يكون امتنانيا لو كان هناك ملاك يقتضي ثبوته ولكنه يرفع من باب المانع وهو الحرج ، اما إذا لم يكن له ملاك فلا قابلية لثبوته في نفسه حتى يكون رفعه امتنانيا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فالحكم بصحة الفعل الحرجي في موارد الحرج هو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يدعى انعقاد اجماع تعبدي على عدم الصحة ، كما قد يدعى ذلك في باب الوضوء وانه انعقد اجماع على عدم التخيير بين الوضوء والتيمم</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7479389_1280447820"/>
      <w:bookmarkStart w:id="338" w:name="_Toc123"/>
      <w:bookmarkEnd w:id="337"/>
      <w:r>
        <w:rPr/>
        <w:t>8</w:t>
      </w:r>
      <w:r>
        <w:rPr>
          <w:rtl w:val="true"/>
        </w:rPr>
        <w:t xml:space="preserve"> - </w:t>
      </w:r>
      <w:r>
        <w:rPr>
          <w:rtl w:val="true"/>
        </w:rPr>
        <w:t>هل القاعدة تعم الحكم الوضعي أيضا؟</w:t>
      </w:r>
      <w:bookmarkEnd w:id="338"/>
    </w:p>
    <w:p>
      <w:pPr>
        <w:pStyle w:val="BookText"/>
        <w:rPr/>
      </w:pPr>
      <w:r>
        <w:rPr>
          <w:rFonts w:ascii="Amiri" w:hAnsi="Amiri" w:eastAsia="Amiri" w:cs="Amiri"/>
          <w:color w:val="111111"/>
          <w:sz w:val="28"/>
          <w:sz w:val="28"/>
          <w:szCs w:val="28"/>
          <w:rtl w:val="true"/>
          <w:lang w:bidi="ar-SA"/>
        </w:rPr>
        <w:t xml:space="preserve">قد يتساءل عن قاعدة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ترفع خصوص الأحكام التكليفية أو ترفع الأحكام الوضعية أيضا؟</w:t>
      </w:r>
    </w:p>
    <w:p>
      <w:pPr>
        <w:pStyle w:val="BookText"/>
        <w:rPr/>
      </w:pPr>
      <w:r>
        <w:rPr>
          <w:rFonts w:ascii="Amiri" w:hAnsi="Amiri" w:eastAsia="Amiri" w:cs="Amiri"/>
          <w:color w:val="111111"/>
          <w:sz w:val="28"/>
          <w:sz w:val="28"/>
          <w:szCs w:val="28"/>
          <w:rtl w:val="true"/>
          <w:lang w:bidi="ar-SA"/>
        </w:rPr>
        <w:t>ينبغي في مقام الجواب التفصيل بين ما إذا كان الحرج لازما لخصوص الحكم التكليفي دون الحكم الوضعي فيكون المرتفع بالقاعدة خصوص الحكم التكليفي ، وبين ما إذا كان لازما للحكم الوضعي أيضا فيكون المرتفع بالقاعدة الحكم الوضعي أيضا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ان امرأة كان زوجها سيئ المعاشرة بحيث يضربها دائما ويتعامل معها أسوأ من معاملة العبيد فانه في مثل ذلك </w:t>
      </w:r>
      <w:bookmarkStart w:id="339" w:name="pg19380_259553"/>
    </w:p>
    <w:p>
      <w:pPr>
        <w:pStyle w:val="BookText"/>
        <w:rPr/>
      </w:pPr>
      <w:bookmarkEnd w:id="339"/>
      <w:r>
        <w:rPr>
          <w:rFonts w:ascii="Amiri" w:hAnsi="Amiri" w:eastAsia="Amiri" w:cs="Amiri"/>
          <w:color w:val="111111"/>
          <w:sz w:val="28"/>
          <w:sz w:val="28"/>
          <w:szCs w:val="28"/>
          <w:rtl w:val="true"/>
          <w:lang w:bidi="ar-SA"/>
        </w:rPr>
        <w:t xml:space="preserve">يمكن الحكم بجواز خروجها من المنزل الى بيت أهلها من دون استئذانه ، لأن حرمة الخروج بدون اذنه تستلزم الحرج لها ، ولكن هذا لا يعني زوال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الحرج لا يترتب على بقاء الزوجية ، بل على وجوب اطاعة الزوج تكليفا فيكون هو المرتفع دون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البيع في حالات الغبن ، فانه يترتب عليه وقوع المغبون في الحرج ، فيحكم بعدم لزوم البيع وجواز فسخه تمسكا بالقاعدة</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7479391_1280447820"/>
      <w:bookmarkStart w:id="341" w:name="_Toc124"/>
      <w:bookmarkEnd w:id="340"/>
      <w:r>
        <w:rPr/>
        <w:t>9</w:t>
      </w:r>
      <w:r>
        <w:rPr>
          <w:rtl w:val="true"/>
        </w:rPr>
        <w:t xml:space="preserve"> - </w:t>
      </w:r>
      <w:r>
        <w:rPr>
          <w:rtl w:val="true"/>
        </w:rPr>
        <w:t>تطبيقات</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حصل على مال يساوي مقدار الاستطاعة للحج ولم يكن له دار سكن فهل من حقه صرف ذلك في شرائها؟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حصل على ما يساوي مقدار الاستطاعة وكانت له دار سكن فهل من حقه شراء دار سكن ثانية؟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لمن حصل على ما يساوي الاستطاعة صرف المال في شراء سيارة أو في الزواج به؟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للزوجين إذا لم ينجبا الفحص لدى الطبيب أو الطبيبة ، مع العلم بان ذلك يستدعي الكشف عن العورة؟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كثيرا ما تذهب النساء الى الطبيبة لإجراء فحوصات عليها بالرغم من عدم وجود حاجة ملحّة لها فهل يجوز ذلك؟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بواسطة الأجهزة الحديثة ان الحمل مشوّه الخلقة فهل يجوز للأم الاجهاض؟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 الرجل بعض الحفلات التي يشترك فيها الرجال والنساء وتقدمت امرأة إليه للمصافحة فهل يجوز له تقديم يده؟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للمكلّف مكتبة أو سيارة أو دار ثانية فهل يجب عليه بيعها والحج بثمنها؟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للمرأة حلى ذهبية لو باعتها استطاعت للحج فهل يجب عليها بيعها؟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 محرم في الشريعة الاسلامية ، ولكن هل يمكن الحكم بجوازه احيانا تطبيقا لقانون لا حرج؟</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حصل على مال الاستطاعة وكان ولده بحاجة الى زوجة فهل يجوز له صرف ذلك المال في تزويج ولده؟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الذبح في منى للحاج يصعب في اليوم العاشر فما حكمه؟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9380_259556"/>
      <w:bookmarkStart w:id="343" w:name="pg19380_259556"/>
      <w:bookmarkEnd w:id="343"/>
    </w:p>
    <w:p>
      <w:pPr>
        <w:pStyle w:val="Heading2"/>
        <w:numPr>
          <w:ilvl w:val="1"/>
          <w:numId w:val="1"/>
        </w:numPr>
        <w:rPr/>
      </w:pPr>
      <w:bookmarkStart w:id="344" w:name="pg19380_259556"/>
      <w:bookmarkStart w:id="345" w:name="__RefHeading___Toc17479393_1280447820"/>
      <w:bookmarkStart w:id="346" w:name="_Toc125"/>
      <w:bookmarkEnd w:id="344"/>
      <w:bookmarkEnd w:id="345"/>
      <w:r>
        <w:rPr>
          <w:rtl w:val="true"/>
        </w:rPr>
        <w:t>قاعدة اليد</w:t>
      </w:r>
      <w:bookmarkEnd w:id="346"/>
    </w:p>
    <w:p>
      <w:pPr>
        <w:pStyle w:val="Heading3"/>
        <w:numPr>
          <w:ilvl w:val="2"/>
          <w:numId w:val="1"/>
        </w:numPr>
        <w:rPr/>
      </w:pPr>
      <w:bookmarkStart w:id="347" w:name="__RefHeading___Toc17479395_1280447820"/>
      <w:bookmarkStart w:id="348" w:name="_Toc126"/>
      <w:bookmarkEnd w:id="347"/>
      <w:r>
        <w:rPr>
          <w:rtl w:val="true"/>
        </w:rPr>
        <w:t>اشارة</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اليد اصل أو أمارة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الجهل بالحالة السابقة في أمارية اليد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اليد بلحاظ المقابل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اليد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على المنافع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أمارية اليد في حق صاحبها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التي يستفيد منها الفقيه في باب المعاملات والقضاء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الاصوليون الى هذه القاعدة تبعا للشيخ الأعظم في الرسائل ، حيث تعرض قدس‌سره في نهاية مبحث الاستصحاب الى مسألة ما لو اجتمع في مورد واحد الاستصحاب وقاعدة من القواعد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تلك القواعد التي ذكرها 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المقدم؟ فهل الاستصحاب هو المقدم أو القاعدة المقابلة؟</w:t>
      </w:r>
    </w:p>
    <w:p>
      <w:pPr>
        <w:pStyle w:val="BookText"/>
        <w:rPr/>
      </w:pPr>
      <w:r>
        <w:rPr>
          <w:rFonts w:ascii="Amiri" w:hAnsi="Amiri" w:eastAsia="Amiri" w:cs="Amiri"/>
          <w:color w:val="111111"/>
          <w:sz w:val="28"/>
          <w:sz w:val="28"/>
          <w:szCs w:val="28"/>
          <w:rtl w:val="true"/>
          <w:lang w:bidi="ar-SA"/>
        </w:rPr>
        <w:t>وبهذه المناسبة تعرض بشكل مختصر الى قاعدة اليد ، وجاء الاصوليون من بعده وتعرضوا على ذلك المنوال للقاعدة المذكورة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اطلاعنا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القاعدة قبل الشيخ الأعظم استاذه الشيخ النراقي في عوائده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349" w:name="pg19380_259559"/>
    </w:p>
    <w:p>
      <w:pPr>
        <w:pStyle w:val="BookText"/>
        <w:rPr/>
      </w:pPr>
      <w:bookmarkEnd w:id="349"/>
      <w:r>
        <w:rPr>
          <w:rFonts w:ascii="Amiri" w:hAnsi="Amiri" w:eastAsia="Amiri" w:cs="Amiri"/>
          <w:color w:val="111111"/>
          <w:sz w:val="28"/>
          <w:sz w:val="28"/>
          <w:szCs w:val="28"/>
          <w:rtl w:val="true"/>
          <w:lang w:bidi="ar-SA"/>
        </w:rPr>
        <w:t>وقد كتب بعض في هذه القاعدة رسالة مستقلة ، نخص بالذكر من بينهم الشيخ الاصفهاني صاحب كتاب نهاية الدراية ، حيث ذكر في ترجمته ذلك ، ولكننا لم نر الرسالة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عن القاعدة المذكورة يقع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اليد اصل أو 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الجهل بالحالة السابقة في أمارية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اليد بلحاظ المقابل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على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أمارية اليد في حق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7479397_1280447820"/>
      <w:bookmarkStart w:id="351" w:name="_Toc127"/>
      <w:bookmarkEnd w:id="350"/>
      <w:r>
        <w:rPr/>
        <w:t>1</w:t>
      </w:r>
      <w:r>
        <w:rPr>
          <w:rtl w:val="true"/>
        </w:rPr>
        <w:t xml:space="preserve"> - </w:t>
      </w:r>
      <w:r>
        <w:rPr>
          <w:rtl w:val="true"/>
        </w:rPr>
        <w:t>مضمون القاعدة</w:t>
      </w:r>
      <w:bookmarkEnd w:id="351"/>
    </w:p>
    <w:p>
      <w:pPr>
        <w:pStyle w:val="BookText"/>
        <w:rPr/>
      </w:pPr>
      <w:r>
        <w:rPr>
          <w:rFonts w:ascii="Amiri" w:hAnsi="Amiri" w:eastAsia="Amiri" w:cs="Amiri"/>
          <w:color w:val="111111"/>
          <w:sz w:val="28"/>
          <w:sz w:val="28"/>
          <w:szCs w:val="28"/>
          <w:rtl w:val="true"/>
          <w:lang w:bidi="ar-SA"/>
        </w:rPr>
        <w:t xml:space="preserve">يقصد بالقاعدة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له استيلاء على شي‌ء بحيث كان ذلك الشي‌ء واقعا في حوزته ويعدّ من توابعه فذلك الاستيلاء يكون أمارة على الملكية ، فمن كان لابسا لثوب يتصرف فيه تصرف الملاك ، أو له سيارة أو كتاب أو دار واشباه ذلك ويتصرف في ذلك تصرف الملاك فذلك بنفسه يعدّ أمارة على ملكيته لذلك الشي‌ء ، إلاّ ان تقوم بينة ونحوها على الخلاف فتسقط أمارية اليد عن الاعتبار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نعرف المقصود من اليد ، فانه يراد بها الكناية عن </w:t>
      </w:r>
    </w:p>
    <w:p>
      <w:pPr>
        <w:pStyle w:val="BookText"/>
        <w:rPr/>
      </w:pPr>
      <w:r>
        <w:rPr>
          <w:rFonts w:ascii="Amiri" w:hAnsi="Amiri" w:eastAsia="Amiri" w:cs="Amiri"/>
          <w:color w:val="111111"/>
          <w:sz w:val="28"/>
          <w:sz w:val="28"/>
          <w:szCs w:val="28"/>
          <w:rtl w:val="true"/>
          <w:lang w:bidi="ar-SA"/>
        </w:rPr>
        <w:t>الاستيلاء وكون الشي‌ء تحت تصرف الشخص وفي حوزته ، وليس المقصود بها الجارحة الخاصة بنحو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المناسبة في الاستعانة باليد للتعبير عن ذلك هي ان التصرف والاستيلاء يقع عادة باليد ، بل إذا رجعنا الى المنشأ الأوّل لملكية الإنسان للأشياء وجدنا انه الحيازة ، فبحيازة الأشياء كان يستولي على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العقود وسائر أسباب الملكية الأخرى فوجدت بعد ذلك وبالتدريج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الحيازة تقع عادة باليد لذا صح التعبير باليد كناية عن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 شاء اللّه تعالى تحديد المقصود من اليد بشكل 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لا يغيب علينا الفرق بين قاعدة اليد وقاعدة اخبار ذي اليد ، فقاعدة اليد تعني ان نفس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بدون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على ملكية صاحبها ، فمن كان ساكنا في دار ويتصرف فيها تصرف الملاك فنفس ذلك أمارة ملكيته لها حتى ولو لم يخبر عن ملكه لها ، وهذا بخلافه في قاعدة إخبار ذي اليد ، فان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كانت له يد واستيلاء على شي‌ء فاذا أخبر عن حال من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طاهرا أو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ذلك وكان إخباره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 في القاعدة الثانية هو الاخبار المقيد باليد دون نفس اليد ، وهذا بخلافه في القاعدة الاولى ، فان الحجة هو نفس اليد دون اخبارها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في القاعدة الاولى يكون المقصود استكشاف الملكية من خلال اليد ، ولكنه في القاعدة الثانية يكون المقصود استكشاف أحوال أخرى ، كالطهارة والنجاسة وأمثال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يكون الفارق بين القاعدتين من حيث الدال تارة ومن </w:t>
      </w:r>
      <w:bookmarkStart w:id="352" w:name="pg19380_259561"/>
    </w:p>
    <w:p>
      <w:pPr>
        <w:pStyle w:val="BookText"/>
        <w:rPr/>
      </w:pPr>
      <w:bookmarkEnd w:id="352"/>
      <w:r>
        <w:rPr>
          <w:rFonts w:ascii="Amiri" w:hAnsi="Amiri" w:eastAsia="Amiri" w:cs="Amiri"/>
          <w:color w:val="111111"/>
          <w:sz w:val="28"/>
          <w:sz w:val="28"/>
          <w:szCs w:val="28"/>
          <w:rtl w:val="true"/>
          <w:lang w:bidi="ar-SA"/>
        </w:rPr>
        <w:t>حيث المدلول أخرى ، فان الدال في القاعدة الاولى هو نفس اليد ، بينما في القاعدة الثانية هو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والمدلول في القاعدة الاولى هو الملكية ، بينما في القاعدة الثانية هو أحوال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على اليد</w:t>
      </w:r>
    </w:p>
    <w:p>
      <w:pPr>
        <w:pStyle w:val="BookText"/>
        <w:rPr/>
      </w:pPr>
      <w:r>
        <w:rPr>
          <w:rFonts w:ascii="Amiri" w:hAnsi="Amiri" w:eastAsia="Amiri" w:cs="Amiri"/>
          <w:color w:val="111111"/>
          <w:sz w:val="28"/>
          <w:sz w:val="28"/>
          <w:szCs w:val="28"/>
          <w:rtl w:val="true"/>
          <w:lang w:bidi="ar-SA"/>
        </w:rPr>
        <w:t>كما ينبغي أن لا يغيب علينا الفرق بين قاعدة اليد وقاعدة على اليد ما أخذت حتى تؤدي ، فان الاولى يراد بها جعلها أمارة على الملك ، بينما الثانية يراد بها جعل اليد سببا للضمان ، وهي قاعدة أخرى مستقلة</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7479399_1280447820"/>
      <w:bookmarkStart w:id="354" w:name="_Toc128"/>
      <w:bookmarkEnd w:id="353"/>
      <w:r>
        <w:rPr/>
        <w:t>2</w:t>
      </w:r>
      <w:r>
        <w:rPr>
          <w:rtl w:val="true"/>
        </w:rPr>
        <w:t xml:space="preserve"> - </w:t>
      </w:r>
      <w:r>
        <w:rPr>
          <w:rtl w:val="true"/>
        </w:rPr>
        <w:t>مدرك القاعدة</w:t>
      </w:r>
      <w:bookmarkEnd w:id="354"/>
    </w:p>
    <w:p>
      <w:pPr>
        <w:pStyle w:val="Heading4"/>
        <w:numPr>
          <w:ilvl w:val="3"/>
          <w:numId w:val="1"/>
        </w:numPr>
        <w:rPr/>
      </w:pPr>
      <w:bookmarkStart w:id="355" w:name="__RefHeading___Toc17479401_1280447820"/>
      <w:bookmarkStart w:id="356" w:name="_Toc129"/>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قد تذكر مدارك متعددة لقاعدة اليد ، إلاّ ان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الجارية على التعامل مع صاحب اليد معاملة المالك ، فمن كانت له يد على دار نتعامل معه معاملة المالك ، فاذا أراد بيعها اشتريناها منه ، وإذا وهبها قبلنا هبته ، وإذا اجاز الدخول إليها والتصرف فيها دخلنا فيها وتصرفنا ، كل ذلك من دون مطالبته بالبينة على مالكيته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عادة العقلاء قد جرت على ذلك ، وحيث انه لم يردع عنها فهي ممضاة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المدرك المهم هو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الاجماع المدعى على القاعدة فهو محتمل المدرك ، حيث يحتمل استناده الى السيرة المذكورة أو غيرها ، وقد تقدم في قاعدة نفي الحرج عدم حجية الاجماع في حالة احتمال كونه مدركيا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الاخبار المستدل بها على القاعدة المذكورة فهي وان كانت كثيرة ولا يخلو بعضها من وجاهة ، إلاّ انه ليس لها اطلاق يمكن التمسك </w:t>
      </w:r>
    </w:p>
    <w:p>
      <w:pPr>
        <w:pStyle w:val="BookText"/>
        <w:rPr/>
      </w:pPr>
      <w:r>
        <w:rPr>
          <w:rFonts w:ascii="Amiri" w:hAnsi="Amiri" w:eastAsia="Amiri" w:cs="Amiri"/>
          <w:color w:val="111111"/>
          <w:sz w:val="28"/>
          <w:sz w:val="28"/>
          <w:szCs w:val="28"/>
          <w:rtl w:val="true"/>
          <w:lang w:bidi="ar-SA"/>
        </w:rPr>
        <w:t>به في موارد الشك ، وانما تدل على قاعدة اليد في الجملة وعلى نحو القضية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انه لا يستفاد منها حجية قاعدة اليد بنحو التأسيس في مقابل السيرة العقلائية ، بل الظاهر منها ورودها كإرشاد الى السيرة العقلائية ، ومعه فلا يمكن ان يستفاد منها أكثر مما يستفاد من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تبركا بعض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بن غياث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شيئا في يدي رجل يجوز لي ان أشهد انه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انه في يده ولا أشهد انه له فلعله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أفيحل الشراء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فمن أين جاز لك ان تشتريه ويصير ملكا لك ثم تقول بعد الملك هو لي ، وتحلف عليه ولا يجوز ان تنسبه الى من صار ملكه من قبله إليك؟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وانما عبرنا بالرواية دون الصحيحة أو الموثقة باعتبار امكان الخدشة في سندها من ناحية القاسم بن يحيى ـ فان الكليني رواها عن علي بن ابراهيم عن أبيه وعلي بن محمد القاساني جميعا عن القاسم بن يحيى عن سليمان بن داود عن حفص بن غياث ـ حيث لم تثبت وثاقته الا بناء على وثاقة كل من ورد في اسناد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بقية رجال السند فهم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عثمان بن عيسى وحماد بن عثمان عن أبي عبد اللّه  عليه‌ السلام في حديث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 السلام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أتحكم فينا بخلاف حكم اللّه في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يد المسلمين </w:t>
      </w:r>
    </w:p>
    <w:p>
      <w:pPr>
        <w:pStyle w:val="BookText"/>
        <w:rPr/>
      </w:pPr>
      <w:r>
        <w:rPr>
          <w:rFonts w:ascii="IRNazanin" w:hAnsi="IRNazanin" w:eastAsia="IRNazanin"/>
          <w:color w:val="111111"/>
          <w:sz w:val="28"/>
          <w:sz w:val="28"/>
          <w:szCs w:val="28"/>
          <w:rtl w:val="true"/>
          <w:lang w:bidi="fa-IR"/>
        </w:rPr>
        <w:t xml:space="preserve">شي‌ء يملكونه ادعيت أنا فيه من تسأل البيّنة؟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كنت أسأل البينة على ما تدّعيه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في يدي شي‌ء فادعى فيه المسلمون تسألني البيّنة على ما في يدي وقد ملكته في حياة رسول اللّه  صلی اللّه عليه وآله وسلم  وبعده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وقد روى الحرّ الحديث المذكور عن علي بن ابراهيم في تفسيره عن أبيه عن ابن أبي عمير عن عثمان بن عيسى وحمّاد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تدلّ على ان من بيده شي‌ء لا يطالب بالبيّنة وانّما يطالب بها غيره ، وهذا لا وجه له إلاّ حجية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بن القاسم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مملوك ادّعى انّه حرّ ولم يأت ببينة على ذلك اشتريه؟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وقد روى الحديث الشيخ الطوسي بسنده إلى الحسين بن سعيد عن صفوان بن يحيى عن العيص بن القاسم ، وحيث ان سند الشيخ إلى الحسين بن سعيد صحيح ـ كما يتضح من خلال مراجعة مشيخة التهذيب ـ وبقية الرجال ثقات فالرواية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وجه لجواز شرائه ورفض دعواه الحرية إلا حجيّة 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يونس بن يعقوب عن أبي عبد اللّه  عليه‌ السلام في امرأة تموت قبل الرجل أو رجل قبل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 ، وما كان من متاع الرجال والنساء فهو بينهما ، ومن استولى على شي‌ء منه فهو له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وانما كانت موثقة باعتبار اشتمال سندها على علي بن الحسن بن فضال الذي هو فطحي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9380_259564"/>
    </w:p>
    <w:p>
      <w:pPr>
        <w:pStyle w:val="BookText"/>
        <w:rPr/>
      </w:pPr>
      <w:bookmarkEnd w:id="357"/>
      <w:r>
        <w:rPr>
          <w:rFonts w:ascii="Amiri" w:hAnsi="Amiri" w:eastAsia="Amiri" w:cs="Amiri"/>
          <w:color w:val="111111"/>
          <w:sz w:val="28"/>
          <w:sz w:val="28"/>
          <w:szCs w:val="28"/>
          <w:rtl w:val="true"/>
          <w:lang w:bidi="ar-SA"/>
        </w:rPr>
        <w:t xml:space="preserve">فان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الدلالة على حجيّة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يمكن الاستشهاد بها على قاعدة اليد أعرضنا عن ذكرها خوف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ومجموع 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حجيّة اليد في الجملة ولكن لا اطلاق لها يمكن الركون اليه في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نقطة لها تأثيرها على ما يأتي من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الدليل هو السيرة العقلائية المتقدمة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7479403_1280447820"/>
      <w:bookmarkStart w:id="359" w:name="_Toc130"/>
      <w:bookmarkEnd w:id="358"/>
      <w:r>
        <w:rPr>
          <w:rtl w:val="true"/>
        </w:rPr>
        <w:t>نكتة السيرة</w:t>
      </w:r>
      <w:bookmarkEnd w:id="359"/>
    </w:p>
    <w:p>
      <w:pPr>
        <w:pStyle w:val="BookText"/>
        <w:rPr/>
      </w:pPr>
      <w:r>
        <w:rPr>
          <w:rFonts w:ascii="Amiri" w:hAnsi="Amiri" w:eastAsia="Amiri" w:cs="Amiri"/>
          <w:color w:val="111111"/>
          <w:sz w:val="28"/>
          <w:sz w:val="28"/>
          <w:szCs w:val="28"/>
          <w:rtl w:val="true"/>
          <w:lang w:bidi="ar-SA"/>
        </w:rPr>
        <w:t>والاعلام بعد تسليمهم لهذه السيرة وقع كلام بينهم في تحديد النكتة الفنية التي لأجلها بنى العقلاء على امارية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النائيني اختار ان ذلك من جهة الغلبة ، أي بما ان الغالب في أصحاب الأيدي كونهم ملاّكا وليسوا غاصبين لذا يا بني العقلاء على امارية اليد ودلالتها على الملكية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اختار الشيخ العراقي ان ذلك من باب كون قاعدة اليد وظيفة عملية يرجعون اليها في ظرف الجهل بالواقع ، فإن العقلاء كما لهم أمور يرجعون اليها من باب كونها كاشفة عن الواقع ، كما هو الحال في خبر الثقة وبقية الامارات كذلك لهم أمور يرجعون اليها عند استتار الواقع من باب ان استقامة نظام معاملاتهم لا تتم إلاّ بذلك، فيبنون عليها من باب كونها وظيفة عملية ظرف الجهل بالواقع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360" w:name="pg19380_259565"/>
    </w:p>
    <w:p>
      <w:pPr>
        <w:pStyle w:val="BookText"/>
        <w:rPr/>
      </w:pPr>
      <w:bookmarkEnd w:id="360"/>
      <w:r>
        <w:rPr>
          <w:rFonts w:ascii="Amiri" w:hAnsi="Amiri" w:eastAsia="Amiri" w:cs="Amiri"/>
          <w:color w:val="111111"/>
          <w:sz w:val="28"/>
          <w:sz w:val="28"/>
          <w:szCs w:val="28"/>
          <w:rtl w:val="true"/>
          <w:lang w:bidi="ar-SA"/>
        </w:rPr>
        <w:t xml:space="preserve">والشيخ الأعظم في الرسائل أشار في كلامه إلى كلتا النكتتين المذكورتين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المحتمل تمسك العقلاء باليد من باب الغلبة ومن المحتمل كونه من باب الوظيفة العملية ، ثم رجّح في نهاية كلامه كون النكتة هي الغلبة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وللسيد الشهيد في بحوثه كلام مجمل قد يلتئم مع الغلبة أكثر ، حيث ذكر ان العقلاء يبنون على اليد من جهة كاشفية الاستيلاء الخارجي عن الاستيلاء التشريعي الذي هو عبارة أخرى عن الملكية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وثمرة الاختلاف في النكتة الفنية تظهر في البحث الآتي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7479405_1280447820"/>
      <w:bookmarkStart w:id="362" w:name="_Toc131"/>
      <w:bookmarkEnd w:id="361"/>
      <w:r>
        <w:rPr/>
        <w:t>3</w:t>
      </w:r>
      <w:r>
        <w:rPr>
          <w:rtl w:val="true"/>
        </w:rPr>
        <w:t xml:space="preserve"> - </w:t>
      </w:r>
      <w:r>
        <w:rPr>
          <w:rtl w:val="true"/>
        </w:rPr>
        <w:t>قاعدة اليد أصل أو امارة</w:t>
      </w:r>
      <w:bookmarkEnd w:id="362"/>
    </w:p>
    <w:p>
      <w:pPr>
        <w:pStyle w:val="BookText"/>
        <w:rPr/>
      </w:pPr>
      <w:r>
        <w:rPr>
          <w:rFonts w:ascii="Amiri" w:hAnsi="Amiri" w:eastAsia="Amiri" w:cs="Amiri"/>
          <w:color w:val="111111"/>
          <w:sz w:val="28"/>
          <w:sz w:val="28"/>
          <w:szCs w:val="28"/>
          <w:rtl w:val="true"/>
          <w:lang w:bidi="ar-SA"/>
        </w:rPr>
        <w:t>وقع كلام بين الباحثين عن قاعدة اليد في أنّها أصل أو 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لهذا البحث تظهر في التعرّف على نكتة تقدم اليد على الاستصحاب عند اجتماعهما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الأعلام اتفقت كلمتهم على تقدم اليد على الاستصحاب ، وانما الكلام في تحقيق النكتة الفنية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تحقيق تلك النكتة لا بدّ من استذكار الفرق بين الامارة والأصل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في التفرقة بينهما ان ما جعل حجّة من حيث جهة الكشف والطريقية الثابتة له فهو امارة ، وما لم يجعل حجة من هذه </w:t>
      </w:r>
    </w:p>
    <w:p>
      <w:pPr>
        <w:pStyle w:val="BookText"/>
        <w:rPr/>
      </w:pPr>
      <w:r>
        <w:rPr>
          <w:rFonts w:ascii="Amiri" w:hAnsi="Amiri" w:eastAsia="Amiri" w:cs="Amiri"/>
          <w:color w:val="111111"/>
          <w:sz w:val="28"/>
          <w:sz w:val="28"/>
          <w:szCs w:val="28"/>
          <w:rtl w:val="true"/>
          <w:lang w:bidi="ar-SA"/>
        </w:rPr>
        <w:t>الجهة بل جعل حجّة من حيث كونه وظيفة عملية عند عدم وجود كاشف معتبر عن الواقع فهو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كون اليد حجّة من حيث الامارية لأن مهم الدليل على حجيتها هو السيرة العقلائية ، واما الأخبار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لتأكيد السيرة العقلائية وليست في صدد بيان مطلب جديد ،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يعتبرون اليد حجّة من حيث كشفها الغالب عن الملكية ، وليس لحجيتها تعبدا من باب كونها وظيفة عملية عند الجهل بالواقع ، فإن القضايا التعبدية بعيدة عن الحياة العقلائية وان اصرّ على امكان ذلك الشيخ العراقي ، وقال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العقلاء كما لهم أمور يرجعون اليها لكونها كاشفة عن الواقع ، كذلك لهم أمور يرجعون اليها عند استتار الواقع، باعتبار كونها وظيفة عملية في ظرف الجهل بالواقع</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إذا قلنا بأن اليد امارة فوجه تقدمها على الاستصحاب واضح، واذا قلنا بكونها أصلا فأيضا يلزم تقديمها ، من جهة انّه لو لم تقدم يلزم ان لا يبقى لها مورد للجريان ؛ إذ ما من مورد تجري فيه اليد عادة إلاّ ويوجد استصحاب يجري إلى جانبها يثبت من خلاله عدم ملكية صاحب اليد ، فإن صاحب اليد على العين غالبا ما هو مسبوق بعدم مالكيته ، بمعنى انّه لم تكن العين مملوكة له من القديم وانما كانت ملكا لغيره ، فإذا شك في انتقالها إليه استصحب عدم مالكيته</w:t>
      </w:r>
      <w:r>
        <w:rPr>
          <w:rFonts w:eastAsia="Amiri" w:cs="Amiri" w:ascii="Amiri" w:hAnsi="Amiri"/>
          <w:color w:val="111111"/>
          <w:sz w:val="28"/>
          <w:szCs w:val="28"/>
          <w:rtl w:val="true"/>
          <w:lang w:bidi="ar-SA"/>
        </w:rPr>
        <w:t xml:space="preserve">. </w:t>
      </w:r>
      <w:bookmarkStart w:id="363" w:name="pg19380_259567"/>
    </w:p>
    <w:p>
      <w:pPr>
        <w:pStyle w:val="BookText"/>
        <w:rPr/>
      </w:pPr>
      <w:bookmarkEnd w:id="363"/>
      <w:r>
        <w:rPr>
          <w:rFonts w:ascii="Amiri" w:hAnsi="Amiri" w:eastAsia="Amiri" w:cs="Amiri"/>
          <w:color w:val="111111"/>
          <w:sz w:val="28"/>
          <w:sz w:val="28"/>
          <w:szCs w:val="28"/>
          <w:rtl w:val="true"/>
          <w:lang w:bidi="ar-SA"/>
        </w:rPr>
        <w:t xml:space="preserve">واذا لم يبق مورد لليد بدون جريان الاستصحاب إلى جانبها يلزم من ذلك اختلال النظام ، لأنه إذا أردنا أن نشتري دارا أو غيرها من شخص فنحتمل عدم كونه مالكا ومن ثمّ يلزم عدم صحة الشراء منه ، وهذا هو اختلال النظام الذي أشارت له رواية حفص بن غياث المتقدمة بقولها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أو قريب منه هو الذي أشار له الشيخ الأعظم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من الأصول التعبدية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على الاستصحاب وان جعلناه من الامارات الظنية ، لأن الشارع نصبها في مورد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دليله أخص من عمومات الاستصحاب</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7479407_1280447820"/>
      <w:bookmarkStart w:id="365" w:name="_Toc132"/>
      <w:bookmarkEnd w:id="364"/>
      <w:r>
        <w:rPr/>
        <w:t>4</w:t>
      </w:r>
      <w:r>
        <w:rPr>
          <w:rtl w:val="true"/>
        </w:rPr>
        <w:t xml:space="preserve"> - </w:t>
      </w:r>
      <w:r>
        <w:rPr>
          <w:rtl w:val="true"/>
        </w:rPr>
        <w:t>اعتبار الجهل بالحالة السابقة في امارية اليد</w:t>
      </w:r>
      <w:bookmarkEnd w:id="365"/>
    </w:p>
    <w:p>
      <w:pPr>
        <w:pStyle w:val="Heading4"/>
        <w:numPr>
          <w:ilvl w:val="3"/>
          <w:numId w:val="1"/>
        </w:numPr>
        <w:rPr/>
      </w:pPr>
      <w:bookmarkStart w:id="366" w:name="__RefHeading___Toc17479409_1280447820"/>
      <w:bookmarkStart w:id="367" w:name="_Toc133"/>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اذا كان شخص يسكن دارا بحيث كان صاحب يد عليها فتارة يجهل الحال السابق لليد وأخرى تعرف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يذكر للحالة الثانية عدّة شقوق نشير إلى اثنين منها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اليد سابقا يد امانية أو غصبية أو يد اجارة أو نحو ذلك ثم احتمل تحولها الى يد ملك ، بأن نفترض ان شخصا كان يسكن دارا في زمن سابق بنحو الاجارة واحتمل شراؤه لها بعد ذلك ، وهكذا لو فرض انّه كان غاصبا لها فيما سبق أو كانت في يده أمانة واحتمل شراؤه لها بعد ذلك ، انه في مثل هذه الحالة التي يعلم بأن اليد فيها </w:t>
      </w:r>
      <w:bookmarkStart w:id="368" w:name="pg19380_259568"/>
    </w:p>
    <w:p>
      <w:pPr>
        <w:pStyle w:val="BookText"/>
        <w:rPr/>
      </w:pPr>
      <w:bookmarkEnd w:id="368"/>
      <w:r>
        <w:rPr>
          <w:rFonts w:ascii="Amiri" w:hAnsi="Amiri" w:eastAsia="Amiri" w:cs="Amiri"/>
          <w:color w:val="111111"/>
          <w:sz w:val="28"/>
          <w:sz w:val="28"/>
          <w:szCs w:val="28"/>
          <w:rtl w:val="true"/>
          <w:lang w:bidi="ar-SA"/>
        </w:rPr>
        <w:t>سابقا لم تكن يد ملك واحتمل تحولها إلى يد ملك بعد ذلك هل تكون اليد فيها امارة على الملكية؟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بكون الدار سابقا وقفا ، واحتمل عروض بعض المسوغات لبيعها ، وصاحب اليد اشتراها وصار مالكا لها بسبب عروض تلك المسوغات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الفهرسة للحالات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الحال السابق لليد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رأينا شخصا يسكن دارا ولا نعرف الحال السابق لليد ، فنحتمل انّه توارثها أبا عن جد أو اشتراها من مالكها الشرعي ، ونحتمل في نفس الوقت ان وصولها إليه لم يكن شرعيا بل نتيجة غصب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القدر المتيقن من سيرة العقلاء على التمسك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الحالة الثانية فقد فرضنا لها شقين </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7479411_1280447820"/>
      <w:bookmarkStart w:id="370" w:name="_Toc134"/>
      <w:bookmarkEnd w:id="369"/>
      <w:r>
        <w:rPr>
          <w:rtl w:val="true"/>
        </w:rPr>
        <w:t>الشقّ الأول</w:t>
      </w:r>
      <w:bookmarkEnd w:id="37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الشقّ الأول فالمناسب الحكم بعدم حجية اليد لا لأجل استصحاب الحال السابق لليد ، كما حاول ذلك الشيخ النائيني </w:t>
      </w:r>
      <w:r>
        <w:rPr>
          <w:rStyle w:val="FootnoteAnchor"/>
          <w:rtl w:val="true"/>
        </w:rPr>
        <w:footnoteReference w:id="163"/>
      </w:r>
      <w:r>
        <w:rPr>
          <w:rFonts w:ascii="Amiri" w:hAnsi="Amiri" w:eastAsia="Amiri" w:cs="Amiri"/>
          <w:color w:val="111111"/>
          <w:sz w:val="28"/>
          <w:sz w:val="28"/>
          <w:szCs w:val="28"/>
          <w:rtl w:val="true"/>
          <w:lang w:bidi="ar-SA"/>
        </w:rPr>
        <w:t>حيث ذكر ان اليد ما دامت غاصبة سابقا فيجري استصحاب بقائها على كونها غاصبة ، ومع ثبوت حال اليد الآن بسبب الاستصحاب وكونها غاصبة لا معنى للتمسك باليد ، فإن التمسك بها فرع الشك والجهل بحالها ، والمفروض معرفة حالها وكونها غاصبة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لو كانت يد امانة سابقا أو يد اجارة ، فانّه يجري استصحاب الحال </w:t>
      </w:r>
      <w:bookmarkStart w:id="371" w:name="pg19380_259569"/>
    </w:p>
    <w:p>
      <w:pPr>
        <w:pStyle w:val="BookText"/>
        <w:rPr/>
      </w:pPr>
      <w:bookmarkEnd w:id="371"/>
      <w:r>
        <w:rPr>
          <w:rFonts w:ascii="Amiri" w:hAnsi="Amiri" w:eastAsia="Amiri" w:cs="Amiri"/>
          <w:color w:val="111111"/>
          <w:sz w:val="28"/>
          <w:sz w:val="28"/>
          <w:szCs w:val="28"/>
          <w:rtl w:val="true"/>
          <w:lang w:bidi="ar-SA"/>
        </w:rPr>
        <w:t>السابق ، وبه يتضح حال اليد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 الشيخ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ان يقال في توجيه عدم حجيّة اليد في الشقّ المذكور بدلا عمّا ذكره الشيخ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المهم على حجيّة اليد ليس إلاّ السيرة العقلائية ، واما الأخبار فهي واردة كمؤكد للسيرة العقلائية لا أكثر ، مضافا إلى انّه ليس لها اطلاق يمكن التمسك به في حالات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كانت السيرة العقلائية هي الدليل المهم فحيث انّها دليل لبي وليس لفظيا ذا اطلاق ليتمسك به فينبغي الاقتصار على القدر المتيقن ، وهو فيما اذا كان الحال السابق لليد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حاجة إلى بيان الميرزا النائيني ، بل هو قابل للتأمل باعتبار ان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التمسك باليد في أي مورد من الموارد ، لجريان استصحاب عدم تحقق الملكية والنقل والانتقال إلى صاحب اليد في جميع الموارد على ما تقدمت الاشارة إليه سابقا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7479413_1280447820"/>
      <w:bookmarkStart w:id="373" w:name="_Toc135"/>
      <w:bookmarkEnd w:id="372"/>
      <w:r>
        <w:rPr>
          <w:rtl w:val="true"/>
        </w:rPr>
        <w:t>وجه الاعتماد على السندات</w:t>
      </w:r>
      <w:bookmarkEnd w:id="373"/>
    </w:p>
    <w:p>
      <w:pPr>
        <w:pStyle w:val="BookText"/>
        <w:rPr/>
      </w:pPr>
      <w:r>
        <w:rPr>
          <w:rFonts w:ascii="Amiri" w:hAnsi="Amiri" w:eastAsia="Amiri" w:cs="Amiri"/>
          <w:color w:val="111111"/>
          <w:sz w:val="28"/>
          <w:sz w:val="28"/>
          <w:szCs w:val="28"/>
          <w:rtl w:val="true"/>
          <w:lang w:bidi="ar-SA"/>
        </w:rPr>
        <w:t>ومن هنا يتضح الوجه في قبول الاعلام لسندات الايجار ، فإنّه لو فرض ان شخصا كان يسكن دارا ويدّعي أنّها له ، وتقدّم شخص ثان الى الحاكم يدّعي ان الدار ملك له وانه آجرها لصاحب اليد الفعلية ، وكان له سند يشهد بالايجار ، انّه في مثل هذه الحالة تطرح اليد ولا يعار أهمية لها ، ويؤخذ بسند الايجار ويحكم بكونها ملكا للمدّعي صاحب السند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بياننا السابق اتضح الوجه للحكم المذكور ؛ ان ذلك من جهة ان اليد اذا كانت سابقا يد ايجار فلا تكون حجّة في اثبات الملك </w:t>
      </w:r>
      <w:bookmarkStart w:id="374" w:name="pg19380_259570"/>
    </w:p>
    <w:p>
      <w:pPr>
        <w:pStyle w:val="BookText"/>
        <w:rPr/>
      </w:pPr>
      <w:bookmarkEnd w:id="374"/>
      <w:r>
        <w:rPr>
          <w:rFonts w:ascii="Amiri" w:hAnsi="Amiri" w:eastAsia="Amiri" w:cs="Amiri"/>
          <w:color w:val="111111"/>
          <w:sz w:val="28"/>
          <w:sz w:val="28"/>
          <w:szCs w:val="28"/>
          <w:rtl w:val="true"/>
          <w:lang w:bidi="ar-SA"/>
        </w:rPr>
        <w:t>فعلا ، من جهة عدم الجزم بانعقاد السيرة على الأخذ باليد والحكم على طبقها ، وذلك يكفي في اسقاطها من الاعتبار ، ومع عدم حجيتها يبقى استصحاب الملك السابق أو الايجار السابق بلا معارض فيؤخذ به</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7479415_1280447820"/>
      <w:bookmarkStart w:id="376" w:name="_Toc136"/>
      <w:bookmarkEnd w:id="375"/>
      <w:r>
        <w:rPr>
          <w:rtl w:val="true"/>
        </w:rPr>
        <w:t>الشق الثاني</w:t>
      </w:r>
      <w:bookmarkEnd w:id="376"/>
    </w:p>
    <w:p>
      <w:pPr>
        <w:pStyle w:val="BookText"/>
        <w:rPr/>
      </w:pPr>
      <w:r>
        <w:rPr>
          <w:rFonts w:ascii="Amiri" w:hAnsi="Amiri" w:eastAsia="Amiri" w:cs="Amiri"/>
          <w:color w:val="111111"/>
          <w:sz w:val="28"/>
          <w:sz w:val="28"/>
          <w:szCs w:val="28"/>
          <w:rtl w:val="true"/>
          <w:lang w:bidi="ar-SA"/>
        </w:rPr>
        <w:t>هذا كلّه في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الشقّ الثاني ، وهو فيما اذا كانت الدار سابقا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نتصوره بشكلين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بأن اليد حينما طرأت على الدار طرأت عليها وهي وقف ، بأن يفرض ان صاحب اليد استأجر الوقف ، ولكننا نحتمل بعد ذلك طرو أحد المسوغات لبيع الوقف فاشتراها ممن له حق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نجزم بكون الدار وقفا حين طرو اليد عليها ، بل نحتمل بطلان الوقف أولا بأحد الأسباب الشرعية ، ثم شراء صاحب اليد 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الشكل الأول فينبغي أن يكون واضحا عدم حجيّة اليد لنفس النكتة المتقدمة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الجزم بانعقاد السيرة على الأخذ باليد ، لأن حال اليد سابقا معلوم وهو كونها يد ايجار للوقف مثلا ، ويشك في انقلابها عن ذلك فيدخل ذلك في الشق الأول ، ولا يوجد فارق معه ويكون 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الشكل الثاني فقد اختار فيه السيد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القضاء من ملحقات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بامارية اليد على الملكية وعدم انتزاع الدار من صاحب اليد وتسليمها إلى أرباب الوقف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باحتمال أخذه لهذا الحكم من استاذه السيد محمد باقر </w:t>
      </w:r>
      <w:bookmarkStart w:id="377" w:name="pg19380_259571"/>
    </w:p>
    <w:p>
      <w:pPr>
        <w:pStyle w:val="BookText"/>
        <w:rPr/>
      </w:pPr>
      <w:bookmarkEnd w:id="377"/>
      <w:r>
        <w:rPr>
          <w:rFonts w:ascii="Amiri" w:hAnsi="Amiri" w:eastAsia="Amiri" w:cs="Amiri"/>
          <w:color w:val="111111"/>
          <w:sz w:val="28"/>
          <w:sz w:val="28"/>
          <w:szCs w:val="28"/>
          <w:rtl w:val="true"/>
          <w:lang w:bidi="ar-SA"/>
        </w:rPr>
        <w:t xml:space="preserve">الاصفهاني الشفتي ، حيث اشتهر عنه هذا الحكم في اصفهان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 في توجيه حجيّة اليد في مثل ذلك بأنّه لا مانع من الأخذ باليد سوى استصحاب بقاء الدار وقفا وعدم انتقالها ملكا إلى صاحب اليد بيد ان هذا المقدار لا يقف أمام حجيّة اليد والاّ لزم عدم حجية اليد في سائر الحالات أيضا ، لأن استصحاب بقاء الدار على ملك مالكها السابق على صاحب اليد يجري ويقف أمام اليد ، وإذا كان مثل هذا الاستصحاب لا بدّ من طرحه وعدم وقوفه أمام اليد يلزم مثل ذلك في استصحاب بقاء الدار على وقفها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الحالات المتعارفة لليد حيث يا بني العقلاء على التمسك باليد فيكون ذلك موجبا لحجيتها ومن ثمّ لسقوط الاستصحاب المقابل لها عن الاعتبار ، وهذا بخلافه في محل كلامنا ، فانّه لا يحرز انعقاد السيرة على التمسك باليد لتقف بذلك حائلا أمام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من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المقدار الذي يجزم بانعقاد السيرة فيه على امارة اليد هو فيما اذا كان الحال السابق لليد مجهولا ولا يجزم بانعقادها فيما سوى ذلك</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7479417_1280447820"/>
      <w:bookmarkStart w:id="379" w:name="_Toc137"/>
      <w:bookmarkEnd w:id="378"/>
      <w:r>
        <w:rPr/>
        <w:t>5</w:t>
      </w:r>
      <w:r>
        <w:rPr>
          <w:rtl w:val="true"/>
        </w:rPr>
        <w:t xml:space="preserve"> - </w:t>
      </w:r>
      <w:r>
        <w:rPr>
          <w:rtl w:val="true"/>
        </w:rPr>
        <w:t>حالات اليد بلحاظ المقابل</w:t>
      </w:r>
      <w:bookmarkEnd w:id="379"/>
    </w:p>
    <w:p>
      <w:pPr>
        <w:pStyle w:val="Heading4"/>
        <w:numPr>
          <w:ilvl w:val="3"/>
          <w:numId w:val="1"/>
        </w:numPr>
        <w:rPr/>
      </w:pPr>
      <w:bookmarkStart w:id="380" w:name="__RefHeading___Toc17479419_1280447820"/>
      <w:bookmarkStart w:id="381" w:name="_Toc138"/>
      <w:bookmarkEnd w:id="380"/>
      <w:r>
        <w:rPr>
          <w:rtl w:val="true"/>
        </w:rPr>
        <w:t>اشارة</w:t>
      </w:r>
      <w:bookmarkEnd w:id="3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شخص يسكن دارا مثلا وكانت تحت يده وتصرفه فقد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يده تكون امارة على الملكية لو فرض ان الحال السابق لليد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سوف نفترض في بحثنا لهذه النقطة ان الحال السابق لليد مجهول وبعد تحقق الجهل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يفترض عدم وجود من يدّعي ملكية الدار في مقابل صاحب اليد كما لا توجد بيّنة أو إقرار يتنافى وملكية 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الحالة لا اشكال في حجيّة اليد واماريتها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دخول المورد تحت قاعدة الدعوى بلا منازع ، فان كل من ادّعى شيئا ولا منازع له قبلت دعواه لجريان السيرة العقلائية الممضاة شرعا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وثانية يفترض وجود من يدّعي ملكية الدار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ان كانت للمدّعي بيّنة دفعت له الدار وإلاّ بقيت في يد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فترض قيام الحجّة على كون الدار ملكا فيما سبق لشخص آخر غير صاحب اليد من دون ان يثبت بتلك الحجة انتقال الدار من مالكها السابق إلى صاحب اليد بأحد النواقل ، كما لو فرض ان البيّنة شهدت بأن الدار كانت فيما سبق ملكا لشخص آخر غير صاحب اليد ، أو فرض ان الحاكم كان يعلم بذلك ، أو فرض ان نفس صاحب اليد أقرّ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أن نفترض ان ذلك الغير السابق يدّعي ملكية الدار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كانت اليد ثابتة بلا منازع وتثبت الملكية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يدّعيها من دون وجود حجّة له ، لأن الحجة تشهد بالملك السابق لا أكثر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الحال السابق كون اليد اجارة أو غصبا مثلا ، وفي المقام لم نفترض ذلك ، بل افترضنا انها ليست مالكة سابقا ، وهذا لا يؤثر على حجيّة اليد ، وإلا لم تكن لدينا يد حجة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9380_259573"/>
    </w:p>
    <w:p>
      <w:pPr>
        <w:pStyle w:val="BookText"/>
        <w:rPr/>
      </w:pPr>
      <w:bookmarkEnd w:id="382"/>
      <w:r>
        <w:rPr>
          <w:rFonts w:ascii="Amiri" w:hAnsi="Amiri" w:eastAsia="Amiri" w:cs="Amiri"/>
          <w:color w:val="111111"/>
          <w:sz w:val="28"/>
          <w:sz w:val="28"/>
          <w:szCs w:val="28"/>
          <w:rtl w:val="true"/>
          <w:lang w:bidi="ar-SA"/>
        </w:rPr>
        <w:t>وفي هذه الحالة لا بدّ من التفصيل بين اقرار صاحب اليد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قيام البيّنة أو علم الحاكم بأن الدار كانت سابقا لشخص آخر ويحتمل انتقالها إلى صاحب اليد فلا إشكال في امارية اليد والحكم على طبقها بملكيته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السيرة على ذلك ، فإن من يشتري دارا من غيره كثيرا ما يعلم ان تلك الدار كانت مملوكة لإنسان آخر ثالث ، وبالرغم من علمه يقدم على شرائها حتى مع دعوى المدّعي المالك سابقا ملكيتها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بقاء ملك السابق لا ينفع بعد جريان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تقدير اقرار صاحب اليد بكونها سابقا ملكا لفلان ، ونفترض ان ذلك الغير السابق يدّعيها بالفعل ، في حين أنّ صاحب اليد يدّعي انتقالها إليه من المالك السابق فالمشهور اختار ان الدار تنزع من ذي اليد وتسلّم إلى المدّعي ، لأنّه بإقراره تنقلب الدعوى ويصير المدّعي منكرا والمنكر مدّعيا</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7479421_1280447820"/>
      <w:bookmarkStart w:id="384" w:name="_Toc139"/>
      <w:bookmarkEnd w:id="383"/>
      <w:r>
        <w:rPr>
          <w:rtl w:val="true"/>
        </w:rPr>
        <w:t>الاشكال من ناحية فدك</w:t>
      </w:r>
      <w:bookmarkEnd w:id="3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على الرأي المشهور القائل بانقلاب صاحب اليد مدعيا في حالة اقراره بالملك للمالك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اذا كان المالك السابق مدّعيا 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اشكال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الخليفة الأول ادّعى ان النبي  صلی اللّه عليه وآله وسلم  لا يورّث ، وأنّ فدكا ينبغي أن لا تكون ارثا للزهراء  عليها‌ السلام بل فيئا لجميع المسلمين ، إلاّ إذا أقامت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شهودا على ان النبي  صلی اللّه عليه وآله وسلم  قد </w:t>
      </w:r>
    </w:p>
    <w:p>
      <w:pPr>
        <w:pStyle w:val="BookText"/>
        <w:rPr/>
      </w:pPr>
      <w:r>
        <w:rPr>
          <w:rFonts w:ascii="Amiri" w:hAnsi="Amiri" w:eastAsia="Amiri" w:cs="Amiri"/>
          <w:color w:val="111111"/>
          <w:sz w:val="28"/>
          <w:sz w:val="28"/>
          <w:szCs w:val="28"/>
          <w:rtl w:val="true"/>
          <w:lang w:bidi="ar-SA"/>
        </w:rPr>
        <w:t>انحلها إيّاها في حياته فانّه يحكم بكونها ملكا لها ، وإلاّ فلا حقّ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اعترض أمير المؤمنين  عليه‌ السلام بأن الزهراء  عليها‌ السلام ما دامت صاحبة يد على فدك فلما ذا مطالبتها بالبيّنة ، فإن صاحب اليد لا يطالب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احتجاج الطبرسي وشرح المعتزلي </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في‌ء المسلمين ، فإن أقامت شهودا ان رسول اللّه  صلی اللّه عليه وآله وسلم  جعله لها وإلاّ فلا حق لها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أتحكم فينا بخلاف حكم اللّه في المسلمين؟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ثم ادعيت أنا فيه ، من تسأل البيّنة؟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أسأل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فاطمة سألتها البيّنة على ما في يدها وقد ملكته في حياة رسول اللّه صلی اللّه عليه وآله وسلم  وبعده ، ولم تسأل المسلمين بيّنة على ما ادّعوا شهودا ، كما سألتني على ما ادعيت عليهم؟</w:t>
      </w:r>
    </w:p>
    <w:p>
      <w:pPr>
        <w:pStyle w:val="BookText"/>
        <w:rPr/>
      </w:pPr>
      <w:r>
        <w:rPr>
          <w:rFonts w:ascii="Amiri" w:hAnsi="Amiri" w:eastAsia="Amiri" w:cs="Amiri"/>
          <w:color w:val="111111"/>
          <w:sz w:val="28"/>
          <w:sz w:val="28"/>
          <w:szCs w:val="28"/>
          <w:rtl w:val="true"/>
          <w:lang w:bidi="ar-SA"/>
        </w:rPr>
        <w:t xml:space="preserve">فسكت أبو بكر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دعنا من كلامك فانّا لا نقوى على حجّتك، فإن أتيت بشهود عدول ، وإلاّ فهو في‌ء للمسلمين لا حق لك ولا لفاطمة فيه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الزهراء  عليها‌ السلام كانت تعترف بأن فدكا كانت للنبي  صلی اللّه عليه وآله وسلم  ، ومع </w:t>
      </w:r>
    </w:p>
    <w:p>
      <w:pPr>
        <w:pStyle w:val="BookText"/>
        <w:rPr/>
      </w:pPr>
      <w:r>
        <w:rPr>
          <w:rFonts w:ascii="IRNazanin" w:hAnsi="IRNazanin" w:eastAsia="IRNazanin"/>
          <w:color w:val="111111"/>
          <w:sz w:val="28"/>
          <w:sz w:val="28"/>
          <w:szCs w:val="28"/>
          <w:rtl w:val="true"/>
          <w:lang w:bidi="fa-IR"/>
        </w:rPr>
        <w:t>اعترافها بكونها للنبي  صلی اللّه عليه وآله وسلم  فهي تدّعي انتقالها منه إليها وانّه وهبها إيّاها ، وبذلك تصير مدعية للهبة فتلزمها البيّنة ، ومع عدم البيّنة لها ينبغي أن تبقى على ملك النبي  صلی اللّه عليه وآله وسلم  ، وحيث انّه لا يورّث ينبغي أن تنتقل فيئا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كيف يقول أمير المؤمنين  عليه‌ السلام ان الزهراء  عليها‌ السلام ما دامت صاحبة يد فلا معنى لمطالبتها بالبيّنة؟</w:t>
      </w:r>
    </w:p>
    <w:p>
      <w:pPr>
        <w:pStyle w:val="BookText"/>
        <w:rPr/>
      </w:pPr>
      <w:r>
        <w:rPr>
          <w:rFonts w:ascii="Amiri" w:hAnsi="Amiri" w:eastAsia="Amiri" w:cs="Amiri"/>
          <w:color w:val="111111"/>
          <w:sz w:val="28"/>
          <w:sz w:val="28"/>
          <w:szCs w:val="28"/>
          <w:rtl w:val="true"/>
          <w:lang w:bidi="ar-SA"/>
        </w:rPr>
        <w:t xml:space="preserve">ويمكن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شخصا لو دفع إلى ثان قطعة قماش مثلا وخاطها الثاني ولبسها فترة طويلة من الزمن وكان يتصرّف فيها تصرّف الملاّك ، ثم بعد فترة مات الأول ، فهل يحقّ للوصي مطالبة الثاني بقطعة القماش فيما إذا كان الثاني يدّعي أن الأول ملّكها إيّاه؟ كلا لأن الثاني بسبب يده الثابتة زمن المالك السابق وسكوته عن ذلك بل وامضائه لا يتحول إلى مدع ، وانّما يكون المدّعي هو الوصي ، كيف لا ونحن نعرف ان المدّعي هو من اذا سحب نفسه وسكت اغلقت الدعوى ، وهذا الضابط ينطبق على الوصي ، فانّه لو سكت اغلقت الدعوى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ان جوابنا هذا يرجع إلى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إقرار صاحب اليد انما يقلبه الى كونه مدّعيا فيما لو فرض ان الطرف الثاني الذي يدّعي عدم تمليك العين لصاحب اليد هو المالك نفسه أو ورّثته دون ما إذا كان هو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الخليفة الأول ليس هو المالك لفدك سابقا وليس هو الوارث للنبي  صلی اللّه عليه وآله وسلم  ، بل أقصى ما يمكن تسليمه هو كونه وصيّا ، والوصي لا يقبل منه ما يدّعيه في مقابل اليد الفعلية ، بل السيرة منعقدة على حجيّة اليد ، ولا أقل تكفينا قصة المنازعة في فدك هذه ، ولا يتسجل بسببها اشكال على المشهور ، فإن كلام المشهور ناظر إلى حالة ما إذا كان الطرف المقابل لليد هو المالك نفسه دون </w:t>
      </w:r>
      <w:bookmarkStart w:id="385" w:name="pg19380_259576"/>
    </w:p>
    <w:p>
      <w:pPr>
        <w:pStyle w:val="BookText"/>
        <w:rPr/>
      </w:pPr>
      <w:bookmarkEnd w:id="385"/>
      <w:r>
        <w:rPr>
          <w:rFonts w:ascii="Amiri" w:hAnsi="Amiri" w:eastAsia="Amiri" w:cs="Amiri"/>
          <w:color w:val="111111"/>
          <w:sz w:val="28"/>
          <w:sz w:val="28"/>
          <w:szCs w:val="28"/>
          <w:rtl w:val="true"/>
          <w:lang w:bidi="ar-SA"/>
        </w:rPr>
        <w:t xml:space="preserve">الوصي عنه خصوصا وان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يدّعي عدم حصول التمليك من قبل المالك لصاحب اليد ، بل أقصى 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أعلم بحصول الانتقال ، وعدم العلم بالانتقال لا يقف أمام اليد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المدّعي انّما يطلب منه البيّنة لو كان له طرف ينكر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المورد من قبيل الدعوى بلا منازع التي هي مقبولة بلا حاجة إلى 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الخليفة الأول لم يكن منكرا ، وانّما يدّعي عدم العلم لا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صدق عنوان المدعى عليه ولا يلزم صدق عنوان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الخليفة الأول لا ينطبق عليه عنوان المدعى عليه ، بل النبي صلی اللّه عليه وآله وسلم  هو المدعى عليه النحلة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انّا لو تنزلنا وسلمنا ان دعوى الوصي كدعوى الميت الموصي باعتبار انه أعرف بحاله فذلك يتم فيما لو كان الوصي قد نصبه الميت دون ما لو لم ينصبه الميت ، وانما تم نصبه بعد ذلك لاتفاق المسلمين على بيعته بعد النبي  صلی اللّه عليه وآله وسلم  كما هو المعروف لدى العامة</w:t>
      </w:r>
      <w:r>
        <w:rPr>
          <w:rFonts w:eastAsia="IRNazanin" w:cs="IRNazanin"/>
          <w:color w:val="111111"/>
          <w:sz w:val="28"/>
          <w:szCs w:val="28"/>
          <w:rtl w:val="true"/>
          <w:lang w:bidi="fa-IR"/>
        </w:rPr>
        <w:t>.</w:t>
      </w:r>
    </w:p>
    <w:p>
      <w:pPr>
        <w:pStyle w:val="Heading3"/>
        <w:numPr>
          <w:ilvl w:val="2"/>
          <w:numId w:val="1"/>
        </w:numPr>
        <w:rPr/>
      </w:pPr>
      <w:bookmarkStart w:id="386" w:name="__RefHeading___Toc17479423_1280447820"/>
      <w:bookmarkStart w:id="387" w:name="_Toc140"/>
      <w:bookmarkEnd w:id="386"/>
      <w:r>
        <w:rPr/>
        <w:t>6</w:t>
      </w:r>
      <w:r>
        <w:rPr>
          <w:rtl w:val="true"/>
        </w:rPr>
        <w:t xml:space="preserve"> - </w:t>
      </w:r>
      <w:r>
        <w:rPr>
          <w:rtl w:val="true"/>
        </w:rPr>
        <w:t>ضابط اليد</w:t>
      </w:r>
      <w:bookmarkEnd w:id="387"/>
    </w:p>
    <w:p>
      <w:pPr>
        <w:pStyle w:val="BookText"/>
        <w:rPr/>
      </w:pPr>
      <w:r>
        <w:rPr>
          <w:rFonts w:ascii="Amiri" w:hAnsi="Amiri" w:eastAsia="Amiri" w:cs="Amiri"/>
          <w:color w:val="111111"/>
          <w:sz w:val="28"/>
          <w:sz w:val="28"/>
          <w:szCs w:val="28"/>
          <w:rtl w:val="true"/>
          <w:lang w:bidi="ar-SA"/>
        </w:rPr>
        <w:t>بعد أن عرفنا ان اليد امارة على الملك للسيرة العقلائية يجدر ان نحدد المقصود من كون الشي‌ء تحت اليد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 يقصد جزما كون الشي‌ء مقبوضا باليد ، كقبض القلم والدينار للجزم بتحقق اليد في مثل السيارة والدار عرفا ، والحال انها </w:t>
      </w:r>
      <w:bookmarkStart w:id="388" w:name="pg19380_259577"/>
    </w:p>
    <w:p>
      <w:pPr>
        <w:pStyle w:val="BookText"/>
        <w:rPr/>
      </w:pPr>
      <w:bookmarkEnd w:id="388"/>
      <w:r>
        <w:rPr>
          <w:rFonts w:ascii="Amiri" w:hAnsi="Amiri" w:eastAsia="Amiri" w:cs="Amiri"/>
          <w:color w:val="111111"/>
          <w:sz w:val="28"/>
          <w:sz w:val="28"/>
          <w:szCs w:val="28"/>
          <w:rtl w:val="true"/>
          <w:lang w:bidi="ar-SA"/>
        </w:rPr>
        <w:t>ليست مقبوضة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يكفي كون الشي‌ء واقعا تحت القدرة بحيث يقدر على التصرف فيه كيف شاء ، للجزم عرفا بعدم تحقق اليد على الشي‌ء بمجرد القدرة ، وإلاّ كان رئيس كلّ دولة ذا يد على جميع ما في الدولة من أشياء ، لأنّه قادر على التصرف فيها كيفما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أيضا وقوع الشي‌ء في حوزة الانسان من دون أن يعدّ من توابعه ، كما هو الحال في الوكيل الذي وكل في التصرف في شي‌ء كيفما أحبّ ، فإنّه حتى لو تصرّف فيه لا يكون صاحب يد عرفا ، لأن الشي‌ء لا يعدّ من 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يبعد أن تكون اليد عبارة عن تصرف الشخص في شي‌ء ووقوعه في حوزته بحيث يعدّ من توابعه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الرجوع الى العرف هو الميزان الأساسي لتشخيص صدق اليد وعدمه ، فمن بيده مفتاح الدار مع سكن الغير فيها لا يصدق كونه صاحب يد عليها ، بخلاف ما إذا لم تكن مسكونة</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7479425_1280447820"/>
      <w:bookmarkStart w:id="390" w:name="_Toc141"/>
      <w:bookmarkEnd w:id="389"/>
      <w:r>
        <w:rPr/>
        <w:t>7</w:t>
      </w:r>
      <w:r>
        <w:rPr>
          <w:rtl w:val="true"/>
        </w:rPr>
        <w:t xml:space="preserve"> - </w:t>
      </w:r>
      <w:r>
        <w:rPr>
          <w:rtl w:val="true"/>
        </w:rPr>
        <w:t>اليد على المنافع</w:t>
      </w:r>
      <w:bookmarkEnd w:id="390"/>
    </w:p>
    <w:p>
      <w:pPr>
        <w:pStyle w:val="BookText"/>
        <w:rPr/>
      </w:pPr>
      <w:r>
        <w:rPr>
          <w:rFonts w:ascii="Amiri" w:hAnsi="Amiri" w:eastAsia="Amiri" w:cs="Amiri"/>
          <w:color w:val="111111"/>
          <w:sz w:val="28"/>
          <w:sz w:val="28"/>
          <w:szCs w:val="28"/>
          <w:rtl w:val="true"/>
          <w:lang w:bidi="ar-SA"/>
        </w:rPr>
        <w:t>تارة يفرض ان اليد تتعلق بالعين ، وهذا ما تقدّم الحديث عنه وقلنا ان السيرة قد انعقدت على كونها امارة على الملك ، وأخرى تتعلّق بالمنفعة ، وهذا قد وقع البحث عنه في كونها امارة على الملك أو 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شخص يسكن دارا وعلمنا بعدم كونه مالكا للعين ، بيد انّا كنّا نحتمل كونه مالكا للمنفعة باجارة ونحوها فهل يحكم بملكيته لها تمسكا بامارية اليد؟ </w:t>
      </w:r>
      <w:bookmarkStart w:id="391" w:name="pg19380_259578"/>
    </w:p>
    <w:p>
      <w:pPr>
        <w:pStyle w:val="BookText"/>
        <w:rPr/>
      </w:pPr>
      <w:bookmarkEnd w:id="391"/>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من سيرة العقلاء هو اثبات ملك العين باليد ، واما ملك المنافع مستقلا عن العين فهو مشكوك فيقتصر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اذا كان المتصرف مسلما حمل تصرفه على كونه تصرفا صحيحا ، فلو آجر الدار أو أعارها حمل ذلك على الصحة ، بيد ان هذا مطلب آخر ، وكلامنا في اثبات ملكية المنفعة بنفس اليد بدون اخبار ولا غيره من القواعد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والثمرة تظهر فيما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شخصا كان يسكن دارا نعلم بعدم ملكيته لها ، ونفترض انّه لو كان مالكا للمنفعة فهو راض جزما بالسكن في الدار ، ولكننا نشك في ملكيته لها ، ونحتمل انّه أبيح له السكن فقط على وجه لا يحقّ له إباحة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عدم الجزم بانعقاد السيرة على الحكم بملكية المنفعة لا نطيل البحث عن امكان تصور تعلق اليد بالمنافع والاشكال على ذلك ، بدعوى ان المنافع ليس لها وجود فعلي لتتعلق به اليد ، وانما توجد بالاستيفاء شيئا فشيئا</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7479427_1280447820"/>
      <w:bookmarkStart w:id="393" w:name="_Toc142"/>
      <w:bookmarkEnd w:id="392"/>
      <w:r>
        <w:rPr/>
        <w:t>8</w:t>
      </w:r>
      <w:r>
        <w:rPr>
          <w:rtl w:val="true"/>
        </w:rPr>
        <w:t xml:space="preserve"> - </w:t>
      </w:r>
      <w:r>
        <w:rPr>
          <w:rtl w:val="true"/>
        </w:rPr>
        <w:t>عموم امارية اليد في حق صاحبها</w:t>
      </w:r>
      <w:bookmarkEnd w:id="393"/>
    </w:p>
    <w:p>
      <w:pPr>
        <w:pStyle w:val="BookText"/>
        <w:rPr/>
      </w:pPr>
      <w:r>
        <w:rPr>
          <w:rFonts w:ascii="Amiri" w:hAnsi="Amiri" w:eastAsia="Amiri" w:cs="Amiri"/>
          <w:color w:val="111111"/>
          <w:sz w:val="28"/>
          <w:sz w:val="28"/>
          <w:szCs w:val="28"/>
          <w:rtl w:val="true"/>
          <w:lang w:bidi="ar-SA"/>
        </w:rPr>
        <w:t>تارة يفرض ان الانسان صاحب يد على شي‌ء ويشك الغير في مالكيته ، وأخرى يفرض ان صاحب اليد نفسه يجد في بيته أو صندوقه شيئا ويشك انّه له أو لا ، ففي مثل ذلك هل يحكم بملكية صاحب اليد لما يجده في حوزته؟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بعموم دليل حجية قاعدة اليد وهو السيرة العقلائية لذلك </w:t>
      </w:r>
      <w:bookmarkStart w:id="394" w:name="pg19380_259579"/>
    </w:p>
    <w:p>
      <w:pPr>
        <w:pStyle w:val="BookText"/>
        <w:rPr/>
      </w:pPr>
      <w:bookmarkEnd w:id="394"/>
      <w:r>
        <w:rPr>
          <w:rFonts w:ascii="Amiri" w:hAnsi="Amiri" w:eastAsia="Amiri" w:cs="Amiri"/>
          <w:color w:val="111111"/>
          <w:sz w:val="28"/>
          <w:sz w:val="28"/>
          <w:szCs w:val="28"/>
          <w:rtl w:val="true"/>
          <w:lang w:bidi="ar-SA"/>
        </w:rPr>
        <w:t>بتقريب ان العقلاء انّما يحكمون بامارية اليد في سائر الموارد من باب غلبة كون ما تحت اليد ملكا لصاحبها ، ومن النادر أن يكون غاصبا ، وواضح ان هذه النكتة تعمّ المقام أيضا ، فإن الغالب كون ما في صندوق الانسان أمرا راجعا اليه وخاصا به وليس راجعا الى الغير ، لبعد ان يضع غير صاحب الصندوق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إذا كان الصندوق معدا لوضع أشخاص متعددين فيه أشياءهم فلا يحكم باختصاص الشي‌ء بصاحب الصندوق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التفصيل اذا سلم فبها وإلاّ فيمكن التمسك بصحيحة جميل بن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وجد في صندوقه 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أحد يده في صندوقه غيره أو يضع فيه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7479429_1280447820"/>
      <w:bookmarkStart w:id="396" w:name="_Toc143"/>
      <w:bookmarkEnd w:id="395"/>
      <w:r>
        <w:rPr/>
        <w:t>9</w:t>
      </w:r>
      <w:r>
        <w:rPr>
          <w:rtl w:val="true"/>
        </w:rPr>
        <w:t xml:space="preserve"> - </w:t>
      </w:r>
      <w:r>
        <w:rPr>
          <w:rtl w:val="true"/>
        </w:rPr>
        <w:t>تطبيقات</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شخص صاحب يد على شي‌ء وادعاه غيره فما هو الموقف؟</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شخص صاحب يد على شي‌ء ، وكان يعترف انّه ليس له وتداعاه اثنان ، كلّ واحد منهما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 فما هو الموقف في حالة تصديق صاحب اليد لأحدهما ، وما هو الموقف في حالة سكوته وعدم تصديقه لأحدهما؟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شخص يسكن دارا وقال هي ملكي ، فقبولنا لقوله يدخل تحت أي قاعدة؟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شخصان يسكنان دارا ، فتارة يدّعيها أحدهما ، وأخرى يدّعيها كلاهما ، وثالثة يدّعيها شخص ثالث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الموقف في هذه الحالات؟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شخص كافر يدّعي ان شيئا معينا ملك له فأي قاعدة يمكن تطبيقها لإثبات ملكه؟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اختلف المسلم والكافر في دعوى ملكية شي‌ء فعلى طبق قول أيّهما يحكم؟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شخص يبيع لحما نشك انّه مذكى أو لا فبما ذا نحكم ، وعلى طبق أي قاعدة؟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دخلنا دار شخص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المكان من الدار نجس فهل يحكم بحجية ما يقول ولأي قاعدة؟</w:t>
      </w:r>
    </w:p>
    <w:p>
      <w:pPr>
        <w:pStyle w:val="BookText"/>
        <w:rPr/>
      </w:pPr>
      <w:r>
        <w:rPr>
          <w:rFonts w:ascii="Amiri" w:hAnsi="Amiri" w:eastAsia="Amiri" w:cs="Amiri"/>
          <w:color w:val="111111"/>
          <w:sz w:val="28"/>
          <w:sz w:val="28"/>
          <w:szCs w:val="28"/>
          <w:rtl w:val="true"/>
          <w:lang w:bidi="ar-SA"/>
        </w:rPr>
        <w:t>تمّ بتوفيق اللّه سبحانه مراجعة</w:t>
      </w:r>
    </w:p>
    <w:p>
      <w:pPr>
        <w:pStyle w:val="BookText"/>
        <w:rPr/>
      </w:pPr>
      <w:r>
        <w:rPr>
          <w:rFonts w:ascii="Amiri" w:hAnsi="Amiri" w:eastAsia="Amiri" w:cs="Amiri"/>
          <w:color w:val="111111"/>
          <w:sz w:val="28"/>
          <w:sz w:val="28"/>
          <w:szCs w:val="28"/>
          <w:rtl w:val="true"/>
          <w:lang w:bidi="ar-SA"/>
        </w:rPr>
        <w:t>كتابنا المذكور في مدينة قم المقدسة</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جمادي 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الايرواني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9380_259582"/>
      <w:bookmarkStart w:id="398" w:name="pg19380_259582"/>
      <w:bookmarkEnd w:id="398"/>
    </w:p>
    <w:p>
      <w:pPr>
        <w:pStyle w:val="Heading2"/>
        <w:numPr>
          <w:ilvl w:val="1"/>
          <w:numId w:val="1"/>
        </w:numPr>
        <w:rPr/>
      </w:pPr>
      <w:bookmarkStart w:id="399" w:name="pg19380_259582"/>
      <w:bookmarkStart w:id="400" w:name="__RefHeading___Toc17479431_1280447820"/>
      <w:bookmarkStart w:id="401" w:name="_Toc144"/>
      <w:bookmarkEnd w:id="399"/>
      <w:bookmarkEnd w:id="400"/>
      <w:r>
        <w:rPr>
          <w:rtl w:val="true"/>
        </w:rPr>
        <w:t>فهرس الكتاب</w:t>
      </w:r>
      <w:bookmarkEnd w:id="401"/>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مدى أهمية البحث عن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تاريخ البحث في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القاعدة الفقهية والفارق بينها وبين القاعدة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الفقهية والقاعدة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ما به الاشتراك والامتياز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القواعد الفقهية لا تنحصر في عدد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قاعدة لا تعاد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شمول الحديث للعامد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تختص بالناسي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تعمّ الجاهل بكلا قسميه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معذورية العامد في بعض الحالات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تختص القاعدة بحالة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لحالة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نكتة عدم الاشارة لبعض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المراد بالطهور؟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تعم القاعدة الموانع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 على ضوء قاعدة لا تعاد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قاعدتا الفراغ والتجاوز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واحدة أو قاعدتان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القاعدتين لغير الصلاة والوضوء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الوضوء من قاعدة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يعتبر الدخول في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من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الالتفات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بينها وبين قاعدة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يشترط العلم بالصحة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تختص بحالة الشك في وجود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احراز وقوع الفعل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عند الفاعل أو عند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صيغة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في الرواية أو في المروي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مفردات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قاعدة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الحديث على قضية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يدفع محذور كثرة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الحديث للأحكام العدمية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تقديم الحديث على الأدلّة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الضرر الواقعي أو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الضررين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قاعدة نفي الحرج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الحرج والفرق بينه وبين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تقدم القاعدة على الأدلّة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 القاعدة بكثرة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المدار على رفع الحرج النوعي أو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رفع الحرج رخصة أو 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القاعدة تعم الحكم الوضعي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اليد أصل أو 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الجهل بالحالة السابقة في امارية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اليد بلحاظ المقابل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على 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امارية اليد في حق صاحبها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التأمل في ذلك باعتبار انه قد يستفاد من القاعدة الفقهية حكم كلي كطهارة الحديد لو شككنا في طهارته في نفسه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يورد على هذا الفارق بأن بعض القواعد الفقهية لا يمكن للعامي تطبيقها ، مثل لا ضرر ولا تعاد و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الطريق الذي ذكره الشيخ الى زرارة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 بابن أبي عمير عن بعض أصحابه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ابن أبي جيد عن ابن الوليد عن سعد بن عبد اللّه والحميري عن أحمد بن أبي عبد اللّه البرقي عن أبيه عن ابن أبي عمير عن بعض أصحابه عنه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الفقهية للسيد البجنوردي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دعوى امكان شمول الحديث للعامد الى الشيخ محمد تقي الشيرازي قدس‌سره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السيد الخوئي التقريب المذكور عن الميرزا فراجع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وفقه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ناصر مكارم في قواعده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من شكك في ذلك الشيخ ناصر مكارم في قواعده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كونها صحيحة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الحر رواها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وباسناده عن سعد عن أحمد بن محمد عن أبيه عن عبد اللّه بن المغيرة عن اسماعيل بن جابر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تلك المواضع ما يأتي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رحمت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كليهما فان أحمد بن ادريس هو المكنى بأبي علي الأشعري الذي قال النجاشي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ثقة فقيها في أصحابنا كثير الحديث صحيح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شيخ الكليني ، وقد أكثر في الكافي الرواية 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أشير الى البيان الثاني في المستند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بن محمد بن عيسى فإن كنيته أبو جعفر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مراجعة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المسائل المذكورة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فصل الشكوك التي لا اعتبار بها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كتب عنها رسالة مستقلة الحقت بآخر المكاسب ، وتعرّض لها الشيخ النراقي في العائدة الرابعة من عوائد الأيام أيضا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على ما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غصن له شعب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البستان على ما في المنجد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السند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إحياء الموات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رسمت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يراد بذكر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حكمة تشريع الشفعة ، كما وانه يراد بذكر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قول من يقول بأنّ الشفعة ثابتة بعد تقسيم الأرض وتعيين حصة كل شريك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كلمة 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والنقع هو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في شرح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نهي ان يمنع نقع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فضل 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ينقع به العطش أي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إحياء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وما قبله في قاعدة لا ضرر للسيد السيستاني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لشيخ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أوضح السيد السيستاني ذلك في رسالة قاعدة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إلى ذلك السيد محمد علي القاضي في هامش رسالة لا ضرر لشيخ الشريعة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سيأتي إن شاء اللّه التأمل في ذلك أيضا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 هو الهدر الذي لا يغرم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والعجماء هي البهيمة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الفقيه بسنده إلى عاقبة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رسول اللّه  صلی اللّه عليه وآله وسلم  انّ المعدن جبار والبئر جبار والعجماء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والتهذيب عن عاقبة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رسول اللّه  صلی اللّه عليه وآله وسلم  انّ ثمر النخل للذي أبّرها إلاّ أن يشترط المبتاع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لا يكون للمؤلف حقّ وهو قد بذل جهودا فكرية كبيرة؟ أجبنا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لازم انّ المطالب العلمية التي يسجلها بعض المفكرين في كتبهم لا يحقّ للآخرين الاستفادة منها والتبنّي لها ، وهو واضح البطلان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يمثل للمختلفين لفظا بالضرر والضرار وبالتلف والاتلاف والنفع والمنفعة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الفعل الثلاثي قد يأتي مصدره على فعال ، من قبيل كتب كتابا ، وحسب حسابا ، وقام قياما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 فعل على وزن فاعل فمصدره الفعال والمفاعلة ، نحو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وما يثبت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السبب والمسبب التوليدي العلة التامّة ومعلولها ، فان العلة التامّة متى ما تحققت سبّبت وولدت المعلول ، فالعلّة تسمّى بالسبب التوليدي ، والمعلول يسمّى بالمسبّب التوليدي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الحكم المتصوّر للضرر لو كان فهو الحرمة والضمان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يوجد حكم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في ذلك شي‌ء من المسامحة ، باعتبار ان الضرر الذي هو نفس النقص لا حكم له ، وإنّما المحرم والموجب للضمان هو الضرار بمعنى الاضرار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 يستفاد منها عدم اباحة الاضرار بالآخرين ، ولا يستفاد منها عدم ثبوت اباحة اضرار الانسان نفسه ، بخلاف ذلك في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يمكن ان يستفاد منها ذلك تمسكا بالاطلاق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على هذا المنوال يمكن ذكر أمثلة أخرى ، من قبيل سلب حرية الزوجة من التزوّج بزوج آخر ، أو عدم جواز خروجها من البيت بدون إذن زوجها أو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جماعة منهم السيّد الخوئي في المصباح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السيّد الشهيد في التقرير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انّ كليهما في طول الدخول في الملك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عنه بالفصل في الأوساط العراقية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يستند السيّد اليزدي إلى حديث لا ضرر فقط ، بل تمسّك بالروايات الخاصّة أيضا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تبنّاه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قاعدة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وتبنّى هذا الرأي السيّد الخوئي أيضا في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من اختار ذلك السيد الحكيم في المستمسك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ان ذكر المرض هو من باب استلزامه للضرر عادة ، فلو فرض انّ مريضا لم يضره استعمال الماء لم يجز له التيمّم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الخمس من مستند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أجل التزم بها قدس‌سره في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الأمثلة المعاصرة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اذا كان الإنسان راكبا سيارة ودار الأمر بين أن يضرّر الآخرين أو يضرر نفسه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اشير الى ذلك في القواعد الفقهية 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العزيمة هو الالزام والوجوب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مسوغات التيمم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الجزء الثاني من 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 الطبعة القديمة المحشاة بحواشي رحمت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الجزء الثاني من 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 الطبع القديم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الجزء الثاني من 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بناء على هذا يكون الحال السابق لليد معلوما فلا تكون حجّة على الملك كما تقدّم سابقا بلا حاجة الى استئناف بحث جديد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39579</Words>
  <Characters>159647</Characters>
  <CharactersWithSpaces>197912</CharactersWithSpaces>
  <Paragraphs>1709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2026-08-25T20:38:42Z</dcterms:created>
  <dc:creator>ghaemiyeh.com</dc:creator>
  <dc:description/>
  <dc:language>en-US</dc:language>
  <cp:lastModifiedBy/>
  <dcterms:modified xsi:type="dcterms:W3CDTF">2026-08-26T00:08:48Z</dcterms:modified>
  <cp:revision>1</cp:revision>
  <dc:subject/>
  <dc:title>دروس تمهیدیة فی القواعد الفقهیة جلد 1</dc:title>
</cp:coreProperties>
</file>

<file path=docProps/custom.xml><?xml version="1.0" encoding="utf-8"?>
<Properties xmlns="http://schemas.openxmlformats.org/officeDocument/2006/custom-properties" xmlns:vt="http://schemas.openxmlformats.org/officeDocument/2006/docPropsVTypes"/>
</file>