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السرویة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28996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2899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29000_1280447820">
            <w:r>
              <w:rPr>
                <w:webHidden/>
                <w:rStyle w:val="IndexLink"/>
                <w:rtl w:val="true"/>
              </w:rPr>
              <w:t>[</w:t>
            </w:r>
            <w:r>
              <w:rPr>
                <w:rStyle w:val="IndexLink"/>
                <w:rtl w:val="true"/>
              </w:rPr>
              <w:t>مقدمة التحقيق</w:t>
            </w:r>
            <w:r>
              <w:rPr>
                <w:rStyle w:val="IndexLink"/>
                <w:rtl w:val="true"/>
              </w:rPr>
              <w:t>]</w:t>
              <w:tab/>
            </w:r>
            <w:r>
              <w:rPr>
                <w:rStyle w:val="IndexLink"/>
              </w:rPr>
              <w:t>6</w:t>
            </w:r>
          </w:hyperlink>
        </w:p>
        <w:p>
          <w:pPr>
            <w:pStyle w:val="Contents3"/>
            <w:tabs>
              <w:tab w:val="clear" w:pos="8459"/>
              <w:tab w:val="right" w:pos="9026" w:leader="dot"/>
            </w:tabs>
            <w:rPr/>
          </w:pPr>
          <w:hyperlink w:anchor="__RefHeading___Toc16229002_12804478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6229004_1280447820">
            <w:r>
              <w:rPr>
                <w:webHidden/>
                <w:rStyle w:val="IndexLink"/>
                <w:rtl w:val="true"/>
              </w:rPr>
              <w:t>تسمية الكتاب</w:t>
            </w:r>
            <w:r>
              <w:rPr>
                <w:rStyle w:val="IndexLink"/>
                <w:rtl w:val="true"/>
              </w:rPr>
              <w:t>:</w:t>
              <w:tab/>
            </w:r>
            <w:r>
              <w:rPr>
                <w:rStyle w:val="IndexLink"/>
              </w:rPr>
              <w:t>6</w:t>
            </w:r>
          </w:hyperlink>
        </w:p>
        <w:p>
          <w:pPr>
            <w:pStyle w:val="Contents4"/>
            <w:tabs>
              <w:tab w:val="clear" w:pos="8176"/>
              <w:tab w:val="right" w:pos="9026" w:leader="dot"/>
            </w:tabs>
            <w:rPr/>
          </w:pPr>
          <w:hyperlink w:anchor="__RefHeading___Toc16229006_1280447820">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16229008_1280447820">
            <w:r>
              <w:rPr>
                <w:webHidden/>
                <w:rStyle w:val="IndexLink"/>
              </w:rPr>
              <w:t>1</w:t>
            </w:r>
            <w:r>
              <w:rPr>
                <w:rStyle w:val="IndexLink"/>
                <w:rtl w:val="true"/>
              </w:rPr>
              <w:t xml:space="preserve">- </w:t>
            </w:r>
            <w:r>
              <w:rPr>
                <w:rStyle w:val="IndexLink"/>
                <w:rtl w:val="true"/>
              </w:rPr>
              <w:t>الاختلاف في التسمية</w:t>
            </w:r>
            <w:r>
              <w:rPr>
                <w:rStyle w:val="IndexLink"/>
                <w:rtl w:val="true"/>
              </w:rPr>
              <w:t>:</w:t>
              <w:tab/>
            </w:r>
            <w:r>
              <w:rPr>
                <w:rStyle w:val="IndexLink"/>
              </w:rPr>
              <w:t>7</w:t>
            </w:r>
          </w:hyperlink>
        </w:p>
        <w:p>
          <w:pPr>
            <w:pStyle w:val="Contents4"/>
            <w:tabs>
              <w:tab w:val="clear" w:pos="8176"/>
              <w:tab w:val="right" w:pos="9026" w:leader="dot"/>
            </w:tabs>
            <w:rPr/>
          </w:pPr>
          <w:hyperlink w:anchor="__RefHeading___Toc16229010_1280447820">
            <w:r>
              <w:rPr>
                <w:webHidden/>
                <w:rStyle w:val="IndexLink"/>
              </w:rPr>
              <w:t>2</w:t>
            </w:r>
            <w:r>
              <w:rPr>
                <w:rStyle w:val="IndexLink"/>
                <w:rtl w:val="true"/>
              </w:rPr>
              <w:t xml:space="preserve">- </w:t>
            </w:r>
            <w:r>
              <w:rPr>
                <w:rStyle w:val="IndexLink"/>
                <w:rtl w:val="true"/>
              </w:rPr>
              <w:t>الاختلاف في النسبة</w:t>
            </w:r>
            <w:r>
              <w:rPr>
                <w:rStyle w:val="IndexLink"/>
                <w:rtl w:val="true"/>
              </w:rPr>
              <w:t>:</w:t>
              <w:tab/>
            </w:r>
            <w:r>
              <w:rPr>
                <w:rStyle w:val="IndexLink"/>
              </w:rPr>
              <w:t>9</w:t>
            </w:r>
          </w:hyperlink>
        </w:p>
        <w:p>
          <w:pPr>
            <w:pStyle w:val="Contents3"/>
            <w:tabs>
              <w:tab w:val="clear" w:pos="8459"/>
              <w:tab w:val="right" w:pos="9026" w:leader="dot"/>
            </w:tabs>
            <w:rPr/>
          </w:pPr>
          <w:hyperlink w:anchor="__RefHeading___Toc16229012_1280447820">
            <w:r>
              <w:rPr>
                <w:webHidden/>
                <w:rStyle w:val="IndexLink"/>
                <w:rtl w:val="true"/>
              </w:rPr>
              <w:t>الأول</w:t>
            </w:r>
            <w:r>
              <w:rPr>
                <w:rStyle w:val="IndexLink"/>
                <w:rtl w:val="true"/>
              </w:rPr>
              <w:t>:</w:t>
              <w:tab/>
            </w:r>
            <w:r>
              <w:rPr>
                <w:rStyle w:val="IndexLink"/>
              </w:rPr>
              <w:t>10</w:t>
            </w:r>
          </w:hyperlink>
        </w:p>
        <w:p>
          <w:pPr>
            <w:pStyle w:val="Contents3"/>
            <w:tabs>
              <w:tab w:val="clear" w:pos="8459"/>
              <w:tab w:val="right" w:pos="9026" w:leader="dot"/>
            </w:tabs>
            <w:rPr/>
          </w:pPr>
          <w:hyperlink w:anchor="__RefHeading___Toc16229014_1280447820">
            <w:r>
              <w:rPr>
                <w:webHidden/>
                <w:rStyle w:val="IndexLink"/>
                <w:rtl w:val="true"/>
              </w:rPr>
              <w:t>الثاني</w:t>
            </w:r>
            <w:r>
              <w:rPr>
                <w:rStyle w:val="IndexLink"/>
                <w:rtl w:val="true"/>
              </w:rPr>
              <w:t>:</w:t>
              <w:tab/>
            </w:r>
            <w:r>
              <w:rPr>
                <w:rStyle w:val="IndexLink"/>
              </w:rPr>
              <w:t>10</w:t>
            </w:r>
          </w:hyperlink>
        </w:p>
        <w:p>
          <w:pPr>
            <w:pStyle w:val="Contents3"/>
            <w:tabs>
              <w:tab w:val="clear" w:pos="8459"/>
              <w:tab w:val="right" w:pos="9026" w:leader="dot"/>
            </w:tabs>
            <w:rPr/>
          </w:pPr>
          <w:hyperlink w:anchor="__RefHeading___Toc16229016_1280447820">
            <w:r>
              <w:rPr>
                <w:webHidden/>
                <w:rStyle w:val="IndexLink"/>
                <w:rtl w:val="true"/>
              </w:rPr>
              <w:t>الثالث</w:t>
            </w:r>
            <w:r>
              <w:rPr>
                <w:rStyle w:val="IndexLink"/>
                <w:rtl w:val="true"/>
              </w:rPr>
              <w:t>:</w:t>
              <w:tab/>
            </w:r>
            <w:r>
              <w:rPr>
                <w:rStyle w:val="IndexLink"/>
              </w:rPr>
              <w:t>10</w:t>
            </w:r>
          </w:hyperlink>
        </w:p>
        <w:p>
          <w:pPr>
            <w:pStyle w:val="Contents3"/>
            <w:tabs>
              <w:tab w:val="clear" w:pos="8459"/>
              <w:tab w:val="right" w:pos="9026" w:leader="dot"/>
            </w:tabs>
            <w:rPr/>
          </w:pPr>
          <w:hyperlink w:anchor="__RefHeading___Toc16229018_1280447820">
            <w:r>
              <w:rPr>
                <w:webHidden/>
                <w:rStyle w:val="IndexLink"/>
                <w:rtl w:val="true"/>
              </w:rPr>
              <w:t>النسبة إليها</w:t>
            </w:r>
            <w:r>
              <w:rPr>
                <w:rStyle w:val="IndexLink"/>
                <w:rtl w:val="true"/>
              </w:rPr>
              <w:t>:</w:t>
              <w:tab/>
            </w:r>
            <w:r>
              <w:rPr>
                <w:rStyle w:val="IndexLink"/>
              </w:rPr>
              <w:t>13</w:t>
            </w:r>
          </w:hyperlink>
        </w:p>
        <w:p>
          <w:pPr>
            <w:pStyle w:val="Contents3"/>
            <w:tabs>
              <w:tab w:val="clear" w:pos="8459"/>
              <w:tab w:val="right" w:pos="9026" w:leader="dot"/>
            </w:tabs>
            <w:rPr/>
          </w:pPr>
          <w:hyperlink w:anchor="__RefHeading___Toc16229020_1280447820">
            <w:r>
              <w:rPr>
                <w:webHidden/>
                <w:rStyle w:val="IndexLink"/>
                <w:rtl w:val="true"/>
              </w:rPr>
              <w:t>نتيجة البحث</w:t>
            </w:r>
            <w:r>
              <w:rPr>
                <w:rStyle w:val="IndexLink"/>
                <w:rtl w:val="true"/>
              </w:rPr>
              <w:t>:</w:t>
              <w:tab/>
            </w:r>
            <w:r>
              <w:rPr>
                <w:rStyle w:val="IndexLink"/>
              </w:rPr>
              <w:t>14</w:t>
            </w:r>
          </w:hyperlink>
        </w:p>
        <w:p>
          <w:pPr>
            <w:pStyle w:val="Contents2"/>
            <w:tabs>
              <w:tab w:val="clear" w:pos="8743"/>
              <w:tab w:val="right" w:pos="9026" w:leader="dot"/>
            </w:tabs>
            <w:rPr/>
          </w:pPr>
          <w:hyperlink w:anchor="__RefHeading___Toc16229022_1280447820">
            <w:r>
              <w:rPr>
                <w:webHidden/>
                <w:rStyle w:val="IndexLink"/>
                <w:rtl w:val="true"/>
              </w:rPr>
              <w:t>هذا الكتاب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16229024_1280447820">
            <w:r>
              <w:rPr>
                <w:webHidden/>
                <w:rStyle w:val="IndexLink"/>
                <w:rtl w:val="true"/>
              </w:rPr>
              <w:t>نسخ الكتاب</w:t>
            </w:r>
            <w:r>
              <w:rPr>
                <w:rStyle w:val="IndexLink"/>
                <w:rtl w:val="true"/>
              </w:rPr>
              <w:t>:</w:t>
              <w:tab/>
            </w:r>
            <w:r>
              <w:rPr>
                <w:rStyle w:val="IndexLink"/>
              </w:rPr>
              <w:t>17</w:t>
            </w:r>
          </w:hyperlink>
        </w:p>
        <w:p>
          <w:pPr>
            <w:pStyle w:val="Contents2"/>
            <w:tabs>
              <w:tab w:val="clear" w:pos="8743"/>
              <w:tab w:val="right" w:pos="9026" w:leader="dot"/>
            </w:tabs>
            <w:rPr/>
          </w:pPr>
          <w:hyperlink w:anchor="__RefHeading___Toc16229026_1280447820">
            <w:r>
              <w:rPr>
                <w:webHidden/>
                <w:rStyle w:val="IndexLink"/>
                <w:rtl w:val="true"/>
              </w:rPr>
              <w:t>نسخ أخرى</w:t>
            </w:r>
            <w:r>
              <w:rPr>
                <w:rStyle w:val="IndexLink"/>
                <w:rtl w:val="true"/>
              </w:rPr>
              <w:t>:</w:t>
              <w:tab/>
            </w:r>
            <w:r>
              <w:rPr>
                <w:rStyle w:val="IndexLink"/>
              </w:rPr>
              <w:t>20</w:t>
            </w:r>
          </w:hyperlink>
        </w:p>
        <w:p>
          <w:pPr>
            <w:pStyle w:val="Contents2"/>
            <w:tabs>
              <w:tab w:val="clear" w:pos="8743"/>
              <w:tab w:val="right" w:pos="9026" w:leader="dot"/>
            </w:tabs>
            <w:rPr/>
          </w:pPr>
          <w:hyperlink w:anchor="__RefHeading___Toc16229028_1280447820">
            <w:r>
              <w:rPr>
                <w:webHidden/>
                <w:rStyle w:val="IndexLink"/>
                <w:rtl w:val="true"/>
              </w:rPr>
              <w:t>منهجنا في التحقيق</w:t>
            </w:r>
            <w:r>
              <w:rPr>
                <w:rStyle w:val="IndexLink"/>
                <w:rtl w:val="true"/>
              </w:rPr>
              <w:t>:</w:t>
              <w:tab/>
            </w:r>
            <w:r>
              <w:rPr>
                <w:rStyle w:val="IndexLink"/>
              </w:rPr>
              <w:t>20</w:t>
            </w:r>
          </w:hyperlink>
        </w:p>
        <w:p>
          <w:pPr>
            <w:pStyle w:val="Contents2"/>
            <w:tabs>
              <w:tab w:val="clear" w:pos="8743"/>
              <w:tab w:val="right" w:pos="9026" w:leader="dot"/>
            </w:tabs>
            <w:rPr/>
          </w:pPr>
          <w:hyperlink w:anchor="__RefHeading___Toc16229030_1280447820">
            <w:r>
              <w:rPr>
                <w:webHidden/>
                <w:rStyle w:val="IndexLink"/>
                <w:rtl w:val="true"/>
              </w:rPr>
              <w:t>[</w:t>
            </w:r>
            <w:r>
              <w:rPr>
                <w:rStyle w:val="IndexLink"/>
                <w:rtl w:val="true"/>
              </w:rPr>
              <w:t>المقدمة</w:t>
            </w:r>
            <w:r>
              <w:rPr>
                <w:rStyle w:val="IndexLink"/>
                <w:rtl w:val="true"/>
              </w:rPr>
              <w:t>]</w:t>
              <w:tab/>
            </w:r>
            <w:r>
              <w:rPr>
                <w:rStyle w:val="IndexLink"/>
              </w:rPr>
              <w:t>32</w:t>
            </w:r>
          </w:hyperlink>
        </w:p>
        <w:p>
          <w:pPr>
            <w:pStyle w:val="Contents2"/>
            <w:tabs>
              <w:tab w:val="clear" w:pos="8743"/>
              <w:tab w:val="right" w:pos="9026" w:leader="dot"/>
            </w:tabs>
            <w:rPr/>
          </w:pPr>
          <w:hyperlink w:anchor="__RefHeading___Toc16229032_1280447820">
            <w:r>
              <w:rPr>
                <w:webHidden/>
                <w:rStyle w:val="IndexLink"/>
                <w:rtl w:val="true"/>
              </w:rPr>
              <w:t>المسألة الأولى في المتعة و الرجعة</w:t>
            </w:r>
            <w:r>
              <w:rPr>
                <w:rStyle w:val="IndexLink"/>
                <w:rtl w:val="true"/>
              </w:rPr>
              <w:tab/>
            </w:r>
            <w:r>
              <w:rPr>
                <w:rStyle w:val="IndexLink"/>
              </w:rPr>
              <w:t>33</w:t>
            </w:r>
          </w:hyperlink>
        </w:p>
        <w:p>
          <w:pPr>
            <w:pStyle w:val="Contents2"/>
            <w:tabs>
              <w:tab w:val="clear" w:pos="8743"/>
              <w:tab w:val="right" w:pos="9026" w:leader="dot"/>
            </w:tabs>
            <w:rPr/>
          </w:pPr>
          <w:hyperlink w:anchor="__RefHeading___Toc16229034_1280447820">
            <w:r>
              <w:rPr>
                <w:webHidden/>
                <w:rStyle w:val="IndexLink"/>
                <w:rtl w:val="true"/>
              </w:rPr>
              <w:t>فصل في من يرجع من الأمم</w:t>
            </w:r>
            <w:r>
              <w:rPr>
                <w:rStyle w:val="IndexLink"/>
                <w:rtl w:val="true"/>
              </w:rPr>
              <w:tab/>
            </w:r>
            <w:r>
              <w:rPr>
                <w:rStyle w:val="IndexLink"/>
              </w:rPr>
              <w:t>38</w:t>
            </w:r>
          </w:hyperlink>
        </w:p>
        <w:p>
          <w:pPr>
            <w:pStyle w:val="Contents2"/>
            <w:tabs>
              <w:tab w:val="clear" w:pos="8743"/>
              <w:tab w:val="right" w:pos="9026" w:leader="dot"/>
            </w:tabs>
            <w:rPr/>
          </w:pPr>
          <w:hyperlink w:anchor="__RefHeading___Toc16229036_1280447820">
            <w:r>
              <w:rPr>
                <w:webHidden/>
                <w:rStyle w:val="IndexLink"/>
                <w:rtl w:val="true"/>
              </w:rPr>
              <w:t>فصل شبهة في الرجعة</w:t>
            </w:r>
            <w:r>
              <w:rPr>
                <w:rStyle w:val="IndexLink"/>
                <w:rtl w:val="true"/>
              </w:rPr>
              <w:tab/>
            </w:r>
            <w:r>
              <w:rPr>
                <w:rStyle w:val="IndexLink"/>
              </w:rPr>
              <w:t>39</w:t>
            </w:r>
          </w:hyperlink>
        </w:p>
        <w:p>
          <w:pPr>
            <w:pStyle w:val="Contents2"/>
            <w:tabs>
              <w:tab w:val="clear" w:pos="8743"/>
              <w:tab w:val="right" w:pos="9026" w:leader="dot"/>
            </w:tabs>
            <w:rPr/>
          </w:pPr>
          <w:hyperlink w:anchor="__RefHeading___Toc16229038_1280447820">
            <w:r>
              <w:rPr>
                <w:webHidden/>
                <w:rStyle w:val="IndexLink"/>
                <w:rtl w:val="true"/>
              </w:rPr>
              <w:t>المسألة الثانية في الأشباح و الذر و الأرواح</w:t>
            </w:r>
            <w:r>
              <w:rPr>
                <w:rStyle w:val="IndexLink"/>
                <w:rtl w:val="true"/>
              </w:rPr>
              <w:tab/>
            </w:r>
            <w:r>
              <w:rPr>
                <w:rStyle w:val="IndexLink"/>
              </w:rPr>
              <w:t>40</w:t>
            </w:r>
          </w:hyperlink>
        </w:p>
        <w:p>
          <w:pPr>
            <w:pStyle w:val="Contents2"/>
            <w:tabs>
              <w:tab w:val="clear" w:pos="8743"/>
              <w:tab w:val="right" w:pos="9026" w:leader="dot"/>
            </w:tabs>
            <w:rPr/>
          </w:pPr>
          <w:hyperlink w:anchor="__RefHeading___Toc16229040_1280447820">
            <w:r>
              <w:rPr>
                <w:webHidden/>
                <w:rStyle w:val="IndexLink"/>
                <w:rtl w:val="true"/>
              </w:rPr>
              <w:t>فصل البشارة بالنبي و الأئمة عليهم الصلاة و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6229042_1280447820">
            <w:r>
              <w:rPr>
                <w:webHidden/>
                <w:rStyle w:val="IndexLink"/>
                <w:rtl w:val="true"/>
              </w:rPr>
              <w:t>فصل البشارة بالنبي و الأئمة في الكتب الأولى</w:t>
            </w:r>
            <w:r>
              <w:rPr>
                <w:rStyle w:val="IndexLink"/>
                <w:rtl w:val="true"/>
              </w:rPr>
              <w:tab/>
            </w:r>
            <w:r>
              <w:rPr>
                <w:rStyle w:val="IndexLink"/>
              </w:rPr>
              <w:t>46</w:t>
            </w:r>
          </w:hyperlink>
        </w:p>
        <w:p>
          <w:pPr>
            <w:pStyle w:val="Contents2"/>
            <w:tabs>
              <w:tab w:val="clear" w:pos="8743"/>
              <w:tab w:val="right" w:pos="9026" w:leader="dot"/>
            </w:tabs>
            <w:rPr/>
          </w:pPr>
          <w:hyperlink w:anchor="__RefHeading___Toc16229044_1280447820">
            <w:r>
              <w:rPr>
                <w:webHidden/>
                <w:rStyle w:val="IndexLink"/>
                <w:rtl w:val="true"/>
              </w:rPr>
              <w:t>فصل حديث الذر</w:t>
            </w:r>
            <w:r>
              <w:rPr>
                <w:rStyle w:val="IndexLink"/>
                <w:rtl w:val="true"/>
              </w:rPr>
              <w:tab/>
            </w:r>
            <w:r>
              <w:rPr>
                <w:rStyle w:val="IndexLink"/>
              </w:rPr>
              <w:t>47</w:t>
            </w:r>
          </w:hyperlink>
        </w:p>
        <w:p>
          <w:pPr>
            <w:pStyle w:val="Contents2"/>
            <w:tabs>
              <w:tab w:val="clear" w:pos="8743"/>
              <w:tab w:val="right" w:pos="9026" w:leader="dot"/>
            </w:tabs>
            <w:rPr/>
          </w:pPr>
          <w:hyperlink w:anchor="__RefHeading___Toc16229046_1280447820">
            <w:r>
              <w:rPr>
                <w:webHidden/>
                <w:rStyle w:val="IndexLink"/>
                <w:rtl w:val="true"/>
              </w:rPr>
              <w:t>فصل شبهة في إنطاق الذر</w:t>
            </w:r>
            <w:r>
              <w:rPr>
                <w:rStyle w:val="IndexLink"/>
                <w:rtl w:val="true"/>
              </w:rPr>
              <w:tab/>
            </w:r>
            <w:r>
              <w:rPr>
                <w:rStyle w:val="IndexLink"/>
              </w:rPr>
              <w:t>50</w:t>
            </w:r>
          </w:hyperlink>
        </w:p>
        <w:p>
          <w:pPr>
            <w:pStyle w:val="Contents2"/>
            <w:tabs>
              <w:tab w:val="clear" w:pos="8743"/>
              <w:tab w:val="right" w:pos="9026" w:leader="dot"/>
            </w:tabs>
            <w:rPr/>
          </w:pPr>
          <w:hyperlink w:anchor="__RefHeading___Toc16229048_1280447820">
            <w:r>
              <w:rPr>
                <w:webHidden/>
                <w:rStyle w:val="IndexLink"/>
                <w:rtl w:val="true"/>
              </w:rPr>
              <w:t>فصل في خلق الأرواح و الأجساد</w:t>
            </w:r>
            <w:r>
              <w:rPr>
                <w:rStyle w:val="IndexLink"/>
                <w:rtl w:val="true"/>
              </w:rPr>
              <w:tab/>
            </w:r>
            <w:r>
              <w:rPr>
                <w:rStyle w:val="IndexLink"/>
              </w:rPr>
              <w:t>55</w:t>
            </w:r>
          </w:hyperlink>
        </w:p>
        <w:p>
          <w:pPr>
            <w:pStyle w:val="Contents2"/>
            <w:tabs>
              <w:tab w:val="clear" w:pos="8743"/>
              <w:tab w:val="right" w:pos="9026" w:leader="dot"/>
            </w:tabs>
            <w:rPr/>
          </w:pPr>
          <w:hyperlink w:anchor="__RefHeading___Toc16229050_1280447820">
            <w:r>
              <w:rPr>
                <w:webHidden/>
                <w:rStyle w:val="IndexLink"/>
                <w:rtl w:val="true"/>
              </w:rPr>
              <w:t>المسألة الثالثة ماهية الروح</w:t>
            </w:r>
            <w:r>
              <w:rPr>
                <w:rStyle w:val="IndexLink"/>
                <w:rtl w:val="true"/>
              </w:rPr>
              <w:tab/>
            </w:r>
            <w:r>
              <w:rPr>
                <w:rStyle w:val="IndexLink"/>
              </w:rPr>
              <w:t>58</w:t>
            </w:r>
          </w:hyperlink>
        </w:p>
        <w:p>
          <w:pPr>
            <w:pStyle w:val="Contents2"/>
            <w:tabs>
              <w:tab w:val="clear" w:pos="8743"/>
              <w:tab w:val="right" w:pos="9026" w:leader="dot"/>
            </w:tabs>
            <w:rPr/>
          </w:pPr>
          <w:hyperlink w:anchor="__RefHeading___Toc16229052_1280447820">
            <w:r>
              <w:rPr>
                <w:webHidden/>
                <w:rStyle w:val="IndexLink"/>
                <w:rtl w:val="true"/>
              </w:rPr>
              <w:t>المسألة الرابعة ماهية الإنسان</w:t>
            </w:r>
            <w:r>
              <w:rPr>
                <w:rStyle w:val="IndexLink"/>
                <w:rtl w:val="true"/>
              </w:rPr>
              <w:tab/>
            </w:r>
            <w:r>
              <w:rPr>
                <w:rStyle w:val="IndexLink"/>
              </w:rPr>
              <w:t>60</w:t>
            </w:r>
          </w:hyperlink>
        </w:p>
        <w:p>
          <w:pPr>
            <w:pStyle w:val="Contents2"/>
            <w:tabs>
              <w:tab w:val="clear" w:pos="8743"/>
              <w:tab w:val="right" w:pos="9026" w:leader="dot"/>
            </w:tabs>
            <w:rPr/>
          </w:pPr>
          <w:hyperlink w:anchor="__RefHeading___Toc16229054_1280447820">
            <w:r>
              <w:rPr>
                <w:webHidden/>
                <w:rStyle w:val="IndexLink"/>
                <w:rtl w:val="true"/>
              </w:rPr>
              <w:t>المسألة الخامسة عذاب القبر</w:t>
            </w:r>
            <w:r>
              <w:rPr>
                <w:rStyle w:val="IndexLink"/>
                <w:rtl w:val="true"/>
              </w:rPr>
              <w:tab/>
            </w:r>
            <w:r>
              <w:rPr>
                <w:rStyle w:val="IndexLink"/>
              </w:rPr>
              <w:t>65</w:t>
            </w:r>
          </w:hyperlink>
        </w:p>
        <w:p>
          <w:pPr>
            <w:pStyle w:val="Contents2"/>
            <w:tabs>
              <w:tab w:val="clear" w:pos="8743"/>
              <w:tab w:val="right" w:pos="9026" w:leader="dot"/>
            </w:tabs>
            <w:rPr/>
          </w:pPr>
          <w:hyperlink w:anchor="__RefHeading___Toc16229056_1280447820">
            <w:r>
              <w:rPr>
                <w:webHidden/>
                <w:rStyle w:val="IndexLink"/>
                <w:rtl w:val="true"/>
              </w:rPr>
              <w:t>المسألة السادسة حياة الشهداء</w:t>
            </w:r>
            <w:r>
              <w:rPr>
                <w:rStyle w:val="IndexLink"/>
                <w:rtl w:val="true"/>
              </w:rPr>
              <w:tab/>
            </w:r>
            <w:r>
              <w:rPr>
                <w:rStyle w:val="IndexLink"/>
              </w:rPr>
              <w:t>69</w:t>
            </w:r>
          </w:hyperlink>
        </w:p>
        <w:p>
          <w:pPr>
            <w:pStyle w:val="Contents2"/>
            <w:tabs>
              <w:tab w:val="clear" w:pos="8743"/>
              <w:tab w:val="right" w:pos="9026" w:leader="dot"/>
            </w:tabs>
            <w:rPr/>
          </w:pPr>
          <w:hyperlink w:anchor="__RefHeading___Toc16229058_1280447820">
            <w:r>
              <w:rPr>
                <w:webHidden/>
                <w:rStyle w:val="IndexLink"/>
                <w:rtl w:val="true"/>
              </w:rPr>
              <w:t>المسألة السابعة حكم من قال بالجبر و جوز الرؤية</w:t>
            </w:r>
            <w:r>
              <w:rPr>
                <w:rStyle w:val="IndexLink"/>
                <w:rtl w:val="true"/>
              </w:rPr>
              <w:tab/>
            </w:r>
            <w:r>
              <w:rPr>
                <w:rStyle w:val="IndexLink"/>
              </w:rPr>
              <w:t>72</w:t>
            </w:r>
          </w:hyperlink>
        </w:p>
        <w:p>
          <w:pPr>
            <w:pStyle w:val="Contents2"/>
            <w:tabs>
              <w:tab w:val="clear" w:pos="8743"/>
              <w:tab w:val="right" w:pos="9026" w:leader="dot"/>
            </w:tabs>
            <w:rPr/>
          </w:pPr>
          <w:hyperlink w:anchor="__RefHeading___Toc16229060_1280447820">
            <w:r>
              <w:rPr>
                <w:webHidden/>
                <w:rStyle w:val="IndexLink"/>
                <w:rtl w:val="true"/>
              </w:rPr>
              <w:t>المسألة الثامنة</w:t>
            </w:r>
            <w:r>
              <w:rPr>
                <w:rStyle w:val="IndexLink"/>
                <w:rtl w:val="true"/>
              </w:rPr>
              <w:tab/>
            </w:r>
            <w:r>
              <w:rPr>
                <w:rStyle w:val="IndexLink"/>
              </w:rPr>
              <w:t>74</w:t>
            </w:r>
          </w:hyperlink>
        </w:p>
        <w:p>
          <w:pPr>
            <w:pStyle w:val="Contents2"/>
            <w:tabs>
              <w:tab w:val="clear" w:pos="8743"/>
              <w:tab w:val="right" w:pos="9026" w:leader="dot"/>
            </w:tabs>
            <w:rPr/>
          </w:pPr>
          <w:hyperlink w:anchor="__RefHeading___Toc16229062_1280447820">
            <w:r>
              <w:rPr>
                <w:webHidden/>
                <w:rStyle w:val="IndexLink"/>
                <w:rtl w:val="true"/>
              </w:rPr>
              <w:t>فصل الموقف من الروايات المختلفة الظواهر</w:t>
            </w:r>
            <w:r>
              <w:rPr>
                <w:rStyle w:val="IndexLink"/>
                <w:rtl w:val="true"/>
              </w:rPr>
              <w:tab/>
            </w:r>
            <w:r>
              <w:rPr>
                <w:rStyle w:val="IndexLink"/>
              </w:rPr>
              <w:t>77</w:t>
            </w:r>
          </w:hyperlink>
        </w:p>
        <w:p>
          <w:pPr>
            <w:pStyle w:val="Contents2"/>
            <w:tabs>
              <w:tab w:val="clear" w:pos="8743"/>
              <w:tab w:val="right" w:pos="9026" w:leader="dot"/>
            </w:tabs>
            <w:rPr/>
          </w:pPr>
          <w:hyperlink w:anchor="__RefHeading___Toc16229064_1280447820">
            <w:r>
              <w:rPr>
                <w:webHidden/>
                <w:rStyle w:val="IndexLink"/>
                <w:rtl w:val="true"/>
              </w:rPr>
              <w:t>فصل أصناف أحاديث الأئمة</w:t>
            </w:r>
            <w:r>
              <w:rPr>
                <w:rStyle w:val="IndexLink"/>
                <w:rtl w:val="true"/>
              </w:rPr>
              <w:tab/>
            </w:r>
            <w:r>
              <w:rPr>
                <w:rStyle w:val="IndexLink"/>
              </w:rPr>
              <w:t>79</w:t>
            </w:r>
          </w:hyperlink>
        </w:p>
        <w:p>
          <w:pPr>
            <w:pStyle w:val="Contents2"/>
            <w:tabs>
              <w:tab w:val="clear" w:pos="8743"/>
              <w:tab w:val="right" w:pos="9026" w:leader="dot"/>
            </w:tabs>
            <w:rPr/>
          </w:pPr>
          <w:hyperlink w:anchor="__RefHeading___Toc16229066_1280447820">
            <w:r>
              <w:rPr>
                <w:webHidden/>
                <w:rStyle w:val="IndexLink"/>
                <w:rtl w:val="true"/>
              </w:rPr>
              <w:t>المسألة التاسعة صيانة القرآن من التحريف</w:t>
            </w:r>
            <w:r>
              <w:rPr>
                <w:rStyle w:val="IndexLink"/>
                <w:rtl w:val="true"/>
              </w:rPr>
              <w:tab/>
            </w:r>
            <w:r>
              <w:rPr>
                <w:rStyle w:val="IndexLink"/>
              </w:rPr>
              <w:t>81</w:t>
            </w:r>
          </w:hyperlink>
        </w:p>
        <w:p>
          <w:pPr>
            <w:pStyle w:val="Contents2"/>
            <w:tabs>
              <w:tab w:val="clear" w:pos="8743"/>
              <w:tab w:val="right" w:pos="9026" w:leader="dot"/>
            </w:tabs>
            <w:rPr/>
          </w:pPr>
          <w:hyperlink w:anchor="__RefHeading___Toc16229068_1280447820">
            <w:r>
              <w:rPr>
                <w:webHidden/>
                <w:rStyle w:val="IndexLink"/>
                <w:rtl w:val="true"/>
              </w:rPr>
              <w:t>فصل لزوم التقيد بما بين الدفتين</w:t>
            </w:r>
            <w:r>
              <w:rPr>
                <w:rStyle w:val="IndexLink"/>
                <w:rtl w:val="true"/>
              </w:rPr>
              <w:tab/>
            </w:r>
            <w:r>
              <w:rPr>
                <w:rStyle w:val="IndexLink"/>
              </w:rPr>
              <w:t>84</w:t>
            </w:r>
          </w:hyperlink>
        </w:p>
        <w:p>
          <w:pPr>
            <w:pStyle w:val="Contents2"/>
            <w:tabs>
              <w:tab w:val="clear" w:pos="8743"/>
              <w:tab w:val="right" w:pos="9026" w:leader="dot"/>
            </w:tabs>
            <w:rPr/>
          </w:pPr>
          <w:hyperlink w:anchor="__RefHeading___Toc16229070_1280447820">
            <w:r>
              <w:rPr>
                <w:webHidden/>
                <w:rStyle w:val="IndexLink"/>
                <w:rtl w:val="true"/>
              </w:rPr>
              <w:t>فصل وحدة القرآن و تعدد القراءات</w:t>
            </w:r>
            <w:r>
              <w:rPr>
                <w:rStyle w:val="IndexLink"/>
                <w:rtl w:val="true"/>
              </w:rPr>
              <w:tab/>
            </w:r>
            <w:r>
              <w:rPr>
                <w:rStyle w:val="IndexLink"/>
              </w:rPr>
              <w:t>85</w:t>
            </w:r>
          </w:hyperlink>
        </w:p>
        <w:p>
          <w:pPr>
            <w:pStyle w:val="Contents2"/>
            <w:tabs>
              <w:tab w:val="clear" w:pos="8743"/>
              <w:tab w:val="right" w:pos="9026" w:leader="dot"/>
            </w:tabs>
            <w:rPr/>
          </w:pPr>
          <w:hyperlink w:anchor="__RefHeading___Toc16229072_1280447820">
            <w:r>
              <w:rPr>
                <w:webHidden/>
                <w:rStyle w:val="IndexLink"/>
                <w:rtl w:val="true"/>
              </w:rPr>
              <w:t>المسألة العاشرة في تزويج أم كلثوم و بنات الرسول ص</w:t>
            </w:r>
            <w:r>
              <w:rPr>
                <w:rStyle w:val="IndexLink"/>
                <w:rtl w:val="true"/>
              </w:rPr>
              <w:tab/>
            </w:r>
            <w:r>
              <w:rPr>
                <w:rStyle w:val="IndexLink"/>
              </w:rPr>
              <w:t>89</w:t>
            </w:r>
          </w:hyperlink>
        </w:p>
        <w:p>
          <w:pPr>
            <w:pStyle w:val="Contents2"/>
            <w:tabs>
              <w:tab w:val="clear" w:pos="8743"/>
              <w:tab w:val="right" w:pos="9026" w:leader="dot"/>
            </w:tabs>
            <w:rPr/>
          </w:pPr>
          <w:hyperlink w:anchor="__RefHeading___Toc16229074_1280447820">
            <w:r>
              <w:rPr>
                <w:webHidden/>
                <w:rStyle w:val="IndexLink"/>
                <w:rtl w:val="true"/>
              </w:rPr>
              <w:t>فصل تأويل الخبر</w:t>
            </w:r>
            <w:r>
              <w:rPr>
                <w:rStyle w:val="IndexLink"/>
                <w:rtl w:val="true"/>
              </w:rPr>
              <w:tab/>
            </w:r>
            <w:r>
              <w:rPr>
                <w:rStyle w:val="IndexLink"/>
              </w:rPr>
              <w:t>93</w:t>
            </w:r>
          </w:hyperlink>
        </w:p>
        <w:p>
          <w:pPr>
            <w:pStyle w:val="Contents2"/>
            <w:tabs>
              <w:tab w:val="clear" w:pos="8743"/>
              <w:tab w:val="right" w:pos="9026" w:leader="dot"/>
            </w:tabs>
            <w:rPr/>
          </w:pPr>
          <w:hyperlink w:anchor="__RefHeading___Toc16229076_1280447820">
            <w:r>
              <w:rPr>
                <w:webHidden/>
                <w:rStyle w:val="IndexLink"/>
                <w:rtl w:val="true"/>
              </w:rPr>
              <w:t>فصل زواج بنات الرسول ص</w:t>
            </w:r>
            <w:r>
              <w:rPr>
                <w:rStyle w:val="IndexLink"/>
                <w:rtl w:val="true"/>
              </w:rPr>
              <w:tab/>
            </w:r>
            <w:r>
              <w:rPr>
                <w:rStyle w:val="IndexLink"/>
              </w:rPr>
              <w:t>95</w:t>
            </w:r>
          </w:hyperlink>
        </w:p>
        <w:p>
          <w:pPr>
            <w:pStyle w:val="Contents2"/>
            <w:tabs>
              <w:tab w:val="clear" w:pos="8743"/>
              <w:tab w:val="right" w:pos="9026" w:leader="dot"/>
            </w:tabs>
            <w:rPr/>
          </w:pPr>
          <w:hyperlink w:anchor="__RefHeading___Toc16229078_1280447820">
            <w:r>
              <w:rPr>
                <w:webHidden/>
                <w:rStyle w:val="IndexLink"/>
                <w:rtl w:val="true"/>
              </w:rPr>
              <w:t>فصل للرسول خصوصية</w:t>
            </w:r>
            <w:r>
              <w:rPr>
                <w:rStyle w:val="IndexLink"/>
                <w:rtl w:val="true"/>
              </w:rPr>
              <w:tab/>
            </w:r>
            <w:r>
              <w:rPr>
                <w:rStyle w:val="IndexLink"/>
              </w:rPr>
              <w:t>98</w:t>
            </w:r>
          </w:hyperlink>
        </w:p>
        <w:p>
          <w:pPr>
            <w:pStyle w:val="Contents2"/>
            <w:tabs>
              <w:tab w:val="clear" w:pos="8743"/>
              <w:tab w:val="right" w:pos="9026" w:leader="dot"/>
            </w:tabs>
            <w:rPr/>
          </w:pPr>
          <w:hyperlink w:anchor="__RefHeading___Toc16229080_1280447820">
            <w:r>
              <w:rPr>
                <w:webHidden/>
                <w:rStyle w:val="IndexLink"/>
                <w:rtl w:val="true"/>
              </w:rPr>
              <w:t>المسألة الحادية عشرة أصحاب الكبائر</w:t>
            </w:r>
            <w:r>
              <w:rPr>
                <w:rStyle w:val="IndexLink"/>
                <w:rtl w:val="true"/>
              </w:rPr>
              <w:tab/>
            </w:r>
            <w:r>
              <w:rPr>
                <w:rStyle w:val="IndexLink"/>
              </w:rPr>
              <w:t>99</w:t>
            </w:r>
          </w:hyperlink>
        </w:p>
        <w:p>
          <w:pPr>
            <w:pStyle w:val="Contents2"/>
            <w:tabs>
              <w:tab w:val="clear" w:pos="8743"/>
              <w:tab w:val="right" w:pos="9026" w:leader="dot"/>
            </w:tabs>
            <w:rPr/>
          </w:pPr>
          <w:hyperlink w:anchor="__RefHeading___Toc16229082_1280447820">
            <w:r>
              <w:rPr>
                <w:webHidden/>
                <w:rStyle w:val="IndexLink"/>
                <w:rtl w:val="true"/>
              </w:rPr>
              <w:t>فصل أدلة بطلان القول بالحبط</w:t>
            </w:r>
            <w:r>
              <w:rPr>
                <w:rStyle w:val="IndexLink"/>
                <w:rtl w:val="true"/>
              </w:rPr>
              <w:tab/>
            </w:r>
            <w:r>
              <w:rPr>
                <w:rStyle w:val="IndexLink"/>
              </w:rPr>
              <w:t>101</w:t>
            </w:r>
          </w:hyperlink>
        </w:p>
        <w:p>
          <w:pPr>
            <w:pStyle w:val="Contents2"/>
            <w:tabs>
              <w:tab w:val="clear" w:pos="8743"/>
              <w:tab w:val="right" w:pos="9026" w:leader="dot"/>
            </w:tabs>
            <w:rPr/>
          </w:pPr>
          <w:hyperlink w:anchor="__RefHeading___Toc16229084_1280447820">
            <w:r>
              <w:rPr>
                <w:webHidden/>
                <w:rStyle w:val="IndexLink"/>
                <w:rtl w:val="true"/>
              </w:rPr>
              <w:t>فهرس المصادر</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2_232064"/>
      <w:bookmarkStart w:id="1" w:name="pg19202_232064"/>
      <w:bookmarkEnd w:id="1"/>
    </w:p>
    <w:p>
      <w:pPr>
        <w:pStyle w:val="Heading2"/>
        <w:numPr>
          <w:ilvl w:val="1"/>
          <w:numId w:val="1"/>
        </w:numPr>
        <w:rPr/>
      </w:pPr>
      <w:bookmarkStart w:id="2" w:name="pg19202_232064"/>
      <w:bookmarkStart w:id="3" w:name="__RefHeading___Toc1622899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المفید محمدبن محمد؛ تحقیق صائب عبدالحمید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صائب،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2310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2899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اَلْمَسَائِلُ اَلسَّرْوِيَّةُ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9202_232066"/>
    </w:p>
    <w:p>
      <w:pPr>
        <w:pStyle w:val="Heading2"/>
        <w:numPr>
          <w:ilvl w:val="1"/>
          <w:numId w:val="1"/>
        </w:numPr>
        <w:rPr/>
      </w:pPr>
      <w:bookmarkStart w:id="8" w:name="__RefHeading___Toc16229000_1280447820"/>
      <w:bookmarkStart w:id="9" w:name="_Toc3"/>
      <w:bookmarkEnd w:id="7"/>
      <w:bookmarkEnd w:id="8"/>
      <w:r>
        <w:rPr>
          <w:rtl w:val="true"/>
        </w:rPr>
        <w:t>[</w:t>
      </w:r>
      <w:r>
        <w:rPr>
          <w:rtl w:val="true"/>
        </w:rPr>
        <w:t>مقدمة التحقيق</w:t>
      </w:r>
      <w:r>
        <w:rPr>
          <w:rtl w:val="true"/>
        </w:rPr>
        <w:t>]</w:t>
      </w:r>
      <w:bookmarkEnd w:id="9"/>
    </w:p>
    <w:p>
      <w:pPr>
        <w:pStyle w:val="Heading3"/>
        <w:numPr>
          <w:ilvl w:val="2"/>
          <w:numId w:val="1"/>
        </w:numPr>
        <w:rPr/>
      </w:pPr>
      <w:bookmarkStart w:id="10" w:name="__RefHeading___Toc16229002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6229004_1280447820"/>
      <w:bookmarkStart w:id="13" w:name="_Toc5"/>
      <w:bookmarkEnd w:id="12"/>
      <w:r>
        <w:rPr>
          <w:rtl w:val="true"/>
        </w:rPr>
        <w:t>تسمية الكتاب</w:t>
      </w:r>
      <w:r>
        <w:rPr>
          <w:rtl w:val="true"/>
        </w:rPr>
        <w:t>:</w:t>
      </w:r>
      <w:bookmarkEnd w:id="13"/>
    </w:p>
    <w:p>
      <w:pPr>
        <w:pStyle w:val="Heading4"/>
        <w:numPr>
          <w:ilvl w:val="3"/>
          <w:numId w:val="1"/>
        </w:numPr>
        <w:rPr/>
      </w:pPr>
      <w:bookmarkStart w:id="14" w:name="__RefHeading___Toc16229006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لعلّ من أهم ما يواجه المحقق و هو يمخر بحور التحقيق في كتاب ما هو تسمية الكتاب، و ما يطرأ عليها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من جرّاء التصحيف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 من تصرّف النسّاخ تفصيلا أو إيجازا، فربّما أضاف أحدهم إليه كلمة او كلمات، و ربّما حذف، كما يراه أكثر تعبيرا عن المحتوى، أو كما يستسيغه ذوقه الأدبي أو الفنّي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 ناتج عن كون التسمية إنّما جاءت أصلا من اجتهاد المتأخّرين بعد أن فقدت الورقة الأولى من الكتاب و التي تحمل اسمه، أو تآكلت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هذا المعترك على المحقّق أن ينتخب التسمية الصحيحة، مؤيّدا اختياره بالأدلّة و القرائن، و التي مهما تعدّدت فسيبقى البحث في أقدم النسخ و أصحّها هو أوّلها و أجدرها بالاعتناء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اضطرّ إلى اللجوء إلى الذوق الأدبي و الفنّي فعليه أن يجتهد في معرفة ذوق المؤلّف و اختياره، ثمّ ينتخب من العناوين ما يناسبه، فالكتاب إنّما هو لمؤلّفه، و ليس هو من صنع المحقّق</w:t>
      </w:r>
      <w:r>
        <w:rPr>
          <w:rFonts w:eastAsia="Amiri" w:cs="Amiri" w:ascii="Amiri" w:hAnsi="Amiri"/>
          <w:color w:val="111111"/>
          <w:sz w:val="28"/>
          <w:szCs w:val="28"/>
          <w:rtl w:val="true"/>
          <w:lang w:bidi="ar-SA"/>
        </w:rPr>
        <w:t xml:space="preserve">. </w:t>
      </w:r>
      <w:bookmarkStart w:id="16" w:name="pg19202_232067"/>
    </w:p>
    <w:p>
      <w:pPr>
        <w:pStyle w:val="BookText"/>
        <w:rPr/>
      </w:pPr>
      <w:bookmarkEnd w:id="16"/>
      <w:r>
        <w:rPr>
          <w:rFonts w:ascii="Amiri" w:hAnsi="Amiri" w:eastAsia="Amiri" w:cs="Amiri"/>
          <w:color w:val="111111"/>
          <w:sz w:val="28"/>
          <w:sz w:val="28"/>
          <w:szCs w:val="28"/>
          <w:rtl w:val="true"/>
          <w:lang w:bidi="ar-SA"/>
        </w:rPr>
        <w:t>و من هنا يكون للمحقّق إبحاران متزامنان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إبحار مع الكتاب، يغوص في أعماقه، و يكشف خفاياه، و إبحار مع المؤلّف نفسه، يصحبه صحبة حقيقيّة، فلا يفارقه و لا يجفوه، و لا 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بقدر ما يكون المؤلّف مخفيّا علينا ستكون أيدينا مع كتابه جذّاء، و حصيلة جهودنا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بلغت رحلتنا معه غايتها وجدناها رحلة ليست ممتعة، و وجد شاهدوها من قرّاء و نقّاد آثار الجفاء شاخصة سافرة لا يسترها 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لعمري واحدة من أدقّ خصال التحقيق، و مع هذا فهي من أقلّها حظّا و أضيعها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ينج كتابنا هذا من مشكلة الاختلاف في التسمية، فقد ذكروا له أسماء شتّى، و نسبوها نسبا مختلفة أيضا، أحصيناها كما يلي</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6229008_1280447820"/>
      <w:bookmarkStart w:id="18" w:name="_Toc7"/>
      <w:bookmarkEnd w:id="17"/>
      <w:r>
        <w:rPr/>
        <w:t>1</w:t>
      </w:r>
      <w:r>
        <w:rPr>
          <w:rtl w:val="true"/>
        </w:rPr>
        <w:t xml:space="preserve">- </w:t>
      </w:r>
      <w:r>
        <w:rPr>
          <w:rtl w:val="true"/>
        </w:rPr>
        <w:t>الاختلاف في التسمية</w:t>
      </w:r>
      <w:r>
        <w:rPr>
          <w:rtl w:val="true"/>
        </w:rPr>
        <w:t>:</w:t>
      </w:r>
      <w:bookmarkEnd w:id="18"/>
    </w:p>
    <w:p>
      <w:pPr>
        <w:pStyle w:val="BookText"/>
        <w:rPr/>
      </w:pPr>
      <w:r>
        <w:rPr>
          <w:rFonts w:ascii="Amiri" w:hAnsi="Amiri" w:eastAsia="Amiri" w:cs="Amiri"/>
          <w:color w:val="111111"/>
          <w:sz w:val="28"/>
          <w:sz w:val="28"/>
          <w:szCs w:val="28"/>
          <w:rtl w:val="true"/>
          <w:lang w:bidi="ar-SA"/>
        </w:rPr>
        <w:t>عرّف هذا الكتاب بعناوين خمسة،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العنوان في صدر النسخة الخطّية التي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التعريف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عرّفه أيضا العلّامة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الكبيرة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السرويّة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عرّفه الشيخ الطهرانيّ في معجمه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الألف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مواضع أخرى بأسماء أخرى ستأتي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أجوبة 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النسخة المطبوعة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بهذا الاسم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 الشيخ الطهرانيّ في باب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 جاء أيضا في صدر النسخة الخطّية التي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هذه الأسماء الخمسة يوجد قاسم مشترك،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هذه التسمية إنّما جاءت من النسبة إلى السائل بنحو من النسب، كما سيأتي بيانه في الفقرة اللاحقة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 من التتبع أنّ العلم الذي كان يتولّى الإجابة عن المسائل هو الذي ينسبها إلى السائل، و يكتفي بهذه النسبة عن ذكر عنوان آخر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صريحة في هذا كلمة الشريف المرتضى في ختام جوابه عن المسائل الواردة إليه من الشيخ إبراهيم بن الحسن الأباني، الساكن بطرابلس </w:t>
      </w:r>
      <w:r>
        <w:rPr>
          <w:rStyle w:val="FootnoteAnchor"/>
          <w:rtl w:val="true"/>
        </w:rPr>
        <w:footnoteReference w:id="7"/>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نجزت المسائل الطرابلسيّات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جاء عن شيخ الطائفة في تسمية هذا الصنف من الكتب، فعدّ لنفسه في احصاء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الحائريّة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 هذا الكتاب إنّما تضمّن 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التي وردت إليه من أبي الفرج ابن الرملي نزيل </w:t>
      </w:r>
      <w:bookmarkStart w:id="19" w:name="pg19202_232069"/>
    </w:p>
    <w:p>
      <w:pPr>
        <w:pStyle w:val="BookText"/>
        <w:rPr/>
      </w:pPr>
      <w:bookmarkEnd w:id="19"/>
      <w:r>
        <w:rPr>
          <w:rFonts w:ascii="IRNazanin" w:hAnsi="IRNazanin" w:eastAsia="IRNazanin"/>
          <w:color w:val="111111"/>
          <w:sz w:val="28"/>
          <w:sz w:val="28"/>
          <w:szCs w:val="28"/>
          <w:rtl w:val="true"/>
          <w:lang w:bidi="fa-IR"/>
        </w:rPr>
        <w:t xml:space="preserve">الحائر </w:t>
      </w:r>
      <w:r>
        <w:rPr>
          <w:rStyle w:val="FootnoteAnchor"/>
          <w:rtl w:val="true"/>
        </w:rPr>
        <w:footnoteReference w:id="10"/>
      </w:r>
      <w:r>
        <w:rPr>
          <w:rFonts w:ascii="Amiri" w:hAnsi="Amiri" w:eastAsia="Amiri" w:cs="Amiri"/>
          <w:color w:val="111111"/>
          <w:sz w:val="28"/>
          <w:sz w:val="28"/>
          <w:szCs w:val="28"/>
          <w:rtl w:val="true"/>
          <w:lang w:bidi="ar-SA"/>
        </w:rPr>
        <w:t>، فنسبتها إليه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كتب الشيخ المفيد حيث 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الجرجانيّة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المازندرانية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عرّفها أيضا العلّامة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المازندرانية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المسائل التي وردت إليه من مدينة مازندران كما أشار إليها هو في كتابه هذا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بنسبتها إلى مدينة صاغان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هكذا قل مع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وضع المتأخّرين تمييزا للكتاب المتضمّن للمسائل و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رأيناه بعد هذا هو المحافظة على القالب الأصيل تمشّيا مع ذوق المؤلّف و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متداولا عندهم معروفا لديهم، ليبقى هذا الكتاب معروفا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6229010_1280447820"/>
      <w:bookmarkStart w:id="21" w:name="_Toc8"/>
      <w:bookmarkEnd w:id="20"/>
      <w:r>
        <w:rPr/>
        <w:t>2</w:t>
      </w:r>
      <w:r>
        <w:rPr>
          <w:rtl w:val="true"/>
        </w:rPr>
        <w:t xml:space="preserve">- </w:t>
      </w:r>
      <w:r>
        <w:rPr>
          <w:rtl w:val="true"/>
        </w:rPr>
        <w:t>الاختلاف في النسبة</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جاءت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2" w:name="pg19202_232070"/>
    </w:p>
    <w:p>
      <w:pPr>
        <w:pStyle w:val="BookText"/>
        <w:rPr/>
      </w:pPr>
      <w:bookmarkEnd w:id="22"/>
      <w:r>
        <w:rPr>
          <w:rFonts w:ascii="Amiri" w:hAnsi="Amiri" w:eastAsia="Amiri" w:cs="Amiri"/>
          <w:color w:val="111111"/>
          <w:sz w:val="28"/>
          <w:sz w:val="28"/>
          <w:szCs w:val="28"/>
          <w:rtl w:val="true"/>
          <w:lang w:bidi="ar-SA"/>
        </w:rPr>
        <w:t>من ملاحظة النسخ المتعدّدة لهذا الكتاب، و المصادر التي عرّفت به، وقفنا على ثلاثة آراء في أصل هذه النسبة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6229012_1280447820"/>
      <w:bookmarkStart w:id="24" w:name="_Toc9"/>
      <w:bookmarkEnd w:id="23"/>
      <w:r>
        <w:rPr>
          <w:rtl w:val="true"/>
        </w:rPr>
        <w:t>الأول</w:t>
      </w:r>
      <w:r>
        <w:rPr>
          <w:rtl w:val="true"/>
        </w:rPr>
        <w:t>:</w:t>
      </w:r>
      <w:bookmarkEnd w:id="24"/>
    </w:p>
    <w:p>
      <w:pPr>
        <w:pStyle w:val="BookText"/>
        <w:rPr/>
      </w:pPr>
      <w:r>
        <w:rPr>
          <w:rFonts w:ascii="Amiri" w:hAnsi="Amiri" w:eastAsia="Amiri" w:cs="Amiri"/>
          <w:color w:val="111111"/>
          <w:sz w:val="28"/>
          <w:sz w:val="28"/>
          <w:szCs w:val="28"/>
          <w:rtl w:val="true"/>
          <w:lang w:bidi="ar-SA"/>
        </w:rPr>
        <w:t>ما تصدّر النسخة المطبوعة، و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أجوبة المسائل السرويّة التي وردت من سيّد فاضل في سارويه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جاءت هذه التسمية نسبة إلى مدينة سارويه التي يقطنها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معاجم البلدان مدينة بهذا الاسم، و لم أجد ما يشهد له في النسخ الخطّية، و لا في معاجم الكتب و المؤلّفين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6229014_1280447820"/>
      <w:bookmarkStart w:id="26" w:name="_Toc10"/>
      <w:bookmarkEnd w:id="25"/>
      <w:r>
        <w:rPr>
          <w:rtl w:val="true"/>
        </w:rPr>
        <w:t>الثاني</w:t>
      </w:r>
      <w:r>
        <w:rPr>
          <w:rtl w:val="true"/>
        </w:rPr>
        <w:t>:</w:t>
      </w:r>
      <w:bookmarkEnd w:id="26"/>
    </w:p>
    <w:p>
      <w:pPr>
        <w:pStyle w:val="BookText"/>
        <w:rPr/>
      </w:pPr>
      <w:r>
        <w:rPr>
          <w:rFonts w:ascii="Amiri" w:hAnsi="Amiri" w:eastAsia="Amiri" w:cs="Amiri"/>
          <w:color w:val="111111"/>
          <w:sz w:val="28"/>
          <w:sz w:val="28"/>
          <w:szCs w:val="28"/>
          <w:rtl w:val="true"/>
          <w:lang w:bidi="ar-SA"/>
        </w:rPr>
        <w:t xml:space="preserve">أنّها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الرجل الذي بعث بهذه الأسئلة إلى الشيخ المفيد، حيث جاء في أوّل النسخة التي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 الواردة من الشريف السيّد الفاضل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 سارية هذا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هذه الكلمة قد جاءت مصحّفة عمّا في النسخ الأخرى، كما يأتي في الرأي الثالث</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229016_1280447820"/>
      <w:bookmarkStart w:id="28" w:name="_Toc11"/>
      <w:bookmarkEnd w:id="27"/>
      <w:r>
        <w:rPr>
          <w:rtl w:val="true"/>
        </w:rPr>
        <w:t>الثالث</w:t>
      </w:r>
      <w:r>
        <w:rPr>
          <w:rtl w:val="true"/>
        </w:rPr>
        <w:t>:</w:t>
      </w:r>
      <w:bookmarkEnd w:id="28"/>
    </w:p>
    <w:p>
      <w:pPr>
        <w:pStyle w:val="BookText"/>
        <w:rPr/>
      </w:pPr>
      <w:r>
        <w:rPr>
          <w:rFonts w:ascii="Amiri" w:hAnsi="Amiri" w:eastAsia="Amiri" w:cs="Amiri"/>
          <w:color w:val="111111"/>
          <w:sz w:val="28"/>
          <w:sz w:val="28"/>
          <w:szCs w:val="28"/>
          <w:rtl w:val="true"/>
          <w:lang w:bidi="ar-SA"/>
        </w:rPr>
        <w:t xml:space="preserve">أنّ هذه التسمية جاءت نسبة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ينتسب إليها الشيخ الفاضل باعث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صدر النسخة التي رمزنا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المسائل السرويّة الواردة من الشريف الفاضل بسارية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من السيّد الفاضل الشريف بسارية إلى الشيخ المفيد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مع أنّ النسخة المعتمدة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نسختنا المذكورة بدليل الاختلاف الوارد في أواخرهما، حيث ذكر الشيخ الطهرانيّ أنّ آخر النسخة التي رآها 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الوعد و الوعيد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جاء في نسختنا المذكورة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تبيّن لنا أن اسم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أكثر من نسخة، و هو الموافق للمألوف من تسميتهم جواباتهم بالنسبة إلى اسم المدينة التي تردهم منها الأسئلة كما تقدّم في الفقرة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الاختلاف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المدن المعروفة، و لها ذكر كثير في معاجم البلدان، و قد خرج منها أعلام مشهورون في مختلف أبواب العلوم الإسلاميّة، و ممّا قيل في تعريفها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الاسم الاقدم لمقاطعة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 و ناتل </w:t>
      </w:r>
      <w:r>
        <w:rPr>
          <w:rStyle w:val="FootnoteAnchor"/>
          <w:rtl w:val="true"/>
        </w:rPr>
        <w:footnoteReference w:id="16"/>
      </w:r>
      <w:r>
        <w:rPr>
          <w:rFonts w:ascii="Amiri" w:hAnsi="Amiri" w:eastAsia="Amiri" w:cs="Amiri"/>
          <w:color w:val="111111"/>
          <w:sz w:val="28"/>
          <w:sz w:val="28"/>
          <w:szCs w:val="28"/>
          <w:rtl w:val="true"/>
          <w:lang w:bidi="ar-SA"/>
        </w:rPr>
        <w:t xml:space="preserve">، و كلار، و ميلة، و ما مطير، و سارية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سارية مدينة متحضّرة صغيرة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الجربيّ بلاد الشمال ربع المملكة، و فيه طبرستان، و الرويان، و آمل، و سارية، و شالوس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يسمّى جيل جيلان خراسان، قال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خضب الفيل كعادته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لجيل جيلان خراسان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الفيل لا تخضب أعضاؤه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لذي شأن من الشأن </w:t>
      </w:r>
      <w:r>
        <w:rPr>
          <w:rStyle w:val="FootnoteAnchor"/>
          <w:rtl w:val="true"/>
        </w:rPr>
        <w:footnoteReference w:id="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صفيّ الدين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بطبرستان، بينها و بين البحر ثلاثة فراسخ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الكاتب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 و هي أقصى نحو الشمال و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 و سارية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المقدسي البشاري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طبرستان فمن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سالوس، ميلة، ما مطير، ترنجى، سارية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 راء، ثمّ ياء مثنّاة من تحت مفتوحة، بلفظ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الأسطوانة، و هي مدينة 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منزل العامل في أيّام الطاهريّة، و كان العامل قبل ذلك في آمل، و جعلها أيضا الحسن بن زيد و محمّد بن زيد العلويّان دار مقامهما، و بين سارية و البحر ثلاثة فراسخ، و بين سارية و آمل ثمانية عشر فرسخا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المدينة المعروفة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أكبر و أهم و أجمل مدن شمال إيران، و كذا قال ياقوت أيضا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سارية المذكورة قبل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معاجم البلدان، و أمّا في التاريخ فلها ذكر كثير قبل الإسلام و بعده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9" w:name="pg19202_232073"/>
    </w:p>
    <w:p>
      <w:pPr>
        <w:pStyle w:val="Heading3"/>
        <w:numPr>
          <w:ilvl w:val="2"/>
          <w:numId w:val="1"/>
        </w:numPr>
        <w:rPr/>
      </w:pPr>
      <w:bookmarkStart w:id="30" w:name="__RefHeading___Toc16229018_1280447820"/>
      <w:bookmarkStart w:id="31" w:name="_Toc12"/>
      <w:bookmarkEnd w:id="29"/>
      <w:bookmarkEnd w:id="30"/>
      <w:r>
        <w:rPr>
          <w:rtl w:val="true"/>
        </w:rPr>
        <w:t>النسبة إليها</w:t>
      </w:r>
      <w:r>
        <w:rPr>
          <w:rtl w:val="true"/>
        </w:rPr>
        <w:t>:</w:t>
      </w:r>
      <w:bookmarkEnd w:id="31"/>
    </w:p>
    <w:p>
      <w:pPr>
        <w:pStyle w:val="BookText"/>
        <w:rPr/>
      </w:pPr>
      <w:r>
        <w:rPr>
          <w:rFonts w:ascii="Amiri" w:hAnsi="Amiri" w:eastAsia="Amiri" w:cs="Amiri"/>
          <w:color w:val="111111"/>
          <w:sz w:val="28"/>
          <w:sz w:val="28"/>
          <w:szCs w:val="28"/>
          <w:rtl w:val="true"/>
          <w:lang w:bidi="ar-SA"/>
        </w:rPr>
        <w:t>قال ياقوت 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سارية من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صالح بن عبد اللّه السرويّ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اضطرب السمعاني في هذه النسبة، حيث 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سارية، و هي بلدة من بلاد مازندران، أقمت بها عشرة أيّام، و كنت أظنّ أنّ 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الساريّ جماعة من طبرستان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قد ذكرتها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بأنّ النسبة الصحيحة إلى سارية مازندران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عاد فأكّد هذه النسبة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النسبة إلى سارية مازندران، و الصحيح أنّ النسبة إليها بتحريك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النسبة بتسكينها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مدينة ببلاد أردبيل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متابعة كتب الرجال ظهر لنا أنّ 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هي المعتمدة عندهم، كما هو ظاهر في تراجم الأعلام المنسوبين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موسى السروي، شيخ الشافعيّة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السرويّ، أبو الحسين، المحدّث، روى عن بندار و أبي </w:t>
      </w:r>
      <w:bookmarkStart w:id="32" w:name="pg19202_232074"/>
    </w:p>
    <w:p>
      <w:pPr>
        <w:pStyle w:val="BookText"/>
        <w:rPr/>
      </w:pPr>
      <w:bookmarkEnd w:id="32"/>
      <w:r>
        <w:rPr>
          <w:rFonts w:ascii="Amiri" w:hAnsi="Amiri" w:eastAsia="Amiri" w:cs="Amiri"/>
          <w:color w:val="111111"/>
          <w:sz w:val="28"/>
          <w:sz w:val="28"/>
          <w:szCs w:val="28"/>
          <w:rtl w:val="true"/>
          <w:lang w:bidi="ar-SA"/>
        </w:rPr>
        <w:t xml:space="preserve">كريب و طبقتهما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علي الفقاعي السرويّ، المولود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السرويّ المازندراني، من كبار علماء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هذه النسبة على غير القياس، كما قيل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البدويّ، و في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6229020_1280447820"/>
      <w:bookmarkStart w:id="34" w:name="_Toc13"/>
      <w:bookmarkEnd w:id="33"/>
      <w:r>
        <w:rPr>
          <w:rtl w:val="true"/>
        </w:rPr>
        <w:t>نتيجة البحث</w:t>
      </w:r>
      <w:r>
        <w:rPr>
          <w:rtl w:val="true"/>
        </w:rPr>
        <w:t>:</w:t>
      </w:r>
      <w:bookmarkEnd w:id="34"/>
    </w:p>
    <w:p>
      <w:pPr>
        <w:pStyle w:val="BookText"/>
        <w:rPr/>
      </w:pPr>
      <w:r>
        <w:rPr>
          <w:rFonts w:ascii="Amiri" w:hAnsi="Amiri" w:eastAsia="Amiri" w:cs="Amiri"/>
          <w:color w:val="111111"/>
          <w:sz w:val="28"/>
          <w:sz w:val="28"/>
          <w:szCs w:val="28"/>
          <w:rtl w:val="true"/>
          <w:lang w:bidi="ar-SA"/>
        </w:rPr>
        <w:t>أمكننا ممّا تقدّم أن نقطع بأنّ الاسم الصحيح لهذا الكتاب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هذه التسمية جاءت نسبة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مازندران، التي ينتسب إليها السائل</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6229022_1280447820"/>
      <w:bookmarkStart w:id="36" w:name="_Toc14"/>
      <w:bookmarkEnd w:id="35"/>
      <w:r>
        <w:rPr>
          <w:rtl w:val="true"/>
        </w:rPr>
        <w:t>هذا الكتاب</w:t>
      </w:r>
      <w:r>
        <w:rPr>
          <w:rtl w:val="true"/>
        </w:rPr>
        <w:t>:</w:t>
      </w:r>
      <w:bookmarkEnd w:id="36"/>
    </w:p>
    <w:p>
      <w:pPr>
        <w:pStyle w:val="BookText"/>
        <w:rPr/>
      </w:pPr>
      <w:r>
        <w:rPr>
          <w:rFonts w:ascii="Amiri" w:hAnsi="Amiri" w:eastAsia="Amiri" w:cs="Amiri"/>
          <w:color w:val="111111"/>
          <w:sz w:val="28"/>
          <w:sz w:val="28"/>
          <w:szCs w:val="28"/>
          <w:rtl w:val="true"/>
          <w:lang w:bidi="ar-SA"/>
        </w:rPr>
        <w:t>ليس مثيرا قولنا إنّه كتاب نفيس، فلم يترك أوحد زمانه الذي فجّ بحور العلوم إلّا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الكتاب يكشف العلم الفذّ الهمام الشيخ المفيد كثيرا ممّا يلبس على أذهان المتعلّمين و حتّى الخواصّ ناهيك عن سواد الناس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أجاب فيه عن أسئلة وردت في أبواب شتّى شملت علوم القرآن، و الفقه، و الحديث، و العقائد، و الكلام، فحمّل أجوبته لباب العلوم، و تعامل معها بصدر رحيب و همّة عالية، ففصّل حيث لزم التفصيل، و أوجز حيثما يكتفى بالإيجاز، و أحال الى كتب اخرى من تآليفه قد فصّل فيها الكلام فيما أوجزه هنا، </w:t>
      </w:r>
    </w:p>
    <w:p>
      <w:pPr>
        <w:pStyle w:val="BookText"/>
        <w:rPr/>
      </w:pPr>
      <w:r>
        <w:rPr>
          <w:rFonts w:ascii="Amiri" w:hAnsi="Amiri" w:eastAsia="Amiri" w:cs="Amiri"/>
          <w:color w:val="111111"/>
          <w:sz w:val="28"/>
          <w:sz w:val="28"/>
          <w:szCs w:val="28"/>
          <w:rtl w:val="true"/>
          <w:lang w:bidi="ar-SA"/>
        </w:rPr>
        <w:t>فشقّت إجاباتها طريقها حتّى استوت في قمّة ما قيل و ما يقال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رائد فنون الكلام هنا على منهجه في سائر كتبه يطرح بعد كلّ جواب ما يتعلّق به من أوجه الاستفهام المحتملة، مبرزا 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فيذكر في بعضها حوارا مباشرا جرى بينه و بين مناظر له، و أحيانا يفترض وجود المحاور، و يضع أحيانا أخرى أسئلة من شأنها أن تأتي على جوانب الموضوع ثمّ يجيب على كلّ ذلك بعبارة مركّزة وجيزة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برزت هنا أيضا منهجيّته القويمة في البحث و الاستنباط، متمسّكا بالصحيح الثابت رادّا كلّ ما سواه و إن صدر عن أجلّاء عظام كالشيخ الصدوق و ابن الجنيد، غير مبال بكثرة الروايات ما لم تثبت صحّة أسانيدها، فيعتمد الرواية الواحدة الصحيحة الإسناد تاركا الركام الممتدّ من الروايات الضعيفة أو الموضوعة، فهو الغوّاص الماهر الذي ينتقي الدرّة الصافية غير مكترث بما تعجّ به البحار و ما يطفو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الخصائص تبرز جليّة في هذا الكتاب الذي تضمّن الإجابة عن إحدى عشرة مسألة، كانت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و الرجعة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الأشباح و الذرّ و الأرواح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الروح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الإنسان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القبر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الشهداء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قال بالجبر و جوّز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ظواهر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صيانة القرآن من التحريف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أمّ كلثوم بنت أمير المؤمنين و بنات الرسول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زادنا هذا الكتاب فائدة أخرى إذ عرّف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أثنائه بعدد من كتب له صنّفها في المسائل موضع البحث، و هذه الكتب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فصّل فيه الكلام في بحث الاختلافات الواردة في ظواهر بعض الروايات المنسوبة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فيه سبل معرفة الحقّ من ذلك، و طريق التعامل مع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بحث عميق عظيم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المازندرانيّة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النيسابوريّة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الموصليّة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في هذه الكتب الأربعة عن مسائل تتعلّق بالاختلافات الظاهرة بين بعض الروايات 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النور في علامات أوائل الشهور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قد ضمّنه الردود </w:t>
      </w:r>
      <w:bookmarkStart w:id="37" w:name="pg19202_232077"/>
    </w:p>
    <w:p>
      <w:pPr>
        <w:pStyle w:val="BookText"/>
        <w:rPr/>
      </w:pPr>
      <w:bookmarkEnd w:id="37"/>
      <w:r>
        <w:rPr>
          <w:rFonts w:ascii="Amiri" w:hAnsi="Amiri" w:eastAsia="Amiri" w:cs="Amiri"/>
          <w:color w:val="111111"/>
          <w:sz w:val="28"/>
          <w:sz w:val="28"/>
          <w:szCs w:val="28"/>
          <w:rtl w:val="true"/>
          <w:lang w:bidi="ar-SA"/>
        </w:rPr>
        <w:t>على الشيخ ابن الجنيد و طريقته في استخدام القياس و التعامل مع الروايات المتناقضة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 في الوعد و الوعيد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تفصيل الكلام في استحقاق الثواب و العقاب و حكم مرتكبي الذنوب من أهل التوحيد، و الردّ على اقوال المعتزلة و نقض قولهم بالحبط</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6229024_1280447820"/>
      <w:bookmarkStart w:id="39" w:name="_Toc15"/>
      <w:bookmarkEnd w:id="38"/>
      <w:r>
        <w:rPr>
          <w:rtl w:val="true"/>
        </w:rPr>
        <w:t>نسخ الكتاب</w:t>
      </w:r>
      <w:r>
        <w:rPr>
          <w:rtl w:val="true"/>
        </w:rPr>
        <w:t>:</w:t>
      </w:r>
      <w:bookmarkEnd w:id="39"/>
    </w:p>
    <w:p>
      <w:pPr>
        <w:pStyle w:val="BookText"/>
        <w:rPr/>
      </w:pPr>
      <w:r>
        <w:rPr>
          <w:rFonts w:ascii="Amiri" w:hAnsi="Amiri" w:eastAsia="Amiri" w:cs="Amiri"/>
          <w:color w:val="111111"/>
          <w:sz w:val="28"/>
          <w:sz w:val="28"/>
          <w:szCs w:val="28"/>
          <w:rtl w:val="true"/>
          <w:lang w:bidi="ar-SA"/>
        </w:rPr>
        <w:t>تيسّر لنا أربع نسخ مخطوطة لهذا الكتاب، أضفنا إليها النسخة المطبوعة في النجف الأشرف لتكون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العدد من النسخ كنّا نواجه مشكلتين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جميعا متأخّرة كثيرا عن عصر المؤلّف، باستثناء واحدة منها ذكر فيها أنّها كتبت على نسخة مؤرّخة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المؤلّف 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السقوطات و الأخطاء و التصحيفات التي لم تنج منها النسخة المطبوعة أيضا، بل هي في غير موضع أشدّ ضعفا، و من أمثلة هذه المواضع ما وجدناه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تكتب في المخطوطات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فإذا رقّ الواو قليلا في المخطوطة وجدت الكلمة قد أصحبت 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النسخ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المودعة في مكتبة السيّد المرعشيّ النجفيّ، ضمن المجموعة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 الفراغ منها ضاحي نهار يوم السبت، خمس و عشرين من شهر ربيع الأوّل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أوراقها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مسطرتها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 هذه النسخة المسألتان الثالثة و الرابعة مع أجوبتهما، و بعض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وصلني المدرج المنطوي على المسائل من جهة السّيد الشريف الفاضل أطال اللّه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 إلى السيّد الشريف الفاضل الخطير أدام اللّه رفعته أغناه عن غيره من الكتب في المعنى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السيّد المرعشيّ النجفيّ المودعة ضمن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جميل بتاريخ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نقلا عن نسخة نفيسة مكتوبة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أوراقها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مسطرتها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أوضح النسخ، غير أنّها لم تخل من السقط، حيث سقطت منها عدّة كلمات متفرّقة، ترك محلّ بعضها بياض، و بعضها الآخر لم تترك فيه إشارة إلى محلّ السقط، كما سقط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جواب المسألة السادسة، و المسألة السابعة مع جوابها، و المسألة الثامنة مع بداية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وصل المدرج المنطوي على المسائل الواردة من السيّد الشريف الفاضل أطال اللّه في عزّ الدين و الدنيا و أدام تأييده و نعمته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 إلى السيّد الشريف الفاضل الخطير أدام اللّه رفعته أغناه عن </w:t>
      </w:r>
    </w:p>
    <w:p>
      <w:pPr>
        <w:pStyle w:val="BookText"/>
        <w:rPr/>
      </w:pPr>
      <w:r>
        <w:rPr>
          <w:rFonts w:ascii="Amiri" w:hAnsi="Amiri" w:eastAsia="Amiri" w:cs="Amiri"/>
          <w:color w:val="111111"/>
          <w:sz w:val="28"/>
          <w:sz w:val="28"/>
          <w:szCs w:val="28"/>
          <w:rtl w:val="true"/>
          <w:lang w:bidi="ar-SA"/>
        </w:rPr>
        <w:t>غيره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السيّد المرعشيّ النجفيّ المودعة ضمن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مسطرتها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الفراغ من كتابتها مع المجموعة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بيد عبد الحميد بن محمّد مقيم خطيب عبد العظيمي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بخطّ رديء، لكنّها أتمّ النسخ و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وصل المدرج المنطوي على المسائل الواردة من جهة السّيد الشريف الفاضل أطال اللّه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 إلى السيّد الشريف الفاضل الخطير ادام اللّه ادام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أغناه عن غيره من الكتب في المعنى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منقولة عن نسخة مكتبة آستان قدس 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رديء، كثيرة الأخطاء، فيها توافق كبير مع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في مواضع سقط الكلمة و الكلمتين، غير أنّها حوت جميع المسائل مع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وصل المدرج المنطوي على المسائل الواردة من جهة السيّد الشريف الفاضل أطال اللّه في عزّ الدين و الدنيا مدّته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أمليت في هذا المعنى كتابا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 إلى السيّد الشريف الفاضل الخطير ادام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هنا مع نهاية الورقة الأخيرة فالظاهر أنّ تتمّتها في ورقة أخرى مفقودة أو لم تصوّر </w:t>
      </w:r>
      <w:bookmarkStart w:id="40" w:name="pg19202_232080"/>
    </w:p>
    <w:p>
      <w:pPr>
        <w:pStyle w:val="BookText"/>
        <w:rPr/>
      </w:pPr>
      <w:bookmarkEnd w:id="40"/>
      <w:r>
        <w:rPr>
          <w:rFonts w:ascii="Amiri" w:hAnsi="Amiri" w:eastAsia="Amiri" w:cs="Amiri"/>
          <w:color w:val="111111"/>
          <w:sz w:val="28"/>
          <w:sz w:val="28"/>
          <w:szCs w:val="28"/>
          <w:rtl w:val="true"/>
          <w:lang w:bidi="ar-SA"/>
        </w:rPr>
        <w:t>على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المطبوعة في النجف الأشرف، ثمّ 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اوفسيت مكتبة المفيد في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فيها من العمل هو نقل المخطوطة إلى أحرف الطباعة، و لم تظهر عليها آثار جهد مبذول في تقويم النصوص أو تخريجها أو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اخطاء طباعية و تصحيفات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شبه كبير مع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أتمّ منها كثيرا و إن سقطت منها كلمات 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41" w:name="__RefHeading___Toc16229026_1280447820"/>
      <w:bookmarkStart w:id="42" w:name="_Toc16"/>
      <w:bookmarkEnd w:id="41"/>
      <w:r>
        <w:rPr>
          <w:rtl w:val="true"/>
        </w:rPr>
        <w:t>نسخ أخرى</w:t>
      </w:r>
      <w:r>
        <w:rPr>
          <w:rtl w:val="true"/>
        </w:rPr>
        <w:t>:</w:t>
      </w:r>
      <w:bookmarkEnd w:id="42"/>
    </w:p>
    <w:p>
      <w:pPr>
        <w:pStyle w:val="BookText"/>
        <w:rPr/>
      </w:pPr>
      <w:r>
        <w:rPr>
          <w:rFonts w:ascii="Amiri" w:hAnsi="Amiri" w:eastAsia="Amiri" w:cs="Amiri"/>
          <w:color w:val="111111"/>
          <w:sz w:val="28"/>
          <w:sz w:val="28"/>
          <w:szCs w:val="28"/>
          <w:rtl w:val="true"/>
          <w:lang w:bidi="ar-SA"/>
        </w:rPr>
        <w:t>لهذا الكتاب عدّة نسخ اخرى لم نحصل عليها،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الشيخ الطهرانيّ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منها بخط الشيخ شرف الدين المازندراني، كتابتها حدود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مكتبة الشيخ هادي آل كاشف الغطاء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في مكتبة راجه السيّد محمّد مهدي في نواحي فيضآباد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فهرس مكتبة مسجد أعظم في قم المشرّفة وجدت نسخة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أوراقها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تاريخها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229028_1280447820"/>
      <w:bookmarkStart w:id="44" w:name="_Toc17"/>
      <w:bookmarkEnd w:id="43"/>
      <w:r>
        <w:rPr>
          <w:rtl w:val="true"/>
        </w:rPr>
        <w:t>منهجنا في التحقيق</w:t>
      </w:r>
      <w:r>
        <w:rPr>
          <w:rtl w:val="true"/>
        </w:rPr>
        <w:t>:</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منهجان في التحقيق يسودان الآن، و لكلّ منهما أنصاره و أتباعه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يرى أنّ التحقيق يقتصر على إخراج النصّ مصحّحا، سليما من التصحيف و التحريف، و حسب، فلا مبرّر بعد هذا لأيّ جهد إضافيّ يبذله المحقّق في جوانب خارجة عن 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تقويم النّص ليس سوى جزء واحد من العمل التحقيقيّ لا بدّ أن ترافقه جهود مكثّفة في الجوانب التي تتّصل مباشرة بنصّ الكتاب، من قبيل مقابلة نصوص الكتاب مع النصوص المماثلة في المصادر المعتمدة، و تخريج النصوص، و شرح مبهماتها، و ضبط مفرداتها، ليأتي العمل متكاملا متّحد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المنهج الأوّل إن كان يوفّر على المحقق جهدا و عناء كبيرين، و يوفّر عليه من الوقت ما لا يدركه إلّا العاملون في التحقيق، فهو للأسف لا يخدم الكتاب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و إن صحّح و ضبط إلّا أنّه قد لا يخلو من خطأ ما لم يقابل مع غيره من المصادر المعتمدة الموثوقة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سهلت عليه قراءة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تخريج النصوص و شرح المبهمات و ترجمة المهمّ الغامض من الأعلام و المدن لها الدور الأهمّ في فهم النصّ و تقبّله، و خصوصا إذا تنبّهنا إلى حقيقة أنّ ليس كلّ القرّاء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المنهج الثاني هو الآخر لا يخلو من آفة، و إن لم تكن فيه نفسه كمنهج، و إنّما جاءته من بعض من ركبه و هو لا يحسن العوم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منهم من شأنه أن يعبّئ في الهوامش كلّ ما امتدت إليه يده، فيحمّلها كلاما ثقيلا مملا بلا أدنى مبرّر، يشرح أيسر الألفاظ، و يسهب في تفصيل ما لا تجد ضرورة لذكره أصلا، و يطيل في ترجمة أشهر البلدان و الأعلام، ناسيا أنّه سيترك ثقله هذا كلّه على صدر القارئ، متسبّبا في ضجره و نفرته من تتّبع الكتاب، و ربّما حتّى من تصفّح أوراقه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اتّخذ هذا المنهج طريقا لإفراغ آرائه الشخصيّة لا غير، فهو يعلّق على الأحاديث و الأخبار فيبطل منها ما يخالف هواه و إن كان صحيحا ثابتا متّفقا </w:t>
      </w:r>
    </w:p>
    <w:p>
      <w:pPr>
        <w:pStyle w:val="BookText"/>
        <w:rPr/>
      </w:pPr>
      <w:r>
        <w:rPr>
          <w:rFonts w:ascii="Amiri" w:hAnsi="Amiri" w:eastAsia="Amiri" w:cs="Amiri"/>
          <w:color w:val="111111"/>
          <w:sz w:val="28"/>
          <w:sz w:val="28"/>
          <w:szCs w:val="28"/>
          <w:rtl w:val="true"/>
          <w:lang w:bidi="ar-SA"/>
        </w:rPr>
        <w:t>عليه، و يصحّح المنكر الباطل إن وافق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منحى خطير لا تخفى خطورته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ذهب إلى أبعد من هذا، فأخذ يتصرّف في النصوص، فيضيف إليها من تأويله ما يغيّر في مفادها، أو ربّما حذف منها ما لا يروق له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أحسنّا الظنّ و قلنا إنّه اعتمد نسخة ناقصة، فإنّه يبقى عليه ما لا يغفر له إهماله، و هو أن يشير إلى مواضع النقص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بينما تجد صنفا آخر قد ذهب على العكس من سابقيه، فهو يجاري المصنّف في كلّ آرائه، يخرّج نصوصه و يسند أقواله و هو يظنّ أنّه بهذا إنّما يبرز قوّة الكاتب و الكتاب، معتقدا أنّ وظيفته تكمن في هذه الخصلة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يديّ نماذج كثيرة من كلّ ما ذكرته إلّا أنّ ذكرها لا يخلو من تجريح بأصحابها، و ليس التجريح غايتنا، و إنّما تصويب المسار ما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اعتمدنا المنهج الثاني في التحقيق فقد التزمنا أصوله، و لم نتعدّ حدوده، و لم نصرع لنزعة الانحياز إلى الكاتب و الكتاب أو عليهما، بل مارسنا عملا تحقيقيّا علميّا بحتا، راجين من ورائه ما عند اللّه تعالى، فكان عملنا في هذا الكتاب وفق الفقرات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 الخمس مع بعضها، و اعتماد اللفظ الأصوب و الأنسب من بينها، مع الإشارة إلى مواضع الاختلاف المهمة أو ذات الوجه المحتمل و إن بعد، تاركا ما سوى ذلك من تصحيفات ظاهرة و أخطاء لغويّة و إملائية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النصوص التي اعتمدها المؤلّف مع مصادرها، و تثبيت الاختلافات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موجز للمفردات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موجزة وافية للأعلام و المدن الواردة في المتن، تاركا المشهور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 ضبطها، و تمييزها بقوسين مزهّرين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الشريفة من مصادرها، و خصوصا المصادر المتقدّمة على عصر المؤلّف، كما ذكرنا بعض المصادر المتأخّرة عنه كشواهد في مواضع </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ميّزنا الأحاديث الشريفة بالقوسين الصغيرين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تابعنا الأحاديث التي اعتمدها المؤلّف بذكر درجة كل حديث معتمدين أوثق المصادر في هذا الباب، و إذا ما اعتمد المؤلّف حديثا في إسناده ضعف مع وجود حديث حسن أو صحيح في موضوعه يصحّ الاعتماد عليه أشرنا إليه إشارة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الأخبار، و الأحداث و الوقائع من أهم المصادر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الاقتصار على مصادر الشيعة الإماميّة في التخريج، بل اعتمدنا أيضا أهم المصادر المعتبرة في السنن و التفسير و السير و الكلام عند أهل السنّة إتماما للفائدة، و تثبيتا للمعنى و تأليفا بين قلوب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المفردات ضبطا شاملا، ناظرين إلى أهميّة تقويم اللسان على اللفظ العربي القويم، مع ما يضفيه ضبط المفردات من جماليّة إلى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لبعض الإبهام أمام القارئ في هذا الكتاب وضعنا عنوانا لكلّ مسألة و لكلّ فصل من فصول الجواب، و ميّزناه بالمعقوفتين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الكتاب فهرسين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يشمل مواضيع الكتاب و فصوله، و تضمّن الآخر أسماء المصادر التي اعتمدناها في المقدّمة و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صائب عبد الحميد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اَلْمَسَائِلُ اَلسَّرْوِيَّةُ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202_232092"/>
      <w:bookmarkStart w:id="46" w:name="pg19202_232092"/>
      <w:bookmarkEnd w:id="46"/>
    </w:p>
    <w:p>
      <w:pPr>
        <w:pStyle w:val="Heading2"/>
        <w:numPr>
          <w:ilvl w:val="1"/>
          <w:numId w:val="1"/>
        </w:numPr>
        <w:rPr/>
      </w:pPr>
      <w:bookmarkStart w:id="47" w:name="pg19202_232092"/>
      <w:bookmarkStart w:id="48" w:name="__RefHeading___Toc16229030_1280447820"/>
      <w:bookmarkStart w:id="49" w:name="_Toc18"/>
      <w:bookmarkEnd w:id="47"/>
      <w:bookmarkEnd w:id="48"/>
      <w:r>
        <w:rPr>
          <w:rtl w:val="true"/>
        </w:rPr>
        <w:t>[</w:t>
      </w:r>
      <w:r>
        <w:rPr>
          <w:rtl w:val="true"/>
        </w:rPr>
        <w:t>المقدمة</w:t>
      </w:r>
      <w:r>
        <w:rPr>
          <w:rtl w:val="true"/>
        </w:rPr>
        <w:t>]</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الْعاقِبَةُ لِلْمُتَّقِينَ و صلى الله على محمد خاتم النبيين و على أهل بيته الطاهرين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وصلني </w:t>
      </w:r>
      <w:r>
        <w:rPr>
          <w:rStyle w:val="FootnoteAnchor"/>
          <w:rtl w:val="true"/>
        </w:rPr>
        <w:footnoteReference w:id="47"/>
      </w:r>
      <w:r>
        <w:rPr>
          <w:rFonts w:ascii="Amiri" w:hAnsi="Amiri" w:eastAsia="Amiri" w:cs="Amiri"/>
          <w:color w:val="111111"/>
          <w:sz w:val="28"/>
          <w:sz w:val="28"/>
          <w:szCs w:val="28"/>
          <w:rtl w:val="true"/>
          <w:lang w:bidi="ar-SA"/>
        </w:rPr>
        <w:t xml:space="preserve">المدرج المنطوي على المسائل الواردة </w:t>
      </w:r>
      <w:r>
        <w:rPr>
          <w:rStyle w:val="FootnoteAnchor"/>
          <w:rtl w:val="true"/>
        </w:rPr>
        <w:footnoteReference w:id="48"/>
      </w:r>
      <w:r>
        <w:rPr>
          <w:rFonts w:ascii="Amiri" w:hAnsi="Amiri" w:eastAsia="Amiri" w:cs="Amiri"/>
          <w:color w:val="111111"/>
          <w:sz w:val="28"/>
          <w:sz w:val="28"/>
          <w:szCs w:val="28"/>
          <w:rtl w:val="true"/>
          <w:lang w:bidi="ar-SA"/>
        </w:rPr>
        <w:t xml:space="preserve">من جهة السيد الشريف الفاضل أطال الله </w:t>
      </w:r>
      <w:r>
        <w:rPr>
          <w:rStyle w:val="FootnoteAnchor"/>
          <w:rtl w:val="true"/>
        </w:rPr>
        <w:footnoteReference w:id="49"/>
      </w:r>
      <w:r>
        <w:rPr>
          <w:rFonts w:ascii="Amiri" w:hAnsi="Amiri" w:eastAsia="Amiri" w:cs="Amiri"/>
          <w:color w:val="111111"/>
          <w:sz w:val="28"/>
          <w:sz w:val="28"/>
          <w:szCs w:val="28"/>
          <w:rtl w:val="true"/>
          <w:lang w:bidi="ar-SA"/>
        </w:rPr>
        <w:t xml:space="preserve">في عز الدين و الدنيا مدته </w:t>
      </w:r>
      <w:r>
        <w:rPr>
          <w:rStyle w:val="FootnoteAnchor"/>
          <w:rtl w:val="true"/>
        </w:rPr>
        <w:footnoteReference w:id="50"/>
      </w:r>
      <w:r>
        <w:rPr>
          <w:rFonts w:ascii="Amiri" w:hAnsi="Amiri" w:eastAsia="Amiri" w:cs="Amiri"/>
          <w:color w:val="111111"/>
          <w:sz w:val="28"/>
          <w:sz w:val="28"/>
          <w:szCs w:val="28"/>
          <w:rtl w:val="true"/>
          <w:lang w:bidi="ar-SA"/>
        </w:rPr>
        <w:t xml:space="preserve">و أدام تأييده و نعمته </w:t>
      </w:r>
      <w:r>
        <w:rPr>
          <w:rStyle w:val="FootnoteAnchor"/>
          <w:rtl w:val="true"/>
        </w:rPr>
        <w:footnoteReference w:id="51"/>
      </w:r>
      <w:r>
        <w:rPr>
          <w:rFonts w:ascii="IRNazanin" w:hAnsi="IRNazanin" w:eastAsia="IRNazanin"/>
          <w:color w:val="111111"/>
          <w:sz w:val="28"/>
          <w:sz w:val="28"/>
          <w:szCs w:val="28"/>
          <w:rtl w:val="true"/>
          <w:lang w:bidi="fa-IR"/>
        </w:rPr>
        <w:t xml:space="preserve">و وقفت </w:t>
      </w:r>
      <w:r>
        <w:rPr>
          <w:rStyle w:val="FootnoteAnchor"/>
          <w:rtl w:val="true"/>
        </w:rPr>
        <w:footnoteReference w:id="52"/>
      </w:r>
      <w:r>
        <w:rPr>
          <w:rFonts w:ascii="Amiri" w:hAnsi="Amiri" w:eastAsia="Amiri" w:cs="Amiri"/>
          <w:color w:val="111111"/>
          <w:sz w:val="28"/>
          <w:sz w:val="28"/>
          <w:szCs w:val="28"/>
          <w:rtl w:val="true"/>
          <w:lang w:bidi="ar-SA"/>
        </w:rPr>
        <w:t xml:space="preserve">على جميعها و ضاق المدرج عن إثبات أجوبتها فأمليت </w:t>
      </w:r>
      <w:r>
        <w:rPr>
          <w:rStyle w:val="FootnoteAnchor"/>
          <w:rtl w:val="true"/>
        </w:rPr>
        <w:footnoteReference w:id="53"/>
      </w:r>
      <w:r>
        <w:rPr>
          <w:rFonts w:ascii="Amiri" w:hAnsi="Amiri" w:eastAsia="Amiri" w:cs="Amiri"/>
          <w:color w:val="111111"/>
          <w:sz w:val="28"/>
          <w:sz w:val="28"/>
          <w:szCs w:val="28"/>
          <w:rtl w:val="true"/>
          <w:lang w:bidi="ar-SA"/>
        </w:rPr>
        <w:t xml:space="preserve">ذلك في كتاب مفرد يأتي على المعنى إن شاء الله تعالى </w:t>
      </w:r>
      <w:bookmarkStart w:id="50" w:name="pg19202_232093"/>
    </w:p>
    <w:p>
      <w:pPr>
        <w:pStyle w:val="Heading2"/>
        <w:numPr>
          <w:ilvl w:val="1"/>
          <w:numId w:val="1"/>
        </w:numPr>
        <w:rPr/>
      </w:pPr>
      <w:bookmarkStart w:id="51" w:name="__RefHeading___Toc16229032_1280447820"/>
      <w:bookmarkStart w:id="52" w:name="_Toc19"/>
      <w:bookmarkEnd w:id="50"/>
      <w:bookmarkEnd w:id="51"/>
      <w:r>
        <w:rPr>
          <w:rtl w:val="true"/>
        </w:rPr>
        <w:t>المسألة الأولى في المتعة و الرجعة</w:t>
      </w:r>
      <w:bookmarkEnd w:id="52"/>
    </w:p>
    <w:p>
      <w:pPr>
        <w:pStyle w:val="BookText"/>
        <w:rPr/>
      </w:pPr>
      <w:r>
        <w:rPr>
          <w:rFonts w:ascii="Amiri" w:hAnsi="Amiri" w:eastAsia="Amiri" w:cs="Amiri"/>
          <w:color w:val="111111"/>
          <w:sz w:val="28"/>
          <w:sz w:val="28"/>
          <w:szCs w:val="28"/>
          <w:rtl w:val="true"/>
          <w:lang w:bidi="ar-SA"/>
        </w:rPr>
        <w:t xml:space="preserve">ما قول الشيخ المفيد أطال الله بقاءه و أدام </w:t>
      </w:r>
      <w:r>
        <w:rPr>
          <w:rStyle w:val="FootnoteAnchor"/>
          <w:rtl w:val="true"/>
        </w:rPr>
        <w:footnoteReference w:id="54"/>
      </w:r>
      <w:r>
        <w:rPr>
          <w:rFonts w:ascii="Amiri" w:hAnsi="Amiri" w:eastAsia="Amiri" w:cs="Amiri"/>
          <w:color w:val="111111"/>
          <w:sz w:val="28"/>
          <w:sz w:val="28"/>
          <w:szCs w:val="28"/>
          <w:rtl w:val="true"/>
          <w:lang w:bidi="ar-SA"/>
        </w:rPr>
        <w:t xml:space="preserve">تأييده و علاه و حرس معالم الدين بحياطة </w:t>
      </w:r>
      <w:r>
        <w:rPr>
          <w:rStyle w:val="FootnoteAnchor"/>
          <w:rtl w:val="true"/>
        </w:rPr>
        <w:footnoteReference w:id="55"/>
      </w:r>
      <w:r>
        <w:rPr>
          <w:rFonts w:ascii="IRNazanin" w:hAnsi="IRNazanin" w:eastAsia="IRNazanin"/>
          <w:color w:val="111111"/>
          <w:sz w:val="28"/>
          <w:sz w:val="28"/>
          <w:szCs w:val="28"/>
          <w:rtl w:val="true"/>
          <w:lang w:bidi="fa-IR"/>
        </w:rPr>
        <w:t xml:space="preserve">مهجته </w:t>
      </w:r>
      <w:r>
        <w:rPr>
          <w:rStyle w:val="FootnoteAnchor"/>
          <w:rtl w:val="true"/>
        </w:rPr>
        <w:footnoteReference w:id="56"/>
      </w:r>
      <w:r>
        <w:rPr>
          <w:rFonts w:ascii="Amiri" w:hAnsi="Amiri" w:eastAsia="Amiri" w:cs="Amiri"/>
          <w:color w:val="111111"/>
          <w:sz w:val="28"/>
          <w:sz w:val="28"/>
          <w:szCs w:val="28"/>
          <w:rtl w:val="true"/>
          <w:lang w:bidi="ar-SA"/>
        </w:rPr>
        <w:t xml:space="preserve">و أقر عيون الشيعة بنضارة أيامه فيما يروى عن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يقل بمتعتنا و يؤمن برجعتنا </w:t>
      </w:r>
      <w:r>
        <w:rPr>
          <w:rStyle w:val="FootnoteAnchor"/>
          <w:rtl w:val="true"/>
        </w:rPr>
        <w:footnoteReference w:id="57"/>
      </w:r>
      <w:r>
        <w:rPr>
          <w:rFonts w:ascii="Amiri" w:hAnsi="Amiri" w:eastAsia="Amiri" w:cs="Amiri"/>
          <w:color w:val="111111"/>
          <w:sz w:val="28"/>
          <w:sz w:val="28"/>
          <w:szCs w:val="28"/>
          <w:rtl w:val="true"/>
          <w:lang w:bidi="ar-SA"/>
        </w:rPr>
        <w:t xml:space="preserve">أ هي حشر في الدنيا مخصوص للمؤمنين أو لغيرهم </w:t>
      </w:r>
      <w:r>
        <w:rPr>
          <w:rStyle w:val="FootnoteAnchor"/>
          <w:rtl w:val="true"/>
        </w:rPr>
        <w:footnoteReference w:id="58"/>
      </w:r>
      <w:r>
        <w:rPr>
          <w:rFonts w:ascii="Amiri" w:hAnsi="Amiri" w:eastAsia="Amiri" w:cs="Amiri"/>
          <w:color w:val="111111"/>
          <w:sz w:val="28"/>
          <w:sz w:val="28"/>
          <w:szCs w:val="28"/>
          <w:rtl w:val="true"/>
          <w:lang w:bidi="ar-SA"/>
        </w:rPr>
        <w:t xml:space="preserve">من الظلمة الجائرين </w:t>
      </w:r>
      <w:r>
        <w:rPr>
          <w:rStyle w:val="FootnoteAnchor"/>
          <w:rtl w:val="true"/>
        </w:rPr>
        <w:footnoteReference w:id="59"/>
      </w:r>
      <w:r>
        <w:rPr>
          <w:rFonts w:ascii="IRNazanin" w:hAnsi="IRNazanin" w:eastAsia="IRNazanin"/>
          <w:color w:val="111111"/>
          <w:sz w:val="28"/>
          <w:sz w:val="28"/>
          <w:szCs w:val="28"/>
          <w:rtl w:val="true"/>
          <w:lang w:bidi="fa-IR"/>
        </w:rPr>
        <w:t xml:space="preserve">قبل </w:t>
      </w:r>
      <w:r>
        <w:rPr>
          <w:rStyle w:val="FootnoteAnchor"/>
          <w:rtl w:val="true"/>
        </w:rPr>
        <w:footnoteReference w:id="60"/>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 بالله التوفيق إن المتعة التي ذكرها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النكاح المؤجل الذي </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61"/>
      </w:r>
      <w:r>
        <w:rPr>
          <w:rFonts w:ascii="Amiri" w:hAnsi="Amiri" w:eastAsia="Amiri" w:cs="Amiri"/>
          <w:color w:val="111111"/>
          <w:sz w:val="28"/>
          <w:sz w:val="28"/>
          <w:szCs w:val="28"/>
          <w:rtl w:val="true"/>
          <w:lang w:bidi="ar-SA"/>
        </w:rPr>
        <w:t xml:space="preserve">رسول الله ص أباحها لأمته في حياته و نزل القرآن بإباحتها أيضا </w:t>
      </w:r>
      <w:r>
        <w:rPr>
          <w:rStyle w:val="FootnoteAnchor"/>
          <w:rtl w:val="true"/>
        </w:rPr>
        <w:footnoteReference w:id="62"/>
      </w:r>
      <w:r>
        <w:rPr>
          <w:rFonts w:ascii="Amiri" w:hAnsi="Amiri" w:eastAsia="Amiri" w:cs="Amiri"/>
          <w:color w:val="111111"/>
          <w:sz w:val="28"/>
          <w:sz w:val="28"/>
          <w:szCs w:val="28"/>
          <w:rtl w:val="true"/>
          <w:lang w:bidi="ar-SA"/>
        </w:rPr>
        <w:t xml:space="preserve">فتأكد </w:t>
      </w:r>
      <w:r>
        <w:rPr>
          <w:rStyle w:val="FootnoteAnchor"/>
          <w:rtl w:val="true"/>
        </w:rPr>
        <w:footnoteReference w:id="63"/>
      </w:r>
      <w:r>
        <w:rPr>
          <w:rFonts w:ascii="Amiri" w:hAnsi="Amiri" w:eastAsia="Amiri" w:cs="Amiri"/>
          <w:color w:val="111111"/>
          <w:sz w:val="28"/>
          <w:sz w:val="28"/>
          <w:szCs w:val="28"/>
          <w:rtl w:val="true"/>
          <w:lang w:bidi="ar-SA"/>
        </w:rPr>
        <w:t xml:space="preserve">ذلك بإجماع الكتاب و السنة فيه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يقول الله عز و جل وَ أُحِلَّ لَكُمْ ما وَراءَ ذلِكُمْ أَنْ تَبْتَغُوا بِأَمْوالِكُمْ مُحْصِنِينَ غَيْرَ مُسافِحِينَ فَمَا اسْتَمْتَعْتُمْ بِهِ مِنْهُنَّ فَآتُوهُنَّ أُجُورَهُنَّ فَرِيضَةً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على الإباحة بين المسلمين لا يتنازعون فيها حتى رأى عمر بن الخطاب النهي عنها فحظرها و شدد في حظرها و توعد </w:t>
      </w:r>
      <w:r>
        <w:rPr>
          <w:rStyle w:val="FootnoteAnchor"/>
          <w:rtl w:val="true"/>
        </w:rPr>
        <w:footnoteReference w:id="66"/>
      </w:r>
      <w:r>
        <w:rPr>
          <w:rFonts w:ascii="IRNazanin" w:hAnsi="IRNazanin" w:eastAsia="IRNazanin"/>
          <w:color w:val="111111"/>
          <w:sz w:val="28"/>
          <w:sz w:val="28"/>
          <w:szCs w:val="28"/>
          <w:rtl w:val="true"/>
          <w:lang w:bidi="fa-IR"/>
        </w:rPr>
        <w:t xml:space="preserve">على فعلها </w:t>
      </w:r>
      <w:r>
        <w:rPr>
          <w:rStyle w:val="FootnoteAnchor"/>
          <w:rtl w:val="true"/>
        </w:rPr>
        <w:footnoteReference w:id="67"/>
      </w:r>
      <w:r>
        <w:rPr>
          <w:rFonts w:ascii="Amiri" w:hAnsi="Amiri" w:eastAsia="Amiri" w:cs="Amiri"/>
          <w:color w:val="111111"/>
          <w:sz w:val="28"/>
          <w:sz w:val="28"/>
          <w:szCs w:val="28"/>
          <w:rtl w:val="true"/>
          <w:lang w:bidi="ar-SA"/>
        </w:rPr>
        <w:t xml:space="preserve">فتبعه الجمهور على ذلك و خالفهم جماعة من الصحابة و التابعين فأقاموا على </w:t>
      </w:r>
    </w:p>
    <w:p>
      <w:pPr>
        <w:pStyle w:val="BookText"/>
        <w:rPr/>
      </w:pPr>
      <w:r>
        <w:rPr>
          <w:rFonts w:ascii="Amiri" w:hAnsi="Amiri" w:eastAsia="Amiri" w:cs="Amiri"/>
          <w:color w:val="111111"/>
          <w:sz w:val="28"/>
          <w:sz w:val="28"/>
          <w:szCs w:val="28"/>
          <w:rtl w:val="true"/>
          <w:lang w:bidi="ar-SA"/>
        </w:rPr>
        <w:t xml:space="preserve">تحليلها إلى أن مضوا لسبيلهم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اختص بإباحتها جماعة </w:t>
      </w:r>
      <w:r>
        <w:rPr>
          <w:rStyle w:val="FootnoteAnchor"/>
          <w:rtl w:val="true"/>
        </w:rPr>
        <w:footnoteReference w:id="69"/>
      </w:r>
      <w:r>
        <w:rPr>
          <w:rFonts w:ascii="Amiri" w:hAnsi="Amiri" w:eastAsia="Amiri" w:cs="Amiri"/>
          <w:color w:val="111111"/>
          <w:sz w:val="28"/>
          <w:sz w:val="28"/>
          <w:szCs w:val="28"/>
          <w:rtl w:val="true"/>
          <w:lang w:bidi="ar-SA"/>
        </w:rPr>
        <w:t xml:space="preserve">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أضافها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w:t>
      </w:r>
      <w:r>
        <w:rPr>
          <w:rStyle w:val="FootnoteAnchor"/>
          <w:rtl w:val="true"/>
        </w:rPr>
        <w:footnoteReference w:id="70"/>
      </w:r>
      <w:r>
        <w:rPr>
          <w:rFonts w:ascii="IRNazanin" w:hAnsi="IRNazanin" w:eastAsia="IRNazanin"/>
          <w:color w:val="111111"/>
          <w:sz w:val="28"/>
          <w:sz w:val="28"/>
          <w:szCs w:val="28"/>
          <w:rtl w:val="true"/>
          <w:lang w:bidi="fa-IR"/>
        </w:rPr>
        <w:t xml:space="preserve">بقوله متعتنا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من لم يقل برجعتنا فليس منا فإنما أراد بذلك ما يختصه </w:t>
      </w:r>
      <w:r>
        <w:rPr>
          <w:rStyle w:val="FootnoteAnchor"/>
          <w:rtl w:val="true"/>
        </w:rPr>
        <w:footnoteReference w:id="73"/>
      </w:r>
      <w:r>
        <w:rPr>
          <w:rFonts w:ascii="Amiri" w:hAnsi="Amiri" w:eastAsia="Amiri" w:cs="Amiri"/>
          <w:color w:val="111111"/>
          <w:sz w:val="28"/>
          <w:sz w:val="28"/>
          <w:szCs w:val="28"/>
          <w:rtl w:val="true"/>
          <w:lang w:bidi="ar-SA"/>
        </w:rPr>
        <w:t xml:space="preserve">من القول به في أن الله تعالى يحيي </w:t>
      </w:r>
      <w:r>
        <w:rPr>
          <w:rStyle w:val="FootnoteAnchor"/>
          <w:rtl w:val="true"/>
        </w:rPr>
        <w:footnoteReference w:id="74"/>
      </w:r>
      <w:r>
        <w:rPr>
          <w:rFonts w:ascii="Amiri" w:hAnsi="Amiri" w:eastAsia="Amiri" w:cs="Amiri"/>
          <w:color w:val="111111"/>
          <w:sz w:val="28"/>
          <w:sz w:val="28"/>
          <w:szCs w:val="28"/>
          <w:rtl w:val="true"/>
          <w:lang w:bidi="ar-SA"/>
        </w:rPr>
        <w:t xml:space="preserve">قوما من أمة محمد ص بعد موتهم قبل </w:t>
      </w:r>
      <w:r>
        <w:rPr>
          <w:rStyle w:val="FootnoteAnchor"/>
          <w:rtl w:val="true"/>
        </w:rPr>
        <w:footnoteReference w:id="75"/>
      </w:r>
      <w:r>
        <w:rPr>
          <w:rFonts w:ascii="Amiri" w:hAnsi="Amiri" w:eastAsia="Amiri" w:cs="Amiri"/>
          <w:color w:val="111111"/>
          <w:sz w:val="28"/>
          <w:sz w:val="28"/>
          <w:szCs w:val="28"/>
          <w:rtl w:val="true"/>
          <w:lang w:bidi="ar-SA"/>
        </w:rPr>
        <w:t>يوم القيامة و هذا مذهب يختص به آل محمد ص</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 الله عز و جل في ذكر الحشر الأكبر يوم القيامة </w:t>
      </w:r>
      <w:r>
        <w:rPr>
          <w:rStyle w:val="FootnoteAnchor"/>
          <w:rtl w:val="true"/>
        </w:rPr>
        <w:footnoteReference w:id="76"/>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سبحانه في حشر الرجعة قبل يوم القيامة </w:t>
      </w:r>
      <w:r>
        <w:rPr>
          <w:rStyle w:val="FootnoteAnchor"/>
          <w:rtl w:val="true"/>
        </w:rPr>
        <w:footnoteReference w:id="78"/>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79"/>
      </w:r>
      <w:r>
        <w:rPr>
          <w:rFonts w:ascii="IRNazanin" w:hAnsi="IRNazanin" w:eastAsia="IRNazanin"/>
          <w:color w:val="111111"/>
          <w:sz w:val="28"/>
          <w:sz w:val="28"/>
          <w:szCs w:val="28"/>
          <w:rtl w:val="true"/>
          <w:lang w:bidi="fa-IR"/>
        </w:rPr>
        <w:t>فأخبر أن الحشر حشران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سبحانه مخبرا </w:t>
      </w:r>
      <w:r>
        <w:rPr>
          <w:rStyle w:val="FootnoteAnchor"/>
          <w:rtl w:val="true"/>
        </w:rPr>
        <w:footnoteReference w:id="80"/>
      </w:r>
      <w:r>
        <w:rPr>
          <w:rFonts w:ascii="Amiri" w:hAnsi="Amiri" w:eastAsia="Amiri" w:cs="Amiri"/>
          <w:color w:val="111111"/>
          <w:sz w:val="28"/>
          <w:sz w:val="28"/>
          <w:szCs w:val="28"/>
          <w:rtl w:val="true"/>
          <w:lang w:bidi="ar-SA"/>
        </w:rPr>
        <w:t xml:space="preserve">عمن يحشر من الظالمين أنه يقول </w:t>
      </w:r>
      <w:r>
        <w:rPr>
          <w:rStyle w:val="FootnoteAnchor"/>
          <w:rtl w:val="true"/>
        </w:rPr>
        <w:footnoteReference w:id="81"/>
      </w:r>
      <w:r>
        <w:rPr>
          <w:rFonts w:ascii="Amiri" w:hAnsi="Amiri" w:eastAsia="Amiri" w:cs="Amiri"/>
          <w:color w:val="111111"/>
          <w:sz w:val="28"/>
          <w:sz w:val="28"/>
          <w:szCs w:val="28"/>
          <w:rtl w:val="true"/>
          <w:lang w:bidi="ar-SA"/>
        </w:rPr>
        <w:t xml:space="preserve">يوم الحشر الأكبر رَبَّنا أَمَتَّنَا اثْنَتَيْنِ وَ أَحْيَيْتَنَا اثْنَتَيْنِ فَاعْتَرَفْنا بِذُنُوبِنا فَهَلْ إِلى خُرُوجٍ مِنْ سَبِيلٍ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للعامة في هذه الآية تأويل مردود و هو </w:t>
      </w:r>
      <w:r>
        <w:rPr>
          <w:rStyle w:val="FootnoteAnchor"/>
          <w:rtl w:val="true"/>
        </w:rPr>
        <w:footnoteReference w:id="83"/>
      </w:r>
      <w:r>
        <w:rPr>
          <w:rFonts w:ascii="Amiri" w:hAnsi="Amiri" w:eastAsia="Amiri" w:cs="Amiri"/>
          <w:color w:val="111111"/>
          <w:sz w:val="28"/>
          <w:sz w:val="28"/>
          <w:szCs w:val="28"/>
          <w:rtl w:val="true"/>
          <w:lang w:bidi="ar-SA"/>
        </w:rPr>
        <w:t xml:space="preserve">أن المعنى بقوله رَبَّنا أَمَتَّنَا اثْنَتَيْنِ أنه خلقهم أمواتا ثم أماتهم بعد الحياة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باطل لا يجري </w:t>
      </w:r>
      <w:r>
        <w:rPr>
          <w:rStyle w:val="FootnoteAnchor"/>
          <w:rtl w:val="true"/>
        </w:rPr>
        <w:footnoteReference w:id="85"/>
      </w:r>
      <w:r>
        <w:rPr>
          <w:rFonts w:ascii="Amiri" w:hAnsi="Amiri" w:eastAsia="Amiri" w:cs="Amiri"/>
          <w:color w:val="111111"/>
          <w:sz w:val="28"/>
          <w:sz w:val="28"/>
          <w:szCs w:val="28"/>
          <w:rtl w:val="true"/>
          <w:lang w:bidi="ar-SA"/>
        </w:rPr>
        <w:t xml:space="preserve">على لسان العرب لأن الفعل لا يدخل إلا على ما </w:t>
      </w:r>
      <w:r>
        <w:rPr>
          <w:rStyle w:val="FootnoteAnchor"/>
          <w:rtl w:val="true"/>
        </w:rPr>
        <w:footnoteReference w:id="86"/>
      </w:r>
      <w:r>
        <w:rPr>
          <w:rFonts w:ascii="Amiri" w:hAnsi="Amiri" w:eastAsia="Amiri" w:cs="Amiri"/>
          <w:color w:val="111111"/>
          <w:sz w:val="28"/>
          <w:sz w:val="28"/>
          <w:szCs w:val="28"/>
          <w:rtl w:val="true"/>
          <w:lang w:bidi="ar-SA"/>
        </w:rPr>
        <w:t xml:space="preserve">كان بغير </w:t>
      </w:r>
      <w:r>
        <w:rPr>
          <w:rStyle w:val="FootnoteAnchor"/>
          <w:rtl w:val="true"/>
        </w:rPr>
        <w:footnoteReference w:id="87"/>
      </w:r>
      <w:r>
        <w:rPr>
          <w:rFonts w:ascii="Amiri" w:hAnsi="Amiri" w:eastAsia="Amiri" w:cs="Amiri"/>
          <w:color w:val="111111"/>
          <w:sz w:val="28"/>
          <w:sz w:val="28"/>
          <w:szCs w:val="28"/>
          <w:rtl w:val="true"/>
          <w:lang w:bidi="ar-SA"/>
        </w:rPr>
        <w:t xml:space="preserve">الصفة </w:t>
      </w:r>
      <w:r>
        <w:rPr>
          <w:rStyle w:val="FootnoteAnchor"/>
          <w:rtl w:val="true"/>
        </w:rPr>
        <w:footnoteReference w:id="88"/>
      </w:r>
      <w:r>
        <w:rPr>
          <w:rFonts w:ascii="Amiri" w:hAnsi="Amiri" w:eastAsia="Amiri" w:cs="Amiri"/>
          <w:color w:val="111111"/>
          <w:sz w:val="28"/>
          <w:sz w:val="28"/>
          <w:szCs w:val="28"/>
          <w:rtl w:val="true"/>
          <w:lang w:bidi="ar-SA"/>
        </w:rPr>
        <w:t xml:space="preserve">التي انطوى اللفظ على معناها و من خلقه </w:t>
      </w:r>
    </w:p>
    <w:p>
      <w:pPr>
        <w:pStyle w:val="BookText"/>
        <w:rPr/>
      </w:pPr>
      <w:r>
        <w:rPr>
          <w:rFonts w:ascii="IRNazanin" w:hAnsi="IRNazanin" w:eastAsia="IRNazanin"/>
          <w:color w:val="111111"/>
          <w:sz w:val="28"/>
          <w:sz w:val="28"/>
          <w:szCs w:val="28"/>
          <w:rtl w:val="true"/>
          <w:lang w:bidi="fa-IR"/>
        </w:rPr>
        <w:t xml:space="preserve">الله مواتا </w:t>
      </w:r>
      <w:r>
        <w:rPr>
          <w:rStyle w:val="FootnoteAnchor"/>
          <w:rtl w:val="true"/>
        </w:rPr>
        <w:footnoteReference w:id="89"/>
      </w:r>
      <w:r>
        <w:rPr>
          <w:rFonts w:ascii="Amiri" w:hAnsi="Amiri" w:eastAsia="Amiri" w:cs="Amiri"/>
          <w:color w:val="111111"/>
          <w:sz w:val="28"/>
          <w:sz w:val="28"/>
          <w:szCs w:val="28"/>
          <w:rtl w:val="true"/>
          <w:lang w:bidi="ar-SA"/>
        </w:rPr>
        <w:t xml:space="preserve">لا يقال إنه </w:t>
      </w:r>
      <w:r>
        <w:rPr>
          <w:rStyle w:val="FootnoteAnchor"/>
          <w:rtl w:val="true"/>
        </w:rPr>
        <w:footnoteReference w:id="90"/>
      </w:r>
      <w:r>
        <w:rPr>
          <w:rFonts w:ascii="IRNazanin" w:hAnsi="IRNazanin" w:eastAsia="IRNazanin"/>
          <w:color w:val="111111"/>
          <w:sz w:val="28"/>
          <w:sz w:val="28"/>
          <w:szCs w:val="28"/>
          <w:rtl w:val="true"/>
          <w:lang w:bidi="fa-IR"/>
        </w:rPr>
        <w:t xml:space="preserve">أماته </w:t>
      </w:r>
      <w:r>
        <w:rPr>
          <w:rStyle w:val="FootnoteAnchor"/>
          <w:rtl w:val="true"/>
        </w:rPr>
        <w:footnoteReference w:id="91"/>
      </w:r>
      <w:r>
        <w:rPr>
          <w:rFonts w:ascii="Amiri" w:hAnsi="Amiri" w:eastAsia="Amiri" w:cs="Amiri"/>
          <w:color w:val="111111"/>
          <w:sz w:val="28"/>
          <w:sz w:val="28"/>
          <w:szCs w:val="28"/>
          <w:rtl w:val="true"/>
          <w:lang w:bidi="ar-SA"/>
        </w:rPr>
        <w:t xml:space="preserve">و إنما يقال ذلك فيمن </w:t>
      </w:r>
      <w:r>
        <w:rPr>
          <w:rStyle w:val="FootnoteAnchor"/>
          <w:rtl w:val="true"/>
        </w:rPr>
        <w:footnoteReference w:id="92"/>
      </w:r>
      <w:r>
        <w:rPr>
          <w:rFonts w:ascii="Amiri" w:hAnsi="Amiri" w:eastAsia="Amiri" w:cs="Amiri"/>
          <w:color w:val="111111"/>
          <w:sz w:val="28"/>
          <w:sz w:val="28"/>
          <w:szCs w:val="28"/>
          <w:rtl w:val="true"/>
          <w:lang w:bidi="ar-SA"/>
        </w:rPr>
        <w:t>طرأ عليه الموت بعد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93"/>
      </w:r>
      <w:r>
        <w:rPr>
          <w:rFonts w:ascii="Amiri" w:hAnsi="Amiri" w:eastAsia="Amiri" w:cs="Amiri"/>
          <w:color w:val="111111"/>
          <w:sz w:val="28"/>
          <w:sz w:val="28"/>
          <w:szCs w:val="28"/>
          <w:rtl w:val="true"/>
          <w:lang w:bidi="ar-SA"/>
        </w:rPr>
        <w:t xml:space="preserve">لا يقال أحيا </w:t>
      </w:r>
      <w:r>
        <w:rPr>
          <w:rStyle w:val="FootnoteAnchor"/>
          <w:rtl w:val="true"/>
        </w:rPr>
        <w:footnoteReference w:id="94"/>
      </w:r>
      <w:r>
        <w:rPr>
          <w:rFonts w:ascii="Amiri" w:hAnsi="Amiri" w:eastAsia="Amiri" w:cs="Amiri"/>
          <w:color w:val="111111"/>
          <w:sz w:val="28"/>
          <w:sz w:val="28"/>
          <w:szCs w:val="28"/>
          <w:rtl w:val="true"/>
          <w:lang w:bidi="ar-SA"/>
        </w:rPr>
        <w:t xml:space="preserve">الله ميتا إلا أن يكون قد كان قبل إحيائه ميتا </w:t>
      </w:r>
      <w:r>
        <w:rPr>
          <w:rStyle w:val="FootnoteAnchor"/>
          <w:rtl w:val="true"/>
        </w:rPr>
        <w:footnoteReference w:id="95"/>
      </w:r>
      <w:r>
        <w:rPr>
          <w:rFonts w:ascii="Amiri" w:hAnsi="Amiri" w:eastAsia="Amiri" w:cs="Amiri"/>
          <w:color w:val="111111"/>
          <w:sz w:val="28"/>
          <w:sz w:val="28"/>
          <w:szCs w:val="28"/>
          <w:rtl w:val="true"/>
          <w:lang w:bidi="ar-SA"/>
        </w:rPr>
        <w:t xml:space="preserve">و هذا بين لمن تأمله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زعم بعضهم أن المراد بقوله رَبَّنا أَمَتَّنَا اثْنَتَيْنِ الموتة التي تكون </w:t>
      </w:r>
      <w:r>
        <w:rPr>
          <w:rStyle w:val="FootnoteAnchor"/>
          <w:rtl w:val="true"/>
        </w:rPr>
        <w:footnoteReference w:id="97"/>
      </w:r>
      <w:r>
        <w:rPr>
          <w:rFonts w:ascii="Amiri" w:hAnsi="Amiri" w:eastAsia="Amiri" w:cs="Amiri"/>
          <w:color w:val="111111"/>
          <w:sz w:val="28"/>
          <w:sz w:val="28"/>
          <w:szCs w:val="28"/>
          <w:rtl w:val="true"/>
          <w:lang w:bidi="ar-SA"/>
        </w:rPr>
        <w:t xml:space="preserve">بعد حياتهم في القبور للمساءلة فتكون الأولى قبل الإقبار </w:t>
      </w:r>
      <w:r>
        <w:rPr>
          <w:rStyle w:val="FootnoteAnchor"/>
          <w:rtl w:val="true"/>
        </w:rPr>
        <w:footnoteReference w:id="98"/>
      </w:r>
      <w:r>
        <w:rPr>
          <w:rFonts w:ascii="Amiri" w:hAnsi="Amiri" w:eastAsia="Amiri" w:cs="Amiri"/>
          <w:color w:val="111111"/>
          <w:sz w:val="28"/>
          <w:sz w:val="28"/>
          <w:szCs w:val="28"/>
          <w:rtl w:val="true"/>
          <w:lang w:bidi="ar-SA"/>
        </w:rPr>
        <w:t xml:space="preserve">و الثانية بعده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باطل من وجه آخر و هو أن الحياة للمساءلة ليست للتكليف فيندم الإنسان على ما فاته في حاله </w:t>
      </w:r>
      <w:r>
        <w:rPr>
          <w:rStyle w:val="FootnoteAnchor"/>
          <w:rtl w:val="true"/>
        </w:rPr>
        <w:footnoteReference w:id="100"/>
      </w:r>
      <w:r>
        <w:rPr>
          <w:rFonts w:ascii="IRNazanin" w:hAnsi="IRNazanin" w:eastAsia="IRNazanin"/>
          <w:color w:val="111111"/>
          <w:sz w:val="28"/>
          <w:sz w:val="28"/>
          <w:szCs w:val="28"/>
          <w:rtl w:val="true"/>
          <w:lang w:bidi="fa-IR"/>
        </w:rPr>
        <w:t xml:space="preserve">و ندم القوم على ما </w:t>
      </w:r>
      <w:r>
        <w:rPr>
          <w:rStyle w:val="FootnoteAnchor"/>
          <w:rtl w:val="true"/>
        </w:rPr>
        <w:footnoteReference w:id="101"/>
      </w:r>
      <w:r>
        <w:rPr>
          <w:rFonts w:ascii="Amiri" w:hAnsi="Amiri" w:eastAsia="Amiri" w:cs="Amiri"/>
          <w:color w:val="111111"/>
          <w:sz w:val="28"/>
          <w:sz w:val="28"/>
          <w:szCs w:val="28"/>
          <w:rtl w:val="true"/>
          <w:lang w:bidi="ar-SA"/>
        </w:rPr>
        <w:t xml:space="preserve">فاتهم في حياتهم المرتين </w:t>
      </w:r>
      <w:r>
        <w:rPr>
          <w:rStyle w:val="FootnoteAnchor"/>
          <w:rtl w:val="true"/>
        </w:rPr>
        <w:footnoteReference w:id="102"/>
      </w:r>
      <w:r>
        <w:rPr>
          <w:rFonts w:ascii="Amiri" w:hAnsi="Amiri" w:eastAsia="Amiri" w:cs="Amiri"/>
          <w:color w:val="111111"/>
          <w:sz w:val="28"/>
          <w:sz w:val="28"/>
          <w:szCs w:val="28"/>
          <w:rtl w:val="true"/>
          <w:lang w:bidi="ar-SA"/>
        </w:rPr>
        <w:t xml:space="preserve">يدل على أنه لم يرد حياة المساءلة لكنه أراد حياة </w:t>
      </w:r>
      <w:bookmarkStart w:id="53" w:name="pg19202_232098"/>
    </w:p>
    <w:p>
      <w:pPr>
        <w:pStyle w:val="BookText"/>
        <w:rPr/>
      </w:pPr>
      <w:bookmarkEnd w:id="53"/>
      <w:r>
        <w:rPr>
          <w:rFonts w:ascii="Amiri" w:hAnsi="Amiri" w:eastAsia="Amiri" w:cs="Amiri"/>
          <w:color w:val="111111"/>
          <w:sz w:val="28"/>
          <w:sz w:val="28"/>
          <w:szCs w:val="28"/>
          <w:rtl w:val="true"/>
          <w:lang w:bidi="ar-SA"/>
        </w:rPr>
        <w:t xml:space="preserve">الرجعة التي تكون لتكليفهم و الندم </w:t>
      </w:r>
      <w:r>
        <w:rPr>
          <w:rStyle w:val="FootnoteAnchor"/>
          <w:rtl w:val="true"/>
        </w:rPr>
        <w:footnoteReference w:id="103"/>
      </w:r>
      <w:r>
        <w:rPr>
          <w:rFonts w:ascii="Amiri" w:hAnsi="Amiri" w:eastAsia="Amiri" w:cs="Amiri"/>
          <w:color w:val="111111"/>
          <w:sz w:val="28"/>
          <w:sz w:val="28"/>
          <w:szCs w:val="28"/>
          <w:rtl w:val="true"/>
          <w:lang w:bidi="ar-SA"/>
        </w:rPr>
        <w:t xml:space="preserve">على تفريطهم فلا يفعلون </w:t>
      </w:r>
      <w:r>
        <w:rPr>
          <w:rStyle w:val="FootnoteAnchor"/>
          <w:rtl w:val="true"/>
        </w:rPr>
        <w:footnoteReference w:id="104"/>
      </w:r>
      <w:r>
        <w:rPr>
          <w:rFonts w:ascii="Amiri" w:hAnsi="Amiri" w:eastAsia="Amiri" w:cs="Amiri"/>
          <w:color w:val="111111"/>
          <w:sz w:val="28"/>
          <w:sz w:val="28"/>
          <w:szCs w:val="28"/>
          <w:rtl w:val="true"/>
          <w:lang w:bidi="ar-SA"/>
        </w:rPr>
        <w:t>ذلك فيندمون يوم العرض على ما فاتهم من ذلك</w:t>
      </w:r>
    </w:p>
    <w:p>
      <w:pPr>
        <w:pStyle w:val="Heading2"/>
        <w:numPr>
          <w:ilvl w:val="1"/>
          <w:numId w:val="1"/>
        </w:numPr>
        <w:rPr/>
      </w:pPr>
      <w:bookmarkStart w:id="54" w:name="__RefHeading___Toc16229034_1280447820"/>
      <w:bookmarkStart w:id="55" w:name="_Toc20"/>
      <w:bookmarkEnd w:id="54"/>
      <w:r>
        <w:rPr>
          <w:rtl w:val="true"/>
        </w:rPr>
        <w:t>فصل في من يرجع من الأمم</w:t>
      </w:r>
      <w:bookmarkEnd w:id="55"/>
    </w:p>
    <w:p>
      <w:pPr>
        <w:pStyle w:val="BookText"/>
        <w:rPr/>
      </w:pPr>
      <w:r>
        <w:rPr>
          <w:rFonts w:ascii="Amiri" w:hAnsi="Amiri" w:eastAsia="Amiri" w:cs="Amiri"/>
          <w:color w:val="111111"/>
          <w:sz w:val="28"/>
          <w:sz w:val="28"/>
          <w:szCs w:val="28"/>
          <w:rtl w:val="true"/>
          <w:lang w:bidi="ar-SA"/>
        </w:rPr>
        <w:t xml:space="preserve">و الرجعة عندنا تختص بمن محض الإيمان و محض </w:t>
      </w:r>
      <w:r>
        <w:rPr>
          <w:rStyle w:val="FootnoteAnchor"/>
          <w:rtl w:val="true"/>
        </w:rPr>
        <w:footnoteReference w:id="105"/>
      </w:r>
      <w:r>
        <w:rPr>
          <w:rFonts w:ascii="Amiri" w:hAnsi="Amiri" w:eastAsia="Amiri" w:cs="Amiri"/>
          <w:color w:val="111111"/>
          <w:sz w:val="28"/>
          <w:sz w:val="28"/>
          <w:szCs w:val="28"/>
          <w:rtl w:val="true"/>
          <w:lang w:bidi="ar-SA"/>
        </w:rPr>
        <w:t xml:space="preserve">الكفر دون ما سوى هذين الفريقين </w:t>
      </w:r>
      <w:r>
        <w:rPr>
          <w:rStyle w:val="FootnoteAnchor"/>
          <w:rtl w:val="true"/>
        </w:rPr>
        <w:footnoteReference w:id="106"/>
      </w:r>
      <w:r>
        <w:rPr>
          <w:rFonts w:ascii="IRNazanin" w:hAnsi="IRNazanin" w:eastAsia="IRNazanin"/>
          <w:color w:val="111111"/>
          <w:sz w:val="28"/>
          <w:sz w:val="28"/>
          <w:szCs w:val="28"/>
          <w:rtl w:val="true"/>
          <w:lang w:bidi="fa-IR"/>
        </w:rPr>
        <w:t xml:space="preserve">فإذا أراد </w:t>
      </w:r>
      <w:r>
        <w:rPr>
          <w:rStyle w:val="FootnoteAnchor"/>
          <w:rtl w:val="true"/>
        </w:rPr>
        <w:footnoteReference w:id="107"/>
      </w:r>
      <w:r>
        <w:rPr>
          <w:rFonts w:ascii="IRNazanin" w:hAnsi="IRNazanin" w:eastAsia="IRNazanin"/>
          <w:color w:val="111111"/>
          <w:sz w:val="28"/>
          <w:sz w:val="28"/>
          <w:szCs w:val="28"/>
          <w:rtl w:val="true"/>
          <w:lang w:bidi="fa-IR"/>
        </w:rPr>
        <w:t xml:space="preserve">الله تعالى على ما </w:t>
      </w:r>
      <w:r>
        <w:rPr>
          <w:rStyle w:val="FootnoteAnchor"/>
          <w:rtl w:val="true"/>
        </w:rPr>
        <w:footnoteReference w:id="108"/>
      </w:r>
      <w:r>
        <w:rPr>
          <w:rFonts w:ascii="Amiri" w:hAnsi="Amiri" w:eastAsia="Amiri" w:cs="Amiri"/>
          <w:color w:val="111111"/>
          <w:sz w:val="28"/>
          <w:sz w:val="28"/>
          <w:szCs w:val="28"/>
          <w:rtl w:val="true"/>
          <w:lang w:bidi="ar-SA"/>
        </w:rPr>
        <w:t xml:space="preserve">ذكرناه أوهم الشيطان أعداء الله عز و جل إنما ردوا إلى الدنيا لطغيانهم على الله فيزدادوا عتوا فينتقم الله تعالى منهم بأوليائه المؤمنين و يجعل لهم الكرة عليهم فلا يبقى منهم أحد إلا و هو </w:t>
      </w:r>
      <w:r>
        <w:rPr>
          <w:rStyle w:val="FootnoteAnchor"/>
          <w:rtl w:val="true"/>
        </w:rPr>
        <w:footnoteReference w:id="109"/>
      </w:r>
      <w:r>
        <w:rPr>
          <w:rFonts w:ascii="Amiri" w:hAnsi="Amiri" w:eastAsia="Amiri" w:cs="Amiri"/>
          <w:color w:val="111111"/>
          <w:sz w:val="28"/>
          <w:sz w:val="28"/>
          <w:szCs w:val="28"/>
          <w:rtl w:val="true"/>
          <w:lang w:bidi="ar-SA"/>
        </w:rPr>
        <w:t xml:space="preserve">مغموم بالعذاب و النقمة و العقاب </w:t>
      </w:r>
      <w:r>
        <w:rPr>
          <w:rStyle w:val="FootnoteAnchor"/>
          <w:rtl w:val="true"/>
        </w:rPr>
        <w:footnoteReference w:id="110"/>
      </w:r>
      <w:r>
        <w:rPr>
          <w:rFonts w:ascii="Amiri" w:hAnsi="Amiri" w:eastAsia="Amiri" w:cs="Amiri"/>
          <w:color w:val="111111"/>
          <w:sz w:val="28"/>
          <w:sz w:val="28"/>
          <w:szCs w:val="28"/>
          <w:rtl w:val="true"/>
          <w:lang w:bidi="ar-SA"/>
        </w:rPr>
        <w:t>و تصفو الأرض من الطغاة و يكون الدين 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الرجعة إنما هي لممحضي الإيمان من أهل الملة و ممحضي النفاق منهم دون من سلف من الأمم الخالية </w:t>
      </w:r>
      <w:bookmarkStart w:id="56" w:name="pg19202_232099"/>
    </w:p>
    <w:p>
      <w:pPr>
        <w:pStyle w:val="Heading2"/>
        <w:numPr>
          <w:ilvl w:val="1"/>
          <w:numId w:val="1"/>
        </w:numPr>
        <w:rPr/>
      </w:pPr>
      <w:bookmarkStart w:id="57" w:name="__RefHeading___Toc16229036_1280447820"/>
      <w:bookmarkStart w:id="58" w:name="_Toc21"/>
      <w:bookmarkEnd w:id="56"/>
      <w:bookmarkEnd w:id="57"/>
      <w:r>
        <w:rPr>
          <w:rtl w:val="true"/>
        </w:rPr>
        <w:t>فصل شبهة في الرجعة</w:t>
      </w:r>
      <w:bookmarkEnd w:id="58"/>
    </w:p>
    <w:p>
      <w:pPr>
        <w:pStyle w:val="BookText"/>
        <w:rPr/>
      </w:pPr>
      <w:r>
        <w:rPr>
          <w:rFonts w:ascii="Amiri" w:hAnsi="Amiri" w:eastAsia="Amiri" w:cs="Amiri"/>
          <w:color w:val="111111"/>
          <w:sz w:val="28"/>
          <w:sz w:val="28"/>
          <w:szCs w:val="28"/>
          <w:rtl w:val="true"/>
          <w:lang w:bidi="ar-SA"/>
        </w:rPr>
        <w:t xml:space="preserve">و قد قال قوم من المخالفين لنا كيف </w:t>
      </w:r>
      <w:r>
        <w:rPr>
          <w:rStyle w:val="FootnoteAnchor"/>
          <w:rtl w:val="true"/>
        </w:rPr>
        <w:footnoteReference w:id="111"/>
      </w:r>
      <w:r>
        <w:rPr>
          <w:rFonts w:ascii="Amiri" w:hAnsi="Amiri" w:eastAsia="Amiri" w:cs="Amiri"/>
          <w:color w:val="111111"/>
          <w:sz w:val="28"/>
          <w:sz w:val="28"/>
          <w:szCs w:val="28"/>
          <w:rtl w:val="true"/>
          <w:lang w:bidi="ar-SA"/>
        </w:rPr>
        <w:t>يعود كفار الملة بعد الموت إلى طغيانهم و قد عاينوا عذاب الله تعالى في البرزخ و تيقنوا بذلك أنهم 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لهم </w:t>
      </w:r>
      <w:r>
        <w:rPr>
          <w:rStyle w:val="FootnoteAnchor"/>
          <w:rtl w:val="true"/>
        </w:rPr>
        <w:footnoteReference w:id="112"/>
      </w:r>
      <w:r>
        <w:rPr>
          <w:rFonts w:ascii="Amiri" w:hAnsi="Amiri" w:eastAsia="Amiri" w:cs="Amiri"/>
          <w:color w:val="111111"/>
          <w:sz w:val="28"/>
          <w:sz w:val="28"/>
          <w:szCs w:val="28"/>
          <w:rtl w:val="true"/>
          <w:lang w:bidi="ar-SA"/>
        </w:rPr>
        <w:t xml:space="preserve">ليس ذلك بأعجب من الكفار الذين يشاهدون في البرزخ ما يحل بهم من العذاب </w:t>
      </w:r>
      <w:r>
        <w:rPr>
          <w:rStyle w:val="FootnoteAnchor"/>
          <w:rtl w:val="true"/>
        </w:rPr>
        <w:footnoteReference w:id="113"/>
      </w:r>
      <w:r>
        <w:rPr>
          <w:rFonts w:ascii="Amiri" w:hAnsi="Amiri" w:eastAsia="Amiri" w:cs="Amiri"/>
          <w:color w:val="111111"/>
          <w:sz w:val="28"/>
          <w:sz w:val="28"/>
          <w:szCs w:val="28"/>
          <w:rtl w:val="true"/>
          <w:lang w:bidi="ar-SA"/>
        </w:rPr>
        <w:t xml:space="preserve">و يعلمونه ضرورة بعد المدافعة </w:t>
      </w:r>
      <w:r>
        <w:rPr>
          <w:rStyle w:val="FootnoteAnchor"/>
          <w:rtl w:val="true"/>
        </w:rPr>
        <w:footnoteReference w:id="114"/>
      </w:r>
      <w:r>
        <w:rPr>
          <w:rFonts w:ascii="Amiri" w:hAnsi="Amiri" w:eastAsia="Amiri" w:cs="Amiri"/>
          <w:color w:val="111111"/>
          <w:sz w:val="28"/>
          <w:sz w:val="28"/>
          <w:szCs w:val="28"/>
          <w:rtl w:val="true"/>
          <w:lang w:bidi="ar-SA"/>
        </w:rPr>
        <w:t xml:space="preserve">لهم و الاحتجاج عليهم بضلالهم في الدنيا </w:t>
      </w:r>
      <w:r>
        <w:rPr>
          <w:rStyle w:val="FootnoteAnchor"/>
          <w:rtl w:val="true"/>
        </w:rPr>
        <w:footnoteReference w:id="115"/>
      </w:r>
      <w:r>
        <w:rPr>
          <w:rFonts w:ascii="Amiri" w:hAnsi="Amiri" w:eastAsia="Amiri" w:cs="Amiri"/>
          <w:color w:val="111111"/>
          <w:sz w:val="28"/>
          <w:sz w:val="28"/>
          <w:szCs w:val="28"/>
          <w:rtl w:val="true"/>
          <w:lang w:bidi="ar-SA"/>
        </w:rPr>
        <w:t xml:space="preserve">فيقولون حينئذ يا لَيْتَنا نُرَدُّ وَ لا نُكَذِّبَ بِآياتِ رَبِّنا وَ نَكُونَ مِنَ الْمُؤْمِنِينَ </w:t>
      </w:r>
      <w:r>
        <w:rPr>
          <w:rStyle w:val="FootnoteAnchor"/>
          <w:rtl w:val="true"/>
        </w:rPr>
        <w:footnoteReference w:id="116"/>
      </w:r>
      <w:r>
        <w:rPr>
          <w:rFonts w:ascii="Amiri" w:hAnsi="Amiri" w:eastAsia="Amiri" w:cs="Amiri"/>
          <w:color w:val="111111"/>
          <w:sz w:val="28"/>
          <w:sz w:val="28"/>
          <w:szCs w:val="28"/>
          <w:rtl w:val="true"/>
          <w:lang w:bidi="ar-SA"/>
        </w:rPr>
        <w:t xml:space="preserve">فقال الله عز و جل بَلْ بَدا لَهُمْ ما كانُوا يُخْفُونَ مِنْ قَبْلُ وَ لَوْ رُدُّوا لَعادُوا لِما نُهُوا عَنْهُ وَ إِنَّهُمْ لَكاذِبُونَ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للمخالف بعد هذا الاحتجاج شبهة يتعلق بها فيما ذكرناه و المنة لله </w:t>
      </w:r>
      <w:bookmarkStart w:id="59" w:name="pg19202_232100"/>
    </w:p>
    <w:p>
      <w:pPr>
        <w:pStyle w:val="Heading2"/>
        <w:numPr>
          <w:ilvl w:val="1"/>
          <w:numId w:val="1"/>
        </w:numPr>
        <w:rPr/>
      </w:pPr>
      <w:bookmarkStart w:id="60" w:name="__RefHeading___Toc16229038_1280447820"/>
      <w:bookmarkStart w:id="61" w:name="_Toc22"/>
      <w:bookmarkEnd w:id="59"/>
      <w:bookmarkEnd w:id="60"/>
      <w:r>
        <w:rPr>
          <w:rtl w:val="true"/>
        </w:rPr>
        <w:t>المسألة الثانية في الأشباح و الذر و الأرواح</w:t>
      </w:r>
      <w:bookmarkEnd w:id="61"/>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18"/>
      </w:r>
      <w:r>
        <w:rPr>
          <w:rFonts w:ascii="Amiri" w:hAnsi="Amiri" w:eastAsia="Amiri" w:cs="Amiri"/>
          <w:color w:val="111111"/>
          <w:sz w:val="28"/>
          <w:sz w:val="28"/>
          <w:szCs w:val="28"/>
          <w:rtl w:val="true"/>
          <w:lang w:bidi="ar-SA"/>
        </w:rPr>
        <w:t xml:space="preserve">قوله أدام الله تأييده في معنى الأخبار المروية عن الأئمة الهادية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الأشباح و خلق الله تعالى الأرواح قبل خلقه </w:t>
      </w:r>
      <w:r>
        <w:rPr>
          <w:rStyle w:val="FootnoteAnchor"/>
          <w:rtl w:val="true"/>
        </w:rPr>
        <w:footnoteReference w:id="119"/>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بألفي </w:t>
      </w:r>
      <w:r>
        <w:rPr>
          <w:rStyle w:val="FootnoteAnchor"/>
          <w:rtl w:val="true"/>
        </w:rPr>
        <w:footnoteReference w:id="120"/>
      </w:r>
      <w:r>
        <w:rPr>
          <w:rFonts w:ascii="Amiri" w:hAnsi="Amiri" w:eastAsia="Amiri" w:cs="Amiri"/>
          <w:color w:val="111111"/>
          <w:sz w:val="28"/>
          <w:sz w:val="28"/>
          <w:szCs w:val="28"/>
          <w:rtl w:val="true"/>
          <w:lang w:bidi="ar-SA"/>
        </w:rPr>
        <w:t>عام و إخراج الذرية من صلبه على صور الذر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w:t>
      </w:r>
    </w:p>
    <w:p>
      <w:pPr>
        <w:pStyle w:val="BookText"/>
        <w:rPr/>
      </w:pPr>
      <w:r>
        <w:rPr>
          <w:rFonts w:ascii="Amiri" w:hAnsi="Amiri" w:eastAsia="Amiri" w:cs="Amiri"/>
          <w:color w:val="111111"/>
          <w:sz w:val="28"/>
          <w:sz w:val="28"/>
          <w:szCs w:val="28"/>
          <w:rtl w:val="true"/>
          <w:lang w:bidi="ar-SA"/>
        </w:rPr>
        <w:t xml:space="preserve">قول رسول الله ص الأرواح جنود مجندة فما تعارف منها ائتلف و ما تناكر منها اختلف </w:t>
      </w:r>
      <w:r>
        <w:rPr>
          <w:rStyle w:val="FootnoteAnchor"/>
          <w:rtl w:val="true"/>
        </w:rPr>
        <w:footnoteReference w:id="1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 بالله التوفيق إن الأخبار بذكر الأشباح تختلف ألفاظها و تتباين معانيها و قد بنت الغلاة عليها أباطيل كثيرة و صنفوا فيها كتبا لغوا فيها و هذوا </w:t>
      </w:r>
      <w:r>
        <w:rPr>
          <w:rStyle w:val="FootnoteAnchor"/>
          <w:rtl w:val="true"/>
        </w:rPr>
        <w:footnoteReference w:id="122"/>
      </w:r>
      <w:r>
        <w:rPr>
          <w:rFonts w:ascii="Amiri" w:hAnsi="Amiri" w:eastAsia="Amiri" w:cs="Amiri"/>
          <w:color w:val="111111"/>
          <w:sz w:val="28"/>
          <w:sz w:val="28"/>
          <w:szCs w:val="28"/>
          <w:rtl w:val="true"/>
          <w:lang w:bidi="ar-SA"/>
        </w:rPr>
        <w:t xml:space="preserve">فيما أثبتوه منه في معانيها و أضافوا ما حوته الكتب إلى جماعة من </w:t>
      </w:r>
    </w:p>
    <w:p>
      <w:pPr>
        <w:pStyle w:val="BookText"/>
        <w:rPr/>
      </w:pPr>
      <w:r>
        <w:rPr>
          <w:rFonts w:ascii="Amiri" w:hAnsi="Amiri" w:eastAsia="Amiri" w:cs="Amiri"/>
          <w:color w:val="111111"/>
          <w:sz w:val="28"/>
          <w:sz w:val="28"/>
          <w:szCs w:val="28"/>
          <w:rtl w:val="true"/>
          <w:lang w:bidi="ar-SA"/>
        </w:rPr>
        <w:t xml:space="preserve">شيوخ </w:t>
      </w:r>
      <w:r>
        <w:rPr>
          <w:rStyle w:val="FootnoteAnchor"/>
          <w:rtl w:val="true"/>
        </w:rPr>
        <w:footnoteReference w:id="123"/>
      </w:r>
      <w:r>
        <w:rPr>
          <w:rFonts w:ascii="IRNazanin" w:hAnsi="IRNazanin" w:eastAsia="IRNazanin"/>
          <w:color w:val="111111"/>
          <w:sz w:val="28"/>
          <w:sz w:val="28"/>
          <w:szCs w:val="28"/>
          <w:rtl w:val="true"/>
          <w:lang w:bidi="fa-IR"/>
        </w:rPr>
        <w:t xml:space="preserve">أهل الحق و تخرصوا </w:t>
      </w:r>
      <w:r>
        <w:rPr>
          <w:rStyle w:val="FootnoteAnchor"/>
          <w:rtl w:val="true"/>
        </w:rPr>
        <w:footnoteReference w:id="124"/>
      </w:r>
      <w:r>
        <w:rPr>
          <w:rFonts w:ascii="IRNazanin" w:hAnsi="IRNazanin" w:eastAsia="IRNazanin"/>
          <w:color w:val="111111"/>
          <w:sz w:val="28"/>
          <w:sz w:val="28"/>
          <w:szCs w:val="28"/>
          <w:rtl w:val="true"/>
          <w:lang w:bidi="fa-IR"/>
        </w:rPr>
        <w:t xml:space="preserve">الباطل بإضافتها </w:t>
      </w:r>
      <w:r>
        <w:rPr>
          <w:rStyle w:val="FootnoteAnchor"/>
          <w:rtl w:val="true"/>
        </w:rPr>
        <w:footnoteReference w:id="125"/>
      </w:r>
      <w:r>
        <w:rPr>
          <w:rFonts w:ascii="Amiri" w:hAnsi="Amiri" w:eastAsia="Amiri" w:cs="Amiri"/>
          <w:color w:val="111111"/>
          <w:sz w:val="28"/>
          <w:sz w:val="28"/>
          <w:szCs w:val="28"/>
          <w:rtl w:val="true"/>
          <w:lang w:bidi="ar-SA"/>
        </w:rPr>
        <w:t xml:space="preserve">إليهم من جملتها كتاب سموه كتاب الأشباح و الأظلة و نسبوا تأليفه </w:t>
      </w:r>
      <w:r>
        <w:rPr>
          <w:rStyle w:val="FootnoteAnchor"/>
          <w:rtl w:val="true"/>
        </w:rPr>
        <w:footnoteReference w:id="126"/>
      </w:r>
      <w:r>
        <w:rPr>
          <w:rFonts w:ascii="IRNazanin" w:hAnsi="IRNazanin" w:eastAsia="IRNazanin"/>
          <w:color w:val="111111"/>
          <w:sz w:val="28"/>
          <w:sz w:val="28"/>
          <w:szCs w:val="28"/>
          <w:rtl w:val="true"/>
          <w:lang w:bidi="fa-IR"/>
        </w:rPr>
        <w:t xml:space="preserve">إلى محمد بن سنان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لسنا </w:t>
      </w:r>
      <w:r>
        <w:rPr>
          <w:rStyle w:val="FootnoteAnchor"/>
          <w:rtl w:val="true"/>
        </w:rPr>
        <w:footnoteReference w:id="128"/>
      </w:r>
      <w:r>
        <w:rPr>
          <w:rFonts w:ascii="Amiri" w:hAnsi="Amiri" w:eastAsia="Amiri" w:cs="Amiri"/>
          <w:color w:val="111111"/>
          <w:sz w:val="28"/>
          <w:sz w:val="28"/>
          <w:szCs w:val="28"/>
          <w:rtl w:val="true"/>
          <w:lang w:bidi="ar-SA"/>
        </w:rPr>
        <w:t xml:space="preserve">نعلم صحة ما ذكروه في هذا الباب عنه فإن </w:t>
      </w:r>
      <w:r>
        <w:rPr>
          <w:rStyle w:val="FootnoteAnchor"/>
          <w:rtl w:val="true"/>
        </w:rPr>
        <w:footnoteReference w:id="129"/>
      </w:r>
      <w:r>
        <w:rPr>
          <w:rFonts w:ascii="Amiri" w:hAnsi="Amiri" w:eastAsia="Amiri" w:cs="Amiri"/>
          <w:color w:val="111111"/>
          <w:sz w:val="28"/>
          <w:sz w:val="28"/>
          <w:szCs w:val="28"/>
          <w:rtl w:val="true"/>
          <w:lang w:bidi="ar-SA"/>
        </w:rPr>
        <w:t xml:space="preserve">كان صحيحا فإن ابن سنان قد </w:t>
      </w:r>
      <w:r>
        <w:rPr>
          <w:rStyle w:val="FootnoteAnchor"/>
          <w:rtl w:val="true"/>
        </w:rPr>
        <w:footnoteReference w:id="130"/>
      </w:r>
      <w:r>
        <w:rPr>
          <w:rFonts w:ascii="IRNazanin" w:hAnsi="IRNazanin" w:eastAsia="IRNazanin"/>
          <w:color w:val="111111"/>
          <w:sz w:val="28"/>
          <w:sz w:val="28"/>
          <w:szCs w:val="28"/>
          <w:rtl w:val="true"/>
          <w:lang w:bidi="fa-IR"/>
        </w:rPr>
        <w:t xml:space="preserve">طعن </w:t>
      </w:r>
      <w:r>
        <w:rPr>
          <w:rStyle w:val="FootnoteAnchor"/>
          <w:rtl w:val="true"/>
        </w:rPr>
        <w:footnoteReference w:id="131"/>
      </w:r>
      <w:r>
        <w:rPr>
          <w:rFonts w:ascii="Amiri" w:hAnsi="Amiri" w:eastAsia="Amiri" w:cs="Amiri"/>
          <w:color w:val="111111"/>
          <w:sz w:val="28"/>
          <w:sz w:val="28"/>
          <w:szCs w:val="28"/>
          <w:rtl w:val="true"/>
          <w:lang w:bidi="ar-SA"/>
        </w:rPr>
        <w:t xml:space="preserve">عليه و هو متهم بالغلو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صدقوا في إضافة هذا الكتاب إليه فهو ضال بضلاله </w:t>
      </w:r>
      <w:r>
        <w:rPr>
          <w:rStyle w:val="FootnoteAnchor"/>
          <w:rtl w:val="true"/>
        </w:rPr>
        <w:footnoteReference w:id="133"/>
      </w:r>
      <w:r>
        <w:rPr>
          <w:rFonts w:ascii="Amiri" w:hAnsi="Amiri" w:eastAsia="Amiri" w:cs="Amiri"/>
          <w:color w:val="111111"/>
          <w:sz w:val="28"/>
          <w:sz w:val="28"/>
          <w:szCs w:val="28"/>
          <w:rtl w:val="true"/>
          <w:lang w:bidi="ar-SA"/>
        </w:rPr>
        <w:t>عن الحق و إن كذبوا فقد تحملوا أوزار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الصحيح من </w:t>
      </w:r>
      <w:r>
        <w:rPr>
          <w:rStyle w:val="FootnoteAnchor"/>
          <w:rtl w:val="true"/>
        </w:rPr>
        <w:footnoteReference w:id="134"/>
      </w:r>
      <w:r>
        <w:rPr>
          <w:rFonts w:ascii="Amiri" w:hAnsi="Amiri" w:eastAsia="Amiri" w:cs="Amiri"/>
          <w:color w:val="111111"/>
          <w:sz w:val="28"/>
          <w:sz w:val="28"/>
          <w:szCs w:val="28"/>
          <w:rtl w:val="true"/>
          <w:lang w:bidi="ar-SA"/>
        </w:rPr>
        <w:t>حديث الأشباح</w:t>
      </w:r>
    </w:p>
    <w:p>
      <w:pPr>
        <w:pStyle w:val="BookText"/>
        <w:rPr/>
      </w:pPr>
      <w:r>
        <w:rPr>
          <w:rFonts w:ascii="Amiri" w:hAnsi="Amiri" w:eastAsia="Amiri" w:cs="Amiri"/>
          <w:color w:val="111111"/>
          <w:sz w:val="28"/>
          <w:sz w:val="28"/>
          <w:szCs w:val="28"/>
          <w:rtl w:val="true"/>
          <w:lang w:bidi="ar-SA"/>
        </w:rPr>
        <w:t xml:space="preserve">الرواية التي جاءت عن الثقات بأن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العرش أشباحا يلمع </w:t>
      </w:r>
      <w:r>
        <w:rPr>
          <w:rStyle w:val="FootnoteAnchor"/>
          <w:rtl w:val="true"/>
        </w:rPr>
        <w:footnoteReference w:id="135"/>
      </w:r>
      <w:r>
        <w:rPr>
          <w:rFonts w:ascii="IRNazanin" w:hAnsi="IRNazanin" w:eastAsia="IRNazanin"/>
          <w:color w:val="111111"/>
          <w:sz w:val="28"/>
          <w:sz w:val="28"/>
          <w:szCs w:val="28"/>
          <w:rtl w:val="true"/>
          <w:lang w:bidi="fa-IR"/>
        </w:rPr>
        <w:t xml:space="preserve">نورها فسأل الله تعالى عنها فأوحى </w:t>
      </w:r>
      <w:r>
        <w:rPr>
          <w:rStyle w:val="FootnoteAnchor"/>
          <w:rtl w:val="true"/>
        </w:rPr>
        <w:footnoteReference w:id="136"/>
      </w:r>
      <w:r>
        <w:rPr>
          <w:rFonts w:ascii="Amiri" w:hAnsi="Amiri" w:eastAsia="Amiri" w:cs="Amiri"/>
          <w:color w:val="111111"/>
          <w:sz w:val="28"/>
          <w:sz w:val="28"/>
          <w:szCs w:val="28"/>
          <w:rtl w:val="true"/>
          <w:lang w:bidi="ar-SA"/>
        </w:rPr>
        <w:t xml:space="preserve">إليه أنها أشباح رسول الله و أمير المؤمنين و فاطمة و الحسن و الحسين </w:t>
      </w:r>
      <w:r>
        <w:rPr>
          <w:rStyle w:val="FootnoteAnchor"/>
          <w:rtl w:val="true"/>
        </w:rPr>
        <w:footnoteReference w:id="137"/>
      </w:r>
      <w:r>
        <w:rPr>
          <w:rFonts w:ascii="Amiri" w:hAnsi="Amiri" w:eastAsia="Amiri" w:cs="Amiri"/>
          <w:color w:val="111111"/>
          <w:sz w:val="28"/>
          <w:sz w:val="28"/>
          <w:szCs w:val="28"/>
          <w:rtl w:val="true"/>
          <w:lang w:bidi="ar-SA"/>
        </w:rPr>
        <w:t xml:space="preserve">ص و أعلمه أن لو لا الأشباح التي رآها </w:t>
      </w:r>
      <w:r>
        <w:rPr>
          <w:rStyle w:val="FootnoteAnchor"/>
          <w:rtl w:val="true"/>
        </w:rPr>
        <w:footnoteReference w:id="138"/>
      </w:r>
      <w:r>
        <w:rPr>
          <w:rFonts w:ascii="IRNazanin" w:hAnsi="IRNazanin" w:eastAsia="IRNazanin"/>
          <w:color w:val="111111"/>
          <w:sz w:val="28"/>
          <w:sz w:val="28"/>
          <w:szCs w:val="28"/>
          <w:rtl w:val="true"/>
          <w:lang w:bidi="fa-IR"/>
        </w:rPr>
        <w:t xml:space="preserve">ما </w:t>
      </w:r>
      <w:r>
        <w:rPr>
          <w:rStyle w:val="FootnoteAnchor"/>
          <w:rtl w:val="true"/>
        </w:rPr>
        <w:footnoteReference w:id="139"/>
      </w:r>
      <w:r>
        <w:rPr>
          <w:rFonts w:ascii="IRNazanin" w:hAnsi="IRNazanin" w:eastAsia="IRNazanin"/>
          <w:color w:val="111111"/>
          <w:sz w:val="28"/>
          <w:sz w:val="28"/>
          <w:szCs w:val="28"/>
          <w:rtl w:val="true"/>
          <w:lang w:bidi="fa-IR"/>
        </w:rPr>
        <w:t xml:space="preserve">خلقه و لا خلق سماء و لا أرضا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فيما أظهره الله تعالى من الأشباح و الصور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دله </w:t>
      </w:r>
      <w:r>
        <w:rPr>
          <w:rStyle w:val="FootnoteAnchor"/>
          <w:rtl w:val="true"/>
        </w:rPr>
        <w:footnoteReference w:id="141"/>
      </w:r>
      <w:r>
        <w:rPr>
          <w:rFonts w:ascii="Amiri" w:hAnsi="Amiri" w:eastAsia="Amiri" w:cs="Amiri"/>
          <w:color w:val="111111"/>
          <w:sz w:val="28"/>
          <w:sz w:val="28"/>
          <w:szCs w:val="28"/>
          <w:rtl w:val="true"/>
          <w:lang w:bidi="ar-SA"/>
        </w:rPr>
        <w:t xml:space="preserve">على تعظيمهم و تبجيلهم و جعل ذلك إجلالا لهم و مقدمة لما </w:t>
      </w:r>
      <w:r>
        <w:rPr>
          <w:rStyle w:val="FootnoteAnchor"/>
          <w:rtl w:val="true"/>
        </w:rPr>
        <w:footnoteReference w:id="142"/>
      </w:r>
      <w:r>
        <w:rPr>
          <w:rFonts w:ascii="Amiri" w:hAnsi="Amiri" w:eastAsia="Amiri" w:cs="Amiri"/>
          <w:color w:val="111111"/>
          <w:sz w:val="28"/>
          <w:sz w:val="28"/>
          <w:szCs w:val="28"/>
          <w:rtl w:val="true"/>
          <w:lang w:bidi="ar-SA"/>
        </w:rPr>
        <w:t xml:space="preserve">يفترضه </w:t>
      </w:r>
      <w:r>
        <w:rPr>
          <w:rStyle w:val="FootnoteAnchor"/>
          <w:rtl w:val="true"/>
        </w:rPr>
        <w:footnoteReference w:id="143"/>
      </w:r>
      <w:r>
        <w:rPr>
          <w:rFonts w:ascii="Amiri" w:hAnsi="Amiri" w:eastAsia="Amiri" w:cs="Amiri"/>
          <w:color w:val="111111"/>
          <w:sz w:val="28"/>
          <w:sz w:val="28"/>
          <w:szCs w:val="28"/>
          <w:rtl w:val="true"/>
          <w:lang w:bidi="ar-SA"/>
        </w:rPr>
        <w:t>من طاعتهم و دليلا على أن مصالح الدين و الدنيا لا تتم إلا بهم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يكونوا في تلك الحال صورا محياة </w:t>
      </w:r>
      <w:r>
        <w:rPr>
          <w:rStyle w:val="FootnoteAnchor"/>
          <w:rtl w:val="true"/>
        </w:rPr>
        <w:footnoteReference w:id="144"/>
      </w:r>
      <w:r>
        <w:rPr>
          <w:rFonts w:ascii="Amiri" w:hAnsi="Amiri" w:eastAsia="Amiri" w:cs="Amiri"/>
          <w:color w:val="111111"/>
          <w:sz w:val="28"/>
          <w:sz w:val="28"/>
          <w:szCs w:val="28"/>
          <w:rtl w:val="true"/>
          <w:lang w:bidi="ar-SA"/>
        </w:rPr>
        <w:t xml:space="preserve">و لا أرواحا ناطقة لكنها كانت صورا </w:t>
      </w:r>
      <w:r>
        <w:rPr>
          <w:rStyle w:val="FootnoteAnchor"/>
          <w:rtl w:val="true"/>
        </w:rPr>
        <w:footnoteReference w:id="145"/>
      </w:r>
      <w:r>
        <w:rPr>
          <w:rFonts w:ascii="Amiri" w:hAnsi="Amiri" w:eastAsia="Amiri" w:cs="Amiri"/>
          <w:color w:val="111111"/>
          <w:sz w:val="28"/>
          <w:sz w:val="28"/>
          <w:szCs w:val="28"/>
          <w:rtl w:val="true"/>
          <w:lang w:bidi="ar-SA"/>
        </w:rPr>
        <w:t xml:space="preserve">على مثل صورهم في البشرية تدل </w:t>
      </w:r>
      <w:r>
        <w:rPr>
          <w:rStyle w:val="FootnoteAnchor"/>
          <w:rtl w:val="true"/>
        </w:rPr>
        <w:footnoteReference w:id="146"/>
      </w:r>
      <w:r>
        <w:rPr>
          <w:rFonts w:ascii="Amiri" w:hAnsi="Amiri" w:eastAsia="Amiri" w:cs="Amiri"/>
          <w:color w:val="111111"/>
          <w:sz w:val="28"/>
          <w:sz w:val="28"/>
          <w:szCs w:val="28"/>
          <w:rtl w:val="true"/>
          <w:lang w:bidi="ar-SA"/>
        </w:rPr>
        <w:t xml:space="preserve">على ما يكونون عليه في </w:t>
      </w:r>
    </w:p>
    <w:p>
      <w:pPr>
        <w:pStyle w:val="BookText"/>
        <w:rPr/>
      </w:pPr>
      <w:r>
        <w:rPr>
          <w:rFonts w:ascii="Amiri" w:hAnsi="Amiri" w:eastAsia="Amiri" w:cs="Amiri"/>
          <w:color w:val="111111"/>
          <w:sz w:val="28"/>
          <w:sz w:val="28"/>
          <w:szCs w:val="28"/>
          <w:rtl w:val="true"/>
          <w:lang w:bidi="ar-SA"/>
        </w:rPr>
        <w:t xml:space="preserve">المستقبل من الهيئة و النور الذي جعله عليهم يدل </w:t>
      </w:r>
      <w:r>
        <w:rPr>
          <w:rStyle w:val="FootnoteAnchor"/>
          <w:rtl w:val="true"/>
        </w:rPr>
        <w:footnoteReference w:id="147"/>
      </w:r>
      <w:r>
        <w:rPr>
          <w:rFonts w:ascii="Amiri" w:hAnsi="Amiri" w:eastAsia="Amiri" w:cs="Amiri"/>
          <w:color w:val="111111"/>
          <w:sz w:val="28"/>
          <w:sz w:val="28"/>
          <w:szCs w:val="28"/>
          <w:rtl w:val="true"/>
          <w:lang w:bidi="ar-SA"/>
        </w:rPr>
        <w:t>على نور الدين بهم و ضياء الحق بحججهم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أسماءهم كانت مكتوبة إذ ذاك على العرش و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لما تاب إلى </w:t>
      </w:r>
      <w:r>
        <w:rPr>
          <w:rStyle w:val="FootnoteAnchor"/>
          <w:rtl w:val="true"/>
        </w:rPr>
        <w:footnoteReference w:id="149"/>
      </w:r>
      <w:r>
        <w:rPr>
          <w:rFonts w:ascii="IRNazanin" w:hAnsi="IRNazanin" w:eastAsia="IRNazanin"/>
          <w:color w:val="111111"/>
          <w:sz w:val="28"/>
          <w:sz w:val="28"/>
          <w:szCs w:val="28"/>
          <w:rtl w:val="true"/>
          <w:lang w:bidi="fa-IR"/>
        </w:rPr>
        <w:t xml:space="preserve">الله عز و جل و ناجاه بقبول </w:t>
      </w:r>
      <w:r>
        <w:rPr>
          <w:rStyle w:val="FootnoteAnchor"/>
          <w:rtl w:val="true"/>
        </w:rPr>
        <w:footnoteReference w:id="150"/>
      </w:r>
      <w:r>
        <w:rPr>
          <w:rFonts w:ascii="Amiri" w:hAnsi="Amiri" w:eastAsia="Amiri" w:cs="Amiri"/>
          <w:color w:val="111111"/>
          <w:sz w:val="28"/>
          <w:sz w:val="28"/>
          <w:szCs w:val="28"/>
          <w:rtl w:val="true"/>
          <w:lang w:bidi="ar-SA"/>
        </w:rPr>
        <w:t xml:space="preserve">توبته سأله بحقهم عليه و محلهم عنده </w:t>
      </w:r>
      <w:r>
        <w:rPr>
          <w:rStyle w:val="FootnoteAnchor"/>
          <w:rtl w:val="true"/>
        </w:rPr>
        <w:footnoteReference w:id="151"/>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غير منكر في العقول و لا مضاد للشرع المنقول و قد رواه الصالحون </w:t>
      </w:r>
      <w:r>
        <w:rPr>
          <w:rStyle w:val="FootnoteAnchor"/>
          <w:rtl w:val="true"/>
        </w:rPr>
        <w:footnoteReference w:id="152"/>
      </w:r>
      <w:r>
        <w:rPr>
          <w:rFonts w:ascii="Amiri" w:hAnsi="Amiri" w:eastAsia="Amiri" w:cs="Amiri"/>
          <w:color w:val="111111"/>
          <w:sz w:val="28"/>
          <w:sz w:val="28"/>
          <w:szCs w:val="28"/>
          <w:rtl w:val="true"/>
          <w:lang w:bidi="ar-SA"/>
        </w:rPr>
        <w:t xml:space="preserve">الثقات المأمونون و سلم لروايته طائفة </w:t>
      </w:r>
      <w:r>
        <w:rPr>
          <w:rStyle w:val="FootnoteAnchor"/>
          <w:rtl w:val="true"/>
        </w:rPr>
        <w:footnoteReference w:id="153"/>
      </w:r>
      <w:r>
        <w:rPr>
          <w:rFonts w:ascii="Amiri" w:hAnsi="Amiri" w:eastAsia="Amiri" w:cs="Amiri"/>
          <w:color w:val="111111"/>
          <w:sz w:val="28"/>
          <w:sz w:val="28"/>
          <w:szCs w:val="28"/>
          <w:rtl w:val="true"/>
          <w:lang w:bidi="ar-SA"/>
        </w:rPr>
        <w:t xml:space="preserve">الحق و لا طريق </w:t>
      </w:r>
      <w:r>
        <w:rPr>
          <w:rStyle w:val="FootnoteAnchor"/>
          <w:rtl w:val="true"/>
        </w:rPr>
        <w:footnoteReference w:id="154"/>
      </w:r>
      <w:r>
        <w:rPr>
          <w:rFonts w:ascii="Amiri" w:hAnsi="Amiri" w:eastAsia="Amiri" w:cs="Amiri"/>
          <w:color w:val="111111"/>
          <w:sz w:val="28"/>
          <w:sz w:val="28"/>
          <w:szCs w:val="28"/>
          <w:rtl w:val="true"/>
          <w:lang w:bidi="ar-SA"/>
        </w:rPr>
        <w:t xml:space="preserve">إلى إنكاره </w:t>
      </w:r>
      <w:r>
        <w:rPr>
          <w:rStyle w:val="FootnoteAnchor"/>
          <w:rtl w:val="true"/>
        </w:rPr>
        <w:footnoteReference w:id="155"/>
      </w:r>
      <w:r>
        <w:rPr>
          <w:rFonts w:ascii="Amiri" w:hAnsi="Amiri" w:eastAsia="Amiri" w:cs="Amiri"/>
          <w:color w:val="111111"/>
          <w:sz w:val="28"/>
          <w:sz w:val="28"/>
          <w:szCs w:val="28"/>
          <w:rtl w:val="true"/>
          <w:lang w:bidi="ar-SA"/>
        </w:rPr>
        <w:t xml:space="preserve">و الله ولي التوفيق </w:t>
      </w:r>
      <w:bookmarkStart w:id="62" w:name="pg19202_232104"/>
    </w:p>
    <w:p>
      <w:pPr>
        <w:pStyle w:val="Heading2"/>
        <w:numPr>
          <w:ilvl w:val="1"/>
          <w:numId w:val="1"/>
        </w:numPr>
        <w:rPr/>
      </w:pPr>
      <w:bookmarkStart w:id="63" w:name="__RefHeading___Toc16229040_1280447820"/>
      <w:bookmarkStart w:id="64" w:name="_Toc23"/>
      <w:bookmarkEnd w:id="62"/>
      <w:bookmarkEnd w:id="63"/>
      <w:r>
        <w:rPr>
          <w:rtl w:val="true"/>
        </w:rPr>
        <w:t>فصل البشارة بالنبي و الأئمة عليهم الصلاة و السلام</w:t>
      </w:r>
      <w:bookmarkEnd w:id="64"/>
    </w:p>
    <w:p>
      <w:pPr>
        <w:pStyle w:val="BookText"/>
        <w:rPr/>
      </w:pPr>
      <w:r>
        <w:rPr>
          <w:rFonts w:ascii="Amiri" w:hAnsi="Amiri" w:eastAsia="Amiri" w:cs="Amiri"/>
          <w:color w:val="111111"/>
          <w:sz w:val="28"/>
          <w:sz w:val="28"/>
          <w:szCs w:val="28"/>
          <w:rtl w:val="true"/>
          <w:lang w:bidi="ar-SA"/>
        </w:rPr>
        <w:t xml:space="preserve">و مثل ما بشر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تأهيله </w:t>
      </w:r>
      <w:r>
        <w:rPr>
          <w:rStyle w:val="FootnoteAnchor"/>
          <w:rtl w:val="true"/>
        </w:rPr>
        <w:footnoteReference w:id="156"/>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أهله له و تأهيل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أهلهم له و فرض عليه تعظيمهم و إجلالهم كما </w:t>
      </w:r>
      <w:r>
        <w:rPr>
          <w:rStyle w:val="FootnoteAnchor"/>
          <w:rtl w:val="true"/>
        </w:rPr>
        <w:footnoteReference w:id="157"/>
      </w:r>
      <w:r>
        <w:rPr>
          <w:rFonts w:ascii="Amiri" w:hAnsi="Amiri" w:eastAsia="Amiri" w:cs="Amiri"/>
          <w:color w:val="111111"/>
          <w:sz w:val="28"/>
          <w:sz w:val="28"/>
          <w:szCs w:val="28"/>
          <w:rtl w:val="true"/>
          <w:lang w:bidi="ar-SA"/>
        </w:rPr>
        <w:t xml:space="preserve">بشر به في الكتب الأولى من بعثه </w:t>
      </w:r>
      <w:r>
        <w:rPr>
          <w:rStyle w:val="FootnoteAnchor"/>
          <w:rtl w:val="true"/>
        </w:rPr>
        <w:footnoteReference w:id="158"/>
      </w:r>
      <w:r>
        <w:rPr>
          <w:rFonts w:ascii="Amiri" w:hAnsi="Amiri" w:eastAsia="Amiri" w:cs="Amiri"/>
          <w:color w:val="111111"/>
          <w:sz w:val="28"/>
          <w:sz w:val="28"/>
          <w:szCs w:val="28"/>
          <w:rtl w:val="true"/>
          <w:lang w:bidi="ar-SA"/>
        </w:rPr>
        <w:t xml:space="preserve">لنبينا ص فقال في محكم كتابه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مخبرا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سبحانه وَ إِذْ أَخَذَ اللَّهُ مِيثاقَ النَّبِيِّينَ لَما آتَيْتُكُمْ مِنْ كِتابٍ </w:t>
      </w:r>
    </w:p>
    <w:p>
      <w:pPr>
        <w:pStyle w:val="BookText"/>
        <w:rPr/>
      </w:pPr>
      <w:r>
        <w:rPr>
          <w:rFonts w:ascii="Amiri" w:hAnsi="Amiri" w:eastAsia="Amiri" w:cs="Amiri"/>
          <w:color w:val="111111"/>
          <w:sz w:val="28"/>
          <w:sz w:val="28"/>
          <w:szCs w:val="28"/>
          <w:rtl w:val="true"/>
          <w:lang w:bidi="ar-SA"/>
        </w:rPr>
        <w:t xml:space="preserve">وَ حِكْمَةٍ ثُمَّ جاءَكُمْ رَسُولٌ مُصَدِّقٌ لِما مَعَكُمْ لَتُؤْمِنُنَّ بِهِ وَ لَتَنْصُرُنَّهُ </w:t>
      </w:r>
      <w:r>
        <w:rPr>
          <w:rStyle w:val="FootnoteAnchor"/>
          <w:rtl w:val="true"/>
        </w:rPr>
        <w:footnoteReference w:id="161"/>
      </w:r>
      <w:r>
        <w:rPr>
          <w:rFonts w:ascii="Amiri" w:hAnsi="Amiri" w:eastAsia="Amiri" w:cs="Amiri"/>
          <w:color w:val="111111"/>
          <w:sz w:val="28"/>
          <w:sz w:val="28"/>
          <w:szCs w:val="28"/>
          <w:rtl w:val="true"/>
          <w:lang w:bidi="ar-SA"/>
        </w:rPr>
        <w:t>يعني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البشائر به من الأنبياء </w:t>
      </w:r>
      <w:r>
        <w:rPr>
          <w:rStyle w:val="FootnoteAnchor"/>
          <w:rtl w:val="true"/>
        </w:rPr>
        <w:footnoteReference w:id="162"/>
      </w:r>
      <w:r>
        <w:rPr>
          <w:rFonts w:ascii="IRNazanin" w:hAnsi="IRNazanin" w:eastAsia="IRNazanin"/>
          <w:color w:val="111111"/>
          <w:sz w:val="28"/>
          <w:sz w:val="28"/>
          <w:szCs w:val="28"/>
          <w:rtl w:val="true"/>
          <w:lang w:bidi="fa-IR"/>
        </w:rPr>
        <w:t xml:space="preserve">أجمعهم </w:t>
      </w:r>
      <w:r>
        <w:rPr>
          <w:rStyle w:val="FootnoteAnchor"/>
          <w:rtl w:val="true"/>
        </w:rPr>
        <w:footnoteReference w:id="163"/>
      </w:r>
      <w:r>
        <w:rPr>
          <w:rFonts w:ascii="Amiri" w:hAnsi="Amiri" w:eastAsia="Amiri" w:cs="Amiri"/>
          <w:color w:val="111111"/>
          <w:sz w:val="28"/>
          <w:sz w:val="28"/>
          <w:szCs w:val="28"/>
          <w:rtl w:val="true"/>
          <w:lang w:bidi="ar-SA"/>
        </w:rPr>
        <w:t xml:space="preserve">قبل إخراجه إلى العالم بالوجود و إنما أراد جل اسمه بذلك إجلاله و إعظامه و أن يأخذ العهد له على الأنبياء و الأمم </w:t>
      </w:r>
      <w:r>
        <w:rPr>
          <w:rStyle w:val="FootnoteAnchor"/>
          <w:rtl w:val="true"/>
        </w:rPr>
        <w:footnoteReference w:id="164"/>
      </w:r>
      <w:r>
        <w:rPr>
          <w:rFonts w:ascii="Amiri" w:hAnsi="Amiri" w:eastAsia="Amiri" w:cs="Amiri"/>
          <w:color w:val="111111"/>
          <w:sz w:val="28"/>
          <w:sz w:val="28"/>
          <w:szCs w:val="28"/>
          <w:rtl w:val="true"/>
          <w:lang w:bidi="ar-SA"/>
        </w:rPr>
        <w:t xml:space="preserve">كلها فلذلك أظهر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شخصه و أشخاص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 أسماءهم له ليخبره بعاقبتهم </w:t>
      </w:r>
      <w:r>
        <w:rPr>
          <w:rStyle w:val="FootnoteAnchor"/>
          <w:rtl w:val="true"/>
        </w:rPr>
        <w:footnoteReference w:id="165"/>
      </w:r>
      <w:r>
        <w:rPr>
          <w:rFonts w:ascii="Amiri" w:hAnsi="Amiri" w:eastAsia="Amiri" w:cs="Amiri"/>
          <w:color w:val="111111"/>
          <w:sz w:val="28"/>
          <w:sz w:val="28"/>
          <w:szCs w:val="28"/>
          <w:rtl w:val="true"/>
          <w:lang w:bidi="ar-SA"/>
        </w:rPr>
        <w:t xml:space="preserve">و يبين له عن محلهم عنده و منزلتهم </w:t>
      </w:r>
      <w:r>
        <w:rPr>
          <w:rStyle w:val="FootnoteAnchor"/>
          <w:rtl w:val="true"/>
        </w:rPr>
        <w:footnoteReference w:id="166"/>
      </w:r>
      <w:r>
        <w:rPr>
          <w:rFonts w:ascii="Amiri" w:hAnsi="Amiri" w:eastAsia="Amiri" w:cs="Amiri"/>
          <w:color w:val="111111"/>
          <w:sz w:val="28"/>
          <w:sz w:val="28"/>
          <w:szCs w:val="28"/>
          <w:rtl w:val="true"/>
          <w:lang w:bidi="ar-SA"/>
        </w:rPr>
        <w:t xml:space="preserve">لديه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يكونوا في تلك </w:t>
      </w:r>
      <w:r>
        <w:rPr>
          <w:rStyle w:val="FootnoteAnchor"/>
          <w:rtl w:val="true"/>
        </w:rPr>
        <w:footnoteReference w:id="168"/>
      </w:r>
      <w:r>
        <w:rPr>
          <w:rFonts w:ascii="Amiri" w:hAnsi="Amiri" w:eastAsia="Amiri" w:cs="Amiri"/>
          <w:color w:val="111111"/>
          <w:sz w:val="28"/>
          <w:sz w:val="28"/>
          <w:szCs w:val="28"/>
          <w:rtl w:val="true"/>
          <w:lang w:bidi="ar-SA"/>
        </w:rPr>
        <w:t xml:space="preserve">الحال أحياء ناطقين و لا أرواحا مكلفين و إنما كانت أشباحهم دالة </w:t>
      </w:r>
      <w:r>
        <w:rPr>
          <w:rStyle w:val="FootnoteAnchor"/>
          <w:rtl w:val="true"/>
        </w:rPr>
        <w:footnoteReference w:id="169"/>
      </w:r>
      <w:r>
        <w:rPr>
          <w:rFonts w:ascii="Amiri" w:hAnsi="Amiri" w:eastAsia="Amiri" w:cs="Amiri"/>
          <w:color w:val="111111"/>
          <w:sz w:val="28"/>
          <w:sz w:val="28"/>
          <w:szCs w:val="28"/>
          <w:rtl w:val="true"/>
          <w:lang w:bidi="ar-SA"/>
        </w:rPr>
        <w:t xml:space="preserve">عليهم حسب ما ذكرناه </w:t>
      </w:r>
      <w:bookmarkStart w:id="65" w:name="pg19202_232106"/>
    </w:p>
    <w:p>
      <w:pPr>
        <w:pStyle w:val="Heading2"/>
        <w:numPr>
          <w:ilvl w:val="1"/>
          <w:numId w:val="1"/>
        </w:numPr>
        <w:rPr/>
      </w:pPr>
      <w:bookmarkStart w:id="66" w:name="__RefHeading___Toc16229042_1280447820"/>
      <w:bookmarkStart w:id="67" w:name="_Toc24"/>
      <w:bookmarkEnd w:id="65"/>
      <w:bookmarkEnd w:id="66"/>
      <w:r>
        <w:rPr>
          <w:rtl w:val="true"/>
        </w:rPr>
        <w:t>فصل البشارة بالنبي و الأئمة في الكتب الأولى</w:t>
      </w:r>
      <w:bookmarkEnd w:id="67"/>
    </w:p>
    <w:p>
      <w:pPr>
        <w:pStyle w:val="BookText"/>
        <w:rPr/>
      </w:pPr>
      <w:r>
        <w:rPr>
          <w:rFonts w:ascii="Amiri" w:hAnsi="Amiri" w:eastAsia="Amiri" w:cs="Amiri"/>
          <w:color w:val="111111"/>
          <w:sz w:val="28"/>
          <w:sz w:val="28"/>
          <w:szCs w:val="28"/>
          <w:rtl w:val="true"/>
          <w:lang w:bidi="ar-SA"/>
        </w:rPr>
        <w:t xml:space="preserve">و قد بشر الله عز و جل بالنبي </w:t>
      </w:r>
      <w:r>
        <w:rPr>
          <w:rStyle w:val="FootnoteAnchor"/>
          <w:rtl w:val="true"/>
        </w:rPr>
        <w:footnoteReference w:id="170"/>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الأولى فقال في بعض كتبه التي أنزلها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الكتب يقرونه </w:t>
      </w:r>
      <w:r>
        <w:rPr>
          <w:rStyle w:val="FootnoteAnchor"/>
          <w:rtl w:val="true"/>
        </w:rPr>
        <w:footnoteReference w:id="171"/>
      </w:r>
      <w:r>
        <w:rPr>
          <w:rFonts w:ascii="Amiri" w:hAnsi="Amiri" w:eastAsia="Amiri" w:cs="Amiri"/>
          <w:color w:val="111111"/>
          <w:sz w:val="28"/>
          <w:sz w:val="28"/>
          <w:szCs w:val="28"/>
          <w:rtl w:val="true"/>
          <w:lang w:bidi="ar-SA"/>
        </w:rPr>
        <w:t xml:space="preserve">و اليهود و النصارى يعرفونه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أنه ناجى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أني قد عظمتك و باركت عليك و على إسماعيل و جعلت منه اثني عشر عظيما و كثرتهم </w:t>
      </w:r>
      <w:r>
        <w:rPr>
          <w:rStyle w:val="FootnoteAnchor"/>
          <w:rtl w:val="true"/>
        </w:rPr>
        <w:footnoteReference w:id="173"/>
      </w:r>
      <w:r>
        <w:rPr>
          <w:rFonts w:ascii="IRNazanin" w:hAnsi="IRNazanin" w:eastAsia="IRNazanin"/>
          <w:color w:val="111111"/>
          <w:sz w:val="28"/>
          <w:sz w:val="28"/>
          <w:szCs w:val="28"/>
          <w:rtl w:val="true"/>
          <w:lang w:bidi="fa-IR"/>
        </w:rPr>
        <w:t xml:space="preserve">جدا جدا و جعلت منه شعبا </w:t>
      </w:r>
      <w:r>
        <w:rPr>
          <w:rStyle w:val="FootnoteAnchor"/>
          <w:rtl w:val="true"/>
        </w:rPr>
        <w:footnoteReference w:id="174"/>
      </w:r>
      <w:r>
        <w:rPr>
          <w:rFonts w:ascii="Amiri" w:hAnsi="Amiri" w:eastAsia="Amiri" w:cs="Amiri"/>
          <w:color w:val="111111"/>
          <w:sz w:val="28"/>
          <w:sz w:val="28"/>
          <w:szCs w:val="28"/>
          <w:rtl w:val="true"/>
          <w:lang w:bidi="ar-SA"/>
        </w:rPr>
        <w:t xml:space="preserve">عظيما لأمة عظيمة </w:t>
      </w:r>
      <w:r>
        <w:rPr>
          <w:rStyle w:val="FootnoteAnchor"/>
          <w:rtl w:val="true"/>
        </w:rPr>
        <w:footnoteReference w:id="175"/>
      </w:r>
      <w:r>
        <w:rPr>
          <w:rStyle w:val="FootnoteAnchor"/>
          <w:rtl w:val="true"/>
        </w:rPr>
        <w:footnoteReference w:id="1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 ذلك كثير في كتب الله تعالى الأولى </w:t>
      </w:r>
      <w:bookmarkStart w:id="68" w:name="pg19202_232107"/>
    </w:p>
    <w:p>
      <w:pPr>
        <w:pStyle w:val="Heading2"/>
        <w:numPr>
          <w:ilvl w:val="1"/>
          <w:numId w:val="1"/>
        </w:numPr>
        <w:rPr/>
      </w:pPr>
      <w:bookmarkStart w:id="69" w:name="__RefHeading___Toc16229044_1280447820"/>
      <w:bookmarkStart w:id="70" w:name="_Toc25"/>
      <w:bookmarkEnd w:id="68"/>
      <w:bookmarkEnd w:id="69"/>
      <w:r>
        <w:rPr>
          <w:rtl w:val="true"/>
        </w:rPr>
        <w:t>فصل حديث الذر</w:t>
      </w:r>
      <w:bookmarkEnd w:id="70"/>
    </w:p>
    <w:p>
      <w:pPr>
        <w:pStyle w:val="BookText"/>
        <w:rPr/>
      </w:pPr>
      <w:r>
        <w:rPr>
          <w:rFonts w:ascii="Amiri" w:hAnsi="Amiri" w:eastAsia="Amiri" w:cs="Amiri"/>
          <w:color w:val="111111"/>
          <w:sz w:val="28"/>
          <w:sz w:val="28"/>
          <w:szCs w:val="28"/>
          <w:rtl w:val="true"/>
          <w:lang w:bidi="ar-SA"/>
        </w:rPr>
        <w:t xml:space="preserve">أما الحديث في إخراج الذرية من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الذر فقد جاء الحديث بذلك على اختلاف ألفاظه و معانيه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أخرج الذرية من ظهره كالذر فملأ بهم الأفق و جعل على بعضهم نورا لا يشوبه ظلمة و على بعضهم ظلمة لا يشوبها نور و على بعضهم نورا و ظلمة فلما رآهم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من كثرتهم و ما </w:t>
      </w:r>
      <w:r>
        <w:rPr>
          <w:rStyle w:val="FootnoteAnchor"/>
          <w:rtl w:val="true"/>
        </w:rPr>
        <w:footnoteReference w:id="177"/>
      </w:r>
      <w:r>
        <w:rPr>
          <w:rFonts w:ascii="Amiri" w:hAnsi="Amiri" w:eastAsia="Amiri" w:cs="Amiri"/>
          <w:color w:val="111111"/>
          <w:sz w:val="28"/>
          <w:sz w:val="28"/>
          <w:szCs w:val="28"/>
          <w:rtl w:val="true"/>
          <w:lang w:bidi="ar-SA"/>
        </w:rPr>
        <w:t xml:space="preserve">عليهم من النور و الظلمة فقال يا رب ما هؤلاء قال الله عز و جل له هؤلاء ذريتك يريد تعريفه كثرتهم و امتلاء </w:t>
      </w:r>
    </w:p>
    <w:p>
      <w:pPr>
        <w:pStyle w:val="BookText"/>
        <w:rPr/>
      </w:pPr>
      <w:r>
        <w:rPr>
          <w:rFonts w:ascii="Amiri" w:hAnsi="Amiri" w:eastAsia="Amiri" w:cs="Amiri"/>
          <w:color w:val="111111"/>
          <w:sz w:val="28"/>
          <w:sz w:val="28"/>
          <w:szCs w:val="28"/>
          <w:rtl w:val="true"/>
          <w:lang w:bidi="ar-SA"/>
        </w:rPr>
        <w:t xml:space="preserve">الآفاق بهم و أن نسله يكون في الكثرة كالذر الذي رآه ليعرفه قدرته و يبشره باتصال </w:t>
      </w:r>
      <w:r>
        <w:rPr>
          <w:rStyle w:val="FootnoteAnchor"/>
          <w:rtl w:val="true"/>
        </w:rPr>
        <w:footnoteReference w:id="178"/>
      </w:r>
      <w:r>
        <w:rPr>
          <w:rFonts w:ascii="Amiri" w:hAnsi="Amiri" w:eastAsia="Amiri" w:cs="Amiri"/>
          <w:color w:val="111111"/>
          <w:sz w:val="28"/>
          <w:sz w:val="28"/>
          <w:szCs w:val="28"/>
          <w:rtl w:val="true"/>
          <w:lang w:bidi="ar-SA"/>
        </w:rPr>
        <w:t xml:space="preserve">نسله و كثرتهم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لي أرى على بعضهم نورا لا ظلمة فيه </w:t>
      </w:r>
      <w:r>
        <w:rPr>
          <w:rStyle w:val="FootnoteAnchor"/>
          <w:rtl w:val="true"/>
        </w:rPr>
        <w:footnoteReference w:id="179"/>
      </w:r>
      <w:r>
        <w:rPr>
          <w:rFonts w:ascii="Amiri" w:hAnsi="Amiri" w:eastAsia="Amiri" w:cs="Amiri"/>
          <w:color w:val="111111"/>
          <w:sz w:val="28"/>
          <w:sz w:val="28"/>
          <w:szCs w:val="28"/>
          <w:rtl w:val="true"/>
          <w:lang w:bidi="ar-SA"/>
        </w:rPr>
        <w:t xml:space="preserve">و على بعضهم ظلمة لا يشوبها نور و على بعضهم ظلمة و نورا فقال تبارك و تعالى أما الذين عليهم النور منهم </w:t>
      </w:r>
      <w:r>
        <w:rPr>
          <w:rStyle w:val="FootnoteAnchor"/>
          <w:rtl w:val="true"/>
        </w:rPr>
        <w:footnoteReference w:id="180"/>
      </w:r>
      <w:r>
        <w:rPr>
          <w:rFonts w:ascii="Amiri" w:hAnsi="Amiri" w:eastAsia="Amiri" w:cs="Amiri"/>
          <w:color w:val="111111"/>
          <w:sz w:val="28"/>
          <w:sz w:val="28"/>
          <w:szCs w:val="28"/>
          <w:rtl w:val="true"/>
          <w:lang w:bidi="ar-SA"/>
        </w:rPr>
        <w:t xml:space="preserve">بلا ظلمة فهم أصفيائي من </w:t>
      </w:r>
      <w:r>
        <w:rPr>
          <w:rStyle w:val="FootnoteAnchor"/>
          <w:rtl w:val="true"/>
        </w:rPr>
        <w:footnoteReference w:id="181"/>
      </w:r>
      <w:r>
        <w:rPr>
          <w:rFonts w:ascii="Amiri" w:hAnsi="Amiri" w:eastAsia="Amiri" w:cs="Amiri"/>
          <w:color w:val="111111"/>
          <w:sz w:val="28"/>
          <w:sz w:val="28"/>
          <w:szCs w:val="28"/>
          <w:rtl w:val="true"/>
          <w:lang w:bidi="ar-SA"/>
        </w:rPr>
        <w:t xml:space="preserve">ولدك الذين يطيعوني و لا يعصوني في شيء من أمري فأولئك سكان الجنة و أما الذين عليهم ظلمة لا يشوبها نور فهم الكفار من ولدك الذين يعصوني و لا يطيعوني في شيء من أمري فهؤلاء حطب جهنم </w:t>
      </w:r>
      <w:r>
        <w:rPr>
          <w:rStyle w:val="FootnoteAnchor"/>
          <w:rtl w:val="true"/>
        </w:rPr>
        <w:footnoteReference w:id="182"/>
      </w:r>
      <w:r>
        <w:rPr>
          <w:rFonts w:ascii="Amiri" w:hAnsi="Amiri" w:eastAsia="Amiri" w:cs="Amiri"/>
          <w:color w:val="111111"/>
          <w:sz w:val="28"/>
          <w:sz w:val="28"/>
          <w:szCs w:val="28"/>
          <w:rtl w:val="true"/>
          <w:lang w:bidi="ar-SA"/>
        </w:rPr>
        <w:t xml:space="preserve">و أما الذين عليهم نور و ظلمة فأولئك الذين يطيعوني من ولدك و يعصوني فيخلطون </w:t>
      </w:r>
      <w:r>
        <w:rPr>
          <w:rStyle w:val="FootnoteAnchor"/>
          <w:rtl w:val="true"/>
        </w:rPr>
        <w:footnoteReference w:id="183"/>
      </w:r>
      <w:r>
        <w:rPr>
          <w:rFonts w:ascii="Amiri" w:hAnsi="Amiri" w:eastAsia="Amiri" w:cs="Amiri"/>
          <w:color w:val="111111"/>
          <w:sz w:val="28"/>
          <w:sz w:val="28"/>
          <w:szCs w:val="28"/>
          <w:rtl w:val="true"/>
          <w:lang w:bidi="ar-SA"/>
        </w:rPr>
        <w:t xml:space="preserve">أعمالهم السيئة بأعمال حسنة فهؤلاء أمرهم إلي إن شئت عذبتهم فبعدلي و إن شئت عفوت عنهم فبفضلي </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فأنبأه الله تعالى بما يكون من ولده و شبههم بالذر الذي أخرجه </w:t>
      </w:r>
      <w:r>
        <w:rPr>
          <w:rStyle w:val="FootnoteAnchor"/>
          <w:rtl w:val="true"/>
        </w:rPr>
        <w:footnoteReference w:id="185"/>
      </w:r>
      <w:r>
        <w:rPr>
          <w:rFonts w:ascii="Amiri" w:hAnsi="Amiri" w:eastAsia="Amiri" w:cs="Amiri"/>
          <w:color w:val="111111"/>
          <w:sz w:val="28"/>
          <w:sz w:val="28"/>
          <w:szCs w:val="28"/>
          <w:rtl w:val="true"/>
          <w:lang w:bidi="ar-SA"/>
        </w:rPr>
        <w:t>من ظهره و جعله علامة على كثرة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أن يكون ما أخرجه من ظهره أصول </w:t>
      </w:r>
      <w:r>
        <w:rPr>
          <w:rStyle w:val="FootnoteAnchor"/>
          <w:rtl w:val="true"/>
        </w:rPr>
        <w:footnoteReference w:id="186"/>
      </w:r>
      <w:r>
        <w:rPr>
          <w:rFonts w:ascii="Amiri" w:hAnsi="Amiri" w:eastAsia="Amiri" w:cs="Amiri"/>
          <w:color w:val="111111"/>
          <w:sz w:val="28"/>
          <w:sz w:val="28"/>
          <w:szCs w:val="28"/>
          <w:rtl w:val="true"/>
          <w:lang w:bidi="ar-SA"/>
        </w:rPr>
        <w:t xml:space="preserve">أجسام ذريته دون أرواحهم و إنما فعل الله تعالى ذلك ليدل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العاقبة منه و يظهر له من قدرته و سلطانه و عجائب صنعه </w:t>
      </w:r>
      <w:r>
        <w:rPr>
          <w:rStyle w:val="FootnoteAnchor"/>
          <w:rtl w:val="true"/>
        </w:rPr>
        <w:footnoteReference w:id="187"/>
      </w:r>
      <w:r>
        <w:rPr>
          <w:rFonts w:ascii="IRNazanin" w:hAnsi="IRNazanin" w:eastAsia="IRNazanin"/>
          <w:color w:val="111111"/>
          <w:sz w:val="28"/>
          <w:sz w:val="28"/>
          <w:szCs w:val="28"/>
          <w:rtl w:val="true"/>
          <w:lang w:bidi="fa-IR"/>
        </w:rPr>
        <w:t xml:space="preserve">و أعلمه </w:t>
      </w:r>
      <w:r>
        <w:rPr>
          <w:rStyle w:val="FootnoteAnchor"/>
          <w:rtl w:val="true"/>
        </w:rPr>
        <w:footnoteReference w:id="188"/>
      </w:r>
      <w:r>
        <w:rPr>
          <w:rFonts w:ascii="Amiri" w:hAnsi="Amiri" w:eastAsia="Amiri" w:cs="Amiri"/>
          <w:color w:val="111111"/>
          <w:sz w:val="28"/>
          <w:sz w:val="28"/>
          <w:szCs w:val="28"/>
          <w:rtl w:val="true"/>
          <w:lang w:bidi="ar-SA"/>
        </w:rPr>
        <w:t xml:space="preserve">بالكائن قبل كونه ليزداد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بربه و يدعوه ذلك إلى التوفر على طاعته و التمسك بأوامره و الاجتناب لزواجره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الأخبار التي جاءت بأن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استنطقوا في الذر فنطقوا فأخذ عليهم العهد فأقروا فهي من أخبار التناسخية </w:t>
      </w:r>
      <w:r>
        <w:rPr>
          <w:rStyle w:val="FootnoteAnchor"/>
          <w:rtl w:val="true"/>
        </w:rPr>
        <w:footnoteReference w:id="190"/>
      </w:r>
      <w:r>
        <w:rPr>
          <w:rFonts w:ascii="Amiri" w:hAnsi="Amiri" w:eastAsia="Amiri" w:cs="Amiri"/>
          <w:color w:val="111111"/>
          <w:sz w:val="28"/>
          <w:sz w:val="28"/>
          <w:szCs w:val="28"/>
          <w:rtl w:val="true"/>
          <w:lang w:bidi="ar-SA"/>
        </w:rPr>
        <w:t>و قد خلطوا فيها و مزجوا الحق بالباطل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المعتمد من إخراج الذرية ما ذكرناه دون ما عداه مما يستمر </w:t>
      </w:r>
      <w:r>
        <w:rPr>
          <w:rStyle w:val="FootnoteAnchor"/>
          <w:rtl w:val="true"/>
        </w:rPr>
        <w:footnoteReference w:id="191"/>
      </w:r>
      <w:r>
        <w:rPr>
          <w:rFonts w:ascii="Amiri" w:hAnsi="Amiri" w:eastAsia="Amiri" w:cs="Amiri"/>
          <w:color w:val="111111"/>
          <w:sz w:val="28"/>
          <w:sz w:val="28"/>
          <w:szCs w:val="28"/>
          <w:rtl w:val="true"/>
          <w:lang w:bidi="ar-SA"/>
        </w:rPr>
        <w:t xml:space="preserve">القول به على الأدلة العقلية و الحجج السمعية و إنما هو تخليط </w:t>
      </w:r>
      <w:r>
        <w:rPr>
          <w:rStyle w:val="FootnoteAnchor"/>
          <w:rtl w:val="true"/>
        </w:rPr>
        <w:footnoteReference w:id="192"/>
      </w:r>
      <w:r>
        <w:rPr>
          <w:rFonts w:ascii="Amiri" w:hAnsi="Amiri" w:eastAsia="Amiri" w:cs="Amiri"/>
          <w:color w:val="111111"/>
          <w:sz w:val="28"/>
          <w:sz w:val="28"/>
          <w:szCs w:val="28"/>
          <w:rtl w:val="true"/>
          <w:lang w:bidi="ar-SA"/>
        </w:rPr>
        <w:t xml:space="preserve">لا يثبت به </w:t>
      </w:r>
      <w:bookmarkStart w:id="71" w:name="pg19202_232110"/>
    </w:p>
    <w:p>
      <w:pPr>
        <w:pStyle w:val="BookText"/>
        <w:rPr/>
      </w:pPr>
      <w:bookmarkEnd w:id="71"/>
      <w:r>
        <w:rPr>
          <w:rFonts w:ascii="IRNazanin" w:hAnsi="IRNazanin" w:eastAsia="IRNazanin"/>
          <w:color w:val="111111"/>
          <w:sz w:val="28"/>
          <w:sz w:val="28"/>
          <w:szCs w:val="28"/>
          <w:rtl w:val="true"/>
          <w:lang w:bidi="fa-IR"/>
        </w:rPr>
        <w:t xml:space="preserve">أثر على </w:t>
      </w:r>
      <w:r>
        <w:rPr>
          <w:rStyle w:val="FootnoteAnchor"/>
          <w:rtl w:val="true"/>
        </w:rPr>
        <w:footnoteReference w:id="193"/>
      </w:r>
      <w:r>
        <w:rPr>
          <w:rFonts w:ascii="IRNazanin" w:hAnsi="IRNazanin" w:eastAsia="IRNazanin"/>
          <w:color w:val="111111"/>
          <w:sz w:val="28"/>
          <w:sz w:val="28"/>
          <w:szCs w:val="28"/>
          <w:rtl w:val="true"/>
          <w:lang w:bidi="fa-IR"/>
        </w:rPr>
        <w:t>ما وصفناه</w:t>
      </w:r>
    </w:p>
    <w:p>
      <w:pPr>
        <w:pStyle w:val="Heading2"/>
        <w:numPr>
          <w:ilvl w:val="1"/>
          <w:numId w:val="1"/>
        </w:numPr>
        <w:rPr/>
      </w:pPr>
      <w:bookmarkStart w:id="72" w:name="__RefHeading___Toc16229046_1280447820"/>
      <w:bookmarkStart w:id="73" w:name="_Toc26"/>
      <w:bookmarkEnd w:id="72"/>
      <w:r>
        <w:rPr>
          <w:rtl w:val="true"/>
        </w:rPr>
        <w:t>فصل شبهة في إنطاق الذر</w:t>
      </w:r>
      <w:bookmarkEnd w:id="73"/>
    </w:p>
    <w:p>
      <w:pPr>
        <w:pStyle w:val="BookText"/>
        <w:rPr/>
      </w:pPr>
      <w:r>
        <w:rPr>
          <w:rFonts w:ascii="Amiri" w:hAnsi="Amiri" w:eastAsia="Amiri" w:cs="Amiri"/>
          <w:color w:val="111111"/>
          <w:sz w:val="28"/>
          <w:sz w:val="28"/>
          <w:szCs w:val="28"/>
          <w:rtl w:val="true"/>
          <w:lang w:bidi="ar-SA"/>
        </w:rPr>
        <w:t xml:space="preserve">فإن تعلق متعلق بقوله تبارك اسمه وَ إِذْ أَخَذَ رَبُّكَ مِنْ بَنِي آدَمَ مِنْ ظُهُورِهِمْ ذُرِّيَّتَهُمْ وَ أَشْهَدَهُمْ عَلى أَنْفُسِهِمْ أَ لَسْتُ بِرَبِّكُمْ قالُوا بَلى شَهِدْنا أَنْ تَقُولُوا يَوْمَ الْقِيامَةِ إِنَّا كُنَّا عَنْ هذا غافِلِينَ </w:t>
      </w:r>
      <w:r>
        <w:rPr>
          <w:rStyle w:val="FootnoteAnchor"/>
          <w:rtl w:val="true"/>
        </w:rPr>
        <w:footnoteReference w:id="194"/>
      </w:r>
      <w:r>
        <w:rPr>
          <w:rFonts w:ascii="IRNazanin" w:hAnsi="IRNazanin" w:eastAsia="IRNazanin"/>
          <w:color w:val="111111"/>
          <w:sz w:val="28"/>
          <w:sz w:val="28"/>
          <w:szCs w:val="28"/>
          <w:rtl w:val="true"/>
          <w:lang w:bidi="fa-IR"/>
        </w:rPr>
        <w:t xml:space="preserve">فظن بظاهر هذا القول </w:t>
      </w:r>
      <w:r>
        <w:rPr>
          <w:rStyle w:val="FootnoteAnchor"/>
          <w:rtl w:val="true"/>
        </w:rPr>
        <w:footnoteReference w:id="195"/>
      </w:r>
      <w:r>
        <w:rPr>
          <w:rFonts w:ascii="Amiri" w:hAnsi="Amiri" w:eastAsia="Amiri" w:cs="Amiri"/>
          <w:color w:val="111111"/>
          <w:sz w:val="28"/>
          <w:sz w:val="28"/>
          <w:szCs w:val="28"/>
          <w:rtl w:val="true"/>
          <w:lang w:bidi="ar-SA"/>
        </w:rPr>
        <w:t xml:space="preserve">تحقق ما رواه أهل التناسخ و الحشوية </w:t>
      </w:r>
      <w:r>
        <w:rPr>
          <w:rStyle w:val="FootnoteAnchor"/>
          <w:rtl w:val="true"/>
        </w:rPr>
        <w:footnoteReference w:id="196"/>
      </w:r>
      <w:r>
        <w:rPr>
          <w:rFonts w:ascii="Amiri" w:hAnsi="Amiri" w:eastAsia="Amiri" w:cs="Amiri"/>
          <w:color w:val="111111"/>
          <w:sz w:val="28"/>
          <w:sz w:val="28"/>
          <w:szCs w:val="28"/>
          <w:rtl w:val="true"/>
          <w:lang w:bidi="ar-SA"/>
        </w:rPr>
        <w:t xml:space="preserve">و العامة في إنطاق </w:t>
      </w:r>
      <w:r>
        <w:rPr>
          <w:rStyle w:val="FootnoteAnchor"/>
          <w:rtl w:val="true"/>
        </w:rPr>
        <w:footnoteReference w:id="197"/>
      </w:r>
      <w:r>
        <w:rPr>
          <w:rFonts w:ascii="Amiri" w:hAnsi="Amiri" w:eastAsia="Amiri" w:cs="Amiri"/>
          <w:color w:val="111111"/>
          <w:sz w:val="28"/>
          <w:sz w:val="28"/>
          <w:szCs w:val="28"/>
          <w:rtl w:val="true"/>
          <w:lang w:bidi="ar-SA"/>
        </w:rPr>
        <w:t>الذرية و خطابهم و أنهم كانوا أحياء ناطقين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أن هذه الآية من المجاز في اللغة كنظاهرها </w:t>
      </w:r>
      <w:r>
        <w:rPr>
          <w:rStyle w:val="FootnoteAnchor"/>
          <w:rtl w:val="true"/>
        </w:rPr>
        <w:footnoteReference w:id="198"/>
      </w:r>
      <w:r>
        <w:rPr>
          <w:rFonts w:ascii="Amiri" w:hAnsi="Amiri" w:eastAsia="Amiri" w:cs="Amiri"/>
          <w:color w:val="111111"/>
          <w:sz w:val="28"/>
          <w:sz w:val="28"/>
          <w:szCs w:val="28"/>
          <w:rtl w:val="true"/>
          <w:lang w:bidi="ar-SA"/>
        </w:rPr>
        <w:t xml:space="preserve">مما هو مجاز و استعارة </w:t>
      </w:r>
    </w:p>
    <w:p>
      <w:pPr>
        <w:pStyle w:val="BookText"/>
        <w:rPr/>
      </w:pPr>
      <w:r>
        <w:rPr>
          <w:rFonts w:ascii="Amiri" w:hAnsi="Amiri" w:eastAsia="Amiri" w:cs="Amiri"/>
          <w:color w:val="111111"/>
          <w:sz w:val="28"/>
          <w:sz w:val="28"/>
          <w:szCs w:val="28"/>
          <w:rtl w:val="true"/>
          <w:lang w:bidi="ar-SA"/>
        </w:rPr>
        <w:t xml:space="preserve">و المعنى فيها أن الله تبارك و تعالى أخذ من كل مكلف يخرج من ظهر </w:t>
      </w:r>
      <w:r>
        <w:rPr>
          <w:rStyle w:val="FootnoteAnchor"/>
          <w:rtl w:val="true"/>
        </w:rPr>
        <w:footnoteReference w:id="199"/>
      </w:r>
      <w:r>
        <w:rPr>
          <w:rFonts w:ascii="Amiri" w:hAnsi="Amiri" w:eastAsia="Amiri" w:cs="Amiri"/>
          <w:color w:val="111111"/>
          <w:sz w:val="28"/>
          <w:sz w:val="28"/>
          <w:szCs w:val="28"/>
          <w:rtl w:val="true"/>
          <w:lang w:bidi="ar-SA"/>
        </w:rPr>
        <w:t xml:space="preserve">آدم و ظهور ذريته العهد عليه بربوبيته من حيث أكمل عقله و دله بآثار الصنعة على حدوثه </w:t>
      </w:r>
      <w:r>
        <w:rPr>
          <w:rStyle w:val="FootnoteAnchor"/>
          <w:rtl w:val="true"/>
        </w:rPr>
        <w:footnoteReference w:id="200"/>
      </w:r>
      <w:r>
        <w:rPr>
          <w:rFonts w:ascii="Amiri" w:hAnsi="Amiri" w:eastAsia="Amiri" w:cs="Amiri"/>
          <w:color w:val="111111"/>
          <w:sz w:val="28"/>
          <w:sz w:val="28"/>
          <w:szCs w:val="28"/>
          <w:rtl w:val="true"/>
          <w:lang w:bidi="ar-SA"/>
        </w:rPr>
        <w:t xml:space="preserve">و أن له محدثا أحدثه لا يشبهه </w:t>
      </w:r>
      <w:r>
        <w:rPr>
          <w:rStyle w:val="FootnoteAnchor"/>
          <w:rtl w:val="true"/>
        </w:rPr>
        <w:footnoteReference w:id="201"/>
      </w:r>
      <w:r>
        <w:rPr>
          <w:rFonts w:ascii="Amiri" w:hAnsi="Amiri" w:eastAsia="Amiri" w:cs="Amiri"/>
          <w:color w:val="111111"/>
          <w:sz w:val="28"/>
          <w:sz w:val="28"/>
          <w:szCs w:val="28"/>
          <w:rtl w:val="true"/>
          <w:lang w:bidi="ar-SA"/>
        </w:rPr>
        <w:t xml:space="preserve">يستحق العبادة منه بنعمه عليه </w:t>
      </w:r>
      <w:r>
        <w:rPr>
          <w:rStyle w:val="FootnoteAnchor"/>
          <w:rtl w:val="true"/>
        </w:rPr>
        <w:footnoteReference w:id="202"/>
      </w:r>
      <w:r>
        <w:rPr>
          <w:rFonts w:ascii="Amiri" w:hAnsi="Amiri" w:eastAsia="Amiri" w:cs="Amiri"/>
          <w:color w:val="111111"/>
          <w:sz w:val="28"/>
          <w:sz w:val="28"/>
          <w:szCs w:val="28"/>
          <w:rtl w:val="true"/>
          <w:lang w:bidi="ar-SA"/>
        </w:rPr>
        <w:t xml:space="preserve">فذلك هو أخذ العهد منهم </w:t>
      </w:r>
      <w:r>
        <w:rPr>
          <w:rStyle w:val="FootnoteAnchor"/>
          <w:rtl w:val="true"/>
        </w:rPr>
        <w:footnoteReference w:id="203"/>
      </w:r>
      <w:r>
        <w:rPr>
          <w:rFonts w:ascii="Amiri" w:hAnsi="Amiri" w:eastAsia="Amiri" w:cs="Amiri"/>
          <w:color w:val="111111"/>
          <w:sz w:val="28"/>
          <w:sz w:val="28"/>
          <w:szCs w:val="28"/>
          <w:rtl w:val="true"/>
          <w:lang w:bidi="ar-SA"/>
        </w:rPr>
        <w:t xml:space="preserve">و آثار الصنعة فيهم هو إشهاده </w:t>
      </w:r>
      <w:r>
        <w:rPr>
          <w:rStyle w:val="FootnoteAnchor"/>
          <w:rtl w:val="true"/>
        </w:rPr>
        <w:footnoteReference w:id="204"/>
      </w:r>
      <w:r>
        <w:rPr>
          <w:rFonts w:ascii="IRNazanin" w:hAnsi="IRNazanin" w:eastAsia="IRNazanin"/>
          <w:color w:val="111111"/>
          <w:sz w:val="28"/>
          <w:sz w:val="28"/>
          <w:szCs w:val="28"/>
          <w:rtl w:val="true"/>
          <w:lang w:bidi="fa-IR"/>
        </w:rPr>
        <w:t>لهم على أنفسهم بأن الله تعالى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تعالى قالُوا بَلى يريد به أنهم لم يمتنعوا </w:t>
      </w:r>
      <w:r>
        <w:rPr>
          <w:rStyle w:val="FootnoteAnchor"/>
          <w:rtl w:val="true"/>
        </w:rPr>
        <w:footnoteReference w:id="205"/>
      </w:r>
      <w:r>
        <w:rPr>
          <w:rFonts w:ascii="Amiri" w:hAnsi="Amiri" w:eastAsia="Amiri" w:cs="Amiri"/>
          <w:color w:val="111111"/>
          <w:sz w:val="28"/>
          <w:sz w:val="28"/>
          <w:szCs w:val="28"/>
          <w:rtl w:val="true"/>
          <w:lang w:bidi="ar-SA"/>
        </w:rPr>
        <w:t xml:space="preserve">من لزوم آثار الصنعة فيهم و دلائل حدوثهم اللازمة لهم و حجة العقل عليهم في إثبات صانعهم </w:t>
      </w:r>
      <w:r>
        <w:rPr>
          <w:rStyle w:val="FootnoteAnchor"/>
          <w:rtl w:val="true"/>
        </w:rPr>
        <w:footnoteReference w:id="206"/>
      </w:r>
      <w:r>
        <w:rPr>
          <w:rFonts w:ascii="Amiri" w:hAnsi="Amiri" w:eastAsia="Amiri" w:cs="Amiri"/>
          <w:color w:val="111111"/>
          <w:sz w:val="28"/>
          <w:sz w:val="28"/>
          <w:szCs w:val="28"/>
          <w:rtl w:val="true"/>
          <w:lang w:bidi="ar-SA"/>
        </w:rPr>
        <w:t xml:space="preserve">فكأنه سبحانه لما ألزمهم الحجة بعقولهم على حدوثهم و وجود محدثهم قال لهم أَ لَسْتُ بِرَبِّكُمْ فلما لم يقدروا على الامتناع من لزوم دلائل الحدوث لهم كانوا كالقائلين </w:t>
      </w:r>
      <w:r>
        <w:rPr>
          <w:rStyle w:val="FootnoteAnchor"/>
          <w:rtl w:val="true"/>
        </w:rPr>
        <w:footnoteReference w:id="207"/>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أَنْ تَقُولُوا يَوْمَ الْقِيامَةِ إِنَّا كُنَّا عَنْ هذا غافِلِينَ أَوْ تَقُولُوا إِنَّما أَشْرَكَ آباؤُنا مِنْ قَبْلُ وَ كُنَّا ذُرِّيَّةً مِنْ بَعْدِهِمْ أَ فَتُهْلِكُنا بِما فَعَلَ الْمُبْطِلُونَ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لا ترى أنه احتج عليهم بما لا يقدرون يوم القيامة أن يتأولوا </w:t>
      </w:r>
      <w:r>
        <w:rPr>
          <w:rStyle w:val="FootnoteAnchor"/>
          <w:rtl w:val="true"/>
        </w:rPr>
        <w:footnoteReference w:id="209"/>
      </w:r>
      <w:r>
        <w:rPr>
          <w:rFonts w:ascii="Amiri" w:hAnsi="Amiri" w:eastAsia="Amiri" w:cs="Amiri"/>
          <w:color w:val="111111"/>
          <w:sz w:val="28"/>
          <w:sz w:val="28"/>
          <w:szCs w:val="28"/>
          <w:rtl w:val="true"/>
          <w:lang w:bidi="ar-SA"/>
        </w:rPr>
        <w:t>في إنكاره و لا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سبحانه وَ الشَّمْسُ وَ الْقَمَرُ وَ النُّجُومُ وَ الْجِبالُ وَ الشَّجَرُ وَ الدَّوَابُّ وَ كَثِيرٌ مِنَ النَّاسِ وَ كَثِيرٌ حَقَّ عَلَيْهِ الْعَذابُ </w:t>
      </w:r>
      <w:r>
        <w:rPr>
          <w:rStyle w:val="FootnoteAnchor"/>
          <w:rtl w:val="true"/>
        </w:rPr>
        <w:footnoteReference w:id="210"/>
      </w:r>
      <w:r>
        <w:rPr>
          <w:rFonts w:ascii="Amiri" w:hAnsi="Amiri" w:eastAsia="Amiri" w:cs="Amiri"/>
          <w:color w:val="111111"/>
          <w:sz w:val="28"/>
          <w:sz w:val="28"/>
          <w:szCs w:val="28"/>
          <w:rtl w:val="true"/>
          <w:lang w:bidi="ar-SA"/>
        </w:rPr>
        <w:t xml:space="preserve">و لم يرد أن المذكور يسجد كسجود البشر في الصلاة </w:t>
      </w:r>
      <w:r>
        <w:rPr>
          <w:rStyle w:val="FootnoteAnchor"/>
          <w:rtl w:val="true"/>
        </w:rPr>
        <w:footnoteReference w:id="211"/>
      </w:r>
      <w:r>
        <w:rPr>
          <w:rFonts w:ascii="IRNazanin" w:hAnsi="IRNazanin" w:eastAsia="IRNazanin"/>
          <w:color w:val="111111"/>
          <w:sz w:val="28"/>
          <w:sz w:val="28"/>
          <w:szCs w:val="28"/>
          <w:rtl w:val="true"/>
          <w:lang w:bidi="fa-IR"/>
        </w:rPr>
        <w:t xml:space="preserve">إنما أراد أنه </w:t>
      </w:r>
      <w:r>
        <w:rPr>
          <w:rStyle w:val="FootnoteAnchor"/>
          <w:rtl w:val="true"/>
        </w:rPr>
        <w:footnoteReference w:id="212"/>
      </w:r>
      <w:r>
        <w:rPr>
          <w:rFonts w:ascii="Amiri" w:hAnsi="Amiri" w:eastAsia="Amiri" w:cs="Amiri"/>
          <w:color w:val="111111"/>
          <w:sz w:val="28"/>
          <w:sz w:val="28"/>
          <w:szCs w:val="28"/>
          <w:rtl w:val="true"/>
          <w:lang w:bidi="ar-SA"/>
        </w:rPr>
        <w:t xml:space="preserve">غير ممتنع من فعل الله فهو كالمطيع لله و هو معبر </w:t>
      </w:r>
      <w:r>
        <w:rPr>
          <w:rStyle w:val="FootnoteAnchor"/>
          <w:rtl w:val="true"/>
        </w:rPr>
        <w:footnoteReference w:id="213"/>
      </w:r>
      <w:r>
        <w:rPr>
          <w:rFonts w:ascii="IRNazanin" w:hAnsi="IRNazanin" w:eastAsia="IRNazanin"/>
          <w:color w:val="111111"/>
          <w:sz w:val="28"/>
          <w:sz w:val="28"/>
          <w:szCs w:val="28"/>
          <w:rtl w:val="true"/>
          <w:lang w:bidi="fa-IR"/>
        </w:rPr>
        <w:t>عنه بالساجد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p>
    <w:p>
      <w:pPr>
        <w:pStyle w:val="BookText"/>
        <w:rPr/>
      </w:pPr>
      <w:r>
        <w:rPr>
          <w:rFonts w:ascii="Amiri" w:hAnsi="Amiri" w:eastAsia="Amiri" w:cs="Amiri"/>
          <w:color w:val="111111"/>
          <w:sz w:val="28"/>
          <w:sz w:val="28"/>
          <w:szCs w:val="28"/>
          <w:rtl w:val="true"/>
          <w:lang w:bidi="ar-SA"/>
        </w:rPr>
        <w:t>بجمع تظل البلق في حجراته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ترى الأكم فيها سجدا للحوافر</w:t>
      </w:r>
    </w:p>
    <w:p>
      <w:pPr>
        <w:pStyle w:val="BookText"/>
        <w:rPr/>
      </w:pP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الحوافر تذل الأكم بوطئها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الآخر</w:t>
      </w:r>
    </w:p>
    <w:p>
      <w:pPr>
        <w:pStyle w:val="BookText"/>
        <w:rPr/>
      </w:pPr>
      <w:r>
        <w:rPr>
          <w:rFonts w:ascii="Amiri" w:hAnsi="Amiri" w:eastAsia="Amiri" w:cs="Amiri"/>
          <w:color w:val="111111"/>
          <w:sz w:val="28"/>
          <w:sz w:val="28"/>
          <w:szCs w:val="28"/>
          <w:rtl w:val="true"/>
          <w:lang w:bidi="ar-SA"/>
        </w:rPr>
        <w:t>سجودا له غسان يرجون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ترك و رهط الأعجمين و كابل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يريد أنهم مطيعون له و عبر عن طاعتهم بالسجود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تعالى ثُمَّ اسْتَوى إِلَى السَّماءِ وَ هِيَ دُخانٌ فَقالَ لَها وَ لِلْأَرْضِ ائْتِيا طَوْعاً أَوْ كَرْهاً قالَتا أَتَيْنا طائِعِينَ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سبحانه لم يخاطب السماء بكلام و لا السماء قالت قولا مسموعا و إنما أراد أنه عمد </w:t>
      </w:r>
      <w:r>
        <w:rPr>
          <w:rStyle w:val="FootnoteAnchor"/>
          <w:rtl w:val="true"/>
        </w:rPr>
        <w:footnoteReference w:id="217"/>
      </w:r>
      <w:r>
        <w:rPr>
          <w:rFonts w:ascii="Amiri" w:hAnsi="Amiri" w:eastAsia="Amiri" w:cs="Amiri"/>
          <w:color w:val="111111"/>
          <w:sz w:val="28"/>
          <w:sz w:val="28"/>
          <w:szCs w:val="28"/>
          <w:rtl w:val="true"/>
          <w:lang w:bidi="ar-SA"/>
        </w:rPr>
        <w:t xml:space="preserve">إلى السماء فخلقها و لم يتعذر عليه صنعها </w:t>
      </w:r>
      <w:r>
        <w:rPr>
          <w:rStyle w:val="FootnoteAnchor"/>
          <w:rtl w:val="true"/>
        </w:rPr>
        <w:footnoteReference w:id="218"/>
      </w:r>
      <w:r>
        <w:rPr>
          <w:rFonts w:ascii="Amiri" w:hAnsi="Amiri" w:eastAsia="Amiri" w:cs="Amiri"/>
          <w:color w:val="111111"/>
          <w:sz w:val="28"/>
          <w:sz w:val="28"/>
          <w:szCs w:val="28"/>
          <w:rtl w:val="true"/>
          <w:lang w:bidi="ar-SA"/>
        </w:rPr>
        <w:t xml:space="preserve">فكأنه سبحانه لما خلقها قال لها و للأرض </w:t>
      </w:r>
      <w:r>
        <w:rPr>
          <w:rStyle w:val="FootnoteAnchor"/>
          <w:rtl w:val="true"/>
        </w:rPr>
        <w:footnoteReference w:id="219"/>
      </w:r>
      <w:r>
        <w:rPr>
          <w:rFonts w:ascii="Amiri" w:hAnsi="Amiri" w:eastAsia="Amiri" w:cs="Amiri"/>
          <w:color w:val="111111"/>
          <w:sz w:val="28"/>
          <w:sz w:val="28"/>
          <w:szCs w:val="28"/>
          <w:rtl w:val="true"/>
          <w:lang w:bidi="ar-SA"/>
        </w:rPr>
        <w:t xml:space="preserve">ائْتِيا طَوْعاً أَوْ كَرْهاً فلما انفعلت </w:t>
      </w:r>
      <w:r>
        <w:rPr>
          <w:rStyle w:val="FootnoteAnchor"/>
          <w:rtl w:val="true"/>
        </w:rPr>
        <w:footnoteReference w:id="220"/>
      </w:r>
      <w:r>
        <w:rPr>
          <w:rFonts w:ascii="Amiri" w:hAnsi="Amiri" w:eastAsia="Amiri" w:cs="Amiri"/>
          <w:color w:val="111111"/>
          <w:sz w:val="28"/>
          <w:sz w:val="28"/>
          <w:szCs w:val="28"/>
          <w:rtl w:val="true"/>
          <w:lang w:bidi="ar-SA"/>
        </w:rPr>
        <w:t xml:space="preserve">بقدرته كانتا </w:t>
      </w:r>
      <w:r>
        <w:rPr>
          <w:rStyle w:val="FootnoteAnchor"/>
          <w:rtl w:val="true"/>
        </w:rPr>
        <w:footnoteReference w:id="221"/>
      </w:r>
      <w:r>
        <w:rPr>
          <w:rFonts w:ascii="Amiri" w:hAnsi="Amiri" w:eastAsia="Amiri" w:cs="Amiri"/>
          <w:color w:val="111111"/>
          <w:sz w:val="28"/>
          <w:sz w:val="28"/>
          <w:szCs w:val="28"/>
          <w:rtl w:val="true"/>
          <w:lang w:bidi="ar-SA"/>
        </w:rPr>
        <w:t>كالقائل أتينا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قوله تعالى يَوْمَ نَقُولُ لِجَهَنَّمَ هَلِ امْتَلَأْتِ وَ تَقُولُ هَلْ مِنْ مَزِيدٍ </w:t>
      </w:r>
      <w:r>
        <w:rPr>
          <w:rStyle w:val="FootnoteAnchor"/>
          <w:rtl w:val="true"/>
        </w:rPr>
        <w:footnoteReference w:id="222"/>
      </w:r>
      <w:r>
        <w:rPr>
          <w:rFonts w:ascii="Amiri" w:hAnsi="Amiri" w:eastAsia="Amiri" w:cs="Amiri"/>
          <w:color w:val="111111"/>
          <w:sz w:val="28"/>
          <w:sz w:val="28"/>
          <w:szCs w:val="28"/>
          <w:rtl w:val="true"/>
          <w:lang w:bidi="ar-SA"/>
        </w:rPr>
        <w:t xml:space="preserve">و الله تعالى يجل عن خطاب النار و هي مما لا يعقل و لا يتكلم </w:t>
      </w:r>
      <w:r>
        <w:rPr>
          <w:rStyle w:val="FootnoteAnchor"/>
          <w:rtl w:val="true"/>
        </w:rPr>
        <w:footnoteReference w:id="223"/>
      </w:r>
      <w:r>
        <w:rPr>
          <w:rFonts w:ascii="IRNazanin" w:hAnsi="IRNazanin" w:eastAsia="IRNazanin"/>
          <w:color w:val="111111"/>
          <w:sz w:val="28"/>
          <w:sz w:val="28"/>
          <w:szCs w:val="28"/>
          <w:rtl w:val="true"/>
          <w:lang w:bidi="fa-IR"/>
        </w:rPr>
        <w:t xml:space="preserve">و إنما عبر </w:t>
      </w:r>
      <w:r>
        <w:rPr>
          <w:rStyle w:val="FootnoteAnchor"/>
          <w:rtl w:val="true"/>
        </w:rPr>
        <w:footnoteReference w:id="224"/>
      </w:r>
      <w:r>
        <w:rPr>
          <w:rFonts w:ascii="Amiri" w:hAnsi="Amiri" w:eastAsia="Amiri" w:cs="Amiri"/>
          <w:color w:val="111111"/>
          <w:sz w:val="28"/>
          <w:sz w:val="28"/>
          <w:szCs w:val="28"/>
          <w:rtl w:val="true"/>
          <w:lang w:bidi="ar-SA"/>
        </w:rPr>
        <w:t xml:space="preserve">عن سعتها و أنها لا تضيق بمن يحلها </w:t>
      </w:r>
      <w:r>
        <w:rPr>
          <w:rStyle w:val="FootnoteAnchor"/>
          <w:rtl w:val="true"/>
        </w:rPr>
        <w:footnoteReference w:id="225"/>
      </w:r>
      <w:r>
        <w:rPr>
          <w:rFonts w:ascii="Amiri" w:hAnsi="Amiri" w:eastAsia="Amiri" w:cs="Amiri"/>
          <w:color w:val="111111"/>
          <w:sz w:val="28"/>
          <w:sz w:val="28"/>
          <w:szCs w:val="28"/>
          <w:rtl w:val="true"/>
          <w:lang w:bidi="ar-SA"/>
        </w:rPr>
        <w:t>من المعاقبين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على مذهب أهل اللغة و عادتهم في المجاز أ لا ترى إلى قول الشاعر</w:t>
      </w:r>
    </w:p>
    <w:p>
      <w:pPr>
        <w:pStyle w:val="BookText"/>
        <w:rPr/>
      </w:pPr>
      <w:r>
        <w:rPr>
          <w:rFonts w:ascii="Amiri" w:hAnsi="Amiri" w:eastAsia="Amiri" w:cs="Amiri"/>
          <w:color w:val="111111"/>
          <w:sz w:val="28"/>
          <w:sz w:val="28"/>
          <w:szCs w:val="28"/>
          <w:rtl w:val="true"/>
          <w:lang w:bidi="ar-SA"/>
        </w:rPr>
        <w:t>و قالت له العينان سمعا و طاعة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أسبلتا بالدر لما يثقب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العينان لم تقولا قولا مسموعا و لكنه أراد منهما البكاء فكانتا كما أراد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من غير تعذر عليه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 عنترة</w:t>
      </w:r>
    </w:p>
    <w:p>
      <w:pPr>
        <w:pStyle w:val="BookText"/>
        <w:rPr/>
      </w:pPr>
      <w:r>
        <w:rPr>
          <w:rFonts w:ascii="Amiri" w:hAnsi="Amiri" w:eastAsia="Amiri" w:cs="Amiri"/>
          <w:color w:val="111111"/>
          <w:sz w:val="28"/>
          <w:sz w:val="28"/>
          <w:szCs w:val="28"/>
          <w:rtl w:val="true"/>
          <w:lang w:bidi="ar-SA"/>
        </w:rPr>
        <w:t>فازور من وقع القنا بلبانه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شكا إلي بعبرة و تحمحم</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w:t>
      </w:r>
      <w:r>
        <w:rPr>
          <w:rStyle w:val="FootnoteAnchor"/>
          <w:rtl w:val="true"/>
        </w:rPr>
        <w:footnoteReference w:id="230"/>
      </w:r>
      <w:r>
        <w:rPr>
          <w:rFonts w:ascii="Amiri" w:hAnsi="Amiri" w:eastAsia="Amiri" w:cs="Amiri"/>
          <w:color w:val="111111"/>
          <w:sz w:val="28"/>
          <w:sz w:val="28"/>
          <w:szCs w:val="28"/>
          <w:rtl w:val="true"/>
          <w:lang w:bidi="ar-SA"/>
        </w:rPr>
        <w:t xml:space="preserve">لا يشتكي قولا لكنه ظهر منه علامة الخوف و الجزع فسمى ذلك قولا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 إلي جملي طول السرى</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 الجمل لا يتكلم لكنه لما ظهر منه </w:t>
      </w:r>
      <w:r>
        <w:rPr>
          <w:rStyle w:val="FootnoteAnchor"/>
          <w:rtl w:val="true"/>
        </w:rPr>
        <w:footnoteReference w:id="233"/>
      </w:r>
      <w:r>
        <w:rPr>
          <w:rFonts w:ascii="IRNazanin" w:hAnsi="IRNazanin" w:eastAsia="IRNazanin"/>
          <w:color w:val="111111"/>
          <w:sz w:val="28"/>
          <w:sz w:val="28"/>
          <w:szCs w:val="28"/>
          <w:rtl w:val="true"/>
          <w:lang w:bidi="fa-IR"/>
        </w:rPr>
        <w:t xml:space="preserve">النصب و الوصب </w:t>
      </w:r>
      <w:r>
        <w:rPr>
          <w:rStyle w:val="FootnoteAnchor"/>
          <w:rtl w:val="true"/>
        </w:rPr>
        <w:footnoteReference w:id="234"/>
      </w:r>
      <w:r>
        <w:rPr>
          <w:rFonts w:ascii="Amiri" w:hAnsi="Amiri" w:eastAsia="Amiri" w:cs="Amiri"/>
          <w:color w:val="111111"/>
          <w:sz w:val="28"/>
          <w:sz w:val="28"/>
          <w:szCs w:val="28"/>
          <w:rtl w:val="true"/>
          <w:lang w:bidi="ar-SA"/>
        </w:rPr>
        <w:t xml:space="preserve">لطول السرى عبر عن هذه العلامة بالشكوى التي تكون بالنطق </w:t>
      </w:r>
      <w:r>
        <w:rPr>
          <w:rStyle w:val="FootnoteAnchor"/>
          <w:rtl w:val="true"/>
        </w:rPr>
        <w:footnoteReference w:id="235"/>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قوله أيضا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امتلأ الحوض و قال قطني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حسبك مني قد ملأت بطني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74" w:name="pg19202_232115"/>
    </w:p>
    <w:p>
      <w:pPr>
        <w:pStyle w:val="BookText"/>
        <w:rPr/>
      </w:pPr>
      <w:bookmarkEnd w:id="74"/>
      <w:r>
        <w:rPr>
          <w:rFonts w:ascii="Amiri" w:hAnsi="Amiri" w:eastAsia="Amiri" w:cs="Amiri"/>
          <w:color w:val="111111"/>
          <w:sz w:val="28"/>
          <w:sz w:val="28"/>
          <w:szCs w:val="28"/>
          <w:rtl w:val="true"/>
          <w:lang w:bidi="ar-SA"/>
        </w:rPr>
        <w:t xml:space="preserve">و الحوض لم يقل </w:t>
      </w:r>
      <w:r>
        <w:rPr>
          <w:rStyle w:val="FootnoteAnchor"/>
          <w:rtl w:val="true"/>
        </w:rPr>
        <w:footnoteReference w:id="238"/>
      </w:r>
      <w:r>
        <w:rPr>
          <w:rFonts w:ascii="Amiri" w:hAnsi="Amiri" w:eastAsia="Amiri" w:cs="Amiri"/>
          <w:color w:val="111111"/>
          <w:sz w:val="28"/>
          <w:sz w:val="28"/>
          <w:szCs w:val="28"/>
          <w:rtl w:val="true"/>
          <w:lang w:bidi="ar-SA"/>
        </w:rPr>
        <w:t xml:space="preserve">قطني لكنه لما امتلأ بالماء عبر عنه </w:t>
      </w:r>
      <w:r>
        <w:rPr>
          <w:rStyle w:val="FootnoteAnchor"/>
          <w:rtl w:val="true"/>
        </w:rPr>
        <w:footnoteReference w:id="239"/>
      </w:r>
      <w:r>
        <w:rPr>
          <w:rFonts w:ascii="Amiri" w:hAnsi="Amiri" w:eastAsia="Amiri" w:cs="Amiri"/>
          <w:color w:val="111111"/>
          <w:sz w:val="28"/>
          <w:sz w:val="28"/>
          <w:szCs w:val="28"/>
          <w:rtl w:val="true"/>
          <w:lang w:bidi="ar-SA"/>
        </w:rPr>
        <w:t>بأنه قال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أمثال كثيرة في منثور كلام العرب و منظومه </w:t>
      </w:r>
      <w:r>
        <w:rPr>
          <w:rStyle w:val="FootnoteAnchor"/>
          <w:rtl w:val="true"/>
        </w:rPr>
        <w:footnoteReference w:id="240"/>
      </w:r>
      <w:r>
        <w:rPr>
          <w:rFonts w:ascii="Amiri" w:hAnsi="Amiri" w:eastAsia="Amiri" w:cs="Amiri"/>
          <w:color w:val="111111"/>
          <w:sz w:val="28"/>
          <w:sz w:val="28"/>
          <w:szCs w:val="28"/>
          <w:rtl w:val="true"/>
          <w:lang w:bidi="ar-SA"/>
        </w:rPr>
        <w:t xml:space="preserve">و هو من الشواهد على ما ذكرناه في تأويل الآية و الله تعالى نسأل التوفيق </w:t>
      </w:r>
      <w:r>
        <w:rPr>
          <w:rStyle w:val="FootnoteAnchor"/>
          <w:rtl w:val="true"/>
        </w:rPr>
        <w:footnoteReference w:id="241"/>
      </w:r>
    </w:p>
    <w:p>
      <w:pPr>
        <w:pStyle w:val="Heading2"/>
        <w:numPr>
          <w:ilvl w:val="1"/>
          <w:numId w:val="1"/>
        </w:numPr>
        <w:rPr/>
      </w:pPr>
      <w:bookmarkStart w:id="75" w:name="__RefHeading___Toc16229048_1280447820"/>
      <w:bookmarkStart w:id="76" w:name="_Toc27"/>
      <w:bookmarkEnd w:id="75"/>
      <w:r>
        <w:rPr>
          <w:rtl w:val="true"/>
        </w:rPr>
        <w:t>فصل في خلق الأرواح و الأجساد</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بأن الله تعالى خلق الأرواح قبل الأجساد بألفي عام فهو من أخبار الآحاد و قد روته العامة كما روته الخاصة </w:t>
      </w:r>
      <w:r>
        <w:rPr>
          <w:rStyle w:val="FootnoteAnchor"/>
          <w:rtl w:val="true"/>
        </w:rPr>
        <w:footnoteReference w:id="242"/>
      </w:r>
      <w:r>
        <w:rPr>
          <w:rFonts w:ascii="Amiri" w:hAnsi="Amiri" w:eastAsia="Amiri" w:cs="Amiri"/>
          <w:color w:val="111111"/>
          <w:sz w:val="28"/>
          <w:sz w:val="28"/>
          <w:szCs w:val="28"/>
          <w:rtl w:val="true"/>
          <w:lang w:bidi="ar-SA"/>
        </w:rPr>
        <w:t xml:space="preserve">و ليس هو مع ذلك </w:t>
      </w:r>
      <w:r>
        <w:rPr>
          <w:rStyle w:val="FootnoteAnchor"/>
          <w:rtl w:val="true"/>
        </w:rPr>
        <w:footnoteReference w:id="243"/>
      </w:r>
      <w:r>
        <w:rPr>
          <w:rFonts w:ascii="Amiri" w:hAnsi="Amiri" w:eastAsia="Amiri" w:cs="Amiri"/>
          <w:color w:val="111111"/>
          <w:sz w:val="28"/>
          <w:sz w:val="28"/>
          <w:szCs w:val="28"/>
          <w:rtl w:val="true"/>
          <w:lang w:bidi="ar-SA"/>
        </w:rPr>
        <w:t xml:space="preserve">بما يقطع على الله سبحانه بصحته و إنما نقله رواته </w:t>
      </w:r>
      <w:r>
        <w:rPr>
          <w:rStyle w:val="FootnoteAnchor"/>
          <w:rtl w:val="true"/>
        </w:rPr>
        <w:footnoteReference w:id="244"/>
      </w:r>
      <w:r>
        <w:rPr>
          <w:rFonts w:ascii="IRNazanin" w:hAnsi="IRNazanin" w:eastAsia="IRNazanin"/>
          <w:color w:val="111111"/>
          <w:sz w:val="28"/>
          <w:sz w:val="28"/>
          <w:szCs w:val="28"/>
          <w:rtl w:val="true"/>
          <w:lang w:bidi="fa-IR"/>
        </w:rPr>
        <w:t>لحسن الظن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ثبت القول فالمعنى فيه أن الله تعالى قدر الأرواح في علمه قبل اختراع الأجساد و اخترع الأجساد ثم اخترع لها الأرواح فالخلق للأرواح قبل الأجساد خلق تقدير في العلم </w:t>
      </w:r>
      <w:r>
        <w:rPr>
          <w:rStyle w:val="FootnoteAnchor"/>
          <w:rtl w:val="true"/>
        </w:rPr>
        <w:footnoteReference w:id="245"/>
      </w:r>
      <w:r>
        <w:rPr>
          <w:rFonts w:ascii="Amiri" w:hAnsi="Amiri" w:eastAsia="Amiri" w:cs="Amiri"/>
          <w:color w:val="111111"/>
          <w:sz w:val="28"/>
          <w:sz w:val="28"/>
          <w:szCs w:val="28"/>
          <w:rtl w:val="true"/>
          <w:lang w:bidi="ar-SA"/>
        </w:rPr>
        <w:t>كما قدمناه و ليس بخلق لذواتها كما وصفناه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الخلق لها بالأحداث </w:t>
      </w:r>
      <w:r>
        <w:rPr>
          <w:rStyle w:val="FootnoteAnchor"/>
          <w:rtl w:val="true"/>
        </w:rPr>
        <w:footnoteReference w:id="246"/>
      </w:r>
      <w:r>
        <w:rPr>
          <w:rFonts w:ascii="IRNazanin" w:hAnsi="IRNazanin" w:eastAsia="IRNazanin"/>
          <w:color w:val="111111"/>
          <w:sz w:val="28"/>
          <w:sz w:val="28"/>
          <w:szCs w:val="28"/>
          <w:rtl w:val="true"/>
          <w:lang w:bidi="fa-IR"/>
        </w:rPr>
        <w:t xml:space="preserve">و الاختراع </w:t>
      </w:r>
      <w:r>
        <w:rPr>
          <w:rStyle w:val="FootnoteAnchor"/>
          <w:rtl w:val="true"/>
        </w:rPr>
        <w:footnoteReference w:id="247"/>
      </w:r>
      <w:r>
        <w:rPr>
          <w:rFonts w:ascii="IRNazanin" w:hAnsi="IRNazanin" w:eastAsia="IRNazanin"/>
          <w:color w:val="111111"/>
          <w:sz w:val="28"/>
          <w:sz w:val="28"/>
          <w:szCs w:val="28"/>
          <w:rtl w:val="true"/>
          <w:lang w:bidi="fa-IR"/>
        </w:rPr>
        <w:t xml:space="preserve">بعد خلق الأجساد </w:t>
      </w:r>
      <w:r>
        <w:rPr>
          <w:rStyle w:val="FootnoteAnchor"/>
          <w:rtl w:val="true"/>
        </w:rPr>
        <w:footnoteReference w:id="248"/>
      </w:r>
      <w:r>
        <w:rPr>
          <w:rFonts w:ascii="Amiri" w:hAnsi="Amiri" w:eastAsia="Amiri" w:cs="Amiri"/>
          <w:color w:val="111111"/>
          <w:sz w:val="28"/>
          <w:sz w:val="28"/>
          <w:szCs w:val="28"/>
          <w:rtl w:val="true"/>
          <w:lang w:bidi="ar-SA"/>
        </w:rPr>
        <w:t xml:space="preserve">و الصور التي تدبرها الأرواح و لو لا أن ذلك كذلك لكانت الأرواح </w:t>
      </w:r>
      <w:r>
        <w:rPr>
          <w:rStyle w:val="FootnoteAnchor"/>
          <w:rtl w:val="true"/>
        </w:rPr>
        <w:footnoteReference w:id="249"/>
      </w:r>
      <w:r>
        <w:rPr>
          <w:rFonts w:ascii="Amiri" w:hAnsi="Amiri" w:eastAsia="Amiri" w:cs="Amiri"/>
          <w:color w:val="111111"/>
          <w:sz w:val="28"/>
          <w:sz w:val="28"/>
          <w:szCs w:val="28"/>
          <w:rtl w:val="true"/>
          <w:lang w:bidi="ar-SA"/>
        </w:rPr>
        <w:t xml:space="preserve">تقوم بأنفسها و لا تحتاج إلى آلات تحملها و لكنا نعرف ما سلف لنا من الأحوال قبل خلق </w:t>
      </w:r>
      <w:r>
        <w:rPr>
          <w:rStyle w:val="FootnoteAnchor"/>
          <w:rtl w:val="true"/>
        </w:rPr>
        <w:footnoteReference w:id="250"/>
      </w:r>
      <w:r>
        <w:rPr>
          <w:rFonts w:ascii="Amiri" w:hAnsi="Amiri" w:eastAsia="Amiri" w:cs="Amiri"/>
          <w:color w:val="111111"/>
          <w:sz w:val="28"/>
          <w:sz w:val="28"/>
          <w:szCs w:val="28"/>
          <w:rtl w:val="true"/>
          <w:lang w:bidi="ar-SA"/>
        </w:rPr>
        <w:t>الأجساد كما نعلم أحوالنا بعد خلق الأجساد و هذا محال لا خفاء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الأرواح جنود مجندة</w:t>
      </w:r>
    </w:p>
    <w:p>
      <w:pPr>
        <w:pStyle w:val="BookText"/>
        <w:rPr/>
      </w:pPr>
      <w:r>
        <w:rPr>
          <w:rFonts w:ascii="Amiri" w:hAnsi="Amiri" w:eastAsia="Amiri" w:cs="Amiri"/>
          <w:color w:val="111111"/>
          <w:sz w:val="28"/>
          <w:sz w:val="28"/>
          <w:szCs w:val="28"/>
          <w:rtl w:val="true"/>
          <w:lang w:bidi="ar-SA"/>
        </w:rPr>
        <w:t xml:space="preserve">و أماالحديث بأن الأرواح جنود مجندة فما تعارف منها ائتلف و ما تناكر منها اختلف </w:t>
      </w:r>
      <w:r>
        <w:rPr>
          <w:rStyle w:val="FootnoteAnchor"/>
          <w:rtl w:val="true"/>
        </w:rPr>
        <w:footnoteReference w:id="2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فيه أن الأرواح التي هي الجواهر البسائط تتناصر </w:t>
      </w:r>
      <w:r>
        <w:rPr>
          <w:rStyle w:val="FootnoteAnchor"/>
          <w:rtl w:val="true"/>
        </w:rPr>
        <w:footnoteReference w:id="252"/>
      </w:r>
      <w:r>
        <w:rPr>
          <w:rFonts w:ascii="IRNazanin" w:hAnsi="IRNazanin" w:eastAsia="IRNazanin"/>
          <w:color w:val="111111"/>
          <w:sz w:val="28"/>
          <w:sz w:val="28"/>
          <w:szCs w:val="28"/>
          <w:rtl w:val="true"/>
          <w:lang w:bidi="fa-IR"/>
        </w:rPr>
        <w:t xml:space="preserve">بالجنس و تتخاذل </w:t>
      </w:r>
      <w:r>
        <w:rPr>
          <w:rStyle w:val="FootnoteAnchor"/>
          <w:rtl w:val="true"/>
        </w:rPr>
        <w:footnoteReference w:id="253"/>
      </w:r>
      <w:r>
        <w:rPr>
          <w:rFonts w:ascii="Amiri" w:hAnsi="Amiri" w:eastAsia="Amiri" w:cs="Amiri"/>
          <w:color w:val="111111"/>
          <w:sz w:val="28"/>
          <w:sz w:val="28"/>
          <w:szCs w:val="28"/>
          <w:rtl w:val="true"/>
          <w:lang w:bidi="ar-SA"/>
        </w:rPr>
        <w:t xml:space="preserve">بالعوارض فما تعارف منها باتفاق الرأي </w:t>
      </w:r>
    </w:p>
    <w:p>
      <w:pPr>
        <w:pStyle w:val="BookText"/>
        <w:rPr/>
      </w:pPr>
      <w:r>
        <w:rPr>
          <w:rFonts w:ascii="Amiri" w:hAnsi="Amiri" w:eastAsia="Amiri" w:cs="Amiri"/>
          <w:color w:val="111111"/>
          <w:sz w:val="28"/>
          <w:sz w:val="28"/>
          <w:szCs w:val="28"/>
          <w:rtl w:val="true"/>
          <w:lang w:bidi="ar-SA"/>
        </w:rPr>
        <w:t xml:space="preserve">و الهوى ائتلف و ما تناكر منها بمباينة في الرأي و الهوى اختلف و هذا موجود حسا </w:t>
      </w:r>
      <w:r>
        <w:rPr>
          <w:rStyle w:val="FootnoteAnchor"/>
          <w:rtl w:val="true"/>
        </w:rPr>
        <w:footnoteReference w:id="254"/>
      </w:r>
      <w:r>
        <w:rPr>
          <w:rFonts w:ascii="Amiri" w:hAnsi="Amiri" w:eastAsia="Amiri" w:cs="Amiri"/>
          <w:color w:val="111111"/>
          <w:sz w:val="28"/>
          <w:sz w:val="28"/>
          <w:szCs w:val="28"/>
          <w:rtl w:val="true"/>
          <w:lang w:bidi="ar-SA"/>
        </w:rPr>
        <w:t xml:space="preserve">و مشاهدة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المراد بذلك أن ما تعارف منها في الذر ائتلف كما يذهب إليه الحشوية و كما بيناه من أنه لا علم للإنسان بحال كان عليها قبل ظهوره في هذا العالم و لو ذكر بكل </w:t>
      </w:r>
      <w:r>
        <w:rPr>
          <w:rStyle w:val="FootnoteAnchor"/>
          <w:rtl w:val="true"/>
        </w:rPr>
        <w:footnoteReference w:id="256"/>
      </w:r>
      <w:r>
        <w:rPr>
          <w:rFonts w:ascii="Amiri" w:hAnsi="Amiri" w:eastAsia="Amiri" w:cs="Amiri"/>
          <w:color w:val="111111"/>
          <w:sz w:val="28"/>
          <w:sz w:val="28"/>
          <w:szCs w:val="28"/>
          <w:rtl w:val="true"/>
          <w:lang w:bidi="ar-SA"/>
        </w:rPr>
        <w:t>شيء ما ذكر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فوضح بما ذكرناه أن المراد بالخبر ما شرحناه و الله الموفق للصواب </w:t>
      </w:r>
      <w:r>
        <w:rPr>
          <w:rStyle w:val="FootnoteAnchor"/>
          <w:rtl w:val="true"/>
        </w:rPr>
        <w:footnoteReference w:id="257"/>
      </w:r>
      <w:bookmarkStart w:id="77" w:name="pg19202_232118"/>
    </w:p>
    <w:p>
      <w:pPr>
        <w:pStyle w:val="Heading2"/>
        <w:numPr>
          <w:ilvl w:val="1"/>
          <w:numId w:val="1"/>
        </w:numPr>
        <w:rPr/>
      </w:pPr>
      <w:bookmarkStart w:id="78" w:name="__RefHeading___Toc16229050_1280447820"/>
      <w:bookmarkStart w:id="79" w:name="_Toc28"/>
      <w:bookmarkEnd w:id="77"/>
      <w:bookmarkEnd w:id="78"/>
      <w:r>
        <w:rPr>
          <w:rtl w:val="true"/>
        </w:rPr>
        <w:t>المسألة الثالثة ماهية الروح</w:t>
      </w:r>
      <w:bookmarkEnd w:id="79"/>
    </w:p>
    <w:p>
      <w:pPr>
        <w:pStyle w:val="BookText"/>
        <w:rPr/>
      </w:pPr>
      <w:r>
        <w:rPr>
          <w:rFonts w:ascii="Amiri" w:hAnsi="Amiri" w:eastAsia="Amiri" w:cs="Amiri"/>
          <w:color w:val="111111"/>
          <w:sz w:val="28"/>
          <w:sz w:val="28"/>
          <w:szCs w:val="28"/>
          <w:rtl w:val="true"/>
          <w:lang w:bidi="ar-SA"/>
        </w:rPr>
        <w:t xml:space="preserve">ما قوله أدام الله تعالى علوه في الأرواح و ماهيتها و حقيقة كيفيتها و ما لها عند مفارقتها الأجساد و هل حياة </w:t>
      </w:r>
      <w:r>
        <w:rPr>
          <w:rStyle w:val="FootnoteAnchor"/>
          <w:rtl w:val="true"/>
        </w:rPr>
        <w:footnoteReference w:id="258"/>
      </w:r>
      <w:r>
        <w:rPr>
          <w:rFonts w:ascii="Amiri" w:hAnsi="Amiri" w:eastAsia="Amiri" w:cs="Amiri"/>
          <w:color w:val="111111"/>
          <w:sz w:val="28"/>
          <w:sz w:val="28"/>
          <w:szCs w:val="28"/>
          <w:rtl w:val="true"/>
          <w:lang w:bidi="ar-SA"/>
        </w:rPr>
        <w:t xml:space="preserve">النمو و قبول الغذاء و الحياة التي هي في </w:t>
      </w:r>
      <w:r>
        <w:rPr>
          <w:rStyle w:val="FootnoteAnchor"/>
          <w:rtl w:val="true"/>
        </w:rPr>
        <w:footnoteReference w:id="259"/>
      </w:r>
      <w:r>
        <w:rPr>
          <w:rFonts w:ascii="Amiri" w:hAnsi="Amiri" w:eastAsia="Amiri" w:cs="Amiri"/>
          <w:color w:val="111111"/>
          <w:sz w:val="28"/>
          <w:sz w:val="28"/>
          <w:szCs w:val="28"/>
          <w:rtl w:val="true"/>
          <w:lang w:bidi="ar-SA"/>
        </w:rPr>
        <w:t>الذوات الفعالة هل هي معنى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إن الأرواح عندنا هي أعراض لا بقاء لها و إنما عبد الله تعالى منها الحي حالا بحال فإذا قطع امتداد المحيا بها جاء الموت الذي هو ضد الحياة </w:t>
      </w:r>
      <w:r>
        <w:rPr>
          <w:rStyle w:val="FootnoteAnchor"/>
          <w:rtl w:val="true"/>
        </w:rPr>
        <w:footnoteReference w:id="260"/>
      </w:r>
      <w:r>
        <w:rPr>
          <w:rFonts w:ascii="Amiri" w:hAnsi="Amiri" w:eastAsia="Amiri" w:cs="Amiri"/>
          <w:color w:val="111111"/>
          <w:sz w:val="28"/>
          <w:sz w:val="28"/>
          <w:szCs w:val="28"/>
          <w:rtl w:val="true"/>
          <w:lang w:bidi="ar-SA"/>
        </w:rPr>
        <w:t xml:space="preserve">و لم يكن للأرواح وجود فإذا أحيا الله تعالى الأموات </w:t>
      </w:r>
      <w:r>
        <w:rPr>
          <w:rStyle w:val="FootnoteAnchor"/>
          <w:rtl w:val="true"/>
        </w:rPr>
        <w:footnoteReference w:id="261"/>
      </w:r>
      <w:r>
        <w:rPr>
          <w:rFonts w:ascii="IRNazanin" w:hAnsi="IRNazanin" w:eastAsia="IRNazanin"/>
          <w:color w:val="111111"/>
          <w:sz w:val="28"/>
          <w:sz w:val="28"/>
          <w:szCs w:val="28"/>
          <w:rtl w:val="true"/>
          <w:lang w:bidi="fa-IR"/>
        </w:rPr>
        <w:t xml:space="preserve">ابتدأت </w:t>
      </w:r>
      <w:r>
        <w:rPr>
          <w:rStyle w:val="FootnoteAnchor"/>
          <w:rtl w:val="true"/>
        </w:rPr>
        <w:footnoteReference w:id="262"/>
      </w:r>
      <w:r>
        <w:rPr>
          <w:rFonts w:ascii="Amiri" w:hAnsi="Amiri" w:eastAsia="Amiri" w:cs="Amiri"/>
          <w:color w:val="111111"/>
          <w:sz w:val="28"/>
          <w:sz w:val="28"/>
          <w:szCs w:val="28"/>
          <w:rtl w:val="true"/>
          <w:lang w:bidi="ar-SA"/>
        </w:rPr>
        <w:t>فيهم الحياة التي هي الروح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الحياة التي في الذوات الفعالة هي معنى تصحيح العلم و القدرة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شرط في كون العالم عالما و القادر قادرا و ليست من نوع الحياة التي تكون في الأجساد </w:t>
      </w:r>
      <w:r>
        <w:rPr>
          <w:rStyle w:val="FootnoteAnchor"/>
          <w:rtl w:val="true"/>
        </w:rPr>
        <w:footnoteReference w:id="263"/>
      </w:r>
      <w:bookmarkStart w:id="80" w:name="pg19202_232120"/>
    </w:p>
    <w:p>
      <w:pPr>
        <w:pStyle w:val="Heading2"/>
        <w:numPr>
          <w:ilvl w:val="1"/>
          <w:numId w:val="1"/>
        </w:numPr>
        <w:rPr/>
      </w:pPr>
      <w:bookmarkStart w:id="81" w:name="__RefHeading___Toc16229052_1280447820"/>
      <w:bookmarkStart w:id="82" w:name="_Toc29"/>
      <w:bookmarkEnd w:id="80"/>
      <w:bookmarkEnd w:id="81"/>
      <w:r>
        <w:rPr>
          <w:rtl w:val="true"/>
        </w:rPr>
        <w:t>المسألة الرابعة ماهية الإنسان</w:t>
      </w:r>
      <w:bookmarkEnd w:id="82"/>
    </w:p>
    <w:p>
      <w:pPr>
        <w:pStyle w:val="BookText"/>
        <w:rPr/>
      </w:pPr>
      <w:r>
        <w:rPr>
          <w:rFonts w:ascii="Amiri" w:hAnsi="Amiri" w:eastAsia="Amiri" w:cs="Amiri"/>
          <w:color w:val="111111"/>
          <w:sz w:val="28"/>
          <w:sz w:val="28"/>
          <w:szCs w:val="28"/>
          <w:rtl w:val="true"/>
          <w:lang w:bidi="ar-SA"/>
        </w:rPr>
        <w:t xml:space="preserve">ما قوله حرس الله تعالى عزه في الإنسان أ هو </w:t>
      </w:r>
      <w:r>
        <w:rPr>
          <w:rStyle w:val="FootnoteAnchor"/>
          <w:rtl w:val="true"/>
        </w:rPr>
        <w:footnoteReference w:id="264"/>
      </w:r>
      <w:r>
        <w:rPr>
          <w:rFonts w:ascii="Amiri" w:hAnsi="Amiri" w:eastAsia="Amiri" w:cs="Amiri"/>
          <w:color w:val="111111"/>
          <w:sz w:val="28"/>
          <w:sz w:val="28"/>
          <w:szCs w:val="28"/>
          <w:rtl w:val="true"/>
          <w:lang w:bidi="ar-SA"/>
        </w:rPr>
        <w:t xml:space="preserve">هذا الشخص المرئي المدرك على ما يذكره </w:t>
      </w:r>
      <w:r>
        <w:rPr>
          <w:rStyle w:val="FootnoteAnchor"/>
          <w:rtl w:val="true"/>
        </w:rPr>
        <w:footnoteReference w:id="265"/>
      </w:r>
      <w:r>
        <w:rPr>
          <w:rFonts w:ascii="Amiri" w:hAnsi="Amiri" w:eastAsia="Amiri" w:cs="Amiri"/>
          <w:color w:val="111111"/>
          <w:sz w:val="28"/>
          <w:sz w:val="28"/>
          <w:szCs w:val="28"/>
          <w:rtl w:val="true"/>
          <w:lang w:bidi="ar-SA"/>
        </w:rPr>
        <w:t xml:space="preserve">أصحاب أبي هاشم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جزء حال في القلب حساس دراك كما يحكى عن أبي بكر بن الإخشيد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إن الإنسان هو ما ذكره بنو نوبخت </w:t>
      </w:r>
      <w:r>
        <w:rPr>
          <w:rStyle w:val="FootnoteAnchor"/>
          <w:rtl w:val="true"/>
        </w:rPr>
        <w:footnoteReference w:id="268"/>
      </w:r>
      <w:r>
        <w:rPr>
          <w:rFonts w:ascii="Amiri" w:hAnsi="Amiri" w:eastAsia="Amiri" w:cs="Amiri"/>
          <w:color w:val="111111"/>
          <w:sz w:val="28"/>
          <w:sz w:val="28"/>
          <w:szCs w:val="28"/>
          <w:rtl w:val="true"/>
          <w:lang w:bidi="ar-SA"/>
        </w:rPr>
        <w:t xml:space="preserve">و قد حكي عن هشام بن الحكم </w:t>
      </w:r>
      <w:r>
        <w:rPr>
          <w:rStyle w:val="FootnoteAnchor"/>
          <w:rtl w:val="true"/>
        </w:rPr>
        <w:footnoteReference w:id="269"/>
      </w:r>
      <w:r>
        <w:rPr>
          <w:rFonts w:ascii="Amiri" w:hAnsi="Amiri" w:eastAsia="Amiri" w:cs="Amiri"/>
          <w:color w:val="111111"/>
          <w:sz w:val="28"/>
          <w:sz w:val="28"/>
          <w:szCs w:val="28"/>
          <w:rtl w:val="true"/>
          <w:lang w:bidi="ar-SA"/>
        </w:rPr>
        <w:t xml:space="preserve">أيضا و الأخبار عن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ما نذهب </w:t>
      </w:r>
      <w:r>
        <w:rPr>
          <w:rStyle w:val="FootnoteAnchor"/>
          <w:rtl w:val="true"/>
        </w:rPr>
        <w:footnoteReference w:id="270"/>
      </w:r>
      <w:r>
        <w:rPr>
          <w:rFonts w:ascii="Amiri" w:hAnsi="Amiri" w:eastAsia="Amiri" w:cs="Amiri"/>
          <w:color w:val="111111"/>
          <w:sz w:val="28"/>
          <w:sz w:val="28"/>
          <w:szCs w:val="28"/>
          <w:rtl w:val="true"/>
          <w:lang w:bidi="ar-SA"/>
        </w:rPr>
        <w:t xml:space="preserve">إليه و هو شيء </w:t>
      </w:r>
      <w:r>
        <w:rPr>
          <w:rStyle w:val="FootnoteAnchor"/>
          <w:rtl w:val="true"/>
        </w:rPr>
        <w:footnoteReference w:id="271"/>
      </w:r>
      <w:r>
        <w:rPr>
          <w:rFonts w:ascii="Amiri" w:hAnsi="Amiri" w:eastAsia="Amiri" w:cs="Amiri"/>
          <w:color w:val="111111"/>
          <w:sz w:val="28"/>
          <w:sz w:val="28"/>
          <w:szCs w:val="28"/>
          <w:rtl w:val="true"/>
          <w:lang w:bidi="ar-SA"/>
        </w:rPr>
        <w:t xml:space="preserve">قائم بنفسه لا حجم له و لا حيز لا يصح عليه التركيب و لا الحركة و لا السكون و لا الاجتماع و الافتراق و هو الشيء الذي كانت تسميه </w:t>
      </w:r>
    </w:p>
    <w:p>
      <w:pPr>
        <w:pStyle w:val="BookText"/>
        <w:rPr/>
      </w:pPr>
      <w:r>
        <w:rPr>
          <w:rFonts w:ascii="Amiri" w:hAnsi="Amiri" w:eastAsia="Amiri" w:cs="Amiri"/>
          <w:color w:val="111111"/>
          <w:sz w:val="28"/>
          <w:sz w:val="28"/>
          <w:szCs w:val="28"/>
          <w:rtl w:val="true"/>
          <w:lang w:bidi="ar-SA"/>
        </w:rPr>
        <w:t xml:space="preserve">الحكماء الأوائل الجوهر البسيط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كل حي فعال محدث فهو جوهر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كما قال الجبائي و ابنه </w:t>
      </w:r>
      <w:r>
        <w:rPr>
          <w:rStyle w:val="FootnoteAnchor"/>
          <w:rtl w:val="true"/>
        </w:rPr>
        <w:footnoteReference w:id="273"/>
      </w:r>
      <w:r>
        <w:rPr>
          <w:rFonts w:ascii="Amiri" w:hAnsi="Amiri" w:eastAsia="Amiri" w:cs="Amiri"/>
          <w:color w:val="111111"/>
          <w:sz w:val="28"/>
          <w:sz w:val="28"/>
          <w:szCs w:val="28"/>
          <w:rtl w:val="true"/>
          <w:lang w:bidi="ar-SA"/>
        </w:rPr>
        <w:t>و أصحابهما أنه جملة 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كما قال ابن الإخشيد أنه جسم متخلخل </w:t>
      </w:r>
      <w:r>
        <w:rPr>
          <w:rStyle w:val="FootnoteAnchor"/>
          <w:rtl w:val="true"/>
        </w:rPr>
        <w:footnoteReference w:id="274"/>
      </w:r>
      <w:r>
        <w:rPr>
          <w:rFonts w:ascii="Amiri" w:hAnsi="Amiri" w:eastAsia="Amiri" w:cs="Amiri"/>
          <w:color w:val="111111"/>
          <w:sz w:val="28"/>
          <w:sz w:val="28"/>
          <w:szCs w:val="28"/>
          <w:rtl w:val="true"/>
          <w:lang w:bidi="ar-SA"/>
        </w:rPr>
        <w:t>في الجملة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كما قال الأعوازي </w:t>
      </w:r>
      <w:r>
        <w:rPr>
          <w:rStyle w:val="FootnoteAnchor"/>
          <w:rtl w:val="true"/>
        </w:rPr>
        <w:footnoteReference w:id="275"/>
      </w:r>
      <w:r>
        <w:rPr>
          <w:rFonts w:ascii="Amiri" w:hAnsi="Amiri" w:eastAsia="Amiri" w:cs="Amiri"/>
          <w:color w:val="111111"/>
          <w:sz w:val="28"/>
          <w:sz w:val="28"/>
          <w:szCs w:val="28"/>
          <w:rtl w:val="true"/>
          <w:lang w:bidi="ar-SA"/>
        </w:rPr>
        <w:t>أنه جزء لا يتجزأ</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قولي فيه قول معمر </w:t>
      </w:r>
      <w:r>
        <w:rPr>
          <w:rStyle w:val="FootnoteAnchor"/>
          <w:rtl w:val="true"/>
        </w:rPr>
        <w:footnoteReference w:id="276"/>
      </w:r>
      <w:r>
        <w:rPr>
          <w:rFonts w:ascii="Amiri" w:hAnsi="Amiri" w:eastAsia="Amiri" w:cs="Amiri"/>
          <w:color w:val="111111"/>
          <w:sz w:val="28"/>
          <w:sz w:val="28"/>
          <w:szCs w:val="28"/>
          <w:rtl w:val="true"/>
          <w:lang w:bidi="ar-SA"/>
        </w:rPr>
        <w:t xml:space="preserve">من المعتزلة و بني نوبخت من الشيعة على ما قدمت ذكره </w:t>
      </w:r>
    </w:p>
    <w:p>
      <w:pPr>
        <w:pStyle w:val="BookText"/>
        <w:rPr/>
      </w:pPr>
      <w:r>
        <w:rPr>
          <w:rFonts w:ascii="Amiri" w:hAnsi="Amiri" w:eastAsia="Amiri" w:cs="Amiri"/>
          <w:color w:val="111111"/>
          <w:sz w:val="28"/>
          <w:sz w:val="28"/>
          <w:szCs w:val="28"/>
          <w:rtl w:val="true"/>
          <w:lang w:bidi="ar-SA"/>
        </w:rPr>
        <w:t>و هو شيء يحتمل العلم و القدرة و الحياة و الإرادة و الكراهة و البغض و الحب قائم بنفسه محتاج في أفعاله إلى الآلة التي هي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الوصف له </w:t>
      </w:r>
      <w:r>
        <w:rPr>
          <w:rStyle w:val="FootnoteAnchor"/>
          <w:rtl w:val="true"/>
        </w:rPr>
        <w:footnoteReference w:id="277"/>
      </w:r>
      <w:r>
        <w:rPr>
          <w:rFonts w:ascii="Amiri" w:hAnsi="Amiri" w:eastAsia="Amiri" w:cs="Amiri"/>
          <w:color w:val="111111"/>
          <w:sz w:val="28"/>
          <w:sz w:val="28"/>
          <w:szCs w:val="28"/>
          <w:rtl w:val="true"/>
          <w:lang w:bidi="ar-SA"/>
        </w:rPr>
        <w:t xml:space="preserve">بأنه حي يصح </w:t>
      </w:r>
      <w:r>
        <w:rPr>
          <w:rStyle w:val="FootnoteAnchor"/>
          <w:rtl w:val="true"/>
        </w:rPr>
        <w:footnoteReference w:id="278"/>
      </w:r>
      <w:r>
        <w:rPr>
          <w:rFonts w:ascii="Amiri" w:hAnsi="Amiri" w:eastAsia="Amiri" w:cs="Amiri"/>
          <w:color w:val="111111"/>
          <w:sz w:val="28"/>
          <w:sz w:val="28"/>
          <w:szCs w:val="28"/>
          <w:rtl w:val="true"/>
          <w:lang w:bidi="ar-SA"/>
        </w:rPr>
        <w:t>عليه القول بأنه عالم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الوصف له بالحياة كالوصف للأجساد بالحياة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بالروح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المعنى جاءت الأخبار أن الروح إذا فارقت الجسد نعمت و عذبت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أن الإنسان الذي هو الجوهر البسيط يسمى الروح و عليه الثواب و العقاب و إليه توجه الأمر و النهي و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القرآن على ذلك بقوله يا أَيُّهَا الْإِنْسانُ ما غَرَّكَ بِرَبِّكَ الْكَرِيمِ الَّذِي خَلَقَكَ فَسَوَّاكَ فَعَدَلَكَ فِي أَيِّ صُورَةٍ ما شاءَ رَكَّبَكَ </w:t>
      </w:r>
      <w:r>
        <w:rPr>
          <w:rStyle w:val="FootnoteAnchor"/>
          <w:rtl w:val="true"/>
        </w:rPr>
        <w:footnoteReference w:id="280"/>
      </w:r>
      <w:r>
        <w:rPr>
          <w:rFonts w:ascii="Amiri" w:hAnsi="Amiri" w:eastAsia="Amiri" w:cs="Amiri"/>
          <w:color w:val="111111"/>
          <w:sz w:val="28"/>
          <w:sz w:val="28"/>
          <w:szCs w:val="28"/>
          <w:rtl w:val="true"/>
          <w:lang w:bidi="ar-SA"/>
        </w:rPr>
        <w:t>فأخبر تعالى أنه غير الصورة و أنه مركب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الإنسان هو الصورة لم يكن لقوله تعالى فِي أَيِّ صُورَةٍ ما شاءَ رَكَّبَكَ معنى لأن المركب في الشيء غير الشيء المركب فيه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أن تكون الصورة مركبة في نفسها و عينها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قال سبحانه في مؤمن آل يس قِيلَ ادْخُلِ الْجَنَّةَ قالَ يا لَيْتَ قَوْمِي يَعْلَمُونَ بِما غَفَرَ لِي رَبِّي </w:t>
      </w:r>
      <w:r>
        <w:rPr>
          <w:rStyle w:val="FootnoteAnchor"/>
          <w:rtl w:val="true"/>
        </w:rPr>
        <w:footnoteReference w:id="282"/>
      </w:r>
      <w:r>
        <w:rPr>
          <w:rFonts w:ascii="Amiri" w:hAnsi="Amiri" w:eastAsia="Amiri" w:cs="Amiri"/>
          <w:color w:val="111111"/>
          <w:sz w:val="28"/>
          <w:sz w:val="28"/>
          <w:szCs w:val="28"/>
          <w:rtl w:val="true"/>
          <w:lang w:bidi="ar-SA"/>
        </w:rPr>
        <w:t>فأخبر أنه حي ناطق منعم و إن كان جسمه على ظهر الأرض أو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وَ لا تَحْسَبَنَّ الَّذِينَ قُتِلُوا فِي سَبِيلِ اللَّهِ أَمْواتاً بَلْ أَحْياءٌ عِنْدَ رَبِّهِمْ يُرْزَقُونَ فَرِحِينَ </w:t>
      </w:r>
      <w:r>
        <w:rPr>
          <w:rStyle w:val="FootnoteAnchor"/>
          <w:rtl w:val="true"/>
        </w:rPr>
        <w:footnoteReference w:id="283"/>
      </w:r>
      <w:r>
        <w:rPr>
          <w:rFonts w:ascii="Amiri" w:hAnsi="Amiri" w:eastAsia="Amiri" w:cs="Amiri"/>
          <w:color w:val="111111"/>
          <w:sz w:val="28"/>
          <w:sz w:val="28"/>
          <w:szCs w:val="28"/>
          <w:rtl w:val="true"/>
          <w:lang w:bidi="ar-SA"/>
        </w:rPr>
        <w:t xml:space="preserve">فأخبر أنهم أحياء و إن كانت </w:t>
      </w:r>
      <w:r>
        <w:rPr>
          <w:rStyle w:val="FootnoteAnchor"/>
          <w:rtl w:val="true"/>
        </w:rPr>
        <w:footnoteReference w:id="284"/>
      </w:r>
      <w:r>
        <w:rPr>
          <w:rFonts w:ascii="Amiri" w:hAnsi="Amiri" w:eastAsia="Amiri" w:cs="Amiri"/>
          <w:color w:val="111111"/>
          <w:sz w:val="28"/>
          <w:sz w:val="28"/>
          <w:szCs w:val="28"/>
          <w:rtl w:val="true"/>
          <w:lang w:bidi="ar-SA"/>
        </w:rPr>
        <w:t>أجسادهم على وجه الأرض أمواتا لا حياة فيها</w:t>
      </w:r>
    </w:p>
    <w:p>
      <w:pPr>
        <w:pStyle w:val="BookText"/>
        <w:rPr/>
      </w:pPr>
      <w:r>
        <w:rPr>
          <w:rFonts w:ascii="Amiri" w:hAnsi="Amiri" w:eastAsia="Amiri" w:cs="Amiri"/>
          <w:color w:val="111111"/>
          <w:sz w:val="28"/>
          <w:sz w:val="28"/>
          <w:szCs w:val="28"/>
          <w:rtl w:val="true"/>
          <w:lang w:bidi="ar-SA"/>
        </w:rPr>
        <w:t xml:space="preserve">و روي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إذا فارقت أرواح المؤمنين أجسادهم أسكنها </w:t>
      </w:r>
      <w:r>
        <w:rPr>
          <w:rStyle w:val="FootnoteAnchor"/>
          <w:rtl w:val="true"/>
        </w:rPr>
        <w:footnoteReference w:id="285"/>
      </w:r>
      <w:r>
        <w:rPr>
          <w:rFonts w:ascii="Amiri" w:hAnsi="Amiri" w:eastAsia="Amiri" w:cs="Amiri"/>
          <w:color w:val="111111"/>
          <w:sz w:val="28"/>
          <w:sz w:val="28"/>
          <w:szCs w:val="28"/>
          <w:rtl w:val="true"/>
          <w:lang w:bidi="ar-SA"/>
        </w:rPr>
        <w:t xml:space="preserve">الله تعالى في أجسادهم التي فارقوها فينعمهم في جنته </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أنكروا ما ادعته العامة من أنها تسكن في حواصل الطيور الخضر و</w:t>
      </w:r>
    </w:p>
    <w:p>
      <w:pPr>
        <w:pStyle w:val="BookText"/>
        <w:rPr/>
      </w:pPr>
      <w:r>
        <w:rPr>
          <w:rFonts w:ascii="Amiri" w:hAnsi="Amiri" w:eastAsia="Amiri" w:cs="Amiri"/>
          <w:color w:val="111111"/>
          <w:sz w:val="28"/>
          <w:sz w:val="28"/>
          <w:szCs w:val="28"/>
          <w:rtl w:val="true"/>
          <w:lang w:bidi="ar-SA"/>
        </w:rPr>
        <w:t xml:space="preserve">قالوا المؤمن أكرم على الله من ذلك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المذهب الذي وصفناه أدلة عقلية لا يطعن المخالف فيها و نظائرها لما ذكرناه من الأدلة السمعية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أستعين </w:t>
      </w:r>
      <w:bookmarkStart w:id="83" w:name="pg19202_232125"/>
    </w:p>
    <w:p>
      <w:pPr>
        <w:pStyle w:val="Heading2"/>
        <w:numPr>
          <w:ilvl w:val="1"/>
          <w:numId w:val="1"/>
        </w:numPr>
        <w:rPr/>
      </w:pPr>
      <w:bookmarkStart w:id="84" w:name="__RefHeading___Toc16229054_1280447820"/>
      <w:bookmarkStart w:id="85" w:name="_Toc30"/>
      <w:bookmarkEnd w:id="83"/>
      <w:bookmarkEnd w:id="84"/>
      <w:r>
        <w:rPr>
          <w:rtl w:val="true"/>
        </w:rPr>
        <w:t>المسألة الخامسة عذاب القبر</w:t>
      </w:r>
      <w:bookmarkEnd w:id="85"/>
    </w:p>
    <w:p>
      <w:pPr>
        <w:pStyle w:val="BookText"/>
        <w:rPr/>
      </w:pPr>
      <w:r>
        <w:rPr>
          <w:rFonts w:ascii="Amiri" w:hAnsi="Amiri" w:eastAsia="Amiri" w:cs="Amiri"/>
          <w:color w:val="111111"/>
          <w:sz w:val="28"/>
          <w:sz w:val="28"/>
          <w:szCs w:val="28"/>
          <w:rtl w:val="true"/>
          <w:lang w:bidi="ar-SA"/>
        </w:rPr>
        <w:t xml:space="preserve">ما قوله أدام الله تأييده </w:t>
      </w:r>
      <w:r>
        <w:rPr>
          <w:rStyle w:val="FootnoteAnchor"/>
          <w:rtl w:val="true"/>
        </w:rPr>
        <w:footnoteReference w:id="288"/>
      </w:r>
      <w:r>
        <w:rPr>
          <w:rFonts w:ascii="Amiri" w:hAnsi="Amiri" w:eastAsia="Amiri" w:cs="Amiri"/>
          <w:color w:val="111111"/>
          <w:sz w:val="28"/>
          <w:sz w:val="28"/>
          <w:szCs w:val="28"/>
          <w:rtl w:val="true"/>
          <w:lang w:bidi="ar-SA"/>
        </w:rPr>
        <w:t>في عذاب القبر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ترد الأرواح إلى الأجساد عند التعذيب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يكون العذاب في القبر أو يكون بين النفختين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عن هذا السؤال قد تقدم في المسألة التي سبقت هذه المسألة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الكلام في عذاب القبر طريقه </w:t>
      </w:r>
      <w:r>
        <w:rPr>
          <w:rStyle w:val="FootnoteAnchor"/>
          <w:rtl w:val="true"/>
        </w:rPr>
        <w:footnoteReference w:id="291"/>
      </w:r>
      <w:r>
        <w:rPr>
          <w:rFonts w:ascii="IRNazanin" w:hAnsi="IRNazanin" w:eastAsia="IRNazanin"/>
          <w:color w:val="111111"/>
          <w:sz w:val="28"/>
          <w:sz w:val="28"/>
          <w:szCs w:val="28"/>
          <w:rtl w:val="true"/>
          <w:lang w:bidi="fa-IR"/>
        </w:rPr>
        <w:t>السمع دون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292"/>
      </w:r>
      <w:r>
        <w:rPr>
          <w:rFonts w:ascii="Amiri" w:hAnsi="Amiri" w:eastAsia="Amiri" w:cs="Amiri"/>
          <w:color w:val="111111"/>
          <w:sz w:val="28"/>
          <w:sz w:val="28"/>
          <w:szCs w:val="28"/>
          <w:rtl w:val="true"/>
          <w:lang w:bidi="ar-SA"/>
        </w:rPr>
        <w:t xml:space="preserve">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Style w:val="FootnoteAnchor"/>
          <w:rtl w:val="true"/>
        </w:rPr>
        <w:footnoteReference w:id="293"/>
      </w:r>
      <w:r>
        <w:rPr>
          <w:rFonts w:ascii="Amiri" w:hAnsi="Amiri" w:eastAsia="Amiri" w:cs="Amiri"/>
          <w:color w:val="111111"/>
          <w:sz w:val="28"/>
          <w:sz w:val="28"/>
          <w:szCs w:val="28"/>
          <w:rtl w:val="true"/>
          <w:lang w:bidi="ar-SA"/>
        </w:rPr>
        <w:t xml:space="preserve">ليس يعذب </w:t>
      </w:r>
    </w:p>
    <w:p>
      <w:pPr>
        <w:pStyle w:val="BookText"/>
        <w:rPr/>
      </w:pPr>
      <w:r>
        <w:rPr>
          <w:rFonts w:ascii="Amiri" w:hAnsi="Amiri" w:eastAsia="Amiri" w:cs="Amiri"/>
          <w:color w:val="111111"/>
          <w:sz w:val="28"/>
          <w:sz w:val="28"/>
          <w:szCs w:val="28"/>
          <w:rtl w:val="true"/>
          <w:lang w:bidi="ar-SA"/>
        </w:rPr>
        <w:t xml:space="preserve">في القبر كل ميت و إنما يعذب من جملتهم من محض الكفر و لا ينعم كل ماض لسبيله و إنما ينعم </w:t>
      </w:r>
      <w:r>
        <w:rPr>
          <w:rStyle w:val="FootnoteAnchor"/>
          <w:rtl w:val="true"/>
        </w:rPr>
        <w:footnoteReference w:id="294"/>
      </w:r>
      <w:r>
        <w:rPr>
          <w:rFonts w:ascii="Amiri" w:hAnsi="Amiri" w:eastAsia="Amiri" w:cs="Amiri"/>
          <w:color w:val="111111"/>
          <w:sz w:val="28"/>
          <w:sz w:val="28"/>
          <w:szCs w:val="28"/>
          <w:rtl w:val="true"/>
          <w:lang w:bidi="ar-SA"/>
        </w:rPr>
        <w:t xml:space="preserve">منهم من محض الإيمان محضا فأما سوى هذين الصنفين فإنه </w:t>
      </w:r>
      <w:r>
        <w:rPr>
          <w:rStyle w:val="FootnoteAnchor"/>
          <w:rtl w:val="true"/>
        </w:rPr>
        <w:footnoteReference w:id="295"/>
      </w:r>
      <w:r>
        <w:rPr>
          <w:rFonts w:ascii="Amiri" w:hAnsi="Amiri" w:eastAsia="Amiri" w:cs="Amiri"/>
          <w:color w:val="111111"/>
          <w:sz w:val="28"/>
          <w:sz w:val="28"/>
          <w:szCs w:val="28"/>
          <w:rtl w:val="true"/>
          <w:lang w:bidi="ar-SA"/>
        </w:rPr>
        <w:t xml:space="preserve">يلهى عنهم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 xml:space="preserve">روي أنه لا يسأل في قبره إلا هذان الصنفان خاصة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جاء به الأثر من ذلك يكون الحكم </w:t>
      </w:r>
      <w:r>
        <w:rPr>
          <w:rStyle w:val="FootnoteAnchor"/>
          <w:rtl w:val="true"/>
        </w:rPr>
        <w:footnoteReference w:id="298"/>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عذاب الكافر في قبره </w:t>
      </w:r>
      <w:r>
        <w:rPr>
          <w:rStyle w:val="FootnoteAnchor"/>
          <w:rtl w:val="true"/>
        </w:rPr>
        <w:footnoteReference w:id="299"/>
      </w:r>
      <w:r>
        <w:rPr>
          <w:rFonts w:ascii="Amiri" w:hAnsi="Amiri" w:eastAsia="Amiri" w:cs="Amiri"/>
          <w:color w:val="111111"/>
          <w:sz w:val="28"/>
          <w:sz w:val="28"/>
          <w:szCs w:val="28"/>
          <w:rtl w:val="true"/>
          <w:lang w:bidi="ar-SA"/>
        </w:rPr>
        <w:t>و نعيم المؤمن فيه</w:t>
      </w:r>
    </w:p>
    <w:p>
      <w:pPr>
        <w:pStyle w:val="BookText"/>
        <w:rPr/>
      </w:pPr>
      <w:r>
        <w:rPr>
          <w:rFonts w:ascii="IRNazanin" w:hAnsi="IRNazanin" w:eastAsia="IRNazanin"/>
          <w:color w:val="111111"/>
          <w:sz w:val="28"/>
          <w:sz w:val="28"/>
          <w:szCs w:val="28"/>
          <w:rtl w:val="true"/>
          <w:lang w:bidi="fa-IR"/>
        </w:rPr>
        <w:t xml:space="preserve">فإن الأثر </w:t>
      </w:r>
      <w:r>
        <w:rPr>
          <w:rStyle w:val="FootnoteAnchor"/>
          <w:rtl w:val="true"/>
        </w:rPr>
        <w:footnoteReference w:id="300"/>
      </w:r>
      <w:r>
        <w:rPr>
          <w:rFonts w:ascii="Amiri" w:hAnsi="Amiri" w:eastAsia="Amiri" w:cs="Amiri"/>
          <w:color w:val="111111"/>
          <w:sz w:val="28"/>
          <w:sz w:val="28"/>
          <w:szCs w:val="28"/>
          <w:rtl w:val="true"/>
          <w:lang w:bidi="ar-SA"/>
        </w:rPr>
        <w:t xml:space="preserve">أيضا قد ورد بأن الله تعالى يجعل روح المؤمن في قالب مثل قالبه في الدنيا في جنة من جنانه </w:t>
      </w:r>
      <w:r>
        <w:rPr>
          <w:rStyle w:val="FootnoteAnchor"/>
          <w:rtl w:val="true"/>
        </w:rPr>
        <w:footnoteReference w:id="301"/>
      </w:r>
      <w:r>
        <w:rPr>
          <w:rFonts w:ascii="Amiri" w:hAnsi="Amiri" w:eastAsia="Amiri" w:cs="Amiri"/>
          <w:color w:val="111111"/>
          <w:sz w:val="28"/>
          <w:sz w:val="28"/>
          <w:szCs w:val="28"/>
          <w:rtl w:val="true"/>
          <w:lang w:bidi="ar-SA"/>
        </w:rPr>
        <w:t xml:space="preserve">ينعمه فيها إلى يوم الساعة فإذا نفخ في الصور أنشأ جسده الذي بلي في التراب </w:t>
      </w:r>
      <w:r>
        <w:rPr>
          <w:rStyle w:val="FootnoteAnchor"/>
          <w:rtl w:val="true"/>
        </w:rPr>
        <w:footnoteReference w:id="302"/>
      </w:r>
      <w:r>
        <w:rPr>
          <w:rFonts w:ascii="Amiri" w:hAnsi="Amiri" w:eastAsia="Amiri" w:cs="Amiri"/>
          <w:color w:val="111111"/>
          <w:sz w:val="28"/>
          <w:sz w:val="28"/>
          <w:szCs w:val="28"/>
          <w:rtl w:val="true"/>
          <w:lang w:bidi="ar-SA"/>
        </w:rPr>
        <w:t xml:space="preserve">و تمزق ثم أعاده إليه و حشره إلى الموقف و أمر به إلى جنة الخلد فلا يزال </w:t>
      </w:r>
      <w:r>
        <w:rPr>
          <w:rStyle w:val="FootnoteAnchor"/>
          <w:rtl w:val="true"/>
        </w:rPr>
        <w:footnoteReference w:id="303"/>
      </w:r>
      <w:r>
        <w:rPr>
          <w:rFonts w:ascii="IRNazanin" w:hAnsi="IRNazanin" w:eastAsia="IRNazanin"/>
          <w:color w:val="111111"/>
          <w:sz w:val="28"/>
          <w:sz w:val="28"/>
          <w:szCs w:val="28"/>
          <w:rtl w:val="true"/>
          <w:lang w:bidi="fa-IR"/>
        </w:rPr>
        <w:t>منعما ببقاء الله عز و جل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جسده الذي يعاد فيه لا يكون على تركيبه في الدنيا بل يعدل طباعه و يحسن صورته فلا يهرم </w:t>
      </w:r>
      <w:r>
        <w:rPr>
          <w:rStyle w:val="FootnoteAnchor"/>
          <w:rtl w:val="true"/>
        </w:rPr>
        <w:footnoteReference w:id="304"/>
      </w:r>
      <w:r>
        <w:rPr>
          <w:rFonts w:ascii="Amiri" w:hAnsi="Amiri" w:eastAsia="Amiri" w:cs="Amiri"/>
          <w:color w:val="111111"/>
          <w:sz w:val="28"/>
          <w:sz w:val="28"/>
          <w:szCs w:val="28"/>
          <w:rtl w:val="true"/>
          <w:lang w:bidi="ar-SA"/>
        </w:rPr>
        <w:t xml:space="preserve">مع تعديل الطباع و لا يمسه نصب في </w:t>
      </w:r>
    </w:p>
    <w:p>
      <w:pPr>
        <w:pStyle w:val="BookText"/>
        <w:rPr/>
      </w:pPr>
      <w:r>
        <w:rPr>
          <w:rFonts w:ascii="Amiri" w:hAnsi="Amiri" w:eastAsia="Amiri" w:cs="Amiri"/>
          <w:color w:val="111111"/>
          <w:sz w:val="28"/>
          <w:sz w:val="28"/>
          <w:szCs w:val="28"/>
          <w:rtl w:val="true"/>
          <w:lang w:bidi="ar-SA"/>
        </w:rPr>
        <w:t xml:space="preserve">الجنة و لا لغوب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الكافر يجعل في قالب كقالبه في الدنيا في محل عذاب يعاقب به و نار يعذب بها حتى الساعة ثم ينشأ جسده الذي فارقه في القبر و يعاد إليه ثم يعذب </w:t>
      </w:r>
      <w:r>
        <w:rPr>
          <w:rStyle w:val="FootnoteAnchor"/>
          <w:rtl w:val="true"/>
        </w:rPr>
        <w:footnoteReference w:id="306"/>
      </w:r>
      <w:r>
        <w:rPr>
          <w:rFonts w:ascii="Amiri" w:hAnsi="Amiri" w:eastAsia="Amiri" w:cs="Amiri"/>
          <w:color w:val="111111"/>
          <w:sz w:val="28"/>
          <w:sz w:val="28"/>
          <w:szCs w:val="28"/>
          <w:rtl w:val="true"/>
          <w:lang w:bidi="ar-SA"/>
        </w:rPr>
        <w:t xml:space="preserve">به في الآخرة عذاب الأبد و يركب أيضا جسده تركيبا لا يفنى معه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الله عز و جل النَّارُ يُعْرَضُونَ عَلَيْها غُدُوًّا وَ عَشِيًّا وَ يَوْمَ تَقُومُ السَّاعَةُ أَدْخِلُوا آلَ فِرْعَوْنَ أَشَدَّ الْعَذابِ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قصة </w:t>
      </w:r>
      <w:r>
        <w:rPr>
          <w:rStyle w:val="FootnoteAnchor"/>
          <w:rtl w:val="true"/>
        </w:rPr>
        <w:footnoteReference w:id="309"/>
      </w:r>
      <w:r>
        <w:rPr>
          <w:rFonts w:ascii="Amiri" w:hAnsi="Amiri" w:eastAsia="Amiri" w:cs="Amiri"/>
          <w:color w:val="111111"/>
          <w:sz w:val="28"/>
          <w:sz w:val="28"/>
          <w:szCs w:val="28"/>
          <w:rtl w:val="true"/>
          <w:lang w:bidi="ar-SA"/>
        </w:rPr>
        <w:t xml:space="preserve">الشهداء وَ لا تَحْسَبَنَّ الَّذِينَ قُتِلُوا فِي سَبِيلِ اللَّهِ أَمْواتاً بَلْ أَحْياءٌ عِنْدَ رَبِّهِمْ يُرْزَقُونَ </w:t>
      </w:r>
      <w:r>
        <w:rPr>
          <w:rStyle w:val="FootnoteAnchor"/>
          <w:rtl w:val="true"/>
        </w:rPr>
        <w:footnoteReference w:id="310"/>
      </w:r>
      <w:r>
        <w:rPr>
          <w:rFonts w:ascii="Amiri" w:hAnsi="Amiri" w:eastAsia="Amiri" w:cs="Amiri"/>
          <w:color w:val="111111"/>
          <w:sz w:val="28"/>
          <w:sz w:val="28"/>
          <w:szCs w:val="28"/>
          <w:rtl w:val="true"/>
          <w:lang w:bidi="ar-SA"/>
        </w:rPr>
        <w:t xml:space="preserve">و هذا قد مضى فيما تقدم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على أن العذاب و الثواب </w:t>
      </w:r>
      <w:r>
        <w:rPr>
          <w:rStyle w:val="FootnoteAnchor"/>
          <w:rtl w:val="true"/>
        </w:rPr>
        <w:footnoteReference w:id="312"/>
      </w:r>
      <w:r>
        <w:rPr>
          <w:rFonts w:ascii="Amiri" w:hAnsi="Amiri" w:eastAsia="Amiri" w:cs="Amiri"/>
          <w:color w:val="111111"/>
          <w:sz w:val="28"/>
          <w:sz w:val="28"/>
          <w:szCs w:val="28"/>
          <w:rtl w:val="true"/>
          <w:lang w:bidi="ar-SA"/>
        </w:rPr>
        <w:t xml:space="preserve">يكون قبل </w:t>
      </w:r>
      <w:r>
        <w:rPr>
          <w:rStyle w:val="FootnoteAnchor"/>
          <w:rtl w:val="true"/>
        </w:rPr>
        <w:footnoteReference w:id="313"/>
      </w:r>
      <w:r>
        <w:rPr>
          <w:rFonts w:ascii="Amiri" w:hAnsi="Amiri" w:eastAsia="Amiri" w:cs="Amiri"/>
          <w:color w:val="111111"/>
          <w:sz w:val="28"/>
          <w:sz w:val="28"/>
          <w:szCs w:val="28"/>
          <w:rtl w:val="true"/>
          <w:lang w:bidi="ar-SA"/>
        </w:rPr>
        <w:t xml:space="preserve">القيامة و بعدها و الخبر وارد بأنه يكون مع فراق الروح الجسد </w:t>
      </w:r>
      <w:r>
        <w:rPr>
          <w:rStyle w:val="FootnoteAnchor"/>
          <w:rtl w:val="true"/>
        </w:rPr>
        <w:footnoteReference w:id="314"/>
      </w:r>
      <w:r>
        <w:rPr>
          <w:rFonts w:ascii="Amiri" w:hAnsi="Amiri" w:eastAsia="Amiri" w:cs="Amiri"/>
          <w:color w:val="111111"/>
          <w:sz w:val="28"/>
          <w:sz w:val="28"/>
          <w:szCs w:val="28"/>
          <w:rtl w:val="true"/>
          <w:lang w:bidi="ar-SA"/>
        </w:rPr>
        <w:t xml:space="preserve">في الدنيا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الروح هاهنا عبارة عن انفعال الجوهر البسيط و ليس بعبارة عن الحياة التي يصح معها العلم و القدرة لأن هذه الحياة عرض لا يبقى و لا يصح عليه الإعادة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عول عليه أهل </w:t>
      </w:r>
      <w:r>
        <w:rPr>
          <w:rStyle w:val="FootnoteAnchor"/>
          <w:rtl w:val="true"/>
        </w:rPr>
        <w:footnoteReference w:id="316"/>
      </w:r>
      <w:r>
        <w:rPr>
          <w:rFonts w:ascii="Amiri" w:hAnsi="Amiri" w:eastAsia="Amiri" w:cs="Amiri"/>
          <w:color w:val="111111"/>
          <w:sz w:val="28"/>
          <w:sz w:val="28"/>
          <w:szCs w:val="28"/>
          <w:rtl w:val="true"/>
          <w:lang w:bidi="ar-SA"/>
        </w:rPr>
        <w:t xml:space="preserve">النقل و جاء به الخبر على ما بيناه </w:t>
      </w:r>
      <w:bookmarkStart w:id="86" w:name="pg19202_232129"/>
    </w:p>
    <w:p>
      <w:pPr>
        <w:pStyle w:val="Heading2"/>
        <w:numPr>
          <w:ilvl w:val="1"/>
          <w:numId w:val="1"/>
        </w:numPr>
        <w:rPr/>
      </w:pPr>
      <w:bookmarkStart w:id="87" w:name="__RefHeading___Toc16229056_1280447820"/>
      <w:bookmarkStart w:id="88" w:name="_Toc31"/>
      <w:bookmarkEnd w:id="86"/>
      <w:bookmarkEnd w:id="87"/>
      <w:r>
        <w:rPr>
          <w:rtl w:val="true"/>
        </w:rPr>
        <w:t>المسألة السادسة حياة الشهداء</w:t>
      </w:r>
      <w:bookmarkEnd w:id="88"/>
    </w:p>
    <w:p>
      <w:pPr>
        <w:pStyle w:val="BookText"/>
        <w:rPr/>
      </w:pPr>
      <w:r>
        <w:rPr>
          <w:rFonts w:ascii="Amiri" w:hAnsi="Amiri" w:eastAsia="Amiri" w:cs="Amiri"/>
          <w:color w:val="111111"/>
          <w:sz w:val="28"/>
          <w:sz w:val="28"/>
          <w:szCs w:val="28"/>
          <w:rtl w:val="true"/>
          <w:lang w:bidi="ar-SA"/>
        </w:rPr>
        <w:t xml:space="preserve">ما قوله أدام الله تعالى تمكينه في قول الله تعالى وَ لا تَحْسَبَنَّ الَّذِينَ قُتِلُوا فِي سَبِيلِ اللَّهِ أَمْواتاً بَلْ أَحْياءٌ عِنْدَ رَبِّهِمْ يُرْزَقُونَ </w:t>
      </w:r>
      <w:r>
        <w:rPr>
          <w:rStyle w:val="FootnoteAnchor"/>
          <w:rtl w:val="true"/>
        </w:rPr>
        <w:footnoteReference w:id="317"/>
      </w:r>
      <w:r>
        <w:rPr>
          <w:rFonts w:ascii="Amiri" w:hAnsi="Amiri" w:eastAsia="Amiri" w:cs="Amiri"/>
          <w:color w:val="111111"/>
          <w:sz w:val="28"/>
          <w:sz w:val="28"/>
          <w:szCs w:val="28"/>
          <w:rtl w:val="true"/>
          <w:lang w:bidi="ar-SA"/>
        </w:rPr>
        <w:t>أ هم أحياء في الحقيقة على ما تقتضيه الآية الشريفة أم الآية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w:t>
      </w:r>
      <w:r>
        <w:rPr>
          <w:rStyle w:val="FootnoteAnchor"/>
          <w:rtl w:val="true"/>
        </w:rPr>
        <w:footnoteReference w:id="318"/>
      </w:r>
      <w:r>
        <w:rPr>
          <w:rFonts w:ascii="Amiri" w:hAnsi="Amiri" w:eastAsia="Amiri" w:cs="Amiri"/>
          <w:color w:val="111111"/>
          <w:sz w:val="28"/>
          <w:sz w:val="28"/>
          <w:szCs w:val="28"/>
          <w:rtl w:val="true"/>
          <w:lang w:bidi="ar-SA"/>
        </w:rPr>
        <w:t>أجسادهم الآن في قبورهم أم في الجنة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المعتزلة من أصحاب أبي هاشم يقولون إن الله تعالى ينزع من </w:t>
      </w:r>
      <w:r>
        <w:rPr>
          <w:rStyle w:val="FootnoteAnchor"/>
          <w:rtl w:val="true"/>
        </w:rPr>
        <w:footnoteReference w:id="319"/>
      </w:r>
      <w:r>
        <w:rPr>
          <w:rFonts w:ascii="Amiri" w:hAnsi="Amiri" w:eastAsia="Amiri" w:cs="Amiri"/>
          <w:color w:val="111111"/>
          <w:sz w:val="28"/>
          <w:sz w:val="28"/>
          <w:szCs w:val="28"/>
          <w:rtl w:val="true"/>
          <w:lang w:bidi="ar-SA"/>
        </w:rPr>
        <w:t xml:space="preserve">جسد كل واحد منهم أجزاء قدر ما تتعلق به </w:t>
      </w:r>
      <w:r>
        <w:rPr>
          <w:rStyle w:val="FootnoteAnchor"/>
          <w:rtl w:val="true"/>
        </w:rPr>
        <w:footnoteReference w:id="320"/>
      </w:r>
      <w:r>
        <w:rPr>
          <w:rFonts w:ascii="Amiri" w:hAnsi="Amiri" w:eastAsia="Amiri" w:cs="Amiri"/>
          <w:color w:val="111111"/>
          <w:sz w:val="28"/>
          <w:sz w:val="28"/>
          <w:szCs w:val="28"/>
          <w:rtl w:val="true"/>
          <w:lang w:bidi="ar-SA"/>
        </w:rPr>
        <w:t xml:space="preserve">الروح و أنه تعالى يرزقهم على ما </w:t>
      </w:r>
      <w:r>
        <w:rPr>
          <w:rStyle w:val="FootnoteAnchor"/>
          <w:rtl w:val="true"/>
        </w:rPr>
        <w:footnoteReference w:id="321"/>
      </w:r>
      <w:r>
        <w:rPr>
          <w:rFonts w:ascii="Amiri" w:hAnsi="Amiri" w:eastAsia="Amiri" w:cs="Amiri"/>
          <w:color w:val="111111"/>
          <w:sz w:val="28"/>
          <w:sz w:val="28"/>
          <w:szCs w:val="28"/>
          <w:rtl w:val="true"/>
          <w:lang w:bidi="ar-SA"/>
        </w:rPr>
        <w:t xml:space="preserve">نطقت به الآية و ما سوى هذا من أجزاء أبدانهم فهي في قبورهم كأجساد سائر الموتى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الجواب هو ما قدمنا ذكره </w:t>
      </w:r>
      <w:r>
        <w:rPr>
          <w:rStyle w:val="FootnoteAnchor"/>
          <w:rtl w:val="true"/>
        </w:rPr>
        <w:footnoteReference w:id="323"/>
      </w:r>
      <w:r>
        <w:rPr>
          <w:rFonts w:ascii="Amiri" w:hAnsi="Amiri" w:eastAsia="Amiri" w:cs="Amiri"/>
          <w:color w:val="111111"/>
          <w:sz w:val="28"/>
          <w:sz w:val="28"/>
          <w:szCs w:val="28"/>
          <w:rtl w:val="true"/>
          <w:lang w:bidi="ar-SA"/>
        </w:rPr>
        <w:t xml:space="preserve">في المسألة السابقة </w:t>
      </w:r>
      <w:r>
        <w:rPr>
          <w:rStyle w:val="FootnoteAnchor"/>
          <w:rtl w:val="true"/>
        </w:rPr>
        <w:footnoteReference w:id="324"/>
      </w:r>
      <w:r>
        <w:rPr>
          <w:rFonts w:ascii="IRNazanin" w:hAnsi="IRNazanin" w:eastAsia="IRNazanin"/>
          <w:color w:val="111111"/>
          <w:sz w:val="28"/>
          <w:sz w:val="28"/>
          <w:szCs w:val="28"/>
          <w:rtl w:val="true"/>
          <w:lang w:bidi="fa-IR"/>
        </w:rPr>
        <w:t xml:space="preserve">و قد ثبت </w:t>
      </w:r>
      <w:r>
        <w:rPr>
          <w:rStyle w:val="FootnoteAnchor"/>
          <w:rtl w:val="true"/>
        </w:rPr>
        <w:footnoteReference w:id="325"/>
      </w:r>
      <w:r>
        <w:rPr>
          <w:rFonts w:ascii="Amiri" w:hAnsi="Amiri" w:eastAsia="Amiri" w:cs="Amiri"/>
          <w:color w:val="111111"/>
          <w:sz w:val="28"/>
          <w:sz w:val="28"/>
          <w:szCs w:val="28"/>
          <w:rtl w:val="true"/>
          <w:lang w:bidi="ar-SA"/>
        </w:rPr>
        <w:t>ما فيه ببيان يستغني بوضوحه عن تكراره و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هذا المحكي عن أصحاب </w:t>
      </w:r>
      <w:r>
        <w:rPr>
          <w:rStyle w:val="FootnoteAnchor"/>
          <w:rtl w:val="true"/>
        </w:rPr>
        <w:footnoteReference w:id="326"/>
      </w:r>
      <w:r>
        <w:rPr>
          <w:rFonts w:ascii="Amiri" w:hAnsi="Amiri" w:eastAsia="Amiri" w:cs="Amiri"/>
          <w:color w:val="111111"/>
          <w:sz w:val="28"/>
          <w:sz w:val="28"/>
          <w:szCs w:val="28"/>
          <w:rtl w:val="true"/>
          <w:lang w:bidi="ar-SA"/>
        </w:rPr>
        <w:t xml:space="preserve">أبي هاشم فلأن المحفوظ عنه أن الإنسان المخاطب المأمور المنهي هو البنية </w:t>
      </w:r>
      <w:r>
        <w:rPr>
          <w:rStyle w:val="FootnoteAnchor"/>
          <w:rtl w:val="true"/>
        </w:rPr>
        <w:footnoteReference w:id="327"/>
      </w:r>
      <w:r>
        <w:rPr>
          <w:rFonts w:ascii="Amiri" w:hAnsi="Amiri" w:eastAsia="Amiri" w:cs="Amiri"/>
          <w:color w:val="111111"/>
          <w:sz w:val="28"/>
          <w:sz w:val="28"/>
          <w:szCs w:val="28"/>
          <w:rtl w:val="true"/>
          <w:lang w:bidi="ar-SA"/>
        </w:rPr>
        <w:t xml:space="preserve">التي لا تصح الحياة إلا بها و ما سوى ذلك من الجسد فليس بإنسان و لا يتوجه </w:t>
      </w:r>
      <w:r>
        <w:rPr>
          <w:rStyle w:val="FootnoteAnchor"/>
          <w:rtl w:val="true"/>
        </w:rPr>
        <w:footnoteReference w:id="328"/>
      </w:r>
      <w:r>
        <w:rPr>
          <w:rFonts w:ascii="Amiri" w:hAnsi="Amiri" w:eastAsia="Amiri" w:cs="Amiri"/>
          <w:color w:val="111111"/>
          <w:sz w:val="28"/>
          <w:sz w:val="28"/>
          <w:szCs w:val="28"/>
          <w:rtl w:val="true"/>
          <w:lang w:bidi="ar-SA"/>
        </w:rPr>
        <w:t xml:space="preserve">إليه أمر و لا نهي </w:t>
      </w:r>
      <w:r>
        <w:rPr>
          <w:rStyle w:val="FootnoteAnchor"/>
          <w:rtl w:val="true"/>
        </w:rPr>
        <w:footnoteReference w:id="329"/>
      </w:r>
      <w:r>
        <w:rPr>
          <w:rFonts w:ascii="Amiri" w:hAnsi="Amiri" w:eastAsia="Amiri" w:cs="Amiri"/>
          <w:color w:val="111111"/>
          <w:sz w:val="28"/>
          <w:sz w:val="28"/>
          <w:szCs w:val="28"/>
          <w:rtl w:val="true"/>
          <w:lang w:bidi="ar-SA"/>
        </w:rPr>
        <w:t xml:space="preserve">و لا تكليف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القوم يزعمون أن تلك البنية لا تفارق ما جاورها من الجسد فيعذب أو ينعم فهو مقال يستمر على أصلهم إذا كانت البنية التي ذكروها هو المكلف المأمور المنهي و باقي جسده في القبر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أنهم لم يذكروا كيف يعذب من يعذب </w:t>
      </w:r>
      <w:r>
        <w:rPr>
          <w:rStyle w:val="FootnoteAnchor"/>
          <w:rtl w:val="true"/>
        </w:rPr>
        <w:footnoteReference w:id="331"/>
      </w:r>
      <w:r>
        <w:rPr>
          <w:rFonts w:ascii="Amiri" w:hAnsi="Amiri" w:eastAsia="Amiri" w:cs="Amiri"/>
          <w:color w:val="111111"/>
          <w:sz w:val="28"/>
          <w:sz w:val="28"/>
          <w:szCs w:val="28"/>
          <w:rtl w:val="true"/>
          <w:lang w:bidi="ar-SA"/>
        </w:rPr>
        <w:t xml:space="preserve">و يثاب من يثاب </w:t>
      </w:r>
      <w:r>
        <w:rPr>
          <w:rStyle w:val="FootnoteAnchor"/>
          <w:rtl w:val="true"/>
        </w:rPr>
        <w:footnoteReference w:id="332"/>
      </w:r>
      <w:r>
        <w:rPr>
          <w:rFonts w:ascii="Amiri" w:hAnsi="Amiri" w:eastAsia="Amiri" w:cs="Amiri"/>
          <w:color w:val="111111"/>
          <w:sz w:val="28"/>
          <w:sz w:val="28"/>
          <w:szCs w:val="28"/>
          <w:rtl w:val="true"/>
          <w:lang w:bidi="ar-SA"/>
        </w:rPr>
        <w:t xml:space="preserve">أ في </w:t>
      </w:r>
    </w:p>
    <w:p>
      <w:pPr>
        <w:pStyle w:val="BookText"/>
        <w:rPr/>
      </w:pPr>
      <w:r>
        <w:rPr>
          <w:rFonts w:ascii="Amiri" w:hAnsi="Amiri" w:eastAsia="Amiri" w:cs="Amiri"/>
          <w:color w:val="111111"/>
          <w:sz w:val="28"/>
          <w:sz w:val="28"/>
          <w:szCs w:val="28"/>
          <w:rtl w:val="true"/>
          <w:lang w:bidi="ar-SA"/>
        </w:rPr>
        <w:t xml:space="preserve">دار غير الدنيا </w:t>
      </w:r>
      <w:r>
        <w:rPr>
          <w:rStyle w:val="FootnoteAnchor"/>
          <w:rtl w:val="true"/>
        </w:rPr>
        <w:footnoteReference w:id="333"/>
      </w:r>
      <w:r>
        <w:rPr>
          <w:rFonts w:ascii="Amiri" w:hAnsi="Amiri" w:eastAsia="Amiri" w:cs="Amiri"/>
          <w:color w:val="111111"/>
          <w:sz w:val="28"/>
          <w:sz w:val="28"/>
          <w:szCs w:val="28"/>
          <w:rtl w:val="true"/>
          <w:lang w:bidi="ar-SA"/>
        </w:rPr>
        <w:t>أم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يحيا بعد الموت أو يفارق الجملة </w:t>
      </w:r>
      <w:r>
        <w:rPr>
          <w:rStyle w:val="FootnoteAnchor"/>
          <w:rtl w:val="true"/>
        </w:rPr>
        <w:footnoteReference w:id="334"/>
      </w:r>
      <w:r>
        <w:rPr>
          <w:rFonts w:ascii="Amiri" w:hAnsi="Amiri" w:eastAsia="Amiri" w:cs="Amiri"/>
          <w:color w:val="111111"/>
          <w:sz w:val="28"/>
          <w:sz w:val="28"/>
          <w:szCs w:val="28"/>
          <w:rtl w:val="true"/>
          <w:lang w:bidi="ar-SA"/>
        </w:rPr>
        <w:t xml:space="preserve">في الدنيا فلا </w:t>
      </w:r>
      <w:r>
        <w:rPr>
          <w:rStyle w:val="FootnoteAnchor"/>
          <w:rtl w:val="true"/>
        </w:rPr>
        <w:footnoteReference w:id="335"/>
      </w:r>
      <w:r>
        <w:rPr>
          <w:rFonts w:ascii="Amiri" w:hAnsi="Amiri" w:eastAsia="Amiri" w:cs="Amiri"/>
          <w:color w:val="111111"/>
          <w:sz w:val="28"/>
          <w:sz w:val="28"/>
          <w:szCs w:val="28"/>
          <w:rtl w:val="true"/>
          <w:lang w:bidi="ar-SA"/>
        </w:rPr>
        <w:t>يلحقه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يحك </w:t>
      </w:r>
      <w:r>
        <w:rPr>
          <w:rStyle w:val="FootnoteAnchor"/>
          <w:rtl w:val="true"/>
        </w:rPr>
        <w:footnoteReference w:id="336"/>
      </w:r>
      <w:r>
        <w:rPr>
          <w:rFonts w:ascii="Amiri" w:hAnsi="Amiri" w:eastAsia="Amiri" w:cs="Amiri"/>
          <w:color w:val="111111"/>
          <w:sz w:val="28"/>
          <w:sz w:val="28"/>
          <w:szCs w:val="28"/>
          <w:rtl w:val="true"/>
          <w:lang w:bidi="ar-SA"/>
        </w:rPr>
        <w:t>عنهم في أي محل يعذبون و يثابون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337"/>
      </w:r>
      <w:r>
        <w:rPr>
          <w:rFonts w:ascii="Amiri" w:hAnsi="Amiri" w:eastAsia="Amiri" w:cs="Amiri"/>
          <w:color w:val="111111"/>
          <w:sz w:val="28"/>
          <w:sz w:val="28"/>
          <w:szCs w:val="28"/>
          <w:rtl w:val="true"/>
          <w:lang w:bidi="ar-SA"/>
        </w:rPr>
        <w:t xml:space="preserve">قالوه من ذلك فليس به أثر و لا يدل عليه العقل و إنما هو مخرج </w:t>
      </w:r>
      <w:r>
        <w:rPr>
          <w:rStyle w:val="FootnoteAnchor"/>
          <w:rtl w:val="true"/>
        </w:rPr>
        <w:footnoteReference w:id="338"/>
      </w:r>
      <w:r>
        <w:rPr>
          <w:rFonts w:ascii="IRNazanin" w:hAnsi="IRNazanin" w:eastAsia="IRNazanin"/>
          <w:color w:val="111111"/>
          <w:sz w:val="28"/>
          <w:sz w:val="28"/>
          <w:szCs w:val="28"/>
          <w:rtl w:val="true"/>
          <w:lang w:bidi="fa-IR"/>
        </w:rPr>
        <w:t xml:space="preserve">منهم على الظن و الحسبان </w:t>
      </w:r>
      <w:r>
        <w:rPr>
          <w:rStyle w:val="FootnoteAnchor"/>
          <w:rtl w:val="true"/>
        </w:rPr>
        <w:footnoteReference w:id="339"/>
      </w:r>
      <w:r>
        <w:rPr>
          <w:rFonts w:ascii="IRNazanin" w:hAnsi="IRNazanin" w:eastAsia="IRNazanin"/>
          <w:color w:val="111111"/>
          <w:sz w:val="28"/>
          <w:sz w:val="28"/>
          <w:szCs w:val="28"/>
          <w:rtl w:val="true"/>
          <w:lang w:bidi="fa-IR"/>
        </w:rPr>
        <w:t xml:space="preserve">و من بنى مذهبه على الظن </w:t>
      </w:r>
      <w:r>
        <w:rPr>
          <w:rStyle w:val="FootnoteAnchor"/>
          <w:rtl w:val="true"/>
        </w:rPr>
        <w:footnoteReference w:id="340"/>
      </w:r>
      <w:r>
        <w:rPr>
          <w:rFonts w:ascii="Amiri" w:hAnsi="Amiri" w:eastAsia="Amiri" w:cs="Amiri"/>
          <w:color w:val="111111"/>
          <w:sz w:val="28"/>
          <w:sz w:val="28"/>
          <w:szCs w:val="28"/>
          <w:rtl w:val="true"/>
          <w:lang w:bidi="ar-SA"/>
        </w:rPr>
        <w:t xml:space="preserve">في مثل هذا الباب كان بمقالته مضطربا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يفسد </w:t>
      </w:r>
      <w:r>
        <w:rPr>
          <w:rStyle w:val="FootnoteAnchor"/>
          <w:rtl w:val="true"/>
        </w:rPr>
        <w:footnoteReference w:id="342"/>
      </w:r>
      <w:r>
        <w:rPr>
          <w:rFonts w:ascii="Amiri" w:hAnsi="Amiri" w:eastAsia="Amiri" w:cs="Amiri"/>
          <w:color w:val="111111"/>
          <w:sz w:val="28"/>
          <w:sz w:val="28"/>
          <w:szCs w:val="28"/>
          <w:rtl w:val="true"/>
          <w:lang w:bidi="ar-SA"/>
        </w:rPr>
        <w:t>قولهم من بعد ما دل على أن الإنسان المأمور المنهي هو الجوهر البسيط و أن الأجزاء المؤلفة لا يصح أن تكون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دلائل ذلك يطول بإثباتها </w:t>
      </w:r>
      <w:r>
        <w:rPr>
          <w:rStyle w:val="FootnoteAnchor"/>
          <w:rtl w:val="true"/>
        </w:rPr>
        <w:footnoteReference w:id="343"/>
      </w:r>
      <w:r>
        <w:rPr>
          <w:rFonts w:ascii="Amiri" w:hAnsi="Amiri" w:eastAsia="Amiri" w:cs="Amiri"/>
          <w:color w:val="111111"/>
          <w:sz w:val="28"/>
          <w:sz w:val="28"/>
          <w:szCs w:val="28"/>
          <w:rtl w:val="true"/>
          <w:lang w:bidi="ar-SA"/>
        </w:rPr>
        <w:t xml:space="preserve">الكتاب </w:t>
      </w:r>
      <w:r>
        <w:rPr>
          <w:rStyle w:val="FootnoteAnchor"/>
          <w:rtl w:val="true"/>
        </w:rPr>
        <w:footnoteReference w:id="344"/>
      </w:r>
      <w:r>
        <w:rPr>
          <w:rFonts w:ascii="Amiri" w:hAnsi="Amiri" w:eastAsia="Amiri" w:cs="Amiri"/>
          <w:color w:val="111111"/>
          <w:sz w:val="28"/>
          <w:sz w:val="28"/>
          <w:szCs w:val="28"/>
          <w:rtl w:val="true"/>
          <w:lang w:bidi="ar-SA"/>
        </w:rPr>
        <w:t>و فيما أومأنا إليه منها كفاية فيما يتعلق به السؤال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التوفيق </w:t>
      </w:r>
      <w:bookmarkStart w:id="89" w:name="pg19202_232132"/>
    </w:p>
    <w:p>
      <w:pPr>
        <w:pStyle w:val="Heading2"/>
        <w:numPr>
          <w:ilvl w:val="1"/>
          <w:numId w:val="1"/>
        </w:numPr>
        <w:rPr/>
      </w:pPr>
      <w:bookmarkStart w:id="90" w:name="__RefHeading___Toc16229058_1280447820"/>
      <w:bookmarkStart w:id="91" w:name="_Toc32"/>
      <w:bookmarkEnd w:id="89"/>
      <w:bookmarkEnd w:id="90"/>
      <w:r>
        <w:rPr>
          <w:rtl w:val="true"/>
        </w:rPr>
        <w:t>المسألة السابعة حكم من قال بالجبر و جوز الرؤية</w:t>
      </w:r>
      <w:bookmarkEnd w:id="91"/>
    </w:p>
    <w:p>
      <w:pPr>
        <w:pStyle w:val="BookText"/>
        <w:rPr/>
      </w:pPr>
      <w:r>
        <w:rPr>
          <w:rFonts w:ascii="IRNazanin" w:hAnsi="IRNazanin" w:eastAsia="IRNazanin"/>
          <w:color w:val="111111"/>
          <w:sz w:val="28"/>
          <w:sz w:val="28"/>
          <w:szCs w:val="28"/>
          <w:rtl w:val="true"/>
          <w:lang w:bidi="fa-IR"/>
        </w:rPr>
        <w:t xml:space="preserve">ما قوله حرس الله تعالى ظله </w:t>
      </w:r>
      <w:r>
        <w:rPr>
          <w:rStyle w:val="FootnoteAnchor"/>
          <w:rtl w:val="true"/>
        </w:rPr>
        <w:footnoteReference w:id="345"/>
      </w:r>
      <w:r>
        <w:rPr>
          <w:rFonts w:ascii="Amiri" w:hAnsi="Amiri" w:eastAsia="Amiri" w:cs="Amiri"/>
          <w:color w:val="111111"/>
          <w:sz w:val="28"/>
          <w:sz w:val="28"/>
          <w:szCs w:val="28"/>
          <w:rtl w:val="true"/>
          <w:lang w:bidi="ar-SA"/>
        </w:rPr>
        <w:t xml:space="preserve">في أصحاب الإجبار </w:t>
      </w:r>
      <w:r>
        <w:rPr>
          <w:rStyle w:val="FootnoteAnchor"/>
          <w:rtl w:val="true"/>
        </w:rPr>
        <w:footnoteReference w:id="346"/>
      </w:r>
      <w:r>
        <w:rPr>
          <w:rFonts w:ascii="Amiri" w:hAnsi="Amiri" w:eastAsia="Amiri" w:cs="Amiri"/>
          <w:color w:val="111111"/>
          <w:sz w:val="28"/>
          <w:sz w:val="28"/>
          <w:szCs w:val="28"/>
          <w:rtl w:val="true"/>
          <w:lang w:bidi="ar-SA"/>
        </w:rPr>
        <w:t>من الإمامية ممن يعتقد الجبر و يثبت إرادة الله تعالى للمعاصي و الكفر و يجوز الرؤية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يبلغ </w:t>
      </w:r>
      <w:r>
        <w:rPr>
          <w:rStyle w:val="FootnoteAnchor"/>
          <w:rtl w:val="true"/>
        </w:rPr>
        <w:footnoteReference w:id="347"/>
      </w:r>
      <w:r>
        <w:rPr>
          <w:rFonts w:ascii="Amiri" w:hAnsi="Amiri" w:eastAsia="Amiri" w:cs="Amiri"/>
          <w:color w:val="111111"/>
          <w:sz w:val="28"/>
          <w:sz w:val="28"/>
          <w:szCs w:val="28"/>
          <w:rtl w:val="true"/>
          <w:lang w:bidi="ar-SA"/>
        </w:rPr>
        <w:t>هذا القول منهم الكفر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صرف الزكوات إلى ضعفائهم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أن المجبرة كفار </w:t>
      </w:r>
      <w:r>
        <w:rPr>
          <w:rStyle w:val="FootnoteAnchor"/>
          <w:rtl w:val="true"/>
        </w:rPr>
        <w:footnoteReference w:id="348"/>
      </w:r>
      <w:r>
        <w:rPr>
          <w:rFonts w:ascii="Amiri" w:hAnsi="Amiri" w:eastAsia="Amiri" w:cs="Amiri"/>
          <w:color w:val="111111"/>
          <w:sz w:val="28"/>
          <w:sz w:val="28"/>
          <w:szCs w:val="28"/>
          <w:rtl w:val="true"/>
          <w:lang w:bidi="ar-SA"/>
        </w:rPr>
        <w:t>لا يعرفون الله عز و 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لا يعرف الله تعالى فهو خارج من </w:t>
      </w:r>
      <w:r>
        <w:rPr>
          <w:rStyle w:val="FootnoteAnchor"/>
          <w:rtl w:val="true"/>
        </w:rPr>
        <w:footnoteReference w:id="349"/>
      </w:r>
      <w:r>
        <w:rPr>
          <w:rFonts w:ascii="Amiri" w:hAnsi="Amiri" w:eastAsia="Amiri" w:cs="Amiri"/>
          <w:color w:val="111111"/>
          <w:sz w:val="28"/>
          <w:sz w:val="28"/>
          <w:szCs w:val="28"/>
          <w:rtl w:val="true"/>
          <w:lang w:bidi="ar-SA"/>
        </w:rPr>
        <w:t xml:space="preserve">الإيمان لاحق بأهل الكفر و الطغيان لا ينفعه عمل يرجو به القربة </w:t>
      </w:r>
      <w:r>
        <w:rPr>
          <w:rStyle w:val="FootnoteAnchor"/>
          <w:rtl w:val="true"/>
        </w:rPr>
        <w:footnoteReference w:id="350"/>
      </w:r>
      <w:r>
        <w:rPr>
          <w:rFonts w:ascii="IRNazanin" w:hAnsi="IRNazanin" w:eastAsia="IRNazanin"/>
          <w:color w:val="111111"/>
          <w:sz w:val="28"/>
          <w:sz w:val="28"/>
          <w:szCs w:val="28"/>
          <w:rtl w:val="true"/>
          <w:lang w:bidi="fa-IR"/>
        </w:rPr>
        <w:t xml:space="preserve">إلى الله عز و جل و لا تصح منهم </w:t>
      </w:r>
    </w:p>
    <w:p>
      <w:pPr>
        <w:pStyle w:val="BookText"/>
        <w:rPr/>
      </w:pPr>
      <w:r>
        <w:rPr>
          <w:rFonts w:ascii="Amiri" w:hAnsi="Amiri" w:eastAsia="Amiri" w:cs="Amiri"/>
          <w:color w:val="111111"/>
          <w:sz w:val="28"/>
          <w:sz w:val="28"/>
          <w:szCs w:val="28"/>
          <w:rtl w:val="true"/>
          <w:lang w:bidi="ar-SA"/>
        </w:rPr>
        <w:t>معرفة الأنبياء و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تعلق منهم </w:t>
      </w:r>
      <w:r>
        <w:rPr>
          <w:rStyle w:val="FootnoteAnchor"/>
          <w:rtl w:val="true"/>
        </w:rPr>
        <w:footnoteReference w:id="351"/>
      </w:r>
      <w:r>
        <w:rPr>
          <w:rFonts w:ascii="Amiri" w:hAnsi="Amiri" w:eastAsia="Amiri" w:cs="Amiri"/>
          <w:color w:val="111111"/>
          <w:sz w:val="28"/>
          <w:sz w:val="28"/>
          <w:szCs w:val="28"/>
          <w:rtl w:val="true"/>
          <w:lang w:bidi="ar-SA"/>
        </w:rPr>
        <w:t xml:space="preserve">بمذهب أهل الحق فهو منتحل له عن طريق الهوى و الإلف و المنشأ و العصبية </w:t>
      </w:r>
      <w:r>
        <w:rPr>
          <w:rStyle w:val="FootnoteAnchor"/>
          <w:rtl w:val="true"/>
        </w:rPr>
        <w:footnoteReference w:id="352"/>
      </w:r>
      <w:r>
        <w:rPr>
          <w:rFonts w:ascii="Amiri" w:hAnsi="Amiri" w:eastAsia="Amiri" w:cs="Amiri"/>
          <w:color w:val="111111"/>
          <w:sz w:val="28"/>
          <w:sz w:val="28"/>
          <w:szCs w:val="28"/>
          <w:rtl w:val="true"/>
          <w:lang w:bidi="ar-SA"/>
        </w:rPr>
        <w:t xml:space="preserve">دون المعرفة به </w:t>
      </w:r>
      <w:r>
        <w:rPr>
          <w:rStyle w:val="FootnoteAnchor"/>
          <w:rtl w:val="true"/>
        </w:rPr>
        <w:footnoteReference w:id="353"/>
      </w:r>
      <w:r>
        <w:rPr>
          <w:rFonts w:ascii="Amiri" w:hAnsi="Amiri" w:eastAsia="Amiri" w:cs="Amiri"/>
          <w:color w:val="111111"/>
          <w:sz w:val="28"/>
          <w:sz w:val="28"/>
          <w:szCs w:val="28"/>
          <w:rtl w:val="true"/>
          <w:lang w:bidi="ar-SA"/>
        </w:rPr>
        <w:t>و العلم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كذلك لا يحل صرف الزكاة إليه و من صرفها إليه فقد وضعها في غير موضعها و هي في ذمته حتى يؤديها إلى مستحقها من أهل المعرفة و الولاية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التوفيق </w:t>
      </w:r>
      <w:bookmarkStart w:id="92" w:name="pg19202_232134"/>
    </w:p>
    <w:p>
      <w:pPr>
        <w:pStyle w:val="Heading2"/>
        <w:numPr>
          <w:ilvl w:val="1"/>
          <w:numId w:val="1"/>
        </w:numPr>
        <w:rPr/>
      </w:pPr>
      <w:bookmarkStart w:id="93" w:name="__RefHeading___Toc16229060_1280447820"/>
      <w:bookmarkStart w:id="94" w:name="_Toc33"/>
      <w:bookmarkEnd w:id="92"/>
      <w:bookmarkEnd w:id="93"/>
      <w:r>
        <w:rPr>
          <w:rtl w:val="true"/>
        </w:rPr>
        <w:t>المسألة الثامنة</w:t>
      </w:r>
      <w:bookmarkEnd w:id="94"/>
    </w:p>
    <w:p>
      <w:pPr>
        <w:pStyle w:val="BookText"/>
        <w:rPr/>
      </w:pPr>
      <w:r>
        <w:rPr>
          <w:rFonts w:ascii="Amiri" w:hAnsi="Amiri" w:eastAsia="Amiri" w:cs="Amiri"/>
          <w:color w:val="111111"/>
          <w:sz w:val="28"/>
          <w:sz w:val="28"/>
          <w:szCs w:val="28"/>
          <w:rtl w:val="true"/>
          <w:lang w:bidi="ar-SA"/>
        </w:rPr>
        <w:t xml:space="preserve">المسألة الثامنة </w:t>
      </w:r>
      <w:r>
        <w:rPr>
          <w:rStyle w:val="FootnoteAnchor"/>
          <w:rtl w:val="true"/>
        </w:rPr>
        <w:footnoteReference w:id="355"/>
      </w:r>
      <w:r>
        <w:rPr>
          <w:rFonts w:ascii="Amiri" w:hAnsi="Amiri" w:eastAsia="Amiri" w:cs="Amiri"/>
          <w:color w:val="111111"/>
          <w:sz w:val="28"/>
          <w:sz w:val="28"/>
          <w:szCs w:val="28"/>
          <w:rtl w:val="true"/>
          <w:lang w:bidi="ar-SA"/>
        </w:rPr>
        <w:t>الاختلاف في ظواهر الروايات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قوله أدام الله تعالى نعماءه فيمن تندس </w:t>
      </w:r>
      <w:r>
        <w:rPr>
          <w:rStyle w:val="FootnoteAnchor"/>
          <w:rtl w:val="true"/>
        </w:rPr>
        <w:footnoteReference w:id="356"/>
      </w:r>
      <w:r>
        <w:rPr>
          <w:rFonts w:ascii="IRNazanin" w:hAnsi="IRNazanin" w:eastAsia="IRNazanin"/>
          <w:color w:val="111111"/>
          <w:sz w:val="28"/>
          <w:sz w:val="28"/>
          <w:szCs w:val="28"/>
          <w:rtl w:val="true"/>
          <w:lang w:bidi="fa-IR"/>
        </w:rPr>
        <w:t xml:space="preserve">طرفا من العلم و رفعت </w:t>
      </w:r>
      <w:r>
        <w:rPr>
          <w:rStyle w:val="FootnoteAnchor"/>
          <w:rtl w:val="true"/>
        </w:rPr>
        <w:footnoteReference w:id="357"/>
      </w:r>
      <w:r>
        <w:rPr>
          <w:rFonts w:ascii="Amiri" w:hAnsi="Amiri" w:eastAsia="Amiri" w:cs="Amiri"/>
          <w:color w:val="111111"/>
          <w:sz w:val="28"/>
          <w:sz w:val="28"/>
          <w:szCs w:val="28"/>
          <w:rtl w:val="true"/>
          <w:lang w:bidi="ar-SA"/>
        </w:rPr>
        <w:t xml:space="preserve">إليه الكتب المصنفة في الفقه عن الأئمة الهادية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اختلاف ظاهر في المسائل الفقهية كما وقع الاختلاف بين ما أثبته الشيخ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في كتبه من الأخبار المسندة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أثبته الشيخ أبو علي 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في كتبه من المسائل الفقهية المجردة عن الأسانيد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يجوز أن يجتهد </w:t>
      </w:r>
      <w:r>
        <w:rPr>
          <w:rStyle w:val="FootnoteAnchor"/>
          <w:rtl w:val="true"/>
        </w:rPr>
        <w:footnoteReference w:id="361"/>
      </w:r>
      <w:r>
        <w:rPr>
          <w:rFonts w:ascii="Amiri" w:hAnsi="Amiri" w:eastAsia="Amiri" w:cs="Amiri"/>
          <w:color w:val="111111"/>
          <w:sz w:val="28"/>
          <w:sz w:val="28"/>
          <w:szCs w:val="28"/>
          <w:rtl w:val="true"/>
          <w:lang w:bidi="ar-SA"/>
        </w:rPr>
        <w:t xml:space="preserve">رأيه و يعول </w:t>
      </w:r>
      <w:r>
        <w:rPr>
          <w:rStyle w:val="FootnoteAnchor"/>
          <w:rtl w:val="true"/>
        </w:rPr>
        <w:footnoteReference w:id="362"/>
      </w:r>
      <w:r>
        <w:rPr>
          <w:rFonts w:ascii="Amiri" w:hAnsi="Amiri" w:eastAsia="Amiri" w:cs="Amiri"/>
          <w:color w:val="111111"/>
          <w:sz w:val="28"/>
          <w:sz w:val="28"/>
          <w:szCs w:val="28"/>
          <w:rtl w:val="true"/>
          <w:lang w:bidi="ar-SA"/>
        </w:rPr>
        <w:t>على ما هو الحق عنده و الأصوب لديه أم يعتمد على المسندات دون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أنه لا يجوز لأحد من الخلق أن يحكم على الحق فيما وقع فيه الاختلاف من معنى كتاب أو سنة أو مدلول دليل عقلي </w:t>
      </w:r>
      <w:r>
        <w:rPr>
          <w:rStyle w:val="FootnoteAnchor"/>
          <w:rtl w:val="true"/>
        </w:rPr>
        <w:footnoteReference w:id="363"/>
      </w:r>
      <w:r>
        <w:rPr>
          <w:rFonts w:ascii="Amiri" w:hAnsi="Amiri" w:eastAsia="Amiri" w:cs="Amiri"/>
          <w:color w:val="111111"/>
          <w:sz w:val="28"/>
          <w:sz w:val="28"/>
          <w:szCs w:val="28"/>
          <w:rtl w:val="true"/>
          <w:lang w:bidi="ar-SA"/>
        </w:rPr>
        <w:t>إلا بعد إحاطة العلم بذلك و التمكن من النظر المؤدي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كان مقصرا عن علم طريق ذلك فليرجع إلى من يعلمه و لا يقول برأيه و ظنه فإن عول على ذلك فأصاب الاتفاق لم يكن مأجورا و إن أخطأ الحق فيه كان مأزورا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رواه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يجب العمل بجميعه إذا لم يكن ثابتا من الطرق التي تعلق بها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إذ هي أخبار آحاد لا توجب علما و لا عملا </w:t>
      </w:r>
      <w:r>
        <w:rPr>
          <w:rStyle w:val="FootnoteAnchor"/>
          <w:rtl w:val="true"/>
        </w:rPr>
        <w:footnoteReference w:id="365"/>
      </w:r>
      <w:r>
        <w:rPr>
          <w:rFonts w:ascii="Amiri" w:hAnsi="Amiri" w:eastAsia="Amiri" w:cs="Amiri"/>
          <w:color w:val="111111"/>
          <w:sz w:val="28"/>
          <w:sz w:val="28"/>
          <w:szCs w:val="28"/>
          <w:rtl w:val="true"/>
          <w:lang w:bidi="ar-SA"/>
        </w:rPr>
        <w:t>و روايتها عمن يجوز عليه السهو و الغلط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روى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و نقل ما حفظ و لم يضمن العهدة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الحديث ينقلون الغث و السمين و لا يقتصرون في النقل على المعلوم </w:t>
      </w:r>
      <w:r>
        <w:rPr>
          <w:rStyle w:val="FootnoteAnchor"/>
          <w:rtl w:val="true"/>
        </w:rPr>
        <w:footnoteReference w:id="366"/>
      </w:r>
      <w:r>
        <w:rPr>
          <w:rFonts w:ascii="Amiri" w:hAnsi="Amiri" w:eastAsia="Amiri" w:cs="Amiri"/>
          <w:color w:val="111111"/>
          <w:sz w:val="28"/>
          <w:sz w:val="28"/>
          <w:szCs w:val="28"/>
          <w:rtl w:val="true"/>
          <w:lang w:bidi="ar-SA"/>
        </w:rPr>
        <w:t xml:space="preserve">و ليسوا بأصحاب نظر و تفتيش و لا فكر فيما يروونه و تمييز فأخبارهم مختلطة </w:t>
      </w:r>
      <w:r>
        <w:rPr>
          <w:rStyle w:val="FootnoteAnchor"/>
          <w:rtl w:val="true"/>
        </w:rPr>
        <w:footnoteReference w:id="367"/>
      </w:r>
      <w:r>
        <w:rPr>
          <w:rFonts w:ascii="Amiri" w:hAnsi="Amiri" w:eastAsia="Amiri" w:cs="Amiri"/>
          <w:color w:val="111111"/>
          <w:sz w:val="28"/>
          <w:sz w:val="28"/>
          <w:szCs w:val="28"/>
          <w:rtl w:val="true"/>
          <w:lang w:bidi="ar-SA"/>
        </w:rPr>
        <w:t>لا يتميز منها الصحيح من السقيم إلا بنظر في الأصول و اعتماد على النظر الذي يوصل إلى العلم بصحة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كتب أبي علي بن الجنيد فقد حشاها بأحكام عمل فيها على الظن و استعمل فيها مذهب المخالفين في القياس </w:t>
      </w:r>
      <w:r>
        <w:rPr>
          <w:rStyle w:val="FootnoteAnchor"/>
          <w:rtl w:val="true"/>
        </w:rPr>
        <w:footnoteReference w:id="368"/>
      </w:r>
      <w:r>
        <w:rPr>
          <w:rFonts w:ascii="IRNazanin" w:hAnsi="IRNazanin" w:eastAsia="IRNazanin"/>
          <w:color w:val="111111"/>
          <w:sz w:val="28"/>
          <w:sz w:val="28"/>
          <w:szCs w:val="28"/>
          <w:rtl w:val="true"/>
          <w:lang w:bidi="fa-IR"/>
        </w:rPr>
        <w:t xml:space="preserve">الرذل </w:t>
      </w:r>
      <w:r>
        <w:rPr>
          <w:rStyle w:val="FootnoteAnchor"/>
          <w:rtl w:val="true"/>
        </w:rPr>
        <w:footnoteReference w:id="369"/>
      </w:r>
      <w:r>
        <w:rPr>
          <w:rFonts w:ascii="Amiri" w:hAnsi="Amiri" w:eastAsia="Amiri" w:cs="Amiri"/>
          <w:color w:val="111111"/>
          <w:sz w:val="28"/>
          <w:sz w:val="28"/>
          <w:szCs w:val="28"/>
          <w:rtl w:val="true"/>
          <w:lang w:bidi="ar-SA"/>
        </w:rPr>
        <w:t xml:space="preserve">فخلط بين المنقول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قاله برأيه و لم يفرد أحد الصنفين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أفرد المنقول من الرأي لم يكن فيه حجة لأنه لم يعتمد في النقل المتواتر من الأخبار و إنما عول على الآحاد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w:t>
      </w:r>
      <w:r>
        <w:rPr>
          <w:rStyle w:val="FootnoteAnchor"/>
          <w:rtl w:val="true"/>
        </w:rPr>
        <w:footnoteReference w:id="370"/>
      </w:r>
      <w:r>
        <w:rPr>
          <w:rFonts w:ascii="Amiri" w:hAnsi="Amiri" w:eastAsia="Amiri" w:cs="Amiri"/>
          <w:color w:val="111111"/>
          <w:sz w:val="28"/>
          <w:sz w:val="28"/>
          <w:szCs w:val="28"/>
          <w:rtl w:val="true"/>
          <w:lang w:bidi="ar-SA"/>
        </w:rPr>
        <w:t xml:space="preserve">في جملة </w:t>
      </w:r>
      <w:r>
        <w:rPr>
          <w:rStyle w:val="FootnoteAnchor"/>
          <w:rtl w:val="true"/>
        </w:rPr>
        <w:footnoteReference w:id="371"/>
      </w:r>
      <w:r>
        <w:rPr>
          <w:rFonts w:ascii="Amiri" w:hAnsi="Amiri" w:eastAsia="Amiri" w:cs="Amiri"/>
          <w:color w:val="111111"/>
          <w:sz w:val="28"/>
          <w:sz w:val="28"/>
          <w:szCs w:val="28"/>
          <w:rtl w:val="true"/>
          <w:lang w:bidi="ar-SA"/>
        </w:rPr>
        <w:t xml:space="preserve">ما نقل غيره من أصحاب الحديث ما هو معلوم و إن لم يتميز لهم </w:t>
      </w:r>
      <w:r>
        <w:rPr>
          <w:rStyle w:val="FootnoteAnchor"/>
          <w:rtl w:val="true"/>
        </w:rPr>
        <w:footnoteReference w:id="372"/>
      </w:r>
      <w:r>
        <w:rPr>
          <w:rFonts w:ascii="Amiri" w:hAnsi="Amiri" w:eastAsia="Amiri" w:cs="Amiri"/>
          <w:color w:val="111111"/>
          <w:sz w:val="28"/>
          <w:sz w:val="28"/>
          <w:szCs w:val="28"/>
          <w:rtl w:val="true"/>
          <w:lang w:bidi="ar-SA"/>
        </w:rPr>
        <w:t>ذلك لعدولهم عن طريق النظر فيه و تعويلهم على النقل خاصة و السماع من الرجال و التقليد دون النظر و الاعتبار</w:t>
      </w:r>
      <w:r>
        <w:rPr>
          <w:rFonts w:eastAsia="Amiri" w:cs="Amiri" w:ascii="Amiri" w:hAnsi="Amiri"/>
          <w:color w:val="111111"/>
          <w:sz w:val="28"/>
          <w:szCs w:val="28"/>
          <w:rtl w:val="true"/>
          <w:lang w:bidi="ar-SA"/>
        </w:rPr>
        <w:t xml:space="preserve">. </w:t>
      </w:r>
      <w:bookmarkStart w:id="95" w:name="pg19202_232137"/>
    </w:p>
    <w:p>
      <w:pPr>
        <w:pStyle w:val="BookText"/>
        <w:rPr/>
      </w:pPr>
      <w:bookmarkEnd w:id="95"/>
      <w:r>
        <w:rPr>
          <w:rFonts w:ascii="Amiri" w:hAnsi="Amiri" w:eastAsia="Amiri" w:cs="Amiri"/>
          <w:color w:val="111111"/>
          <w:sz w:val="28"/>
          <w:sz w:val="28"/>
          <w:szCs w:val="28"/>
          <w:rtl w:val="true"/>
          <w:lang w:bidi="ar-SA"/>
        </w:rPr>
        <w:t xml:space="preserve">فهذا ما عندي في الذي تضمنته </w:t>
      </w:r>
      <w:r>
        <w:rPr>
          <w:rStyle w:val="FootnoteAnchor"/>
          <w:rtl w:val="true"/>
        </w:rPr>
        <w:footnoteReference w:id="373"/>
      </w:r>
      <w:r>
        <w:rPr>
          <w:rFonts w:ascii="Amiri" w:hAnsi="Amiri" w:eastAsia="Amiri" w:cs="Amiri"/>
          <w:color w:val="111111"/>
          <w:sz w:val="28"/>
          <w:sz w:val="28"/>
          <w:szCs w:val="28"/>
          <w:rtl w:val="true"/>
          <w:lang w:bidi="ar-SA"/>
        </w:rPr>
        <w:t xml:space="preserve">الكتب للشيخين المذكورين في الحلال و الحرام من الأحكام </w:t>
      </w:r>
      <w:r>
        <w:rPr>
          <w:rStyle w:val="FootnoteAnchor"/>
          <w:rtl w:val="true"/>
        </w:rPr>
        <w:footnoteReference w:id="374"/>
      </w:r>
    </w:p>
    <w:p>
      <w:pPr>
        <w:pStyle w:val="Heading2"/>
        <w:numPr>
          <w:ilvl w:val="1"/>
          <w:numId w:val="1"/>
        </w:numPr>
        <w:rPr/>
      </w:pPr>
      <w:bookmarkStart w:id="96" w:name="__RefHeading___Toc16229062_1280447820"/>
      <w:bookmarkStart w:id="97" w:name="_Toc34"/>
      <w:bookmarkEnd w:id="96"/>
      <w:r>
        <w:rPr>
          <w:rtl w:val="true"/>
        </w:rPr>
        <w:t>فصل الموقف من الروايات المختلفة الظواهر</w:t>
      </w:r>
      <w:bookmarkEnd w:id="97"/>
    </w:p>
    <w:p>
      <w:pPr>
        <w:pStyle w:val="BookText"/>
        <w:rPr/>
      </w:pPr>
      <w:r>
        <w:rPr>
          <w:rFonts w:ascii="Amiri" w:hAnsi="Amiri" w:eastAsia="Amiri" w:cs="Amiri"/>
          <w:color w:val="111111"/>
          <w:sz w:val="28"/>
          <w:sz w:val="28"/>
          <w:szCs w:val="28"/>
          <w:rtl w:val="true"/>
          <w:lang w:bidi="ar-SA"/>
        </w:rPr>
        <w:t xml:space="preserve">و للشيعة أخبار في شرائع مجمع عليها بين عصابة الحق و أخبار </w:t>
      </w:r>
      <w:r>
        <w:rPr>
          <w:rStyle w:val="FootnoteAnchor"/>
          <w:rtl w:val="true"/>
        </w:rPr>
        <w:footnoteReference w:id="375"/>
      </w:r>
      <w:r>
        <w:rPr>
          <w:rFonts w:ascii="Amiri" w:hAnsi="Amiri" w:eastAsia="Amiri" w:cs="Amiri"/>
          <w:color w:val="111111"/>
          <w:sz w:val="28"/>
          <w:sz w:val="28"/>
          <w:szCs w:val="28"/>
          <w:rtl w:val="true"/>
          <w:lang w:bidi="ar-SA"/>
        </w:rPr>
        <w:t xml:space="preserve">مختلف فيها فينبغي </w:t>
      </w:r>
      <w:r>
        <w:rPr>
          <w:rStyle w:val="FootnoteAnchor"/>
          <w:rtl w:val="true"/>
        </w:rPr>
        <w:footnoteReference w:id="376"/>
      </w:r>
      <w:r>
        <w:rPr>
          <w:rFonts w:ascii="Amiri" w:hAnsi="Amiri" w:eastAsia="Amiri" w:cs="Amiri"/>
          <w:color w:val="111111"/>
          <w:sz w:val="28"/>
          <w:sz w:val="28"/>
          <w:szCs w:val="28"/>
          <w:rtl w:val="true"/>
          <w:lang w:bidi="ar-SA"/>
        </w:rPr>
        <w:t xml:space="preserve">للعاقل المتدبر أن يأخذ بالمجمع عليه </w:t>
      </w:r>
      <w:r>
        <w:rPr>
          <w:rStyle w:val="FootnoteAnchor"/>
          <w:rtl w:val="true"/>
        </w:rPr>
        <w:footnoteReference w:id="377"/>
      </w:r>
      <w:r>
        <w:rPr>
          <w:rFonts w:ascii="Amiri" w:hAnsi="Amiri" w:eastAsia="Amiri" w:cs="Amiri"/>
          <w:color w:val="111111"/>
          <w:sz w:val="28"/>
          <w:sz w:val="28"/>
          <w:szCs w:val="28"/>
          <w:rtl w:val="true"/>
          <w:lang w:bidi="ar-SA"/>
        </w:rPr>
        <w:t xml:space="preserve">كما أمر بذلك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في المختلف فيه ما لم يعلم حجة في أحد الشيئين منه و يرده إلى من هو أعلم منه و لا يقنع منه بالقياس فيه دون البيان على ذلك و البرهان فإنه يسلم بذلك من الخطإ في الدين و الضلال إن شاء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أجبت </w:t>
      </w:r>
      <w:r>
        <w:rPr>
          <w:rStyle w:val="FootnoteAnchor"/>
          <w:rtl w:val="true"/>
        </w:rPr>
        <w:footnoteReference w:id="378"/>
      </w:r>
      <w:r>
        <w:rPr>
          <w:rFonts w:ascii="Amiri" w:hAnsi="Amiri" w:eastAsia="Amiri" w:cs="Amiri"/>
          <w:color w:val="111111"/>
          <w:sz w:val="28"/>
          <w:sz w:val="28"/>
          <w:szCs w:val="28"/>
          <w:rtl w:val="true"/>
          <w:lang w:bidi="ar-SA"/>
        </w:rPr>
        <w:t xml:space="preserve">عن كثير من الأخبار المختلفة في مسائل ورد </w:t>
      </w:r>
      <w:r>
        <w:rPr>
          <w:rStyle w:val="FootnoteAnchor"/>
          <w:rtl w:val="true"/>
        </w:rPr>
        <w:footnoteReference w:id="379"/>
      </w:r>
      <w:r>
        <w:rPr>
          <w:rFonts w:ascii="Amiri" w:hAnsi="Amiri" w:eastAsia="Amiri" w:cs="Amiri"/>
          <w:color w:val="111111"/>
          <w:sz w:val="28"/>
          <w:sz w:val="28"/>
          <w:szCs w:val="28"/>
          <w:rtl w:val="true"/>
          <w:lang w:bidi="ar-SA"/>
        </w:rPr>
        <w:t xml:space="preserve">علي بعضها من نيسابور و بعضها من الموصل و بعضها من فارس و بعضها من </w:t>
      </w:r>
    </w:p>
    <w:p>
      <w:pPr>
        <w:pStyle w:val="BookText"/>
        <w:rPr/>
      </w:pPr>
      <w:r>
        <w:rPr>
          <w:rFonts w:ascii="Amiri" w:hAnsi="Amiri" w:eastAsia="Amiri" w:cs="Amiri"/>
          <w:color w:val="111111"/>
          <w:sz w:val="28"/>
          <w:sz w:val="28"/>
          <w:szCs w:val="28"/>
          <w:rtl w:val="true"/>
          <w:lang w:bidi="ar-SA"/>
        </w:rPr>
        <w:t xml:space="preserve">ناحية تعرف بمازندران </w:t>
      </w:r>
      <w:r>
        <w:rPr>
          <w:rStyle w:val="FootnoteAnchor"/>
          <w:rtl w:val="true"/>
        </w:rPr>
        <w:footnoteReference w:id="380"/>
      </w:r>
      <w:r>
        <w:rPr>
          <w:rFonts w:ascii="Amiri" w:hAnsi="Amiri" w:eastAsia="Amiri" w:cs="Amiri"/>
          <w:color w:val="111111"/>
          <w:sz w:val="28"/>
          <w:sz w:val="28"/>
          <w:szCs w:val="28"/>
          <w:rtl w:val="true"/>
          <w:lang w:bidi="ar-SA"/>
        </w:rPr>
        <w:t xml:space="preserve">تضمنت مسائل القوم المذكورين أخبارا تختلف </w:t>
      </w:r>
      <w:r>
        <w:rPr>
          <w:rStyle w:val="FootnoteAnchor"/>
          <w:rtl w:val="true"/>
        </w:rPr>
        <w:footnoteReference w:id="381"/>
      </w:r>
      <w:r>
        <w:rPr>
          <w:rFonts w:ascii="Amiri" w:hAnsi="Amiri" w:eastAsia="Amiri" w:cs="Amiri"/>
          <w:color w:val="111111"/>
          <w:sz w:val="28"/>
          <w:sz w:val="28"/>
          <w:szCs w:val="28"/>
          <w:rtl w:val="true"/>
          <w:lang w:bidi="ar-SA"/>
        </w:rPr>
        <w:t>ظواهرها في أنواع شتى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أودعت في كتاب التمهيد أجوبة عن مسائل مختلفة جاءت فيها الأخبار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بينت </w:t>
      </w:r>
      <w:r>
        <w:rPr>
          <w:rStyle w:val="FootnoteAnchor"/>
          <w:rtl w:val="true"/>
        </w:rPr>
        <w:footnoteReference w:id="382"/>
      </w:r>
      <w:r>
        <w:rPr>
          <w:rFonts w:ascii="Amiri" w:hAnsi="Amiri" w:eastAsia="Amiri" w:cs="Amiri"/>
          <w:color w:val="111111"/>
          <w:sz w:val="28"/>
          <w:sz w:val="28"/>
          <w:szCs w:val="28"/>
          <w:rtl w:val="true"/>
          <w:lang w:bidi="ar-SA"/>
        </w:rPr>
        <w:t xml:space="preserve">ما يجب العمل عليه من ذلك بدلائل لا يطعن فيها و جمعت بين </w:t>
      </w:r>
      <w:r>
        <w:rPr>
          <w:rStyle w:val="FootnoteAnchor"/>
          <w:rtl w:val="true"/>
        </w:rPr>
        <w:footnoteReference w:id="383"/>
      </w:r>
      <w:r>
        <w:rPr>
          <w:rFonts w:ascii="Amiri" w:hAnsi="Amiri" w:eastAsia="Amiri" w:cs="Amiri"/>
          <w:color w:val="111111"/>
          <w:sz w:val="28"/>
          <w:sz w:val="28"/>
          <w:szCs w:val="28"/>
          <w:rtl w:val="true"/>
          <w:lang w:bidi="ar-SA"/>
        </w:rPr>
        <w:t xml:space="preserve">معان كثيرة من أقاويل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كثير من الناس أن معانيها تتضاد و كذا بينت اتفاقها في المعنى و أزلت شبهات المستضعفين في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مثل ذلك في كتاب مصابيح النور في علامات أوائل الشهور و شرعت </w:t>
      </w:r>
      <w:r>
        <w:rPr>
          <w:rStyle w:val="FootnoteAnchor"/>
          <w:rtl w:val="true"/>
        </w:rPr>
        <w:footnoteReference w:id="384"/>
      </w:r>
      <w:r>
        <w:rPr>
          <w:rFonts w:ascii="Amiri" w:hAnsi="Amiri" w:eastAsia="Amiri" w:cs="Amiri"/>
          <w:color w:val="111111"/>
          <w:sz w:val="28"/>
          <w:sz w:val="28"/>
          <w:szCs w:val="28"/>
          <w:rtl w:val="true"/>
          <w:lang w:bidi="ar-SA"/>
        </w:rPr>
        <w:t>طرقا يوصل بها إلى معرفة الحق فيما وقع فيه الاختلاف بين أصحابنا من جهة الأخبار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أجبت </w:t>
      </w:r>
      <w:r>
        <w:rPr>
          <w:rStyle w:val="FootnoteAnchor"/>
          <w:rtl w:val="true"/>
        </w:rPr>
        <w:footnoteReference w:id="385"/>
      </w:r>
      <w:r>
        <w:rPr>
          <w:rFonts w:ascii="Amiri" w:hAnsi="Amiri" w:eastAsia="Amiri" w:cs="Amiri"/>
          <w:color w:val="111111"/>
          <w:sz w:val="28"/>
          <w:sz w:val="28"/>
          <w:szCs w:val="28"/>
          <w:rtl w:val="true"/>
          <w:lang w:bidi="ar-SA"/>
        </w:rPr>
        <w:t xml:space="preserve">عن المسائل التي كان ابن الجنيد جمعها و كتبها إلى أهل مصر و لقبها بالمسائل المصرية و جعل الأخبار </w:t>
      </w:r>
      <w:r>
        <w:rPr>
          <w:rStyle w:val="FootnoteAnchor"/>
          <w:rtl w:val="true"/>
        </w:rPr>
        <w:footnoteReference w:id="386"/>
      </w:r>
      <w:r>
        <w:rPr>
          <w:rFonts w:ascii="Amiri" w:hAnsi="Amiri" w:eastAsia="Amiri" w:cs="Amiri"/>
          <w:color w:val="111111"/>
          <w:sz w:val="28"/>
          <w:sz w:val="28"/>
          <w:szCs w:val="28"/>
          <w:rtl w:val="true"/>
          <w:lang w:bidi="ar-SA"/>
        </w:rPr>
        <w:t xml:space="preserve">فيها أبوابا و ظن أنها مختلفة في معانيها و نسب ذلك إلى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بالرأي</w:t>
      </w:r>
      <w:r>
        <w:rPr>
          <w:rFonts w:eastAsia="Amiri" w:cs="Amiri" w:ascii="Amiri" w:hAnsi="Amiri"/>
          <w:color w:val="111111"/>
          <w:sz w:val="28"/>
          <w:szCs w:val="28"/>
          <w:rtl w:val="true"/>
          <w:lang w:bidi="ar-SA"/>
        </w:rPr>
        <w:t xml:space="preserve">. </w:t>
      </w:r>
      <w:bookmarkStart w:id="98" w:name="pg19202_232139"/>
    </w:p>
    <w:p>
      <w:pPr>
        <w:pStyle w:val="BookText"/>
        <w:rPr/>
      </w:pPr>
      <w:bookmarkEnd w:id="98"/>
      <w:r>
        <w:rPr>
          <w:rFonts w:ascii="Amiri" w:hAnsi="Amiri" w:eastAsia="Amiri" w:cs="Amiri"/>
          <w:color w:val="111111"/>
          <w:sz w:val="28"/>
          <w:sz w:val="28"/>
          <w:szCs w:val="28"/>
          <w:rtl w:val="true"/>
          <w:lang w:bidi="ar-SA"/>
        </w:rPr>
        <w:t xml:space="preserve">و أبطلت ما ظنه في ذلك و تخيله و جمعت بين جميع معانيها حتى لم يحصل فيها اختلاف فمن ظفر بهذه الأجوبة و تأملها بإنصاف </w:t>
      </w:r>
      <w:r>
        <w:rPr>
          <w:rStyle w:val="FootnoteAnchor"/>
          <w:rtl w:val="true"/>
        </w:rPr>
        <w:footnoteReference w:id="387"/>
      </w:r>
      <w:r>
        <w:rPr>
          <w:rFonts w:ascii="Amiri" w:hAnsi="Amiri" w:eastAsia="Amiri" w:cs="Amiri"/>
          <w:color w:val="111111"/>
          <w:sz w:val="28"/>
          <w:sz w:val="28"/>
          <w:szCs w:val="28"/>
          <w:rtl w:val="true"/>
          <w:lang w:bidi="ar-SA"/>
        </w:rPr>
        <w:t xml:space="preserve">و فكر فيها فكرا شافيا سهل عليه معرفة الحق في جميع ما يظن أنه مختلف و تيقن ذلك مما يختص بالأخبار المروية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2"/>
        <w:numPr>
          <w:ilvl w:val="1"/>
          <w:numId w:val="1"/>
        </w:numPr>
        <w:rPr/>
      </w:pPr>
      <w:bookmarkStart w:id="99" w:name="__RefHeading___Toc16229064_1280447820"/>
      <w:bookmarkStart w:id="100" w:name="_Toc35"/>
      <w:bookmarkEnd w:id="99"/>
      <w:r>
        <w:rPr>
          <w:rtl w:val="true"/>
        </w:rPr>
        <w:t>فصل أصناف أحاديث الأئمة</w:t>
      </w:r>
      <w:bookmarkEnd w:id="100"/>
    </w:p>
    <w:p>
      <w:pPr>
        <w:pStyle w:val="BookText"/>
        <w:rPr/>
      </w:pPr>
      <w:r>
        <w:rPr>
          <w:rFonts w:ascii="Amiri" w:hAnsi="Amiri" w:eastAsia="Amiri" w:cs="Amiri"/>
          <w:color w:val="111111"/>
          <w:sz w:val="28"/>
          <w:sz w:val="28"/>
          <w:szCs w:val="28"/>
          <w:rtl w:val="true"/>
          <w:lang w:bidi="ar-SA"/>
        </w:rPr>
        <w:t xml:space="preserve">و في الجملة إن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تخرج على ظاهر يوافق باطنه الأمن من العواقب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منها ما ظاهره خلاف </w:t>
      </w:r>
      <w:r>
        <w:rPr>
          <w:rStyle w:val="FootnoteAnchor"/>
          <w:rtl w:val="true"/>
        </w:rPr>
        <w:footnoteReference w:id="389"/>
      </w:r>
      <w:r>
        <w:rPr>
          <w:rFonts w:ascii="Amiri" w:hAnsi="Amiri" w:eastAsia="Amiri" w:cs="Amiri"/>
          <w:color w:val="111111"/>
          <w:sz w:val="28"/>
          <w:sz w:val="28"/>
          <w:szCs w:val="28"/>
          <w:rtl w:val="true"/>
          <w:lang w:bidi="ar-SA"/>
        </w:rPr>
        <w:t>باطنه للتقية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الإيجاب و الإلزام و هو في نفسه ندب و نفل و 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ظاهره نفل و ندب و هو على </w:t>
      </w:r>
      <w:r>
        <w:rPr>
          <w:rStyle w:val="FootnoteAnchor"/>
          <w:rtl w:val="true"/>
        </w:rPr>
        <w:footnoteReference w:id="390"/>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يراد به الخصوص و خاص يراد به العموم و ظاهر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مستعار في غير ما وضع له حقيقة الكلام و تعريض في القول للاستصلاح و المداراة و حقن الدماء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ذلك بعجيب منهم و لا ببدع </w:t>
      </w:r>
      <w:r>
        <w:rPr>
          <w:rStyle w:val="FootnoteAnchor"/>
          <w:rtl w:val="true"/>
        </w:rPr>
        <w:footnoteReference w:id="392"/>
      </w:r>
      <w:r>
        <w:rPr>
          <w:rFonts w:ascii="Amiri" w:hAnsi="Amiri" w:eastAsia="Amiri" w:cs="Amiri"/>
          <w:color w:val="111111"/>
          <w:sz w:val="28"/>
          <w:sz w:val="28"/>
          <w:szCs w:val="28"/>
          <w:rtl w:val="true"/>
          <w:lang w:bidi="ar-SA"/>
        </w:rPr>
        <w:t xml:space="preserve">و القرآن الذي هو كلام الله عز و جل و فيه الشفاء و البيان قد اختلفت ظواهره و تباين الناس في اعتقاد </w:t>
      </w:r>
      <w:r>
        <w:rPr>
          <w:rStyle w:val="FootnoteAnchor"/>
          <w:rtl w:val="true"/>
        </w:rPr>
        <w:footnoteReference w:id="393"/>
      </w:r>
      <w:r>
        <w:rPr>
          <w:rFonts w:ascii="Amiri" w:hAnsi="Amiri" w:eastAsia="Amiri" w:cs="Amiri"/>
          <w:color w:val="111111"/>
          <w:sz w:val="28"/>
          <w:sz w:val="28"/>
          <w:szCs w:val="28"/>
          <w:rtl w:val="true"/>
          <w:lang w:bidi="ar-SA"/>
        </w:rPr>
        <w:t xml:space="preserve">معانيه و كذلك السنة الثابتة عن النبي ص فالعلماء على اختلاف في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394"/>
      </w:r>
      <w:r>
        <w:rPr>
          <w:rFonts w:ascii="Amiri" w:hAnsi="Amiri" w:eastAsia="Amiri" w:cs="Amiri"/>
          <w:color w:val="111111"/>
          <w:sz w:val="28"/>
          <w:sz w:val="28"/>
          <w:szCs w:val="28"/>
          <w:rtl w:val="true"/>
          <w:lang w:bidi="ar-SA"/>
        </w:rPr>
        <w:t xml:space="preserve">و مع ذلك كله فالناس ممتحنون في الأخبار و سماعها فساه في النقل و متعمد </w:t>
      </w:r>
      <w:r>
        <w:rPr>
          <w:rStyle w:val="FootnoteAnchor"/>
          <w:rtl w:val="true"/>
        </w:rPr>
        <w:footnoteReference w:id="395"/>
      </w:r>
      <w:r>
        <w:rPr>
          <w:rFonts w:ascii="Amiri" w:hAnsi="Amiri" w:eastAsia="Amiri" w:cs="Amiri"/>
          <w:color w:val="111111"/>
          <w:sz w:val="28"/>
          <w:sz w:val="28"/>
          <w:szCs w:val="28"/>
          <w:rtl w:val="true"/>
          <w:lang w:bidi="ar-SA"/>
        </w:rPr>
        <w:t xml:space="preserve">فيه الزيادة </w:t>
      </w:r>
      <w:r>
        <w:rPr>
          <w:rStyle w:val="FootnoteAnchor"/>
          <w:rtl w:val="true"/>
        </w:rPr>
        <w:footnoteReference w:id="396"/>
      </w:r>
      <w:r>
        <w:rPr>
          <w:rFonts w:ascii="Amiri" w:hAnsi="Amiri" w:eastAsia="Amiri" w:cs="Amiri"/>
          <w:color w:val="111111"/>
          <w:sz w:val="28"/>
          <w:sz w:val="28"/>
          <w:szCs w:val="28"/>
          <w:rtl w:val="true"/>
          <w:lang w:bidi="ar-SA"/>
        </w:rPr>
        <w:t xml:space="preserve">و النقصان و مبدع في </w:t>
      </w:r>
      <w:r>
        <w:rPr>
          <w:rStyle w:val="FootnoteAnchor"/>
          <w:rtl w:val="true"/>
        </w:rPr>
        <w:footnoteReference w:id="397"/>
      </w:r>
      <w:r>
        <w:rPr>
          <w:rFonts w:ascii="Amiri" w:hAnsi="Amiri" w:eastAsia="Amiri" w:cs="Amiri"/>
          <w:color w:val="111111"/>
          <w:sz w:val="28"/>
          <w:sz w:val="28"/>
          <w:szCs w:val="28"/>
          <w:rtl w:val="true"/>
          <w:lang w:bidi="ar-SA"/>
        </w:rPr>
        <w:t xml:space="preserve">الشريعة متصنع لحسن </w:t>
      </w:r>
      <w:r>
        <w:rPr>
          <w:rStyle w:val="FootnoteAnchor"/>
          <w:rtl w:val="true"/>
        </w:rPr>
        <w:footnoteReference w:id="398"/>
      </w:r>
      <w:r>
        <w:rPr>
          <w:rFonts w:ascii="Amiri" w:hAnsi="Amiri" w:eastAsia="Amiri" w:cs="Amiri"/>
          <w:color w:val="111111"/>
          <w:sz w:val="28"/>
          <w:sz w:val="28"/>
          <w:szCs w:val="28"/>
          <w:rtl w:val="true"/>
          <w:lang w:bidi="ar-SA"/>
        </w:rPr>
        <w:t xml:space="preserve">الظاهر يقصد به إضلال العباد </w:t>
      </w:r>
      <w:r>
        <w:rPr>
          <w:rStyle w:val="FootnoteAnchor"/>
          <w:rtl w:val="true"/>
        </w:rPr>
        <w:footnoteReference w:id="399"/>
      </w:r>
      <w:r>
        <w:rPr>
          <w:rFonts w:ascii="IRNazanin" w:hAnsi="IRNazanin" w:eastAsia="IRNazanin"/>
          <w:color w:val="111111"/>
          <w:sz w:val="28"/>
          <w:sz w:val="28"/>
          <w:szCs w:val="28"/>
          <w:rtl w:val="true"/>
          <w:lang w:bidi="fa-IR"/>
        </w:rPr>
        <w:t xml:space="preserve">و الله موفق للصواب </w:t>
      </w:r>
      <w:bookmarkStart w:id="101" w:name="pg19202_232141"/>
    </w:p>
    <w:p>
      <w:pPr>
        <w:pStyle w:val="Heading2"/>
        <w:numPr>
          <w:ilvl w:val="1"/>
          <w:numId w:val="1"/>
        </w:numPr>
        <w:rPr/>
      </w:pPr>
      <w:bookmarkStart w:id="102" w:name="__RefHeading___Toc16229066_1280447820"/>
      <w:bookmarkStart w:id="103" w:name="_Toc36"/>
      <w:bookmarkEnd w:id="101"/>
      <w:bookmarkEnd w:id="102"/>
      <w:r>
        <w:rPr>
          <w:rtl w:val="true"/>
        </w:rPr>
        <w:t>المسألة التاسعة صيانة القرآن من التحريف</w:t>
      </w:r>
      <w:bookmarkEnd w:id="103"/>
    </w:p>
    <w:p>
      <w:pPr>
        <w:pStyle w:val="BookText"/>
        <w:rPr/>
      </w:pPr>
      <w:r>
        <w:rPr>
          <w:rFonts w:ascii="IRNazanin" w:hAnsi="IRNazanin" w:eastAsia="IRNazanin"/>
          <w:color w:val="111111"/>
          <w:sz w:val="28"/>
          <w:sz w:val="28"/>
          <w:szCs w:val="28"/>
          <w:rtl w:val="true"/>
          <w:lang w:bidi="fa-IR"/>
        </w:rPr>
        <w:t xml:space="preserve">ما قوله أدام الله تعالى حراسته </w:t>
      </w:r>
      <w:r>
        <w:rPr>
          <w:rStyle w:val="FootnoteAnchor"/>
          <w:rtl w:val="true"/>
        </w:rPr>
        <w:footnoteReference w:id="400"/>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هو ما بين الدفتين الذي في أيدي الناس أم هل ضاع مما أنزل الله تعالى على نبيه منه شيء أم لا؟</w:t>
      </w:r>
    </w:p>
    <w:p>
      <w:pPr>
        <w:pStyle w:val="BookText"/>
        <w:rPr/>
      </w:pPr>
      <w:r>
        <w:rPr>
          <w:rFonts w:ascii="Amiri" w:hAnsi="Amiri" w:eastAsia="Amiri" w:cs="Amiri"/>
          <w:color w:val="111111"/>
          <w:sz w:val="28"/>
          <w:sz w:val="28"/>
          <w:szCs w:val="28"/>
          <w:rtl w:val="true"/>
          <w:lang w:bidi="ar-SA"/>
        </w:rPr>
        <w:t xml:space="preserve">و هل هو ما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جمعه عثمان بن عفان على ما يذكره المخالفون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w:t>
      </w:r>
      <w:r>
        <w:rPr>
          <w:rStyle w:val="FootnoteAnchor"/>
          <w:rtl w:val="true"/>
        </w:rPr>
        <w:footnoteReference w:id="401"/>
      </w:r>
      <w:r>
        <w:rPr>
          <w:rFonts w:ascii="Amiri" w:hAnsi="Amiri" w:eastAsia="Amiri" w:cs="Amiri"/>
          <w:color w:val="111111"/>
          <w:sz w:val="28"/>
          <w:sz w:val="28"/>
          <w:szCs w:val="28"/>
          <w:rtl w:val="true"/>
          <w:lang w:bidi="ar-SA"/>
        </w:rPr>
        <w:t xml:space="preserve">أن الذي بين الدفتين من القرآن جميعه </w:t>
      </w:r>
      <w:r>
        <w:rPr>
          <w:rStyle w:val="FootnoteAnchor"/>
          <w:rtl w:val="true"/>
        </w:rPr>
        <w:footnoteReference w:id="402"/>
      </w:r>
      <w:r>
        <w:rPr>
          <w:rFonts w:ascii="Amiri" w:hAnsi="Amiri" w:eastAsia="Amiri" w:cs="Amiri"/>
          <w:color w:val="111111"/>
          <w:sz w:val="28"/>
          <w:sz w:val="28"/>
          <w:szCs w:val="28"/>
          <w:rtl w:val="true"/>
          <w:lang w:bidi="ar-SA"/>
        </w:rPr>
        <w:t>كلام الله تعالى و تنزيله و ليس فيه شيء من كلام البشر و هو جمهور المنزل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الباقي مما أنزله </w:t>
      </w:r>
      <w:r>
        <w:rPr>
          <w:rStyle w:val="FootnoteAnchor"/>
          <w:rtl w:val="true"/>
        </w:rPr>
        <w:footnoteReference w:id="403"/>
      </w:r>
      <w:r>
        <w:rPr>
          <w:rFonts w:ascii="IRNazanin" w:hAnsi="IRNazanin" w:eastAsia="IRNazanin"/>
          <w:color w:val="111111"/>
          <w:sz w:val="28"/>
          <w:sz w:val="28"/>
          <w:szCs w:val="28"/>
          <w:rtl w:val="true"/>
          <w:lang w:bidi="fa-IR"/>
        </w:rPr>
        <w:t xml:space="preserve">الله تعالى </w:t>
      </w:r>
      <w:r>
        <w:rPr>
          <w:rStyle w:val="FootnoteAnchor"/>
          <w:rtl w:val="true"/>
        </w:rPr>
        <w:footnoteReference w:id="404"/>
      </w:r>
      <w:r>
        <w:rPr>
          <w:rFonts w:ascii="Amiri" w:hAnsi="Amiri" w:eastAsia="Amiri" w:cs="Amiri"/>
          <w:color w:val="111111"/>
          <w:sz w:val="28"/>
          <w:sz w:val="28"/>
          <w:szCs w:val="28"/>
          <w:rtl w:val="true"/>
          <w:lang w:bidi="ar-SA"/>
        </w:rPr>
        <w:t xml:space="preserve">عند المستحفظ للشريعة المستودع </w:t>
      </w:r>
    </w:p>
    <w:p>
      <w:pPr>
        <w:pStyle w:val="BookText"/>
        <w:rPr/>
      </w:pPr>
      <w:r>
        <w:rPr>
          <w:rFonts w:ascii="Amiri" w:hAnsi="Amiri" w:eastAsia="Amiri" w:cs="Amiri"/>
          <w:color w:val="111111"/>
          <w:sz w:val="28"/>
          <w:sz w:val="28"/>
          <w:szCs w:val="28"/>
          <w:rtl w:val="true"/>
          <w:lang w:bidi="ar-SA"/>
        </w:rPr>
        <w:t xml:space="preserve">للأحكام لم يضع </w:t>
      </w:r>
      <w:r>
        <w:rPr>
          <w:rStyle w:val="FootnoteAnchor"/>
          <w:rtl w:val="true"/>
        </w:rPr>
        <w:footnoteReference w:id="405"/>
      </w:r>
      <w:r>
        <w:rPr>
          <w:rFonts w:ascii="Amiri" w:hAnsi="Amiri" w:eastAsia="Amiri" w:cs="Amiri"/>
          <w:color w:val="111111"/>
          <w:sz w:val="28"/>
          <w:sz w:val="28"/>
          <w:szCs w:val="28"/>
          <w:rtl w:val="true"/>
          <w:lang w:bidi="ar-SA"/>
        </w:rPr>
        <w:t xml:space="preserve">منه شيء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الذي جمع ما بين الدفتين الآن لم يجعله في جملة ما جمع لأسباب </w:t>
      </w:r>
      <w:r>
        <w:rPr>
          <w:rStyle w:val="FootnoteAnchor"/>
          <w:rtl w:val="true"/>
        </w:rPr>
        <w:footnoteReference w:id="407"/>
      </w:r>
      <w:r>
        <w:rPr>
          <w:rFonts w:ascii="Amiri" w:hAnsi="Amiri" w:eastAsia="Amiri" w:cs="Amiri"/>
          <w:color w:val="111111"/>
          <w:sz w:val="28"/>
          <w:sz w:val="28"/>
          <w:szCs w:val="28"/>
          <w:rtl w:val="true"/>
          <w:lang w:bidi="ar-SA"/>
        </w:rPr>
        <w:t>دعته إلى ذلك منها قصوره عن معرفة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شكه فيه و عدم تيقنه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تعمد إخراجه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المنزل من أوله إلى آخره و ألفه بحسب ما وجب من تأليفه فقدم المكي على المدني و المنسوخ على الناسخ و وضع كل شيء منه في محله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قرئ القرآن كما أنزل لألفيتمونا فيه مسمين كما سمي من كان قبلنا </w:t>
      </w:r>
      <w:r>
        <w:rPr>
          <w:rStyle w:val="FootnoteAnchor"/>
          <w:rtl w:val="true"/>
        </w:rPr>
        <w:footnoteReference w:id="4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أربعة أرباع ربع فينا و ربع في عدونا و ربع سنن </w:t>
      </w:r>
      <w:r>
        <w:rPr>
          <w:rStyle w:val="FootnoteAnchor"/>
          <w:rtl w:val="true"/>
        </w:rPr>
        <w:footnoteReference w:id="411"/>
      </w:r>
      <w:r>
        <w:rPr>
          <w:rFonts w:ascii="IRNazanin" w:hAnsi="IRNazanin" w:eastAsia="IRNazanin"/>
          <w:color w:val="111111"/>
          <w:sz w:val="28"/>
          <w:sz w:val="28"/>
          <w:szCs w:val="28"/>
          <w:rtl w:val="true"/>
          <w:lang w:bidi="fa-IR"/>
        </w:rPr>
        <w:t xml:space="preserve">و أمثال و ربع فرائض </w:t>
      </w:r>
      <w:r>
        <w:rPr>
          <w:rStyle w:val="FootnoteAnchor"/>
          <w:rtl w:val="true"/>
        </w:rPr>
        <w:footnoteReference w:id="412"/>
      </w:r>
      <w:r>
        <w:rPr>
          <w:rFonts w:ascii="Amiri" w:hAnsi="Amiri" w:eastAsia="Amiri" w:cs="Amiri"/>
          <w:color w:val="111111"/>
          <w:sz w:val="28"/>
          <w:sz w:val="28"/>
          <w:szCs w:val="28"/>
          <w:rtl w:val="true"/>
          <w:lang w:bidi="ar-SA"/>
        </w:rPr>
        <w:t xml:space="preserve">و أحكام و لنا أهل البيت كرائم </w:t>
      </w:r>
      <w:r>
        <w:rPr>
          <w:rStyle w:val="FootnoteAnchor"/>
          <w:rtl w:val="true"/>
        </w:rPr>
        <w:footnoteReference w:id="413"/>
      </w:r>
      <w:r>
        <w:rPr>
          <w:rFonts w:ascii="IRNazanin" w:hAnsi="IRNazanin" w:eastAsia="IRNazanin"/>
          <w:color w:val="111111"/>
          <w:sz w:val="28"/>
          <w:sz w:val="28"/>
          <w:szCs w:val="28"/>
          <w:rtl w:val="true"/>
          <w:lang w:bidi="fa-IR"/>
        </w:rPr>
        <w:t xml:space="preserve">القرآن </w:t>
      </w:r>
      <w:r>
        <w:rPr>
          <w:rStyle w:val="FootnoteAnchor"/>
          <w:rtl w:val="true"/>
        </w:rPr>
        <w:footnoteReference w:id="414"/>
      </w:r>
      <w:bookmarkStart w:id="104" w:name="pg19202_232144"/>
    </w:p>
    <w:p>
      <w:pPr>
        <w:pStyle w:val="Heading2"/>
        <w:numPr>
          <w:ilvl w:val="1"/>
          <w:numId w:val="1"/>
        </w:numPr>
        <w:rPr/>
      </w:pPr>
      <w:bookmarkStart w:id="105" w:name="__RefHeading___Toc16229068_1280447820"/>
      <w:bookmarkStart w:id="106" w:name="_Toc37"/>
      <w:bookmarkEnd w:id="104"/>
      <w:bookmarkEnd w:id="105"/>
      <w:r>
        <w:rPr>
          <w:rtl w:val="true"/>
        </w:rPr>
        <w:t>فصل لزوم التقيد بما بين الدفتين</w:t>
      </w:r>
      <w:bookmarkEnd w:id="10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الخبر قد صح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أمروا بقراءة ما بين الدفتين و أن لا </w:t>
      </w:r>
      <w:r>
        <w:rPr>
          <w:rStyle w:val="FootnoteAnchor"/>
          <w:rtl w:val="true"/>
        </w:rPr>
        <w:footnoteReference w:id="415"/>
      </w:r>
      <w:r>
        <w:rPr>
          <w:rFonts w:ascii="Amiri" w:hAnsi="Amiri" w:eastAsia="Amiri" w:cs="Amiri"/>
          <w:color w:val="111111"/>
          <w:sz w:val="28"/>
          <w:sz w:val="28"/>
          <w:szCs w:val="28"/>
          <w:rtl w:val="true"/>
          <w:lang w:bidi="ar-SA"/>
        </w:rPr>
        <w:t xml:space="preserve">يتعداه إلى زيادة فيه و لا نقصان منه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فيقرأ للناس </w:t>
      </w:r>
      <w:r>
        <w:rPr>
          <w:rStyle w:val="FootnoteAnchor"/>
          <w:rtl w:val="true"/>
        </w:rPr>
        <w:footnoteReference w:id="416"/>
      </w:r>
      <w:r>
        <w:rPr>
          <w:rFonts w:ascii="Amiri" w:hAnsi="Amiri" w:eastAsia="Amiri" w:cs="Amiri"/>
          <w:color w:val="111111"/>
          <w:sz w:val="28"/>
          <w:sz w:val="28"/>
          <w:szCs w:val="28"/>
          <w:rtl w:val="true"/>
          <w:lang w:bidi="ar-SA"/>
        </w:rPr>
        <w:t xml:space="preserve">القرآن على ما أنزله الله تعالى و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07" w:name="pg19202_232145"/>
    </w:p>
    <w:p>
      <w:pPr>
        <w:pStyle w:val="BookText"/>
        <w:rPr/>
      </w:pPr>
      <w:bookmarkEnd w:id="107"/>
      <w:r>
        <w:rPr>
          <w:rFonts w:ascii="Amiri" w:hAnsi="Amiri" w:eastAsia="Amiri" w:cs="Amiri"/>
          <w:color w:val="111111"/>
          <w:sz w:val="28"/>
          <w:sz w:val="28"/>
          <w:szCs w:val="28"/>
          <w:rtl w:val="true"/>
          <w:lang w:bidi="ar-SA"/>
        </w:rPr>
        <w:t xml:space="preserve">و إنما نهونا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ما وردت به الأخبار من أحرف تزيد على الثابت في المصحف لأنها لم تأت على التواتر و إنما جاء بها الآحاد و قد يغلط الواحد في ما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متى قرأ الإنسان بما خالف ما بين الدفتين قرر بنفسه </w:t>
      </w:r>
      <w:r>
        <w:rPr>
          <w:rStyle w:val="FootnoteAnchor"/>
          <w:rtl w:val="true"/>
        </w:rPr>
        <w:footnoteReference w:id="418"/>
      </w:r>
      <w:r>
        <w:rPr>
          <w:rFonts w:ascii="Amiri" w:hAnsi="Amiri" w:eastAsia="Amiri" w:cs="Amiri"/>
          <w:color w:val="111111"/>
          <w:sz w:val="28"/>
          <w:sz w:val="28"/>
          <w:szCs w:val="28"/>
          <w:rtl w:val="true"/>
          <w:lang w:bidi="ar-SA"/>
        </w:rPr>
        <w:t>و عرض نفسه للهلاك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419"/>
      </w:r>
      <w:r>
        <w:rPr>
          <w:rFonts w:ascii="Amiri" w:hAnsi="Amiri" w:eastAsia="Amiri" w:cs="Amiri"/>
          <w:color w:val="111111"/>
          <w:sz w:val="28"/>
          <w:sz w:val="28"/>
          <w:szCs w:val="28"/>
          <w:rtl w:val="true"/>
          <w:lang w:bidi="ar-SA"/>
        </w:rPr>
        <w:t xml:space="preserve">قراءة القرآن بخلاف ما ثبت بين الدفتين </w:t>
      </w:r>
      <w:r>
        <w:rPr>
          <w:rStyle w:val="FootnoteAnchor"/>
          <w:rtl w:val="true"/>
        </w:rPr>
        <w:footnoteReference w:id="420"/>
      </w:r>
      <w:r>
        <w:rPr>
          <w:rFonts w:ascii="Amiri" w:hAnsi="Amiri" w:eastAsia="Amiri" w:cs="Amiri"/>
          <w:color w:val="111111"/>
          <w:sz w:val="28"/>
          <w:sz w:val="28"/>
          <w:szCs w:val="28"/>
          <w:rtl w:val="true"/>
          <w:lang w:bidi="ar-SA"/>
        </w:rPr>
        <w:t>لما ذكرناه</w:t>
      </w:r>
    </w:p>
    <w:p>
      <w:pPr>
        <w:pStyle w:val="Heading2"/>
        <w:numPr>
          <w:ilvl w:val="1"/>
          <w:numId w:val="1"/>
        </w:numPr>
        <w:rPr/>
      </w:pPr>
      <w:bookmarkStart w:id="108" w:name="__RefHeading___Toc16229070_1280447820"/>
      <w:bookmarkStart w:id="109" w:name="_Toc38"/>
      <w:bookmarkEnd w:id="108"/>
      <w:r>
        <w:rPr>
          <w:rtl w:val="true"/>
        </w:rPr>
        <w:t>فصل وحدة القرآن و تعدد القراءات</w:t>
      </w:r>
      <w:bookmarkEnd w:id="109"/>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421"/>
      </w:r>
      <w:r>
        <w:rPr>
          <w:rFonts w:ascii="Amiri" w:hAnsi="Amiri" w:eastAsia="Amiri" w:cs="Amiri"/>
          <w:color w:val="111111"/>
          <w:sz w:val="28"/>
          <w:sz w:val="28"/>
          <w:szCs w:val="28"/>
          <w:rtl w:val="true"/>
          <w:lang w:bidi="ar-SA"/>
        </w:rPr>
        <w:t>وحدة القرآن و تعدد القراءات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كيف يصح القول بأن الذي بين الدفتين هو كلام الله تعالى على الحقيقة من غير زيادة فيه و لا نقصان </w:t>
      </w:r>
      <w:r>
        <w:rPr>
          <w:rStyle w:val="FootnoteAnchor"/>
          <w:rtl w:val="true"/>
        </w:rPr>
        <w:footnoteReference w:id="422"/>
      </w:r>
      <w:r>
        <w:rPr>
          <w:rFonts w:ascii="IRNazanin" w:hAnsi="IRNazanin" w:eastAsia="IRNazanin"/>
          <w:color w:val="111111"/>
          <w:sz w:val="28"/>
          <w:sz w:val="28"/>
          <w:szCs w:val="28"/>
          <w:rtl w:val="true"/>
          <w:lang w:bidi="fa-IR"/>
        </w:rPr>
        <w:t xml:space="preserve">و أنتم تروون </w:t>
      </w:r>
    </w:p>
    <w:p>
      <w:pPr>
        <w:pStyle w:val="BookText"/>
        <w:rPr/>
      </w:pP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قرءوا كنتم خير أئمة أخرجت للناس و كذلك جعلناكم أئمة وسطا و قرءوا يسألونك الأنفال و هذا بخلاف ما في المصحف الذي في أيدي الناس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قد مضى الجواب عن هذا و هو </w:t>
      </w:r>
      <w:r>
        <w:rPr>
          <w:rStyle w:val="FootnoteAnchor"/>
          <w:rtl w:val="true"/>
        </w:rPr>
        <w:footnoteReference w:id="424"/>
      </w:r>
      <w:r>
        <w:rPr>
          <w:rFonts w:ascii="Amiri" w:hAnsi="Amiri" w:eastAsia="Amiri" w:cs="Amiri"/>
          <w:color w:val="111111"/>
          <w:sz w:val="28"/>
          <w:sz w:val="28"/>
          <w:szCs w:val="28"/>
          <w:rtl w:val="true"/>
          <w:lang w:bidi="ar-SA"/>
        </w:rPr>
        <w:t xml:space="preserve">أن الأخبار التي جاءت بذلك </w:t>
      </w:r>
    </w:p>
    <w:p>
      <w:pPr>
        <w:pStyle w:val="BookText"/>
        <w:rPr/>
      </w:pPr>
      <w:r>
        <w:rPr>
          <w:rFonts w:ascii="Amiri" w:hAnsi="Amiri" w:eastAsia="Amiri" w:cs="Amiri"/>
          <w:color w:val="111111"/>
          <w:sz w:val="28"/>
          <w:sz w:val="28"/>
          <w:szCs w:val="28"/>
          <w:rtl w:val="true"/>
          <w:lang w:bidi="ar-SA"/>
        </w:rPr>
        <w:t xml:space="preserve">أخبار آحاد لا يقطع على الله تعالى بصحتها </w:t>
      </w:r>
      <w:r>
        <w:rPr>
          <w:rStyle w:val="FootnoteAnchor"/>
          <w:rtl w:val="true"/>
        </w:rPr>
        <w:footnoteReference w:id="425"/>
      </w:r>
      <w:r>
        <w:rPr>
          <w:rFonts w:ascii="Amiri" w:hAnsi="Amiri" w:eastAsia="Amiri" w:cs="Amiri"/>
          <w:color w:val="111111"/>
          <w:sz w:val="28"/>
          <w:sz w:val="28"/>
          <w:szCs w:val="28"/>
          <w:rtl w:val="true"/>
          <w:lang w:bidi="ar-SA"/>
        </w:rPr>
        <w:t>فلذلك وقفنا فيها و لم نعدل عما في المصحف الظاهر على ما أمرنا به حسب 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426"/>
      </w:r>
      <w:r>
        <w:rPr>
          <w:rFonts w:ascii="Amiri" w:hAnsi="Amiri" w:eastAsia="Amiri" w:cs="Amiri"/>
          <w:color w:val="111111"/>
          <w:sz w:val="28"/>
          <w:sz w:val="28"/>
          <w:szCs w:val="28"/>
          <w:rtl w:val="true"/>
          <w:lang w:bidi="ar-SA"/>
        </w:rPr>
        <w:t xml:space="preserve">أنه لا ينكر أن تأتي القراءة </w:t>
      </w:r>
      <w:r>
        <w:rPr>
          <w:rStyle w:val="FootnoteAnchor"/>
          <w:rtl w:val="true"/>
        </w:rPr>
        <w:footnoteReference w:id="427"/>
      </w:r>
      <w:r>
        <w:rPr>
          <w:rFonts w:ascii="Amiri" w:hAnsi="Amiri" w:eastAsia="Amiri" w:cs="Amiri"/>
          <w:color w:val="111111"/>
          <w:sz w:val="28"/>
          <w:sz w:val="28"/>
          <w:szCs w:val="28"/>
          <w:rtl w:val="true"/>
          <w:lang w:bidi="ar-SA"/>
        </w:rPr>
        <w:t>على وجهين منزلين أحدهما ما تضمنه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جاء به الخبر كما يعترف مخالفونا به من نزول القرآن على أوجه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تعالى وَ ما هُوَ عَلَى الْغَيْبِ بِضَنِينٍ </w:t>
      </w:r>
      <w:r>
        <w:rPr>
          <w:rStyle w:val="FootnoteAnchor"/>
          <w:rtl w:val="true"/>
        </w:rPr>
        <w:footnoteReference w:id="428"/>
      </w:r>
      <w:r>
        <w:rPr>
          <w:rFonts w:ascii="Amiri" w:hAnsi="Amiri" w:eastAsia="Amiri" w:cs="Amiri"/>
          <w:color w:val="111111"/>
          <w:sz w:val="28"/>
          <w:sz w:val="28"/>
          <w:szCs w:val="28"/>
          <w:rtl w:val="true"/>
          <w:lang w:bidi="ar-SA"/>
        </w:rPr>
        <w:t>يريد ما هو ببخيل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بالقراءة الأخرى و ما هو على الغيب بظنين يريد بمتهم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تعالى جَنَّاتٍ تَجْرِي تَحْتَهَا الْأَنْهارُ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قراءة أخرى من تحتها الأنهار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قوله تعالى إِنْ هذانِ لَساحِرانِ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قراءة أخرى </w:t>
      </w:r>
      <w:r>
        <w:rPr>
          <w:rStyle w:val="FootnoteAnchor"/>
          <w:rtl w:val="true"/>
        </w:rPr>
        <w:footnoteReference w:id="433"/>
      </w:r>
      <w:r>
        <w:rPr>
          <w:rFonts w:ascii="Amiri" w:hAnsi="Amiri" w:eastAsia="Amiri" w:cs="Amiri"/>
          <w:color w:val="111111"/>
          <w:sz w:val="28"/>
          <w:sz w:val="28"/>
          <w:szCs w:val="28"/>
          <w:rtl w:val="true"/>
          <w:lang w:bidi="ar-SA"/>
        </w:rPr>
        <w:t xml:space="preserve">إن هذين لساحران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أشبه ذلك مما يكثر تعداده و يطول الجواب بإثباته و فيما ذكرناه كفاية إن شاء الله تعالى </w:t>
      </w:r>
      <w:bookmarkStart w:id="110" w:name="pg19202_232149"/>
    </w:p>
    <w:p>
      <w:pPr>
        <w:pStyle w:val="Heading2"/>
        <w:numPr>
          <w:ilvl w:val="1"/>
          <w:numId w:val="1"/>
        </w:numPr>
        <w:rPr/>
      </w:pPr>
      <w:bookmarkStart w:id="111" w:name="__RefHeading___Toc16229072_1280447820"/>
      <w:bookmarkStart w:id="112" w:name="_Toc39"/>
      <w:bookmarkEnd w:id="110"/>
      <w:bookmarkEnd w:id="111"/>
      <w:r>
        <w:rPr>
          <w:rtl w:val="true"/>
        </w:rPr>
        <w:t>المسألة العاشرة في تزويج أم كلثوم و بنات الرسول ص</w:t>
      </w:r>
      <w:bookmarkEnd w:id="112"/>
    </w:p>
    <w:p>
      <w:pPr>
        <w:pStyle w:val="BookText"/>
        <w:rPr/>
      </w:pPr>
      <w:r>
        <w:rPr>
          <w:rFonts w:ascii="IRNazanin" w:hAnsi="IRNazanin" w:eastAsia="IRNazanin"/>
          <w:color w:val="111111"/>
          <w:sz w:val="28"/>
          <w:sz w:val="28"/>
          <w:szCs w:val="28"/>
          <w:rtl w:val="true"/>
          <w:lang w:bidi="fa-IR"/>
        </w:rPr>
        <w:t xml:space="preserve">ما قوله أدام الله تعالى علاه </w:t>
      </w:r>
      <w:r>
        <w:rPr>
          <w:rStyle w:val="FootnoteAnchor"/>
          <w:rtl w:val="true"/>
        </w:rPr>
        <w:footnoteReference w:id="435"/>
      </w:r>
      <w:r>
        <w:rPr>
          <w:rFonts w:ascii="Amiri" w:hAnsi="Amiri" w:eastAsia="Amiri" w:cs="Amiri"/>
          <w:color w:val="111111"/>
          <w:sz w:val="28"/>
          <w:sz w:val="28"/>
          <w:szCs w:val="28"/>
          <w:rtl w:val="true"/>
          <w:lang w:bidi="ar-SA"/>
        </w:rPr>
        <w:t xml:space="preserve">في تزويج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تزويج النبي ص ابنتيه زينب و رقية من عثمان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أن الخبر الوارد بتزويج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من عمر غير ثابت و طريقه من </w:t>
      </w:r>
      <w:r>
        <w:rPr>
          <w:rStyle w:val="FootnoteAnchor"/>
          <w:rtl w:val="true"/>
        </w:rPr>
        <w:footnoteReference w:id="437"/>
      </w:r>
      <w:r>
        <w:rPr>
          <w:rFonts w:ascii="Amiri" w:hAnsi="Amiri" w:eastAsia="Amiri" w:cs="Amiri"/>
          <w:color w:val="111111"/>
          <w:sz w:val="28"/>
          <w:sz w:val="28"/>
          <w:szCs w:val="28"/>
          <w:rtl w:val="true"/>
          <w:lang w:bidi="ar-SA"/>
        </w:rPr>
        <w:t xml:space="preserve">الزبير بن بكار </w:t>
      </w:r>
      <w:r>
        <w:rPr>
          <w:rStyle w:val="FootnoteAnchor"/>
          <w:rtl w:val="true"/>
        </w:rPr>
        <w:footnoteReference w:id="438"/>
      </w:r>
      <w:r>
        <w:rPr>
          <w:rFonts w:ascii="Amiri" w:hAnsi="Amiri" w:eastAsia="Amiri" w:cs="Amiri"/>
          <w:color w:val="111111"/>
          <w:sz w:val="28"/>
          <w:sz w:val="28"/>
          <w:szCs w:val="28"/>
          <w:rtl w:val="true"/>
          <w:lang w:bidi="ar-SA"/>
        </w:rPr>
        <w:t xml:space="preserve">و لم يكن موثوقا به في النقل و كان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متهما </w:t>
      </w:r>
      <w:r>
        <w:rPr>
          <w:rStyle w:val="FootnoteAnchor"/>
          <w:rtl w:val="true"/>
        </w:rPr>
        <w:footnoteReference w:id="439"/>
      </w:r>
      <w:r>
        <w:rPr>
          <w:rFonts w:ascii="Amiri" w:hAnsi="Amiri" w:eastAsia="Amiri" w:cs="Amiri"/>
          <w:color w:val="111111"/>
          <w:sz w:val="28"/>
          <w:sz w:val="28"/>
          <w:szCs w:val="28"/>
          <w:rtl w:val="true"/>
          <w:lang w:bidi="ar-SA"/>
        </w:rPr>
        <w:t xml:space="preserve">فيما يذكره و كان يبغض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 غير مأمون فيما يدعيه على بني هاشم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إنما نشر الحديث إثبات أبي محمد الحسن </w:t>
      </w:r>
      <w:r>
        <w:rPr>
          <w:rStyle w:val="FootnoteAnchor"/>
          <w:rtl w:val="true"/>
        </w:rPr>
        <w:footnoteReference w:id="442"/>
      </w:r>
      <w:r>
        <w:rPr>
          <w:rFonts w:ascii="Amiri" w:hAnsi="Amiri" w:eastAsia="Amiri" w:cs="Amiri"/>
          <w:color w:val="111111"/>
          <w:sz w:val="28"/>
          <w:sz w:val="28"/>
          <w:szCs w:val="28"/>
          <w:rtl w:val="true"/>
          <w:lang w:bidi="ar-SA"/>
        </w:rPr>
        <w:t xml:space="preserve">بن يحيى صاحب النسب </w:t>
      </w:r>
      <w:r>
        <w:rPr>
          <w:rStyle w:val="FootnoteAnchor"/>
          <w:rtl w:val="true"/>
        </w:rPr>
        <w:footnoteReference w:id="443"/>
      </w:r>
      <w:r>
        <w:rPr>
          <w:rFonts w:ascii="Amiri" w:hAnsi="Amiri" w:eastAsia="Amiri" w:cs="Amiri"/>
          <w:color w:val="111111"/>
          <w:sz w:val="28"/>
          <w:sz w:val="28"/>
          <w:szCs w:val="28"/>
          <w:rtl w:val="true"/>
          <w:lang w:bidi="ar-SA"/>
        </w:rPr>
        <w:t xml:space="preserve">ذلك في كتابه فظن كثير </w:t>
      </w:r>
      <w:r>
        <w:rPr>
          <w:rStyle w:val="FootnoteAnchor"/>
          <w:rtl w:val="true"/>
        </w:rPr>
        <w:footnoteReference w:id="444"/>
      </w:r>
      <w:r>
        <w:rPr>
          <w:rFonts w:ascii="Amiri" w:hAnsi="Amiri" w:eastAsia="Amiri" w:cs="Amiri"/>
          <w:color w:val="111111"/>
          <w:sz w:val="28"/>
          <w:sz w:val="28"/>
          <w:szCs w:val="28"/>
          <w:rtl w:val="true"/>
          <w:lang w:bidi="ar-SA"/>
        </w:rPr>
        <w:t>من الناس أنه حق لرواية رجل علوي له و هو إنما رواه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بنفسه مختلف فتارة يروي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العقد له على ابنته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تارة يروي أن العباس تولى </w:t>
      </w:r>
      <w:r>
        <w:rPr>
          <w:rStyle w:val="FootnoteAnchor"/>
          <w:rtl w:val="true"/>
        </w:rPr>
        <w:footnoteReference w:id="446"/>
      </w:r>
      <w:r>
        <w:rPr>
          <w:rFonts w:ascii="Amiri" w:hAnsi="Amiri" w:eastAsia="Amiri" w:cs="Amiri"/>
          <w:color w:val="111111"/>
          <w:sz w:val="28"/>
          <w:sz w:val="28"/>
          <w:szCs w:val="28"/>
          <w:rtl w:val="true"/>
          <w:lang w:bidi="ar-SA"/>
        </w:rPr>
        <w:t xml:space="preserve">ذلك عنه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يروي أنه لم يقع العقد إلا بعد وعيد من عمر و تهديد لبني هاشم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تارة يروي أنه كان عن اختيار و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الرواة يذكر أن عمر أولدها ولدا أسماه زيدا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يقول إنه قتل قبل دخوله بها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بعضهم يقول إن لزيد بن عمر عقبا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يقول إنه قتل و لا عقب 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يقول إنه و أمه قتلا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13" w:name="pg19202_232153"/>
    </w:p>
    <w:p>
      <w:pPr>
        <w:pStyle w:val="BookText"/>
        <w:rPr/>
      </w:pPr>
      <w:bookmarkEnd w:id="113"/>
      <w:r>
        <w:rPr>
          <w:rFonts w:ascii="Amiri" w:hAnsi="Amiri" w:eastAsia="Amiri" w:cs="Amiri"/>
          <w:color w:val="111111"/>
          <w:sz w:val="28"/>
          <w:sz w:val="28"/>
          <w:szCs w:val="28"/>
          <w:rtl w:val="true"/>
          <w:lang w:bidi="ar-SA"/>
        </w:rPr>
        <w:t xml:space="preserve">و منهم من يقول إن أمه بقيت بعده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يقول إن عمر أمهر أم كلثوم أربعين ألف درهم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يقول مهرها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كان مهرها خمسمائة درهم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بدو هذا الاختلاف فيه </w:t>
      </w:r>
      <w:r>
        <w:rPr>
          <w:rStyle w:val="FootnoteAnchor"/>
          <w:rtl w:val="true"/>
        </w:rPr>
        <w:footnoteReference w:id="457"/>
      </w:r>
      <w:r>
        <w:rPr>
          <w:rFonts w:ascii="Amiri" w:hAnsi="Amiri" w:eastAsia="Amiri" w:cs="Amiri"/>
          <w:color w:val="111111"/>
          <w:sz w:val="28"/>
          <w:sz w:val="28"/>
          <w:szCs w:val="28"/>
          <w:rtl w:val="true"/>
          <w:lang w:bidi="ar-SA"/>
        </w:rPr>
        <w:t>يبطل الحديث و لا يكون له تأثير على حال</w:t>
      </w:r>
    </w:p>
    <w:p>
      <w:pPr>
        <w:pStyle w:val="Heading2"/>
        <w:numPr>
          <w:ilvl w:val="1"/>
          <w:numId w:val="1"/>
        </w:numPr>
        <w:rPr/>
      </w:pPr>
      <w:bookmarkStart w:id="114" w:name="__RefHeading___Toc16229074_1280447820"/>
      <w:bookmarkStart w:id="115" w:name="_Toc40"/>
      <w:bookmarkEnd w:id="114"/>
      <w:r>
        <w:rPr>
          <w:rtl w:val="true"/>
        </w:rPr>
        <w:t>فصل تأويل الخبر</w:t>
      </w:r>
      <w:bookmarkEnd w:id="1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صح لكان له وجهان لا ينافيان مذهب الشيعة في ضلال </w:t>
      </w:r>
    </w:p>
    <w:p>
      <w:pPr>
        <w:pStyle w:val="BookText"/>
        <w:rPr/>
      </w:pPr>
      <w:r>
        <w:rPr>
          <w:rFonts w:ascii="Amiri" w:hAnsi="Amiri" w:eastAsia="Amiri" w:cs="Amiri"/>
          <w:color w:val="111111"/>
          <w:sz w:val="28"/>
          <w:sz w:val="28"/>
          <w:szCs w:val="28"/>
          <w:rtl w:val="true"/>
          <w:lang w:bidi="ar-SA"/>
        </w:rPr>
        <w:t>المتقدمين على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Style w:val="FootnoteAnchor"/>
          <w:rtl w:val="true"/>
        </w:rPr>
        <w:footnoteReference w:id="458"/>
      </w:r>
      <w:r>
        <w:rPr>
          <w:rFonts w:ascii="Amiri" w:hAnsi="Amiri" w:eastAsia="Amiri" w:cs="Amiri"/>
          <w:color w:val="111111"/>
          <w:sz w:val="28"/>
          <w:sz w:val="28"/>
          <w:szCs w:val="28"/>
          <w:rtl w:val="true"/>
          <w:lang w:bidi="ar-SA"/>
        </w:rPr>
        <w:t xml:space="preserve">أن النكاح إنما هو على ظاهر الإسلام الذي هو الشهادتان و الصلاة إلى الكعبة و الإقرار بجملة </w:t>
      </w:r>
      <w:r>
        <w:rPr>
          <w:rStyle w:val="FootnoteAnchor"/>
          <w:rtl w:val="true"/>
        </w:rPr>
        <w:footnoteReference w:id="459"/>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الأفضل مناكحة من يعتقد الإيمان </w:t>
      </w:r>
      <w:r>
        <w:rPr>
          <w:rStyle w:val="FootnoteAnchor"/>
          <w:rtl w:val="true"/>
        </w:rPr>
        <w:footnoteReference w:id="460"/>
      </w:r>
      <w:r>
        <w:rPr>
          <w:rFonts w:ascii="Amiri" w:hAnsi="Amiri" w:eastAsia="Amiri" w:cs="Amiri"/>
          <w:color w:val="111111"/>
          <w:sz w:val="28"/>
          <w:sz w:val="28"/>
          <w:szCs w:val="28"/>
          <w:rtl w:val="true"/>
          <w:lang w:bidi="ar-SA"/>
        </w:rPr>
        <w:t xml:space="preserve">و ترك </w:t>
      </w:r>
      <w:r>
        <w:rPr>
          <w:rStyle w:val="FootnoteAnchor"/>
          <w:rtl w:val="true"/>
        </w:rPr>
        <w:footnoteReference w:id="461"/>
      </w:r>
      <w:r>
        <w:rPr>
          <w:rFonts w:ascii="Amiri" w:hAnsi="Amiri" w:eastAsia="Amiri" w:cs="Amiri"/>
          <w:color w:val="111111"/>
          <w:sz w:val="28"/>
          <w:sz w:val="28"/>
          <w:szCs w:val="28"/>
          <w:rtl w:val="true"/>
          <w:lang w:bidi="ar-SA"/>
        </w:rPr>
        <w:t xml:space="preserve">مناكحة من ضم إلى ظاهر الإسلام ضلالا لا يخرجه عن الإسلام </w:t>
      </w:r>
      <w:r>
        <w:rPr>
          <w:rStyle w:val="FootnoteAnchor"/>
          <w:rtl w:val="true"/>
        </w:rPr>
        <w:footnoteReference w:id="462"/>
      </w:r>
      <w:r>
        <w:rPr>
          <w:rFonts w:ascii="Amiri" w:hAnsi="Amiri" w:eastAsia="Amiri" w:cs="Amiri"/>
          <w:color w:val="111111"/>
          <w:sz w:val="28"/>
          <w:sz w:val="28"/>
          <w:szCs w:val="28"/>
          <w:rtl w:val="true"/>
          <w:lang w:bidi="ar-SA"/>
        </w:rPr>
        <w:t xml:space="preserve">إلا أن الضرورة متى قادت إلى مناكحة الضال مع إظهاره كلمة الإسلام </w:t>
      </w:r>
      <w:r>
        <w:rPr>
          <w:rStyle w:val="FootnoteAnchor"/>
          <w:rtl w:val="true"/>
        </w:rPr>
        <w:footnoteReference w:id="463"/>
      </w:r>
      <w:r>
        <w:rPr>
          <w:rFonts w:ascii="Amiri" w:hAnsi="Amiri" w:eastAsia="Amiri" w:cs="Amiri"/>
          <w:color w:val="111111"/>
          <w:sz w:val="28"/>
          <w:sz w:val="28"/>
          <w:szCs w:val="28"/>
          <w:rtl w:val="true"/>
          <w:lang w:bidi="ar-SA"/>
        </w:rPr>
        <w:t xml:space="preserve">زالت الكراهة من ذلك و ساغ ما لم يكن بمستحب </w:t>
      </w:r>
      <w:r>
        <w:rPr>
          <w:rStyle w:val="FootnoteAnchor"/>
          <w:rtl w:val="true"/>
        </w:rPr>
        <w:footnoteReference w:id="464"/>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محتاجا إلى التأليف و حقن الدماء و رأى أنه إن بلغ مبلغ عمر عما رغب فيه من مناكحته ابنته أثر </w:t>
      </w:r>
      <w:r>
        <w:rPr>
          <w:rStyle w:val="FootnoteAnchor"/>
          <w:rtl w:val="true"/>
        </w:rPr>
        <w:footnoteReference w:id="465"/>
      </w:r>
      <w:r>
        <w:rPr>
          <w:rFonts w:ascii="Amiri" w:hAnsi="Amiri" w:eastAsia="Amiri" w:cs="Amiri"/>
          <w:color w:val="111111"/>
          <w:sz w:val="28"/>
          <w:sz w:val="28"/>
          <w:szCs w:val="28"/>
          <w:rtl w:val="true"/>
          <w:lang w:bidi="ar-SA"/>
        </w:rPr>
        <w:t>ذلك الفساد في الدين و الدنيا و أنه إن أجاب إليه أعقب صلاحا في الأمرين فأجابه إلى ملتمسه لما ذكرناه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الآخر أن مناكحة الضال كجحد الإمامة و ادعائها لمن لا يستحقها حرام إلا أن يخاف الإنسان على دينه و دمه فيجوز له ذلك كما يجوز له إظهار كلمة الكفر المضادة لكلمة الإيمان و كما يحل له أكل الميتة </w:t>
      </w:r>
      <w:bookmarkStart w:id="116" w:name="pg19202_232155"/>
    </w:p>
    <w:p>
      <w:pPr>
        <w:pStyle w:val="BookText"/>
        <w:rPr/>
      </w:pPr>
      <w:bookmarkEnd w:id="116"/>
      <w:r>
        <w:rPr>
          <w:rFonts w:ascii="Amiri" w:hAnsi="Amiri" w:eastAsia="Amiri" w:cs="Amiri"/>
          <w:color w:val="111111"/>
          <w:sz w:val="28"/>
          <w:sz w:val="28"/>
          <w:szCs w:val="28"/>
          <w:rtl w:val="true"/>
          <w:lang w:bidi="ar-SA"/>
        </w:rPr>
        <w:t xml:space="preserve">و الدم و لحم الخنزير عند الضرورات و إن كان ذلك محرما مع الاختيار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مضطرا إلى مناكحة الرجل لأنه يهدده و يواعده فلم يأمنه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 شيعته فأجابه إلى ذلك ضرورة كما قلنا إن الضرورة تشرع إظهار كلمة الكفر قال الله تعالى إِلَّا مَنْ أُكْرِهَ وَ قَلْبُهُ مُطْمَئِنٌّ بِالْإِيمانِ </w:t>
      </w:r>
      <w:r>
        <w:rPr>
          <w:rStyle w:val="FootnoteAnchor"/>
          <w:rtl w:val="true"/>
        </w:rPr>
        <w:footnoteReference w:id="467"/>
      </w:r>
    </w:p>
    <w:p>
      <w:pPr>
        <w:pStyle w:val="Heading2"/>
        <w:numPr>
          <w:ilvl w:val="1"/>
          <w:numId w:val="1"/>
        </w:numPr>
        <w:rPr/>
      </w:pPr>
      <w:bookmarkStart w:id="117" w:name="__RefHeading___Toc16229076_1280447820"/>
      <w:bookmarkStart w:id="118" w:name="_Toc41"/>
      <w:bookmarkEnd w:id="117"/>
      <w:r>
        <w:rPr>
          <w:rtl w:val="true"/>
        </w:rPr>
        <w:t>فصل زواج بنات الرسول ص</w:t>
      </w:r>
      <w:bookmarkEnd w:id="118"/>
    </w:p>
    <w:p>
      <w:pPr>
        <w:pStyle w:val="BookText"/>
        <w:rPr/>
      </w:pPr>
      <w:r>
        <w:rPr>
          <w:rFonts w:ascii="Amiri" w:hAnsi="Amiri" w:eastAsia="Amiri" w:cs="Amiri"/>
          <w:color w:val="111111"/>
          <w:sz w:val="28"/>
          <w:sz w:val="28"/>
          <w:szCs w:val="28"/>
          <w:rtl w:val="true"/>
          <w:lang w:bidi="ar-SA"/>
        </w:rPr>
        <w:t xml:space="preserve">و ليس ذلك بأعجب من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تعالى عنه هؤُلاءِ بَناتِي هُنَّ أَطْهَرُ لَكُمْ </w:t>
      </w:r>
      <w:r>
        <w:rPr>
          <w:rStyle w:val="FootnoteAnchor"/>
          <w:rtl w:val="true"/>
        </w:rPr>
        <w:footnoteReference w:id="468"/>
      </w:r>
      <w:r>
        <w:rPr>
          <w:rFonts w:ascii="Amiri" w:hAnsi="Amiri" w:eastAsia="Amiri" w:cs="Amiri"/>
          <w:color w:val="111111"/>
          <w:sz w:val="28"/>
          <w:sz w:val="28"/>
          <w:szCs w:val="28"/>
          <w:rtl w:val="true"/>
          <w:lang w:bidi="ar-SA"/>
        </w:rPr>
        <w:t xml:space="preserve">فدعاهم إلى العقد عليهم </w:t>
      </w:r>
      <w:r>
        <w:rPr>
          <w:rStyle w:val="FootnoteAnchor"/>
          <w:rtl w:val="true"/>
        </w:rPr>
        <w:footnoteReference w:id="469"/>
      </w:r>
      <w:r>
        <w:rPr>
          <w:rFonts w:ascii="Amiri" w:hAnsi="Amiri" w:eastAsia="Amiri" w:cs="Amiri"/>
          <w:color w:val="111111"/>
          <w:sz w:val="28"/>
          <w:sz w:val="28"/>
          <w:szCs w:val="28"/>
          <w:rtl w:val="true"/>
          <w:lang w:bidi="ar-SA"/>
        </w:rPr>
        <w:t xml:space="preserve">لبناته و هم كفار ضلال قد أذن الله تعالى في هلاكهم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زوج رسول الله ص ابنتيه قبل البعثة كافرين كانا يعبدان الأصنام أحدهما عتبة بن أبي لهب و الآخر أبو العاص بن الربيع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بعث ص فرق بينهما و بين ابنتيه فمات عتبة على الكفر و أسلم أبو العاص بعد إبانة الإسلام فردها عليه بالنكاح الأول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ص في حال من الأحوال مواليا لأهل الكفر و قد زوج من تبرأ من دينه </w:t>
      </w:r>
      <w:r>
        <w:rPr>
          <w:rStyle w:val="FootnoteAnchor"/>
          <w:rtl w:val="true"/>
        </w:rPr>
        <w:footnoteReference w:id="473"/>
      </w:r>
      <w:r>
        <w:rPr>
          <w:rFonts w:ascii="IRNazanin" w:hAnsi="IRNazanin" w:eastAsia="IRNazanin"/>
          <w:color w:val="111111"/>
          <w:sz w:val="28"/>
          <w:sz w:val="28"/>
          <w:szCs w:val="28"/>
          <w:rtl w:val="true"/>
          <w:lang w:bidi="fa-IR"/>
        </w:rPr>
        <w:t xml:space="preserve">و هو معاد له </w:t>
      </w:r>
      <w:r>
        <w:rPr>
          <w:rStyle w:val="FootnoteAnchor"/>
          <w:rtl w:val="true"/>
        </w:rPr>
        <w:footnoteReference w:id="474"/>
      </w:r>
      <w:r>
        <w:rPr>
          <w:rFonts w:ascii="Amiri" w:hAnsi="Amiri" w:eastAsia="Amiri" w:cs="Amiri"/>
          <w:color w:val="111111"/>
          <w:sz w:val="28"/>
          <w:sz w:val="28"/>
          <w:szCs w:val="28"/>
          <w:rtl w:val="true"/>
          <w:lang w:bidi="ar-SA"/>
        </w:rPr>
        <w:t>في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هاتان بنتان هما اللتان تزوجهما عثمان بن عفان بعد هلاك عتبة و موت أبي العاص </w:t>
      </w:r>
      <w:r>
        <w:rPr>
          <w:rStyle w:val="FootnoteAnchor"/>
          <w:rtl w:val="true"/>
        </w:rPr>
        <w:footnoteReference w:id="475"/>
      </w:r>
      <w:r>
        <w:rPr>
          <w:rFonts w:ascii="Amiri" w:hAnsi="Amiri" w:eastAsia="Amiri" w:cs="Amiri"/>
          <w:color w:val="111111"/>
          <w:sz w:val="28"/>
          <w:sz w:val="28"/>
          <w:szCs w:val="28"/>
          <w:rtl w:val="true"/>
          <w:lang w:bidi="ar-SA"/>
        </w:rPr>
        <w:t>و إنما زوجه النبي ص على ظاهر الإسلام ثم إنه تغير بعد ذلك و لم يكن على النبي ص تبعه فيما يحدث في العاقبة هذا على قول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فريق آخر أنه زوجه </w:t>
      </w:r>
      <w:r>
        <w:rPr>
          <w:rStyle w:val="FootnoteAnchor"/>
          <w:rtl w:val="true"/>
        </w:rPr>
        <w:footnoteReference w:id="476"/>
      </w:r>
      <w:r>
        <w:rPr>
          <w:rFonts w:ascii="Amiri" w:hAnsi="Amiri" w:eastAsia="Amiri" w:cs="Amiri"/>
          <w:color w:val="111111"/>
          <w:sz w:val="28"/>
          <w:sz w:val="28"/>
          <w:szCs w:val="28"/>
          <w:rtl w:val="true"/>
          <w:lang w:bidi="ar-SA"/>
        </w:rPr>
        <w:t>على الظاهر و كان باطنه مستورا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بمنكر </w:t>
      </w:r>
      <w:r>
        <w:rPr>
          <w:rStyle w:val="FootnoteAnchor"/>
          <w:rtl w:val="true"/>
        </w:rPr>
        <w:footnoteReference w:id="477"/>
      </w:r>
      <w:r>
        <w:rPr>
          <w:rFonts w:ascii="Amiri" w:hAnsi="Amiri" w:eastAsia="Amiri" w:cs="Amiri"/>
          <w:color w:val="111111"/>
          <w:sz w:val="28"/>
          <w:sz w:val="28"/>
          <w:szCs w:val="28"/>
          <w:rtl w:val="true"/>
          <w:lang w:bidi="ar-SA"/>
        </w:rPr>
        <w:t xml:space="preserve">أن يستر الله عن نبيه نفاق كثير من المنافقين و قد قال سبحانه وَ مِنْ أَهْلِ الْمَدِينَةِ مَرَدُوا عَلَى النِّفاقِ لا تَعْلَمُهُمْ </w:t>
      </w:r>
      <w:r>
        <w:rPr>
          <w:rStyle w:val="FootnoteAnchor"/>
          <w:rtl w:val="true"/>
        </w:rPr>
        <w:footnoteReference w:id="478"/>
      </w:r>
      <w:r>
        <w:rPr>
          <w:rFonts w:ascii="Amiri" w:hAnsi="Amiri" w:eastAsia="Amiri" w:cs="Amiri"/>
          <w:color w:val="111111"/>
          <w:sz w:val="28"/>
          <w:sz w:val="28"/>
          <w:szCs w:val="28"/>
          <w:rtl w:val="true"/>
          <w:lang w:bidi="ar-SA"/>
        </w:rPr>
        <w:t xml:space="preserve">فلا ينكر أن يكون فيه </w:t>
      </w:r>
      <w:r>
        <w:rPr>
          <w:rStyle w:val="FootnoteAnchor"/>
          <w:rtl w:val="true"/>
        </w:rPr>
        <w:footnoteReference w:id="479"/>
      </w:r>
      <w:r>
        <w:rPr>
          <w:rFonts w:ascii="Amiri" w:hAnsi="Amiri" w:eastAsia="Amiri" w:cs="Amiri"/>
          <w:color w:val="111111"/>
          <w:sz w:val="28"/>
          <w:sz w:val="28"/>
          <w:szCs w:val="28"/>
          <w:rtl w:val="true"/>
          <w:lang w:bidi="ar-SA"/>
        </w:rPr>
        <w:t xml:space="preserve">أهل مكة كذلك و النكاح على الظاهر دون </w:t>
      </w:r>
      <w:r>
        <w:rPr>
          <w:rStyle w:val="FootnoteAnchor"/>
          <w:rtl w:val="true"/>
        </w:rPr>
        <w:footnoteReference w:id="480"/>
      </w:r>
      <w:r>
        <w:rPr>
          <w:rFonts w:ascii="Amiri" w:hAnsi="Amiri" w:eastAsia="Amiri" w:cs="Amiri"/>
          <w:color w:val="111111"/>
          <w:sz w:val="28"/>
          <w:sz w:val="28"/>
          <w:szCs w:val="28"/>
          <w:rtl w:val="true"/>
          <w:lang w:bidi="ar-SA"/>
        </w:rPr>
        <w:t xml:space="preserve">الباطن على ما بيناه </w:t>
      </w:r>
      <w:bookmarkStart w:id="119" w:name="pg19202_232158"/>
    </w:p>
    <w:p>
      <w:pPr>
        <w:pStyle w:val="Heading2"/>
        <w:numPr>
          <w:ilvl w:val="1"/>
          <w:numId w:val="1"/>
        </w:numPr>
        <w:rPr/>
      </w:pPr>
      <w:bookmarkStart w:id="120" w:name="__RefHeading___Toc16229078_1280447820"/>
      <w:bookmarkStart w:id="121" w:name="_Toc42"/>
      <w:bookmarkEnd w:id="119"/>
      <w:bookmarkEnd w:id="120"/>
      <w:r>
        <w:rPr>
          <w:rtl w:val="true"/>
        </w:rPr>
        <w:t>فصل للرسول خصوصية</w:t>
      </w:r>
      <w:bookmarkEnd w:id="121"/>
    </w:p>
    <w:p>
      <w:pPr>
        <w:pStyle w:val="BookText"/>
        <w:rPr/>
      </w:pPr>
      <w:r>
        <w:rPr>
          <w:rFonts w:ascii="Amiri" w:hAnsi="Amiri" w:eastAsia="Amiri" w:cs="Amiri"/>
          <w:color w:val="111111"/>
          <w:sz w:val="28"/>
          <w:sz w:val="28"/>
          <w:szCs w:val="28"/>
          <w:rtl w:val="true"/>
          <w:lang w:bidi="ar-SA"/>
        </w:rPr>
        <w:t xml:space="preserve">و يمكن أن يكون الله تعالى قد أباحه مناكحة من ظاهره الإسلام </w:t>
      </w:r>
      <w:r>
        <w:rPr>
          <w:rStyle w:val="FootnoteAnchor"/>
          <w:rtl w:val="true"/>
        </w:rPr>
        <w:footnoteReference w:id="481"/>
      </w:r>
      <w:r>
        <w:rPr>
          <w:rFonts w:ascii="Amiri" w:hAnsi="Amiri" w:eastAsia="Amiri" w:cs="Amiri"/>
          <w:color w:val="111111"/>
          <w:sz w:val="28"/>
          <w:sz w:val="28"/>
          <w:szCs w:val="28"/>
          <w:rtl w:val="true"/>
          <w:lang w:bidi="ar-SA"/>
        </w:rPr>
        <w:t xml:space="preserve">و إن علم من باطنه النفاق و خصه بذلك و رخصة له فيه كما خصه في أن يجمع بين أكثر من أربع حرائر في النكاح و أباحه أن ينكح بغير مهر و لم يحظر عليه المواصلة في الصيام و لا في </w:t>
      </w:r>
      <w:r>
        <w:rPr>
          <w:rStyle w:val="FootnoteAnchor"/>
          <w:rtl w:val="true"/>
        </w:rPr>
        <w:footnoteReference w:id="482"/>
      </w:r>
      <w:r>
        <w:rPr>
          <w:rFonts w:ascii="Amiri" w:hAnsi="Amiri" w:eastAsia="Amiri" w:cs="Amiri"/>
          <w:color w:val="111111"/>
          <w:sz w:val="28"/>
          <w:sz w:val="28"/>
          <w:szCs w:val="28"/>
          <w:rtl w:val="true"/>
          <w:lang w:bidi="ar-SA"/>
        </w:rPr>
        <w:t>الصلاة بعد قيامه من النوم بغير وضوء و أشباه ذلك مما خص به و حظر على غيره من عامة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w:t>
      </w:r>
      <w:r>
        <w:rPr>
          <w:rStyle w:val="FootnoteAnchor"/>
          <w:rtl w:val="true"/>
        </w:rPr>
        <w:footnoteReference w:id="483"/>
      </w:r>
      <w:r>
        <w:rPr>
          <w:rFonts w:ascii="Amiri" w:hAnsi="Amiri" w:eastAsia="Amiri" w:cs="Amiri"/>
          <w:color w:val="111111"/>
          <w:sz w:val="28"/>
          <w:sz w:val="28"/>
          <w:szCs w:val="28"/>
          <w:rtl w:val="true"/>
          <w:lang w:bidi="ar-SA"/>
        </w:rPr>
        <w:t xml:space="preserve">الأجوبة الثلاثة عن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w:t>
      </w:r>
      <w:r>
        <w:rPr>
          <w:rStyle w:val="FootnoteAnchor"/>
          <w:rtl w:val="true"/>
        </w:rPr>
        <w:footnoteReference w:id="484"/>
      </w:r>
      <w:r>
        <w:rPr>
          <w:rFonts w:ascii="Amiri" w:hAnsi="Amiri" w:eastAsia="Amiri" w:cs="Amiri"/>
          <w:color w:val="111111"/>
          <w:sz w:val="28"/>
          <w:sz w:val="28"/>
          <w:szCs w:val="28"/>
          <w:rtl w:val="true"/>
          <w:lang w:bidi="ar-SA"/>
        </w:rPr>
        <w:t xml:space="preserve">و كل واحد منها كاف بنفسه مستغن عما </w:t>
      </w:r>
      <w:r>
        <w:rPr>
          <w:rStyle w:val="FootnoteAnchor"/>
          <w:rtl w:val="true"/>
        </w:rPr>
        <w:footnoteReference w:id="485"/>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الموفق للصواب </w:t>
      </w:r>
      <w:bookmarkStart w:id="122" w:name="pg19202_232159"/>
    </w:p>
    <w:p>
      <w:pPr>
        <w:pStyle w:val="Heading2"/>
        <w:numPr>
          <w:ilvl w:val="1"/>
          <w:numId w:val="1"/>
        </w:numPr>
        <w:rPr/>
      </w:pPr>
      <w:bookmarkStart w:id="123" w:name="__RefHeading___Toc16229080_1280447820"/>
      <w:bookmarkStart w:id="124" w:name="_Toc43"/>
      <w:bookmarkEnd w:id="122"/>
      <w:bookmarkEnd w:id="123"/>
      <w:r>
        <w:rPr>
          <w:rtl w:val="true"/>
        </w:rPr>
        <w:t>المسألة الحادية عشرة أصحاب الكبائر</w:t>
      </w:r>
      <w:bookmarkEnd w:id="124"/>
    </w:p>
    <w:p>
      <w:pPr>
        <w:pStyle w:val="BookText"/>
        <w:rPr/>
      </w:pPr>
      <w:r>
        <w:rPr>
          <w:rFonts w:ascii="IRNazanin" w:hAnsi="IRNazanin" w:eastAsia="IRNazanin"/>
          <w:color w:val="111111"/>
          <w:sz w:val="28"/>
          <w:sz w:val="28"/>
          <w:szCs w:val="28"/>
          <w:rtl w:val="true"/>
          <w:lang w:bidi="fa-IR"/>
        </w:rPr>
        <w:t xml:space="preserve">ما قوله أدام الله تعالى رفعته </w:t>
      </w:r>
      <w:r>
        <w:rPr>
          <w:rStyle w:val="FootnoteAnchor"/>
          <w:rtl w:val="true"/>
        </w:rPr>
        <w:footnoteReference w:id="486"/>
      </w:r>
      <w:r>
        <w:rPr>
          <w:rFonts w:ascii="Amiri" w:hAnsi="Amiri" w:eastAsia="Amiri" w:cs="Amiri"/>
          <w:color w:val="111111"/>
          <w:sz w:val="28"/>
          <w:sz w:val="28"/>
          <w:szCs w:val="28"/>
          <w:rtl w:val="true"/>
          <w:lang w:bidi="ar-SA"/>
        </w:rPr>
        <w:t xml:space="preserve">في إخراج الله تعالى من ارتكب </w:t>
      </w:r>
      <w:r>
        <w:rPr>
          <w:rStyle w:val="FootnoteAnchor"/>
          <w:rtl w:val="true"/>
        </w:rPr>
        <w:footnoteReference w:id="487"/>
      </w:r>
      <w:r>
        <w:rPr>
          <w:rFonts w:ascii="Amiri" w:hAnsi="Amiri" w:eastAsia="Amiri" w:cs="Amiri"/>
          <w:color w:val="111111"/>
          <w:sz w:val="28"/>
          <w:sz w:val="28"/>
          <w:szCs w:val="28"/>
          <w:rtl w:val="true"/>
          <w:lang w:bidi="ar-SA"/>
        </w:rPr>
        <w:t xml:space="preserve">الكبائر من النار أو العفو عنه </w:t>
      </w:r>
      <w:r>
        <w:rPr>
          <w:rStyle w:val="FootnoteAnchor"/>
          <w:rtl w:val="true"/>
        </w:rPr>
        <w:footnoteReference w:id="488"/>
      </w:r>
      <w:r>
        <w:rPr>
          <w:rFonts w:ascii="Amiri" w:hAnsi="Amiri" w:eastAsia="Amiri" w:cs="Amiri"/>
          <w:color w:val="111111"/>
          <w:sz w:val="28"/>
          <w:sz w:val="28"/>
          <w:szCs w:val="28"/>
          <w:rtl w:val="true"/>
          <w:lang w:bidi="ar-SA"/>
        </w:rPr>
        <w:t>في القيامة عند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الجليل المفيد أدام الله مدته يحتسب الأجر في إملاء مسألة كافية في هذا الباب حسب </w:t>
      </w:r>
      <w:r>
        <w:rPr>
          <w:rStyle w:val="FootnoteAnchor"/>
          <w:rtl w:val="true"/>
        </w:rPr>
        <w:footnoteReference w:id="489"/>
      </w:r>
      <w:r>
        <w:rPr>
          <w:rFonts w:ascii="Amiri" w:hAnsi="Amiri" w:eastAsia="Amiri" w:cs="Amiri"/>
          <w:color w:val="111111"/>
          <w:sz w:val="28"/>
          <w:sz w:val="28"/>
          <w:szCs w:val="28"/>
          <w:rtl w:val="true"/>
          <w:lang w:bidi="ar-SA"/>
        </w:rPr>
        <w:t xml:space="preserve">ما ثبت عنده عن الأئمة الهادية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يورد شبه المعتزلة فيه و يجيب عنها و يتكلم عليها بعبارته اللطيفة </w:t>
      </w:r>
      <w:r>
        <w:rPr>
          <w:rStyle w:val="FootnoteAnchor"/>
          <w:rtl w:val="true"/>
        </w:rPr>
        <w:footnoteReference w:id="490"/>
      </w:r>
      <w:r>
        <w:rPr>
          <w:rFonts w:ascii="Amiri" w:hAnsi="Amiri" w:eastAsia="Amiri" w:cs="Amiri"/>
          <w:color w:val="111111"/>
          <w:sz w:val="28"/>
          <w:sz w:val="28"/>
          <w:szCs w:val="28"/>
          <w:rtl w:val="true"/>
          <w:lang w:bidi="ar-SA"/>
        </w:rPr>
        <w:t xml:space="preserve">حسب ما يحسم </w:t>
      </w:r>
      <w:r>
        <w:rPr>
          <w:rStyle w:val="FootnoteAnchor"/>
          <w:rtl w:val="true"/>
        </w:rPr>
        <w:footnoteReference w:id="491"/>
      </w:r>
      <w:r>
        <w:rPr>
          <w:rFonts w:ascii="Amiri" w:hAnsi="Amiri" w:eastAsia="Amiri" w:cs="Amiri"/>
          <w:color w:val="111111"/>
          <w:sz w:val="28"/>
          <w:sz w:val="28"/>
          <w:szCs w:val="28"/>
          <w:rtl w:val="true"/>
          <w:lang w:bidi="ar-SA"/>
        </w:rPr>
        <w:t xml:space="preserve">أشاغيب الخصوم في هذا الباب فقل متفضلا إن شاء الله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إن الذين يردون القيامة مستحقين العقاب </w:t>
      </w:r>
      <w:r>
        <w:rPr>
          <w:rStyle w:val="FootnoteAnchor"/>
          <w:rtl w:val="true"/>
        </w:rPr>
        <w:footnoteReference w:id="493"/>
      </w:r>
      <w:r>
        <w:rPr>
          <w:rFonts w:ascii="IRNazanin" w:hAnsi="IRNazanin" w:eastAsia="IRNazanin"/>
          <w:color w:val="111111"/>
          <w:sz w:val="28"/>
          <w:sz w:val="28"/>
          <w:szCs w:val="28"/>
          <w:rtl w:val="true"/>
          <w:lang w:bidi="fa-IR"/>
        </w:rPr>
        <w:t xml:space="preserve">و دخول النار صنفان </w:t>
      </w:r>
    </w:p>
    <w:p>
      <w:pPr>
        <w:pStyle w:val="BookText"/>
        <w:rPr/>
      </w:pPr>
      <w:r>
        <w:rPr>
          <w:rFonts w:ascii="Amiri" w:hAnsi="Amiri" w:eastAsia="Amiri" w:cs="Amiri"/>
          <w:color w:val="111111"/>
          <w:sz w:val="28"/>
          <w:sz w:val="28"/>
          <w:szCs w:val="28"/>
          <w:rtl w:val="true"/>
          <w:lang w:bidi="ar-SA"/>
        </w:rPr>
        <w:t xml:space="preserve">أحدهما الكافر على اختلاف كفره و اختلاف أحكامهم في الدنيا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صنف أصحاب ذنوب قد ضموها إلى التوحيد </w:t>
      </w:r>
      <w:r>
        <w:rPr>
          <w:rStyle w:val="FootnoteAnchor"/>
          <w:rtl w:val="true"/>
        </w:rPr>
        <w:footnoteReference w:id="495"/>
      </w:r>
      <w:r>
        <w:rPr>
          <w:rFonts w:ascii="Amiri" w:hAnsi="Amiri" w:eastAsia="Amiri" w:cs="Amiri"/>
          <w:color w:val="111111"/>
          <w:sz w:val="28"/>
          <w:sz w:val="28"/>
          <w:szCs w:val="28"/>
          <w:rtl w:val="true"/>
          <w:lang w:bidi="ar-SA"/>
        </w:rPr>
        <w:t xml:space="preserve">و معرفة الله تعالى و رسوله و الأئمة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الدنيا من غير </w:t>
      </w:r>
      <w:r>
        <w:rPr>
          <w:rStyle w:val="FootnoteAnchor"/>
          <w:rtl w:val="true"/>
        </w:rPr>
        <w:footnoteReference w:id="496"/>
      </w:r>
      <w:r>
        <w:rPr>
          <w:rFonts w:ascii="Amiri" w:hAnsi="Amiri" w:eastAsia="Amiri" w:cs="Amiri"/>
          <w:color w:val="111111"/>
          <w:sz w:val="28"/>
          <w:sz w:val="28"/>
          <w:szCs w:val="28"/>
          <w:rtl w:val="true"/>
          <w:lang w:bidi="ar-SA"/>
        </w:rPr>
        <w:t xml:space="preserve">توبة فاخترمتهم </w:t>
      </w:r>
      <w:r>
        <w:rPr>
          <w:rStyle w:val="FootnoteAnchor"/>
          <w:rtl w:val="true"/>
        </w:rPr>
        <w:footnoteReference w:id="497"/>
      </w:r>
      <w:r>
        <w:rPr>
          <w:rFonts w:ascii="Amiri" w:hAnsi="Amiri" w:eastAsia="Amiri" w:cs="Amiri"/>
          <w:color w:val="111111"/>
          <w:sz w:val="28"/>
          <w:sz w:val="28"/>
          <w:szCs w:val="28"/>
          <w:rtl w:val="true"/>
          <w:lang w:bidi="ar-SA"/>
        </w:rPr>
        <w:t xml:space="preserve">المنية على الحوبة </w:t>
      </w:r>
      <w:r>
        <w:rPr>
          <w:rStyle w:val="FootnoteAnchor"/>
          <w:rtl w:val="true"/>
        </w:rPr>
        <w:footnoteReference w:id="498"/>
      </w:r>
      <w:r>
        <w:rPr>
          <w:rFonts w:ascii="Amiri" w:hAnsi="Amiri" w:eastAsia="Amiri" w:cs="Amiri"/>
          <w:color w:val="111111"/>
          <w:sz w:val="28"/>
          <w:sz w:val="28"/>
          <w:szCs w:val="28"/>
          <w:rtl w:val="true"/>
          <w:lang w:bidi="ar-SA"/>
        </w:rPr>
        <w:t>و كانوا قبل ذلك يسوفون التوبة و يحدثون أنفسهم بالإقلاع عن المعصية ففاتهم ذلك لاخترام المنية لهم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الصنف مرجو لهم العفو من الله تعالى و الشفاعة من رسول الله ص و من الأئمة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مخوف </w:t>
      </w:r>
      <w:r>
        <w:rPr>
          <w:rStyle w:val="FootnoteAnchor"/>
          <w:rtl w:val="true"/>
        </w:rPr>
        <w:footnoteReference w:id="499"/>
      </w:r>
      <w:r>
        <w:rPr>
          <w:rFonts w:ascii="Amiri" w:hAnsi="Amiri" w:eastAsia="Amiri" w:cs="Amiri"/>
          <w:color w:val="111111"/>
          <w:sz w:val="28"/>
          <w:sz w:val="28"/>
          <w:szCs w:val="28"/>
          <w:rtl w:val="true"/>
          <w:lang w:bidi="ar-SA"/>
        </w:rPr>
        <w:t>عليهم العقاب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أنهم إن عوقبوا فلا بد من انقطاع عقابهم </w:t>
      </w:r>
      <w:r>
        <w:rPr>
          <w:rStyle w:val="FootnoteAnchor"/>
          <w:rtl w:val="true"/>
        </w:rPr>
        <w:footnoteReference w:id="500"/>
      </w:r>
      <w:r>
        <w:rPr>
          <w:rFonts w:ascii="Amiri" w:hAnsi="Amiri" w:eastAsia="Amiri" w:cs="Amiri"/>
          <w:color w:val="111111"/>
          <w:sz w:val="28"/>
          <w:sz w:val="28"/>
          <w:szCs w:val="28"/>
          <w:rtl w:val="true"/>
          <w:lang w:bidi="ar-SA"/>
        </w:rPr>
        <w:t xml:space="preserve">و نقلهم من النار إلى الجنة ليوفيهم الله تبارك و تعالى جزاء أعمالهم الحسنة الصالحة </w:t>
      </w:r>
      <w:r>
        <w:rPr>
          <w:rStyle w:val="FootnoteAnchor"/>
          <w:rtl w:val="true"/>
        </w:rPr>
        <w:footnoteReference w:id="501"/>
      </w:r>
      <w:r>
        <w:rPr>
          <w:rFonts w:ascii="Amiri" w:hAnsi="Amiri" w:eastAsia="Amiri" w:cs="Amiri"/>
          <w:color w:val="111111"/>
          <w:sz w:val="28"/>
          <w:sz w:val="28"/>
          <w:szCs w:val="28"/>
          <w:rtl w:val="true"/>
          <w:lang w:bidi="ar-SA"/>
        </w:rPr>
        <w:t xml:space="preserve">التي وافوا بها الآخرة من المعارف و التوحيد و الإقرار بالنبوة و الأئمة و الأعمال الصالحات لأنه لا يجوز في حكم العدل أن يأتي العبد بطاعة و معصية فيخلد في النار بالمعصية و لا يعطى الثواب على الطاعة لأن من منع ما عليه </w:t>
      </w:r>
      <w:bookmarkStart w:id="125" w:name="pg19202_232161"/>
    </w:p>
    <w:p>
      <w:pPr>
        <w:pStyle w:val="BookText"/>
        <w:rPr/>
      </w:pPr>
      <w:bookmarkEnd w:id="125"/>
      <w:r>
        <w:rPr>
          <w:rFonts w:ascii="Amiri" w:hAnsi="Amiri" w:eastAsia="Amiri" w:cs="Amiri"/>
          <w:color w:val="111111"/>
          <w:sz w:val="28"/>
          <w:sz w:val="28"/>
          <w:szCs w:val="28"/>
          <w:rtl w:val="true"/>
          <w:lang w:bidi="ar-SA"/>
        </w:rPr>
        <w:t xml:space="preserve">و استوفى ما له كان ظالما معبثا </w:t>
      </w:r>
      <w:r>
        <w:rPr>
          <w:rStyle w:val="FootnoteAnchor"/>
          <w:rtl w:val="true"/>
        </w:rPr>
        <w:footnoteReference w:id="502"/>
      </w:r>
      <w:r>
        <w:rPr>
          <w:rFonts w:ascii="IRNazanin" w:hAnsi="IRNazanin" w:eastAsia="IRNazanin"/>
          <w:color w:val="111111"/>
          <w:sz w:val="28"/>
          <w:sz w:val="28"/>
          <w:szCs w:val="28"/>
          <w:rtl w:val="true"/>
          <w:lang w:bidi="fa-IR"/>
        </w:rPr>
        <w:t xml:space="preserve">و تعالى الله </w:t>
      </w:r>
      <w:r>
        <w:rPr>
          <w:rStyle w:val="FootnoteAnchor"/>
          <w:rtl w:val="true"/>
        </w:rPr>
        <w:footnoteReference w:id="503"/>
      </w:r>
      <w:r>
        <w:rPr>
          <w:rFonts w:ascii="Amiri" w:hAnsi="Amiri" w:eastAsia="Amiri" w:cs="Amiri"/>
          <w:color w:val="111111"/>
          <w:sz w:val="28"/>
          <w:sz w:val="28"/>
          <w:szCs w:val="28"/>
          <w:rtl w:val="true"/>
          <w:lang w:bidi="ar-SA"/>
        </w:rPr>
        <w:t>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قضت العقول و نزل الكتاب </w:t>
      </w:r>
      <w:r>
        <w:rPr>
          <w:rStyle w:val="FootnoteAnchor"/>
          <w:rtl w:val="true"/>
        </w:rPr>
        <w:footnoteReference w:id="504"/>
      </w:r>
      <w:r>
        <w:rPr>
          <w:rFonts w:ascii="Amiri" w:hAnsi="Amiri" w:eastAsia="Amiri" w:cs="Amiri"/>
          <w:color w:val="111111"/>
          <w:sz w:val="28"/>
          <w:sz w:val="28"/>
          <w:szCs w:val="28"/>
          <w:rtl w:val="true"/>
          <w:lang w:bidi="ar-SA"/>
        </w:rPr>
        <w:t xml:space="preserve">المسطور ثبتت الأخبار عن أئمة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 شيعتهم المحدثين </w:t>
      </w:r>
      <w:r>
        <w:rPr>
          <w:rStyle w:val="FootnoteAnchor"/>
          <w:rtl w:val="true"/>
        </w:rPr>
        <w:footnoteReference w:id="505"/>
      </w:r>
      <w:r>
        <w:rPr>
          <w:rFonts w:ascii="Amiri" w:hAnsi="Amiri" w:eastAsia="Amiri" w:cs="Amiri"/>
          <w:color w:val="111111"/>
          <w:sz w:val="28"/>
          <w:sz w:val="28"/>
          <w:szCs w:val="28"/>
          <w:rtl w:val="true"/>
          <w:lang w:bidi="ar-SA"/>
        </w:rPr>
        <w:t>العلماء منهم 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خالف في ذلك من منتحلي مذهب الإمامية فهو شاذ عن الطائفة </w:t>
      </w:r>
      <w:r>
        <w:rPr>
          <w:rStyle w:val="FootnoteAnchor"/>
          <w:rtl w:val="true"/>
        </w:rPr>
        <w:footnoteReference w:id="506"/>
      </w:r>
      <w:r>
        <w:rPr>
          <w:rFonts w:ascii="IRNazanin" w:hAnsi="IRNazanin" w:eastAsia="IRNazanin"/>
          <w:color w:val="111111"/>
          <w:sz w:val="28"/>
          <w:sz w:val="28"/>
          <w:szCs w:val="28"/>
          <w:rtl w:val="true"/>
          <w:lang w:bidi="fa-IR"/>
        </w:rPr>
        <w:t xml:space="preserve">و خارق </w:t>
      </w:r>
      <w:r>
        <w:rPr>
          <w:rStyle w:val="FootnoteAnchor"/>
          <w:rtl w:val="true"/>
        </w:rPr>
        <w:footnoteReference w:id="507"/>
      </w:r>
      <w:r>
        <w:rPr>
          <w:rFonts w:ascii="Amiri" w:hAnsi="Amiri" w:eastAsia="Amiri" w:cs="Amiri"/>
          <w:color w:val="111111"/>
          <w:sz w:val="28"/>
          <w:sz w:val="28"/>
          <w:szCs w:val="28"/>
          <w:rtl w:val="true"/>
          <w:lang w:bidi="ar-SA"/>
        </w:rPr>
        <w:t>لإجماع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 في ذلك هم المعتزلة و فرق من الخوارج و الزيدية</w:t>
      </w:r>
    </w:p>
    <w:p>
      <w:pPr>
        <w:pStyle w:val="Heading2"/>
        <w:numPr>
          <w:ilvl w:val="1"/>
          <w:numId w:val="1"/>
        </w:numPr>
        <w:rPr/>
      </w:pPr>
      <w:bookmarkStart w:id="126" w:name="__RefHeading___Toc16229082_1280447820"/>
      <w:bookmarkStart w:id="127" w:name="_Toc44"/>
      <w:bookmarkEnd w:id="126"/>
      <w:r>
        <w:rPr>
          <w:rtl w:val="true"/>
        </w:rPr>
        <w:t>فصل أدلة بطلان القول بالحبط</w:t>
      </w:r>
      <w:bookmarkEnd w:id="127"/>
    </w:p>
    <w:p>
      <w:pPr>
        <w:pStyle w:val="BookText"/>
        <w:rPr/>
      </w:pPr>
      <w:r>
        <w:rPr>
          <w:rFonts w:ascii="Amiri" w:hAnsi="Amiri" w:eastAsia="Amiri" w:cs="Amiri"/>
          <w:color w:val="111111"/>
          <w:sz w:val="28"/>
          <w:sz w:val="28"/>
          <w:szCs w:val="28"/>
          <w:rtl w:val="true"/>
          <w:lang w:bidi="ar-SA"/>
        </w:rPr>
        <w:t xml:space="preserve">و مما يدل على صحة ما ذكرناه في هذا الباب ما قدمنا القول في معناه في </w:t>
      </w:r>
      <w:r>
        <w:rPr>
          <w:rStyle w:val="FootnoteAnchor"/>
          <w:rtl w:val="true"/>
        </w:rPr>
        <w:footnoteReference w:id="508"/>
      </w:r>
      <w:r>
        <w:rPr>
          <w:rFonts w:ascii="Amiri" w:hAnsi="Amiri" w:eastAsia="Amiri" w:cs="Amiri"/>
          <w:color w:val="111111"/>
          <w:sz w:val="28"/>
          <w:sz w:val="28"/>
          <w:szCs w:val="28"/>
          <w:rtl w:val="true"/>
          <w:lang w:bidi="ar-SA"/>
        </w:rPr>
        <w:t>أن العارف الموحد يستحق بالعقول على طاعته و قربته ثواب دائما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أن معصية لا تنافي طاعاته و ذنوبه لا تضاد حسناته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استحقاقه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لا تحابط بين المعاصي و الطاعات </w:t>
      </w:r>
      <w:r>
        <w:rPr>
          <w:rStyle w:val="FootnoteAnchor"/>
          <w:rtl w:val="true"/>
        </w:rPr>
        <w:footnoteReference w:id="510"/>
      </w:r>
      <w:r>
        <w:rPr>
          <w:rFonts w:ascii="Amiri" w:hAnsi="Amiri" w:eastAsia="Amiri" w:cs="Amiri"/>
          <w:color w:val="111111"/>
          <w:sz w:val="28"/>
          <w:sz w:val="28"/>
          <w:szCs w:val="28"/>
          <w:rtl w:val="true"/>
          <w:lang w:bidi="ar-SA"/>
        </w:rPr>
        <w:t xml:space="preserve">لاجتماعها من المكلف في حالة واحدة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استحقاق الثواب لا يضاد استحقاق العقاب إذ لو ضاده لتضاد الجمع بين المعاصي و الطاعات إذ بهما يستحق الثواب و العقاب و إذا ثبت اجتماع الطاعة و المعصية دل على استحقاق الثواب و العقاب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يبطل قول المعتزلة في التحابط </w:t>
      </w:r>
      <w:r>
        <w:rPr>
          <w:rStyle w:val="FootnoteAnchor"/>
          <w:rtl w:val="true"/>
        </w:rPr>
        <w:footnoteReference w:id="513"/>
      </w:r>
      <w:r>
        <w:rPr>
          <w:rFonts w:ascii="Amiri" w:hAnsi="Amiri" w:eastAsia="Amiri" w:cs="Amiri"/>
          <w:color w:val="111111"/>
          <w:sz w:val="28"/>
          <w:sz w:val="28"/>
          <w:szCs w:val="28"/>
          <w:rtl w:val="true"/>
          <w:lang w:bidi="ar-SA"/>
        </w:rPr>
        <w:t>المخالف لدليل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عز و وجل مَنْ جاءَ بِالْحَسَنَةِ فَلَهُ عَشْرُ أَمْثالِها وَ مَنْ جاءَ بِالسَّيِّئَةِ فَلا يُجْزى إِلَّا مِثْلَها وَ هُمْ لا يُظْلَمُونَ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إِنَّ الْحَسَناتِ يُذْهِبْنَ السَّيِّئاتِ ذلِكَ ذِكْرى </w:t>
      </w:r>
    </w:p>
    <w:p>
      <w:pPr>
        <w:pStyle w:val="BookText"/>
        <w:rPr/>
      </w:pPr>
      <w:r>
        <w:rPr>
          <w:rFonts w:ascii="Amiri" w:hAnsi="Amiri" w:eastAsia="Amiri" w:cs="Amiri"/>
          <w:color w:val="111111"/>
          <w:sz w:val="28"/>
          <w:sz w:val="28"/>
          <w:szCs w:val="28"/>
          <w:rtl w:val="true"/>
          <w:lang w:bidi="ar-SA"/>
        </w:rPr>
        <w:t xml:space="preserve">لِلذَّاكِرِينَ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إِنَّ اللَّهَ لا يَظْلِمُ مِثْقالَ ذَرَّةٍ وَ إِنْ تَكُ حَسَنَةً يُضاعِفْها وَ يُؤْتِ مِنْ لَدُنْهُ أَجْراً عَظِيماً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فَمَنْ يَعْمَلْ مِثْقالَ ذَرَّةٍ خَيْراً يَرَهُ وَ مَنْ يَعْمَلْ مِثْقالَ ذَرَّةٍ شَرًّا يَرَهُ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سبحانه أَنِّي لا أُضِيعُ عَمَلَ عامِلٍ مِنْكُمْ مِنْ ذَكَرٍ أَوْ أُنْثى بَعْضُكُمْ مِنْ بَعْضٍ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 تعالى أنه لا يضيع أجر المحسنين و أنه يوفي العاملين أجرهم بغير حساب و أنه لا يظلم مثقال ذرة فأبطل بهذه الآيات </w:t>
      </w:r>
      <w:r>
        <w:rPr>
          <w:rStyle w:val="FootnoteAnchor"/>
          <w:rtl w:val="true"/>
        </w:rPr>
        <w:footnoteReference w:id="520"/>
      </w:r>
      <w:r>
        <w:rPr>
          <w:rFonts w:ascii="Amiri" w:hAnsi="Amiri" w:eastAsia="Amiri" w:cs="Amiri"/>
          <w:color w:val="111111"/>
          <w:sz w:val="28"/>
          <w:sz w:val="28"/>
          <w:szCs w:val="28"/>
          <w:rtl w:val="true"/>
          <w:lang w:bidi="ar-SA"/>
        </w:rPr>
        <w:t xml:space="preserve">دعوى المعتزلة على الله تعالى أنه يحبط الأعمال الصالحات </w:t>
      </w:r>
      <w:r>
        <w:rPr>
          <w:rStyle w:val="FootnoteAnchor"/>
          <w:rtl w:val="true"/>
        </w:rPr>
        <w:footnoteReference w:id="521"/>
      </w:r>
      <w:r>
        <w:rPr>
          <w:rFonts w:ascii="Amiri" w:hAnsi="Amiri" w:eastAsia="Amiri" w:cs="Amiri"/>
          <w:color w:val="111111"/>
          <w:sz w:val="28"/>
          <w:sz w:val="28"/>
          <w:szCs w:val="28"/>
          <w:rtl w:val="true"/>
          <w:lang w:bidi="ar-SA"/>
        </w:rPr>
        <w:t>أو بعضها و لا يعطي عليها أجرا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أبطل قولهم </w:t>
      </w:r>
      <w:r>
        <w:rPr>
          <w:rStyle w:val="FootnoteAnchor"/>
          <w:rtl w:val="true"/>
        </w:rPr>
        <w:footnoteReference w:id="522"/>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قوله سبحانه إِنَّ اللَّهَ لا يَغْفِرُ أَنْ يُشْرَكَ بِهِ وَ يَغْفِرُ ما دُونَ ذلِكَ لِمَنْ يَشاءُ </w:t>
      </w:r>
      <w:r>
        <w:rPr>
          <w:rStyle w:val="FootnoteAnchor"/>
          <w:rtl w:val="true"/>
        </w:rPr>
        <w:footnoteReference w:id="523"/>
      </w:r>
      <w:r>
        <w:rPr>
          <w:rFonts w:ascii="Amiri" w:hAnsi="Amiri" w:eastAsia="Amiri" w:cs="Amiri"/>
          <w:color w:val="111111"/>
          <w:sz w:val="28"/>
          <w:sz w:val="28"/>
          <w:szCs w:val="28"/>
          <w:rtl w:val="true"/>
          <w:lang w:bidi="ar-SA"/>
        </w:rPr>
        <w:t>فأخبر أنه لا يغفر الشرك مع عدم التوبة منه و أنه يغفر ما سواه بغير التوبة و لو لا ذلك لم يكن لتفريقه بين الشرك و ما دونه في حكم الغفران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تبارك و تعالى رَبُّكُمْ أَعْلَمُ بِكُمْ إِنْ يَشَأْ يَرْحَمْكُمْ أَوْ إِنْ يَشَأْ يُعَذِّبْكُمْ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لا يجوز أن يكون متوجها إلى المؤمنين الذين لا تبعة بينهم و بين الله تعالى و لا متوجها إلى الكافرين الذين قد قطع الله على خلودهم في النار فلم يبق إلا أنه توجه إلى مستحق العقاب من أهل المعرفة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 أدلة يطول شرحها و الذي أثبتناه هاهنا مقنع لمن تأمله إن شاء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أمليت في هذا المعنى كتابا سميته الموضح في الوعد الوعيد </w:t>
      </w:r>
      <w:r>
        <w:rPr>
          <w:rStyle w:val="FootnoteAnchor"/>
          <w:rtl w:val="true"/>
        </w:rPr>
        <w:footnoteReference w:id="525"/>
      </w:r>
      <w:r>
        <w:rPr>
          <w:rFonts w:ascii="Amiri" w:hAnsi="Amiri" w:eastAsia="Amiri" w:cs="Amiri"/>
          <w:color w:val="111111"/>
          <w:sz w:val="28"/>
          <w:sz w:val="28"/>
          <w:szCs w:val="28"/>
          <w:rtl w:val="true"/>
          <w:lang w:bidi="ar-SA"/>
        </w:rPr>
        <w:t xml:space="preserve">إن وصل إلى السيد الشريف الفاضل الخطير أدام الله تعالى رفعته أغناه عن غيره من الكتب في المعنى إن شاء الله تعالى </w:t>
      </w:r>
      <w:r>
        <w:rPr>
          <w:rStyle w:val="FootnoteAnchor"/>
          <w:rtl w:val="true"/>
        </w:rPr>
        <w:footnoteReference w:id="526"/>
      </w:r>
      <w:bookmarkStart w:id="128" w:name="pg19202_232165"/>
    </w:p>
    <w:p>
      <w:pPr>
        <w:pStyle w:val="Heading2"/>
        <w:numPr>
          <w:ilvl w:val="1"/>
          <w:numId w:val="1"/>
        </w:numPr>
        <w:rPr/>
      </w:pPr>
      <w:bookmarkStart w:id="129" w:name="__RefHeading___Toc16229084_1280447820"/>
      <w:bookmarkStart w:id="130" w:name="_Toc45"/>
      <w:bookmarkEnd w:id="128"/>
      <w:bookmarkEnd w:id="129"/>
      <w:r>
        <w:rPr>
          <w:rtl w:val="true"/>
        </w:rPr>
        <w:t>فهرس المصادر</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عن كتاب التحقيق في نفي التحريف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أبي منصور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للمقدسي البشاري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حنيفة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المنعم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القاسم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غازي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فيما يتعلّق بالاعتقاد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جعفر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طيفور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جواد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نفي التحريف عن 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علي الميلاني، نشر 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 تعليق السيّد هبة اللّه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مسعود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القاسم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أحمد الأنصاري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هذّبه الشيخ عبد القادر بدران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للغروي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صفة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الفرج قدامة بن جعفر الكاتب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للقاضي الأحمد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عنترة بن شدّاد العبسي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بيروت للطباعة و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كرم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حسن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العباس النجاشيّ الأسدي الكوفيّ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داود الحلي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لشيخ الطائفة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الأرنئوط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يونس البياضي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و العيون في سادس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ولده علي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النابس في القرن الخامس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ولده علي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السيّد محمّد الحسيني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رضا 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مكتبة استان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مكتبة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مكتبة مسجد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الرحمن يحيى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السنّة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غلام رضا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نجم الدين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لصفيّ الدين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اسعد داغر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خرداذبه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في التفسير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للفرّاء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أبي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توفيق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جواد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علمي و فرهنكي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الانجلو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للدكتور السيّد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المشتاق في اختراق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للإدريسي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لصلاح الدين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 هلموت ريتر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النابس في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الطرابلسيات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لشيخ الطائفة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الحائر، و في نسخة بدل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 جوابه عن المسألة الثامنة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 صنعة الكتابة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فيه روى عنه، و الصحيح ما اثبتناه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و العيون في سادس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العلّامة المجلسي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أثناء جوابه عن المسألة الثامنة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الأربعة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أثناء جوابه عن المسألة الثامنة أيضا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أثناء جوابه عن المسألة الثامنة أيضا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نهاية الكتاب، آخر جواب المسألة الحادية عشرة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اللّه عمره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أدام تأييده و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وفقت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لحياطة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حرس مهجته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يؤمن بكرّتنا، و يستحلّ متعتنا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أو لغيره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ذكرها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فيؤكد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تمتّعنا مع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أبي بكر، فلمّا ولي عمر 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كانتا متعتان على عهد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أنهى عنهما و اعاقب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متعة النساء، و لا أقدر على رجل تزوّج امرأة إلى أجل الا غيّبته بالحجارة، و الأخرى متعة الحجّ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ابن عبّاس، و ابيّ بن كعب، و عمران بن حصين، و سعيد بن جبير، و روي عن عبد اللّه بن عمر في متعة الحجّ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 التابعين 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رسالة مستقلّة في المتعة، أخرج منها المجلسي في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فلذلك أضافها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الرجعة قبل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قالوا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خلقهم أمواتا في أصلاب آبائهم، ثمّ أحياهم الحياة الدنيا، ثمّ أماتهم، ثمّ أحياهم في البعث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امواتا،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ما كان حيّا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تأمّله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الإحياء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تفسيره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لتكليفهم الندم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يفعلوا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يمحض،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محض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منتخب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المساءلة لكنّه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هذى هذيانا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بكلام غير معقول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تكذّب بالباطل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حوته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نسبوه في تأليفه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الزاهري، من ولد زاهر مولى عمرو بن الحمق الخزاعيّ، توفّي أبوه و هو طفل، فكفله جدّه سنان فنسب إليه،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الأظلّة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لسنا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ابن سنان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مطعونا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لكم أن ترووا أحاديث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 أضلّل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 الضلالة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تعالى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الحسين و فاطمة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يفرضه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محلّه عندهم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طريق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تأهلته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فحصلت البشارة للأنبياء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اممهم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تعاقبهم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ليخبرهم بعاقبتهم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يقرّوا به،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يقرءونه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 و النصارى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كبّرتهم،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كرّمته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الشيخ المفيد هنا بين نصّين من 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سيكون أمّة كبيرة مقتدرة، و يتبارك به جميع امم الأرض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بعضهم 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بإفضال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يشوبه ظلمة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فيحللون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زواجره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التناسخية هم أصحاب القول بالتناسخ و الأظلّة و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التناسخ هو أن تتكرر الأدوار إلى ما لا نهاية، و أنّ الثواب و العقاب في هذه الدار لا في دار اخرى لا عمل فيها، و أن أعمالنا التي نحن فيها إنّما هي أجزية على أعمال سلفت منّا في الأدوار الماضية، فالراحة و السرور و الفرح هي مرتّبة على أعمال البرّ التي سلفت منّا في الأدوار الماضية، و الغمّ و الحزن مرتّبة على اعمال الفجور التي سلفت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أبطل هؤلاء جميع الشرائع و السنن، و زعموا أن هذا هو مذهب جابر بن عبد اللّه الأنصاري و جابر بن يزيد الجعفي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ما ينطق القول 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الأدلّة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 أنّ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 في اللغة ما تملأ به الوسادة و نحوها، و في الاصطلاح هو الزائد الذي لا طائل تحته، و سمّي الحشوية حشوية لأنّهم يحشون الأحاديث التي لا أصل لها في الأحاديث المروية عن الرسول الاكرم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أي يدخلونها فيها و هي ليست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الحشوية يقولون بالجبر و التشبيه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كتظاهرها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الصنعة فيهم و الإشهاد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يتمنعوا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صنايعهم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قائلون،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كقائلين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تناولوا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بالسجود جاء في صدر الآية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أَنَّ اللَّهَ يَسْجُدُ لَهُ مَنْ فِي السَّماواتِ وَ مَنْ فِي الْأَرْضِ وَ الشَّمْسُ وَ الْقَمَرُ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لزيد الخيل يصف جيشا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إذا كان فيها 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للنابغة الذبياني في رثاء النعمان بن الحارث بن أبي شمر الغسّاني، و هو في الديوان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خلقهما قال لهما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حرّفت الكلمة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تعقل و لا تتكلّم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محلّها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حدّرتا بالدرّ،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يتثبت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 يتعذّر عليه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معلّقة عنترة يصف فيه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جواب المسألة الرابعة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بدلا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فسمّى ذلك قولا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جميلي فكلانا مبتلى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و المرض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كالنطق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حسبي، و أصلها قطي، ثمّ ادخلت النون ليسلم السكون الذي بني عليه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امتلأ بالماء فعبّر عنه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منظوم كلام العرب و منثوره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نسأل اللّه تعالى التوفيق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محمّد بن سنان و قد تقدّم القول في تضعيفه في جواب المسألة الثانية، و 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السيوطي في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الإحداث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لا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أوّل هذه المسألة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تتناظر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تتمنا ذلك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مفصّل في هذه المسألة الأخيرة مطابق لبيانه هذا، ذكره في شرحه لعقائد الصدوق، 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حياة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ضدّه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 الوهاب، أبو هاشم بن أبي عليّ البصري الجبّائي، و هو و أبوه من رؤساء المعتزلة، له آراء تفرّد بها، و تبعته فرقة من المعتزلة فسمّيت البهشمية نسبة إليه، 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الاحشار،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الاخشار،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ابن بيغجور، أبو بكر بن الإخشيد، و رسمه هكذا بالياء و الدال المهملة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النديم في الفهرست، و النجاشيّ في الرجال، و الذهبي في الأعلام،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الاخشاذ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ابن الأخشيد، و كأنّ الشين ممالة، و هو من رؤساء المعتزلة و زهّادهم، و ضبطه الخطيب بالألف و الذال المعجمة، و جعله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الاخشياد، بياء قبل الألف ثمّ الذال المعجمة توفّي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ستّ و خمسون سنة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نوبخت، و هو أحد أجداد هذا البيت، و هم من الشيعة الإماميّة، كان لبعض متكلّميهم آراء خاصّة في بعض شعب الكلام و الفقه و الحديث،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إسماعيل بن عليّ النوبختي، شيخ المتكلّمين ببغداد، له احتجاج على الحلّاج، و له كتب كثيرة، و قد أدرك الإمام الحسن العسكريّ في وفاته و رأى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صارت السفارة لأبي القاسم الحسين بن روح دونك؟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أعلم و ما اختاروه، و لكن انا رجل ألقي الخصوم و أناظرهم، توفّي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ابن أخته أبو محمّد الحسن بن موسى النوبختي صاحب كتاب فرق الشيعة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هشام بن الحكم الكوفيّ الشيباني، حدّث عن الإمامين الصادق و الكاظم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كان عالي المنزلة عندهما رويت له عنهما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مدائح كثيرة، برع في الكلام، ففتق الكلام و كان فيه حاذقا حاضر الجواب، له مناظرات عديدة نقل الكشّي بعضها في رجاله، و له كتب كثيرة، 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الأظهر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هنا هو المفهوم العقلي الكلّي الذي ينطبق على كل واحد من أفراده، و هذا الإطلاق مشهور بين الخواص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عبد الوهاب البصري الجبّائي، أحد أئمّة المعتزلة و متكلّميهم، تفرّد بآراء فتبعه جماعة فسمّوا الجبّائية، 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الاعرازي،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الاعواذي، و لم أجده، و الظاهر لي أنّها محرفة من الأسواري، و هو من متكلّمي المعتزلة، و من شيوخهم، و قد وافق النّظام في معظم أقواله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معمر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أبو المعتمر المعتزلي البصري، سكن بغداد، و ناظر النّظام، و له آراء انفرد بها عنهم، و تنسب إليه طائفة تعرف بالمعمرية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سبقها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الصنفين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 يكون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بياض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 في قبورهم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جنّة من جنانه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بلى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يبدّل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الإعياء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فارقه في القبر فيعذبه 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جواب المسألة الرابعة،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 العذاب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ينزع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محلّها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يدع في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بياض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سبقت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سبقتها لهذه المسألة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بياض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بقدر كلمتين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 النهي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من اثبت،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يثاب من اثيب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غير دار الدنيا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بعض جواب المسألة الثامنة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الحساب، و الحسبان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و هو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الدقيق، و الأوّل أنسب في المقام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مقاله مضطربا،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بمقالته مضطرا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يفسد،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يفيد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ذلك يطول بإثباته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يفسد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علوّه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مبلغ</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تعلّق بمذهب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الهوى و المعصية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محرّفتان، و تندّس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تحرّى عنه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موسى بن بابويه القمّيّ، شيخ الحفظة و رئيس المحدّثين، المعروف بالصدوق، له نحو من ثلاثمائة مصنّف، و هو استاذ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سمع منه شيوخ الطائفة و هو حدث السنّ، توفّي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قبره فيها مزار معروف قرب ضريح السيّد عبد العظيم الحسني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الجنيد، و هو محمّد بن أحمد بن الجنيد، أبو علي الكاتب الإسكافيّ، من أكابر علماء الإماميّة، و أدقّهم نظرا، متكلّم فقيه محدّث أديب، روى عنه الشيخ المفيد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و علما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كانت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الفساد و الأحكام،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 و الأحكام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مقاطعة كبيرة في بلاد إيران، تعرف قديما بطبرستان، تقع على الساحل الجنوبي لبحر قزوين، فيها عدّة مدن كبيرة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و بابل، و گرگان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ذلك تتضمّن مسائل مختلفة جاءت فيها الأخبار عن الصادقين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للقوم أخبار تختلف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أفتيت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 بيّن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أجيب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للأخبار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بإنصاف قرأها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مثل الوجوب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 و هو الأمر الذي يفعل أوّلا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معتمد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للزيادة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مبدع على،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 على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بإدخاله ضلال العباد و حجج اللّه تعالى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تمكينه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كان مثبتا في النسخ الأولى من تأويل لبعض الآيات، و سيأتي بيانه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شك فيه و منه ما عمد بنفيه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فرقد، عمّن أخبره، عن أبي عبد 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قرئ القرآن كما انزل لألفيتنا فيه مسمّين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سعيد ابن الحسين الكندي عن ابي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مسمّين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سمّي من قبلنا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و ما أثبتناه 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ما أثبتناه 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النصّ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أخرجه ثقة الإسلام الكليني في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ضعّفه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انظر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نفي التحريف عن القرآن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الخلاف، و اغرى به الجبارين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فمنعونا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الدفّتين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حتّى نهاية جواب هذه المسألة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القول و انتصر له جلّ أعلام الإماميّة، و به تواترت تقريراتهم،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يسألونك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البلاغي في الردّ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جعلناكم أئمّة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روي مرسلا في تفسيري النعمانيّ و سعد من أن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حمله على التفسير، و أنّ التحريف إنّما هو للمعنى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دليله حديث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الذين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بالقرآن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عائشة، و في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مصاحف أهل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قراءة ابن كثير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اللّه مهجته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هنا و في الجواب أيضا، و يوافقه ما ذكره أبو القاسم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طريق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أسنده أيضا ابن أبي الحديد في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السيّد الجميلي في مناقب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هو مطابق تماما للخبر الذي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إسناد، عند ترجمة أمّ كلثوم بنت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بغضه لأمير المؤمنين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الزبير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بكّارا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مصعب ابن ثابت بن عبد اللّه بن الزبير بن العوام، صاحب النّسب، تولّى القضاء للمعتصم العباسيّ بمكّة، و توفّي و هو قاض عليها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يحيى بن الحسن بن جعفر بن عبد اللّه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محمد، المعروف بابن أخي طاهر، النسّابة، له مصنّفات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شهر ربيع الأوّل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منزله بسوق العطش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ظاهر رواية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العباس أنّه تولّى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حسن، و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أولاد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حفصة زوج النبيّ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عاصم، و عبيد اللّه، و زيد بن أمّ، و عبد الرحمن، و فاطمة، و بنات أخر، و عبد الرحمن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المحدود في الشراب و هو المعروف بأبي شحمة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زيدا أصيب و أمّه عليلة فماتا معا في يوم واحد، صلّى عليهما عبد اللّه بن عمر، قدّمه الحسن بن عليّ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عليهما ابن عمر و خلفه الحسن و الحسين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انّها قد شهدت وقعة الطفّ مع أخيها الإمام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عاشت بعده، و لها في الكوفة بعد مقتل أخيها سيّد الشهداء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شهيرة هي غاية في البلاغة و قمّة في البيان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أمهرها عشرة آلاف دينار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 هذا الاختلاف و قليله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مناكحة من يعتقد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المكروه،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ضلالا لا يخرجه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بمحتسب،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 و كلاهما تصحيف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محتاجا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الآية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قدّمناه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إهلاكهم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العاص بن الربيع بن عبد العزّى بن عبد شمس بن عبد مناف، و أمّه هالة بنت خويلد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العاص قد أبي أن يطلّق زينب بنت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امره المشركون بذلك ليؤذوا به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فشكر له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ثمّ إنّه شهد بدرا مع الكفّار، و أسره المسلمون و بقي في الأسر حتّى بعث أهل مكّة في فداء أسراهم، فقدم في فدائه عمرو بن الربيع بمال دفعته إليه زينب بنت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ذلك قلادة لها كانت خديجة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أدخلتها بها على ابي العاص، فقال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رأيتم ان تطلقوا لها أسيرها و تردّوا عليها الذي لها فافعلوا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أطلقه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عليه أن يرسل زينب إلى المدينة، فعاد إلى مكّة و أرسلها إلى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فلهذا 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فصدقني، و وعدني فوفى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أقام أبو العاص على شركه حتّى كان قبيل الفتح خرج بتجارة لقريش فغنمها المسلمون و أسروا بعض رجالها و فرّ أبو العاص ثمّ دخل المدينة ليلا مستجيرا بزينب، فخرجت إلى المسجد و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الصبح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قد أجرت أبا العاص ابن الربيع، ثمّ طلب الأموال ليردّها إلى أهلها، فاستأذن رسول اللّه المسلمين بردّها، فردّوها إليه فعاد إلى مكّة و أدّى إلى الناس أموالهم،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أشهد أنّ محمّدا رسول اللّه، و اللّه ما منعني من الإسلام إلّا خوفا أن تظنّوا بي أكل أموالكم، ثمّ قدم على رسول اللّه مسلما، فردّ عليه زينب بنكاحه الأوّل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أميّة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زوّج من بني أميّة من هو يعاديه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عن أبي القاسم الكوفيّ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فبقيت زينب عند أبي العاص بعد ذلك مدّة يسيرة و مات عنها أبو العاص، ثمّ ماتت رقيّة عند عثمان، فخطب بعد موتها زينب فزوجها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فريق منهم على أنّه تزوّج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بالإسلام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الصيام و 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توفيقه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يرتكب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 عنهم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لطيفة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يحسم به،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متفضلا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يستحضرون العذاب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ذنوب من أهل التوحيد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اخترمته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 بفتح الحاء المهملة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يتخوّف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أعمالهم الجنّة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مبغيا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تعالى،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يتعالى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اقتضت العقول و الكتاب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مفارق،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ذنوبه لا تضاد 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الحبط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تأكل الماشية شيئا يضرّها فتعظم بطونها فتهلك، فسمّي بطلان الأعمال بهذا لأنّه كفساد الشيء بسبب ورود المفسد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حبط الأعمال عند من يقول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 و من وافقهم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المعصية اللاحقة تحبط الثواب السابق، إمّا بشرط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أبي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إمّا لا بشرط الموازنة، و هو قول أبي عليّ الجبّائي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لاجتماعها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القول أجمع الإماميّة، و وافقهم عليه الشافعي، و انتصر له الرازيّ في تفسيره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فبهذه الآيات تبطل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يحبط الأعمال بالسيّئات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ابطل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و 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النجاشيّ و الطهرانيّ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 في 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الشيخ المفيد سمّاه كما أثبتناه في رسالته في المتعة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بين ألفاظها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14.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17997</Words>
  <Characters>70776</Characters>
  <CharactersWithSpaces>87989</CharactersWithSpaces>
  <Paragraphs>1459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2026-08-25T19:48:26Z</dcterms:created>
  <dc:creator>ghaemiyeh.com</dc:creator>
  <dc:description/>
  <dc:language>en-US</dc:language>
  <cp:lastModifiedBy/>
  <dcterms:modified xsi:type="dcterms:W3CDTF">2026-08-25T23:18:35Z</dcterms:modified>
  <cp:revision>1</cp:revision>
  <dc:subject/>
  <dc:title>المسائل السرویة</dc:title>
</cp:coreProperties>
</file>

<file path=docProps/custom.xml><?xml version="1.0" encoding="utf-8"?>
<Properties xmlns="http://schemas.openxmlformats.org/officeDocument/2006/custom-properties" xmlns:vt="http://schemas.openxmlformats.org/officeDocument/2006/docPropsVTypes"/>
</file>