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مقارن مسجد بررسی احکام مسجد با رویکرد فقه مقارن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02180_128044782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5202182_12804478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5202184_1280447820">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15202186_1280447820">
            <w:r>
              <w:rPr>
                <w:webHidden/>
                <w:rStyle w:val="IndexLink"/>
                <w:rtl w:val="true"/>
              </w:rPr>
              <w:t>مقدمه</w:t>
            </w:r>
            <w:r>
              <w:rPr>
                <w:rStyle w:val="IndexLink"/>
                <w:rtl w:val="true"/>
              </w:rPr>
              <w:tab/>
            </w:r>
            <w:r>
              <w:rPr>
                <w:rStyle w:val="IndexLink"/>
              </w:rPr>
              <w:t>37</w:t>
            </w:r>
          </w:hyperlink>
        </w:p>
        <w:p>
          <w:pPr>
            <w:pStyle w:val="Contents2"/>
            <w:tabs>
              <w:tab w:val="clear" w:pos="8743"/>
              <w:tab w:val="right" w:pos="9026" w:leader="dot"/>
            </w:tabs>
            <w:rPr/>
          </w:pPr>
          <w:hyperlink w:anchor="__RefHeading___Toc15202188_1280447820">
            <w:r>
              <w:rPr>
                <w:webHidden/>
                <w:rStyle w:val="IndexLink"/>
                <w:rtl w:val="true"/>
              </w:rPr>
              <w:t>بخش اول</w:t>
            </w:r>
            <w:r>
              <w:rPr>
                <w:rStyle w:val="IndexLink"/>
                <w:rtl w:val="true"/>
              </w:rPr>
              <w:t xml:space="preserve">: </w:t>
            </w:r>
            <w:r>
              <w:rPr>
                <w:rStyle w:val="IndexLink"/>
                <w:rtl w:val="true"/>
              </w:rPr>
              <w:t>مفاهیم و کلمات</w:t>
            </w:r>
            <w:r>
              <w:rPr>
                <w:rStyle w:val="IndexLink"/>
                <w:rtl w:val="true"/>
              </w:rPr>
              <w:tab/>
            </w:r>
            <w:r>
              <w:rPr>
                <w:rStyle w:val="IndexLink"/>
              </w:rPr>
              <w:t>39</w:t>
            </w:r>
          </w:hyperlink>
        </w:p>
        <w:p>
          <w:pPr>
            <w:pStyle w:val="Contents3"/>
            <w:tabs>
              <w:tab w:val="clear" w:pos="8459"/>
              <w:tab w:val="right" w:pos="9026" w:leader="dot"/>
            </w:tabs>
            <w:rPr/>
          </w:pPr>
          <w:hyperlink w:anchor="__RefHeading___Toc15202190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5202192_1280447820">
            <w:r>
              <w:rPr>
                <w:webHidden/>
                <w:rStyle w:val="IndexLink"/>
                <w:rtl w:val="true"/>
              </w:rPr>
              <w:t>فصل اول</w:t>
            </w:r>
            <w:r>
              <w:rPr>
                <w:rStyle w:val="IndexLink"/>
                <w:rtl w:val="true"/>
              </w:rPr>
              <w:t xml:space="preserve">: </w:t>
            </w:r>
            <w:r>
              <w:rPr>
                <w:rStyle w:val="IndexLink"/>
                <w:rtl w:val="true"/>
              </w:rPr>
              <w:t>اهمیت احکام مساجد و ضرورت فقه مقارن</w:t>
            </w:r>
            <w:r>
              <w:rPr>
                <w:rStyle w:val="IndexLink"/>
                <w:rtl w:val="true"/>
              </w:rPr>
              <w:tab/>
            </w:r>
            <w:r>
              <w:rPr>
                <w:rStyle w:val="IndexLink"/>
              </w:rPr>
              <w:t>41</w:t>
            </w:r>
          </w:hyperlink>
        </w:p>
        <w:p>
          <w:pPr>
            <w:pStyle w:val="Contents4"/>
            <w:tabs>
              <w:tab w:val="clear" w:pos="8176"/>
              <w:tab w:val="right" w:pos="9026" w:leader="dot"/>
            </w:tabs>
            <w:rPr/>
          </w:pPr>
          <w:hyperlink w:anchor="__RefHeading___Toc15202194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202196_1280447820">
            <w:r>
              <w:rPr>
                <w:webHidden/>
                <w:rStyle w:val="IndexLink"/>
                <w:rtl w:val="true"/>
              </w:rPr>
              <w:t>مبحث اول</w:t>
            </w:r>
            <w:r>
              <w:rPr>
                <w:rStyle w:val="IndexLink"/>
                <w:rtl w:val="true"/>
              </w:rPr>
              <w:t xml:space="preserve">: </w:t>
            </w:r>
            <w:r>
              <w:rPr>
                <w:rStyle w:val="IndexLink"/>
                <w:rtl w:val="true"/>
              </w:rPr>
              <w:t>اهمیت و ضرورت بحث احکام مسجد</w:t>
            </w:r>
            <w:r>
              <w:rPr>
                <w:rStyle w:val="IndexLink"/>
                <w:rtl w:val="true"/>
              </w:rPr>
              <w:tab/>
            </w:r>
            <w:r>
              <w:rPr>
                <w:rStyle w:val="IndexLink"/>
              </w:rPr>
              <w:t>43</w:t>
            </w:r>
          </w:hyperlink>
        </w:p>
        <w:p>
          <w:pPr>
            <w:pStyle w:val="Contents4"/>
            <w:tabs>
              <w:tab w:val="clear" w:pos="8176"/>
              <w:tab w:val="right" w:pos="9026" w:leader="dot"/>
            </w:tabs>
            <w:rPr/>
          </w:pPr>
          <w:hyperlink w:anchor="__RefHeading___Toc15202198_1280447820">
            <w:r>
              <w:rPr>
                <w:webHidden/>
                <w:rStyle w:val="IndexLink"/>
                <w:rtl w:val="true"/>
              </w:rPr>
              <w:t>مبحث دوم</w:t>
            </w:r>
            <w:r>
              <w:rPr>
                <w:rStyle w:val="IndexLink"/>
                <w:rtl w:val="true"/>
              </w:rPr>
              <w:t xml:space="preserve">: </w:t>
            </w:r>
            <w:r>
              <w:rPr>
                <w:rStyle w:val="IndexLink"/>
                <w:rtl w:val="true"/>
              </w:rPr>
              <w:t>ضرورت فقه مقارن و تعریف و فوائد آن و تخصصی شدن ابواب فقه</w:t>
            </w:r>
            <w:r>
              <w:rPr>
                <w:rStyle w:val="IndexLink"/>
                <w:rtl w:val="true"/>
              </w:rPr>
              <w:tab/>
            </w:r>
            <w:r>
              <w:rPr>
                <w:rStyle w:val="IndexLink"/>
              </w:rPr>
              <w:t>49</w:t>
            </w:r>
          </w:hyperlink>
        </w:p>
        <w:p>
          <w:pPr>
            <w:pStyle w:val="Contents5"/>
            <w:tabs>
              <w:tab w:val="clear" w:pos="7892"/>
              <w:tab w:val="right" w:pos="9026" w:leader="dot"/>
            </w:tabs>
            <w:rPr/>
          </w:pPr>
          <w:hyperlink w:anchor="__RefHeading___Toc15202200_1280447820">
            <w:r>
              <w:rPr>
                <w:webHidden/>
                <w:rStyle w:val="IndexLink"/>
                <w:rtl w:val="true"/>
              </w:rPr>
              <w:t>گفتار اول</w:t>
            </w:r>
            <w:r>
              <w:rPr>
                <w:rStyle w:val="IndexLink"/>
                <w:rtl w:val="true"/>
              </w:rPr>
              <w:t xml:space="preserve">: </w:t>
            </w:r>
            <w:r>
              <w:rPr>
                <w:rStyle w:val="IndexLink"/>
                <w:rtl w:val="true"/>
              </w:rPr>
              <w:t>ضرورت فقه مقارن</w:t>
            </w:r>
            <w:r>
              <w:rPr>
                <w:rStyle w:val="IndexLink"/>
                <w:rtl w:val="true"/>
              </w:rPr>
              <w:tab/>
            </w:r>
            <w:r>
              <w:rPr>
                <w:rStyle w:val="IndexLink"/>
              </w:rPr>
              <w:t>49</w:t>
            </w:r>
          </w:hyperlink>
        </w:p>
        <w:p>
          <w:pPr>
            <w:pStyle w:val="Contents5"/>
            <w:tabs>
              <w:tab w:val="clear" w:pos="7892"/>
              <w:tab w:val="right" w:pos="9026" w:leader="dot"/>
            </w:tabs>
            <w:rPr/>
          </w:pPr>
          <w:hyperlink w:anchor="__RefHeading___Toc15202202_1280447820">
            <w:r>
              <w:rPr>
                <w:webHidden/>
                <w:rStyle w:val="IndexLink"/>
                <w:rtl w:val="true"/>
              </w:rPr>
              <w:t>گفتار دوم</w:t>
            </w:r>
            <w:r>
              <w:rPr>
                <w:rStyle w:val="IndexLink"/>
                <w:rtl w:val="true"/>
              </w:rPr>
              <w:t xml:space="preserve">: </w:t>
            </w:r>
            <w:r>
              <w:rPr>
                <w:rStyle w:val="IndexLink"/>
                <w:rtl w:val="true"/>
              </w:rPr>
              <w:t>تعریف فقه مقارن</w:t>
            </w:r>
            <w:r>
              <w:rPr>
                <w:rStyle w:val="IndexLink"/>
                <w:rtl w:val="true"/>
              </w:rPr>
              <w:tab/>
            </w:r>
            <w:r>
              <w:rPr>
                <w:rStyle w:val="IndexLink"/>
              </w:rPr>
              <w:t>50</w:t>
            </w:r>
          </w:hyperlink>
        </w:p>
        <w:p>
          <w:pPr>
            <w:pStyle w:val="Contents5"/>
            <w:tabs>
              <w:tab w:val="clear" w:pos="7892"/>
              <w:tab w:val="right" w:pos="9026" w:leader="dot"/>
            </w:tabs>
            <w:rPr/>
          </w:pPr>
          <w:hyperlink w:anchor="__RefHeading___Toc15202204_1280447820">
            <w:r>
              <w:rPr>
                <w:webHidden/>
                <w:rStyle w:val="IndexLink"/>
                <w:rtl w:val="true"/>
              </w:rPr>
              <w:t>گفتار سوم</w:t>
            </w:r>
            <w:r>
              <w:rPr>
                <w:rStyle w:val="IndexLink"/>
                <w:rtl w:val="true"/>
              </w:rPr>
              <w:t xml:space="preserve">: </w:t>
            </w:r>
            <w:r>
              <w:rPr>
                <w:rStyle w:val="IndexLink"/>
                <w:rtl w:val="true"/>
              </w:rPr>
              <w:t>فوائد و آثار فقه مقارن</w:t>
            </w:r>
            <w:r>
              <w:rPr>
                <w:rStyle w:val="IndexLink"/>
                <w:rtl w:val="true"/>
              </w:rPr>
              <w:tab/>
            </w:r>
            <w:r>
              <w:rPr>
                <w:rStyle w:val="IndexLink"/>
              </w:rPr>
              <w:t>50</w:t>
            </w:r>
          </w:hyperlink>
        </w:p>
        <w:p>
          <w:pPr>
            <w:pStyle w:val="Contents5"/>
            <w:tabs>
              <w:tab w:val="clear" w:pos="7892"/>
              <w:tab w:val="right" w:pos="9026" w:leader="dot"/>
            </w:tabs>
            <w:rPr/>
          </w:pPr>
          <w:hyperlink w:anchor="__RefHeading___Toc15202206_1280447820">
            <w:r>
              <w:rPr>
                <w:webHidden/>
                <w:rStyle w:val="IndexLink"/>
                <w:rtl w:val="true"/>
              </w:rPr>
              <w:t>گفتار چهارم</w:t>
            </w:r>
            <w:r>
              <w:rPr>
                <w:rStyle w:val="IndexLink"/>
                <w:rtl w:val="true"/>
              </w:rPr>
              <w:t xml:space="preserve">: </w:t>
            </w:r>
            <w:r>
              <w:rPr>
                <w:rStyle w:val="IndexLink"/>
                <w:rtl w:val="true"/>
              </w:rPr>
              <w:t>کم توجّهی به فقه اهل بیت علیهم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15202208_1280447820">
            <w:r>
              <w:rPr>
                <w:webHidden/>
                <w:rStyle w:val="IndexLink"/>
                <w:rtl w:val="true"/>
              </w:rPr>
              <w:t>گفتار پنجم</w:t>
            </w:r>
            <w:r>
              <w:rPr>
                <w:rStyle w:val="IndexLink"/>
                <w:rtl w:val="true"/>
              </w:rPr>
              <w:t xml:space="preserve">: </w:t>
            </w:r>
            <w:r>
              <w:rPr>
                <w:rStyle w:val="IndexLink"/>
                <w:rtl w:val="true"/>
              </w:rPr>
              <w:t>تخصصّی شدن ابواب فقه</w:t>
            </w:r>
            <w:r>
              <w:rPr>
                <w:rStyle w:val="IndexLink"/>
                <w:rtl w:val="true"/>
              </w:rPr>
              <w:tab/>
            </w:r>
            <w:r>
              <w:rPr>
                <w:rStyle w:val="IndexLink"/>
              </w:rPr>
              <w:t>53</w:t>
            </w:r>
          </w:hyperlink>
        </w:p>
        <w:p>
          <w:pPr>
            <w:pStyle w:val="Contents3"/>
            <w:tabs>
              <w:tab w:val="clear" w:pos="8459"/>
              <w:tab w:val="right" w:pos="9026" w:leader="dot"/>
            </w:tabs>
            <w:rPr/>
          </w:pPr>
          <w:hyperlink w:anchor="__RefHeading___Toc15202210_1280447820">
            <w:r>
              <w:rPr>
                <w:webHidden/>
                <w:rStyle w:val="IndexLink"/>
                <w:rtl w:val="true"/>
              </w:rPr>
              <w:t>فصل دوم</w:t>
            </w:r>
            <w:r>
              <w:rPr>
                <w:rStyle w:val="IndexLink"/>
                <w:rtl w:val="true"/>
              </w:rPr>
              <w:t xml:space="preserve">: </w:t>
            </w:r>
            <w:r>
              <w:rPr>
                <w:rStyle w:val="IndexLink"/>
                <w:rtl w:val="true"/>
              </w:rPr>
              <w:t>واژه شناسی فقه و مسجد</w:t>
            </w:r>
            <w:r>
              <w:rPr>
                <w:rStyle w:val="IndexLink"/>
                <w:rtl w:val="true"/>
              </w:rPr>
              <w:tab/>
            </w:r>
            <w:r>
              <w:rPr>
                <w:rStyle w:val="IndexLink"/>
              </w:rPr>
              <w:t>55</w:t>
            </w:r>
          </w:hyperlink>
        </w:p>
        <w:p>
          <w:pPr>
            <w:pStyle w:val="Contents4"/>
            <w:tabs>
              <w:tab w:val="clear" w:pos="8176"/>
              <w:tab w:val="right" w:pos="9026" w:leader="dot"/>
            </w:tabs>
            <w:rPr/>
          </w:pPr>
          <w:hyperlink w:anchor="__RefHeading___Toc15202212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202214_1280447820">
            <w:r>
              <w:rPr>
                <w:webHidden/>
                <w:rStyle w:val="IndexLink"/>
                <w:rtl w:val="true"/>
              </w:rPr>
              <w:t>مبحث اول</w:t>
            </w:r>
            <w:r>
              <w:rPr>
                <w:rStyle w:val="IndexLink"/>
                <w:rtl w:val="true"/>
              </w:rPr>
              <w:t xml:space="preserve">: </w:t>
            </w:r>
            <w:r>
              <w:rPr>
                <w:rStyle w:val="IndexLink"/>
                <w:rtl w:val="true"/>
              </w:rPr>
              <w:t>تعریف فقه در لغت و اصطلاح</w:t>
            </w:r>
            <w:r>
              <w:rPr>
                <w:rStyle w:val="IndexLink"/>
                <w:rtl w:val="true"/>
              </w:rPr>
              <w:tab/>
            </w:r>
            <w:r>
              <w:rPr>
                <w:rStyle w:val="IndexLink"/>
              </w:rPr>
              <w:t>57</w:t>
            </w:r>
          </w:hyperlink>
        </w:p>
        <w:p>
          <w:pPr>
            <w:pStyle w:val="Contents5"/>
            <w:tabs>
              <w:tab w:val="clear" w:pos="7892"/>
              <w:tab w:val="right" w:pos="9026" w:leader="dot"/>
            </w:tabs>
            <w:rPr/>
          </w:pPr>
          <w:hyperlink w:anchor="__RefHeading___Toc15202216_1280447820">
            <w:r>
              <w:rPr>
                <w:webHidden/>
                <w:rStyle w:val="IndexLink"/>
                <w:rtl w:val="true"/>
              </w:rPr>
              <w:t>گفتار اول</w:t>
            </w:r>
            <w:r>
              <w:rPr>
                <w:rStyle w:val="IndexLink"/>
                <w:rtl w:val="true"/>
              </w:rPr>
              <w:t xml:space="preserve">: </w:t>
            </w:r>
            <w:r>
              <w:rPr>
                <w:rStyle w:val="IndexLink"/>
                <w:rtl w:val="true"/>
              </w:rPr>
              <w:t>فقه در لغت</w:t>
            </w:r>
            <w:r>
              <w:rPr>
                <w:rStyle w:val="IndexLink"/>
                <w:rtl w:val="true"/>
              </w:rPr>
              <w:tab/>
            </w:r>
            <w:r>
              <w:rPr>
                <w:rStyle w:val="IndexLink"/>
              </w:rPr>
              <w:t>57</w:t>
            </w:r>
          </w:hyperlink>
        </w:p>
        <w:p>
          <w:pPr>
            <w:pStyle w:val="Contents5"/>
            <w:tabs>
              <w:tab w:val="clear" w:pos="7892"/>
              <w:tab w:val="right" w:pos="9026" w:leader="dot"/>
            </w:tabs>
            <w:rPr/>
          </w:pPr>
          <w:hyperlink w:anchor="__RefHeading___Toc15202218_1280447820">
            <w:r>
              <w:rPr>
                <w:webHidden/>
                <w:rStyle w:val="IndexLink"/>
                <w:rtl w:val="true"/>
              </w:rPr>
              <w:t>گفتار دوم</w:t>
            </w:r>
            <w:r>
              <w:rPr>
                <w:rStyle w:val="IndexLink"/>
                <w:rtl w:val="true"/>
              </w:rPr>
              <w:t xml:space="preserve">: </w:t>
            </w:r>
            <w:r>
              <w:rPr>
                <w:rStyle w:val="IndexLink"/>
                <w:rtl w:val="true"/>
              </w:rPr>
              <w:t>فقه در اصطلاح</w:t>
            </w:r>
            <w:r>
              <w:rPr>
                <w:rStyle w:val="IndexLink"/>
                <w:rtl w:val="true"/>
              </w:rPr>
              <w:tab/>
            </w:r>
            <w:r>
              <w:rPr>
                <w:rStyle w:val="IndexLink"/>
              </w:rPr>
              <w:t>58</w:t>
            </w:r>
          </w:hyperlink>
        </w:p>
        <w:p>
          <w:pPr>
            <w:pStyle w:val="Contents4"/>
            <w:tabs>
              <w:tab w:val="clear" w:pos="8176"/>
              <w:tab w:val="right" w:pos="9026" w:leader="dot"/>
            </w:tabs>
            <w:rPr/>
          </w:pPr>
          <w:hyperlink w:anchor="__RefHeading___Toc15202220_1280447820">
            <w:r>
              <w:rPr>
                <w:webHidden/>
                <w:rStyle w:val="IndexLink"/>
                <w:rtl w:val="true"/>
              </w:rPr>
              <w:t>مبحث دوم</w:t>
            </w:r>
            <w:r>
              <w:rPr>
                <w:rStyle w:val="IndexLink"/>
                <w:rtl w:val="true"/>
              </w:rPr>
              <w:t xml:space="preserve">: </w:t>
            </w:r>
            <w:r>
              <w:rPr>
                <w:rStyle w:val="IndexLink"/>
                <w:rtl w:val="true"/>
              </w:rPr>
              <w:t>مسجد در لغت و اصطلاح</w:t>
            </w:r>
            <w:r>
              <w:rPr>
                <w:rStyle w:val="IndexLink"/>
                <w:rtl w:val="true"/>
              </w:rPr>
              <w:tab/>
            </w:r>
            <w:r>
              <w:rPr>
                <w:rStyle w:val="IndexLink"/>
              </w:rPr>
              <w:t>60</w:t>
            </w:r>
          </w:hyperlink>
        </w:p>
        <w:p>
          <w:pPr>
            <w:pStyle w:val="Contents5"/>
            <w:tabs>
              <w:tab w:val="clear" w:pos="7892"/>
              <w:tab w:val="right" w:pos="9026" w:leader="dot"/>
            </w:tabs>
            <w:rPr/>
          </w:pPr>
          <w:hyperlink w:anchor="__RefHeading___Toc15202222_128044782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5202224_1280447820">
            <w:r>
              <w:rPr>
                <w:webHidden/>
                <w:rStyle w:val="IndexLink"/>
                <w:rtl w:val="true"/>
              </w:rPr>
              <w:t>گفتار اول</w:t>
            </w:r>
            <w:r>
              <w:rPr>
                <w:rStyle w:val="IndexLink"/>
                <w:rtl w:val="true"/>
              </w:rPr>
              <w:t xml:space="preserve">: </w:t>
            </w:r>
            <w:r>
              <w:rPr>
                <w:rStyle w:val="IndexLink"/>
                <w:rtl w:val="true"/>
              </w:rPr>
              <w:t>مسجد در لغت</w:t>
            </w:r>
            <w:r>
              <w:rPr>
                <w:rStyle w:val="IndexLink"/>
                <w:rtl w:val="true"/>
              </w:rPr>
              <w:tab/>
            </w:r>
            <w:r>
              <w:rPr>
                <w:rStyle w:val="IndexLink"/>
              </w:rPr>
              <w:t>60</w:t>
            </w:r>
          </w:hyperlink>
        </w:p>
        <w:p>
          <w:pPr>
            <w:pStyle w:val="Contents5"/>
            <w:tabs>
              <w:tab w:val="clear" w:pos="7892"/>
              <w:tab w:val="right" w:pos="9026" w:leader="dot"/>
            </w:tabs>
            <w:rPr/>
          </w:pPr>
          <w:hyperlink w:anchor="__RefHeading___Toc15202226_1280447820">
            <w:r>
              <w:rPr>
                <w:webHidden/>
                <w:rStyle w:val="IndexLink"/>
                <w:rtl w:val="true"/>
              </w:rPr>
              <w:t>گفتار دوّم</w:t>
            </w:r>
            <w:r>
              <w:rPr>
                <w:rStyle w:val="IndexLink"/>
                <w:rtl w:val="true"/>
              </w:rPr>
              <w:t xml:space="preserve">: </w:t>
            </w:r>
            <w:r>
              <w:rPr>
                <w:rStyle w:val="IndexLink"/>
                <w:rtl w:val="true"/>
              </w:rPr>
              <w:t>مسجد در اصطلاح</w:t>
            </w:r>
            <w:r>
              <w:rPr>
                <w:rStyle w:val="IndexLink"/>
                <w:rtl w:val="true"/>
              </w:rPr>
              <w:tab/>
            </w:r>
            <w:r>
              <w:rPr>
                <w:rStyle w:val="IndexLink"/>
              </w:rPr>
              <w:t>62</w:t>
            </w:r>
          </w:hyperlink>
        </w:p>
        <w:p>
          <w:pPr>
            <w:pStyle w:val="Contents5"/>
            <w:tabs>
              <w:tab w:val="clear" w:pos="7892"/>
              <w:tab w:val="right" w:pos="9026" w:leader="dot"/>
            </w:tabs>
            <w:rPr/>
          </w:pPr>
          <w:hyperlink w:anchor="__RefHeading___Toc15202228_1280447820">
            <w:r>
              <w:rPr>
                <w:webHidden/>
                <w:rStyle w:val="IndexLink"/>
                <w:rtl w:val="true"/>
              </w:rPr>
              <w:t>گفتار سوم</w:t>
            </w:r>
            <w:r>
              <w:rPr>
                <w:rStyle w:val="IndexLink"/>
                <w:rtl w:val="true"/>
              </w:rPr>
              <w:t xml:space="preserve">: </w:t>
            </w:r>
            <w:r>
              <w:rPr>
                <w:rStyle w:val="IndexLink"/>
                <w:rtl w:val="true"/>
              </w:rPr>
              <w:t>مسجد در قرآن</w:t>
            </w:r>
            <w:r>
              <w:rPr>
                <w:rStyle w:val="IndexLink"/>
                <w:rtl w:val="true"/>
              </w:rPr>
              <w:tab/>
            </w:r>
            <w:r>
              <w:rPr>
                <w:rStyle w:val="IndexLink"/>
              </w:rPr>
              <w:t>64</w:t>
            </w:r>
          </w:hyperlink>
        </w:p>
        <w:p>
          <w:pPr>
            <w:pStyle w:val="Contents5"/>
            <w:tabs>
              <w:tab w:val="clear" w:pos="7892"/>
              <w:tab w:val="right" w:pos="9026" w:leader="dot"/>
            </w:tabs>
            <w:rPr/>
          </w:pPr>
          <w:hyperlink w:anchor="__RefHeading___Toc15202230_1280447820">
            <w:r>
              <w:rPr>
                <w:webHidden/>
                <w:rStyle w:val="IndexLink"/>
                <w:rtl w:val="true"/>
              </w:rPr>
              <w:t>گفتار چهارم</w:t>
            </w:r>
            <w:r>
              <w:rPr>
                <w:rStyle w:val="IndexLink"/>
                <w:rtl w:val="true"/>
              </w:rPr>
              <w:t xml:space="preserve">: </w:t>
            </w:r>
            <w:r>
              <w:rPr>
                <w:rStyle w:val="IndexLink"/>
                <w:rtl w:val="true"/>
              </w:rPr>
              <w:t>واژگان مرتبط به مسجد</w:t>
            </w:r>
            <w:r>
              <w:rPr>
                <w:rStyle w:val="IndexLink"/>
                <w:rtl w:val="true"/>
              </w:rPr>
              <w:tab/>
            </w:r>
            <w:r>
              <w:rPr>
                <w:rStyle w:val="IndexLink"/>
              </w:rPr>
              <w:t>65</w:t>
            </w:r>
          </w:hyperlink>
        </w:p>
        <w:p>
          <w:pPr>
            <w:pStyle w:val="Contents6"/>
            <w:tabs>
              <w:tab w:val="clear" w:pos="7609"/>
              <w:tab w:val="right" w:pos="9026" w:leader="dot"/>
            </w:tabs>
            <w:rPr/>
          </w:pPr>
          <w:hyperlink w:anchor="__RefHeading___Toc15202232_1280447820">
            <w:r>
              <w:rPr>
                <w:webHidden/>
                <w:rStyle w:val="IndexLink"/>
              </w:rPr>
              <w:t>1</w:t>
            </w:r>
            <w:r>
              <w:rPr>
                <w:rStyle w:val="IndexLink"/>
                <w:rtl w:val="true"/>
              </w:rPr>
              <w:t xml:space="preserve">- </w:t>
            </w:r>
            <w:r>
              <w:rPr>
                <w:rStyle w:val="IndexLink"/>
                <w:rtl w:val="true"/>
              </w:rPr>
              <w:t>جامع</w:t>
            </w:r>
            <w:r>
              <w:rPr>
                <w:rStyle w:val="IndexLink"/>
                <w:rtl w:val="true"/>
              </w:rPr>
              <w:tab/>
            </w:r>
            <w:r>
              <w:rPr>
                <w:rStyle w:val="IndexLink"/>
              </w:rPr>
              <w:t>65</w:t>
            </w:r>
          </w:hyperlink>
        </w:p>
        <w:p>
          <w:pPr>
            <w:pStyle w:val="Contents6"/>
            <w:tabs>
              <w:tab w:val="clear" w:pos="7609"/>
              <w:tab w:val="right" w:pos="9026" w:leader="dot"/>
            </w:tabs>
            <w:rPr/>
          </w:pPr>
          <w:hyperlink w:anchor="__RefHeading___Toc15202234_1280447820">
            <w:r>
              <w:rPr>
                <w:webHidden/>
                <w:rStyle w:val="IndexLink"/>
              </w:rPr>
              <w:t>2</w:t>
            </w:r>
            <w:r>
              <w:rPr>
                <w:rStyle w:val="IndexLink"/>
                <w:rtl w:val="true"/>
              </w:rPr>
              <w:t xml:space="preserve">- </w:t>
            </w:r>
            <w:r>
              <w:rPr>
                <w:rStyle w:val="IndexLink"/>
                <w:rtl w:val="true"/>
              </w:rPr>
              <w:t>مصلّی</w:t>
            </w:r>
            <w:r>
              <w:rPr>
                <w:rStyle w:val="IndexLink"/>
                <w:rtl w:val="true"/>
              </w:rPr>
              <w:tab/>
            </w:r>
            <w:r>
              <w:rPr>
                <w:rStyle w:val="IndexLink"/>
              </w:rPr>
              <w:t>65</w:t>
            </w:r>
          </w:hyperlink>
        </w:p>
        <w:p>
          <w:pPr>
            <w:pStyle w:val="Contents6"/>
            <w:tabs>
              <w:tab w:val="clear" w:pos="7609"/>
              <w:tab w:val="right" w:pos="9026" w:leader="dot"/>
            </w:tabs>
            <w:rPr/>
          </w:pPr>
          <w:hyperlink w:anchor="__RefHeading___Toc15202236_1280447820">
            <w:r>
              <w:rPr>
                <w:webHidden/>
                <w:rStyle w:val="IndexLink"/>
              </w:rPr>
              <w:t>3</w:t>
            </w:r>
            <w:r>
              <w:rPr>
                <w:rStyle w:val="IndexLink"/>
                <w:rtl w:val="true"/>
              </w:rPr>
              <w:t xml:space="preserve">- </w:t>
            </w:r>
            <w:r>
              <w:rPr>
                <w:rStyle w:val="IndexLink"/>
                <w:rtl w:val="true"/>
              </w:rPr>
              <w:t>زاویه</w:t>
            </w:r>
            <w:r>
              <w:rPr>
                <w:rStyle w:val="IndexLink"/>
                <w:rtl w:val="true"/>
              </w:rPr>
              <w:tab/>
            </w:r>
            <w:r>
              <w:rPr>
                <w:rStyle w:val="IndexLink"/>
              </w:rPr>
              <w:t>66</w:t>
            </w:r>
          </w:hyperlink>
        </w:p>
        <w:p>
          <w:pPr>
            <w:pStyle w:val="Contents3"/>
            <w:tabs>
              <w:tab w:val="clear" w:pos="8459"/>
              <w:tab w:val="right" w:pos="9026" w:leader="dot"/>
            </w:tabs>
            <w:rPr/>
          </w:pPr>
          <w:hyperlink w:anchor="__RefHeading___Toc15202238_1280447820">
            <w:r>
              <w:rPr>
                <w:webHidden/>
                <w:rStyle w:val="IndexLink"/>
                <w:rtl w:val="true"/>
              </w:rPr>
              <w:t>فصل سوم</w:t>
            </w:r>
            <w:r>
              <w:rPr>
                <w:rStyle w:val="IndexLink"/>
                <w:rtl w:val="true"/>
              </w:rPr>
              <w:t xml:space="preserve">: </w:t>
            </w:r>
            <w:r>
              <w:rPr>
                <w:rStyle w:val="IndexLink"/>
                <w:rtl w:val="true"/>
              </w:rPr>
              <w:t>کنکاشی در چیستی مسجد</w:t>
            </w:r>
            <w:r>
              <w:rPr>
                <w:rStyle w:val="IndexLink"/>
                <w:rtl w:val="true"/>
              </w:rPr>
              <w:tab/>
            </w:r>
            <w:r>
              <w:rPr>
                <w:rStyle w:val="IndexLink"/>
              </w:rPr>
              <w:t>67</w:t>
            </w:r>
          </w:hyperlink>
        </w:p>
        <w:p>
          <w:pPr>
            <w:pStyle w:val="Contents4"/>
            <w:tabs>
              <w:tab w:val="clear" w:pos="8176"/>
              <w:tab w:val="right" w:pos="9026" w:leader="dot"/>
            </w:tabs>
            <w:rPr/>
          </w:pPr>
          <w:hyperlink w:anchor="__RefHeading___Toc15202240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5202242_1280447820">
            <w:r>
              <w:rPr>
                <w:webHidden/>
                <w:rStyle w:val="IndexLink"/>
                <w:rtl w:val="true"/>
              </w:rPr>
              <w:t>مقدمه</w:t>
            </w:r>
            <w:r>
              <w:rPr>
                <w:rStyle w:val="IndexLink"/>
                <w:rtl w:val="true"/>
              </w:rPr>
              <w:t xml:space="preserve">: </w:t>
            </w:r>
            <w:r>
              <w:rPr>
                <w:rStyle w:val="IndexLink"/>
                <w:rtl w:val="true"/>
              </w:rPr>
              <w:t>وجوب تعظیم مسجد و حفظ حرمت آن</w:t>
            </w:r>
            <w:r>
              <w:rPr>
                <w:rStyle w:val="IndexLink"/>
                <w:rtl w:val="true"/>
              </w:rPr>
              <w:tab/>
            </w:r>
            <w:r>
              <w:rPr>
                <w:rStyle w:val="IndexLink"/>
              </w:rPr>
              <w:t>69</w:t>
            </w:r>
          </w:hyperlink>
        </w:p>
        <w:p>
          <w:pPr>
            <w:pStyle w:val="Contents4"/>
            <w:tabs>
              <w:tab w:val="clear" w:pos="8176"/>
              <w:tab w:val="right" w:pos="9026" w:leader="dot"/>
            </w:tabs>
            <w:rPr/>
          </w:pPr>
          <w:hyperlink w:anchor="__RefHeading___Toc15202244_1280447820">
            <w:r>
              <w:rPr>
                <w:webHidden/>
                <w:rStyle w:val="IndexLink"/>
                <w:rtl w:val="true"/>
              </w:rPr>
              <w:t>ادلة وجوب تعظیم و حفظ حرمت مساجد</w:t>
            </w:r>
            <w:r>
              <w:rPr>
                <w:rStyle w:val="IndexLink"/>
                <w:rtl w:val="true"/>
              </w:rPr>
              <w:tab/>
            </w:r>
            <w:r>
              <w:rPr>
                <w:rStyle w:val="IndexLink"/>
              </w:rPr>
              <w:t>70</w:t>
            </w:r>
          </w:hyperlink>
        </w:p>
        <w:p>
          <w:pPr>
            <w:pStyle w:val="Contents4"/>
            <w:tabs>
              <w:tab w:val="clear" w:pos="8176"/>
              <w:tab w:val="right" w:pos="9026" w:leader="dot"/>
            </w:tabs>
            <w:rPr/>
          </w:pPr>
          <w:hyperlink w:anchor="__RefHeading___Toc15202246_1280447820">
            <w:r>
              <w:rPr>
                <w:webHidden/>
                <w:rStyle w:val="IndexLink"/>
                <w:rtl w:val="true"/>
              </w:rPr>
              <w:t>روایات تعظیم مساجد</w:t>
            </w:r>
            <w:r>
              <w:rPr>
                <w:rStyle w:val="IndexLink"/>
                <w:rtl w:val="true"/>
              </w:rPr>
              <w:tab/>
            </w:r>
            <w:r>
              <w:rPr>
                <w:rStyle w:val="IndexLink"/>
              </w:rPr>
              <w:t>70</w:t>
            </w:r>
          </w:hyperlink>
        </w:p>
        <w:p>
          <w:pPr>
            <w:pStyle w:val="Contents4"/>
            <w:tabs>
              <w:tab w:val="clear" w:pos="8176"/>
              <w:tab w:val="right" w:pos="9026" w:leader="dot"/>
            </w:tabs>
            <w:rPr/>
          </w:pPr>
          <w:hyperlink w:anchor="__RefHeading___Toc15202248_1280447820">
            <w:r>
              <w:rPr>
                <w:webHidden/>
                <w:rStyle w:val="IndexLink"/>
                <w:rtl w:val="true"/>
              </w:rPr>
              <w:t>وجوب تعظیم مسجد نزد اهل سنّت</w:t>
            </w:r>
            <w:r>
              <w:rPr>
                <w:rStyle w:val="IndexLink"/>
                <w:rtl w:val="true"/>
              </w:rPr>
              <w:tab/>
            </w:r>
            <w:r>
              <w:rPr>
                <w:rStyle w:val="IndexLink"/>
              </w:rPr>
              <w:t>72</w:t>
            </w:r>
          </w:hyperlink>
        </w:p>
        <w:p>
          <w:pPr>
            <w:pStyle w:val="Contents5"/>
            <w:tabs>
              <w:tab w:val="clear" w:pos="7892"/>
              <w:tab w:val="right" w:pos="9026" w:leader="dot"/>
            </w:tabs>
            <w:rPr/>
          </w:pPr>
          <w:hyperlink w:anchor="__RefHeading___Toc15202250_1280447820">
            <w:r>
              <w:rPr>
                <w:webHidden/>
                <w:rStyle w:val="IndexLink"/>
              </w:rPr>
              <w:t>1</w:t>
            </w:r>
            <w:r>
              <w:rPr>
                <w:rStyle w:val="IndexLink"/>
                <w:rtl w:val="true"/>
              </w:rPr>
              <w:t xml:space="preserve">. </w:t>
            </w:r>
            <w:r>
              <w:rPr>
                <w:rStyle w:val="IndexLink"/>
                <w:rtl w:val="true"/>
              </w:rPr>
              <w:t>مذهب شافعی</w:t>
            </w:r>
            <w:r>
              <w:rPr>
                <w:rStyle w:val="IndexLink"/>
                <w:rtl w:val="true"/>
              </w:rPr>
              <w:tab/>
            </w:r>
            <w:r>
              <w:rPr>
                <w:rStyle w:val="IndexLink"/>
              </w:rPr>
              <w:t>72</w:t>
            </w:r>
          </w:hyperlink>
        </w:p>
        <w:p>
          <w:pPr>
            <w:pStyle w:val="Contents5"/>
            <w:tabs>
              <w:tab w:val="clear" w:pos="7892"/>
              <w:tab w:val="right" w:pos="9026" w:leader="dot"/>
            </w:tabs>
            <w:rPr/>
          </w:pPr>
          <w:hyperlink w:anchor="__RefHeading___Toc15202252_1280447820">
            <w:r>
              <w:rPr>
                <w:webHidden/>
                <w:rStyle w:val="IndexLink"/>
              </w:rPr>
              <w:t>2</w:t>
            </w:r>
            <w:r>
              <w:rPr>
                <w:rStyle w:val="IndexLink"/>
                <w:rtl w:val="true"/>
              </w:rPr>
              <w:t xml:space="preserve">. </w:t>
            </w:r>
            <w:r>
              <w:rPr>
                <w:rStyle w:val="IndexLink"/>
                <w:rtl w:val="true"/>
              </w:rPr>
              <w:t>مذهب حنبلی</w:t>
            </w:r>
            <w:r>
              <w:rPr>
                <w:rStyle w:val="IndexLink"/>
                <w:rtl w:val="true"/>
              </w:rPr>
              <w:tab/>
            </w:r>
            <w:r>
              <w:rPr>
                <w:rStyle w:val="IndexLink"/>
              </w:rPr>
              <w:t>72</w:t>
            </w:r>
          </w:hyperlink>
        </w:p>
        <w:p>
          <w:pPr>
            <w:pStyle w:val="Contents4"/>
            <w:tabs>
              <w:tab w:val="clear" w:pos="8176"/>
              <w:tab w:val="right" w:pos="9026" w:leader="dot"/>
            </w:tabs>
            <w:rPr/>
          </w:pPr>
          <w:hyperlink w:anchor="__RefHeading___Toc15202254_1280447820">
            <w:r>
              <w:rPr>
                <w:webHidden/>
                <w:rStyle w:val="IndexLink"/>
                <w:rtl w:val="true"/>
              </w:rPr>
              <w:t>مبحث اول</w:t>
            </w:r>
            <w:r>
              <w:rPr>
                <w:rStyle w:val="IndexLink"/>
                <w:rtl w:val="true"/>
              </w:rPr>
              <w:t xml:space="preserve">: </w:t>
            </w:r>
            <w:r>
              <w:rPr>
                <w:rStyle w:val="IndexLink"/>
                <w:rtl w:val="true"/>
              </w:rPr>
              <w:t>کیفیت تحقق ماهیت مسجد</w:t>
            </w:r>
            <w:r>
              <w:rPr>
                <w:rStyle w:val="IndexLink"/>
                <w:rtl w:val="true"/>
              </w:rPr>
              <w:tab/>
            </w:r>
            <w:r>
              <w:rPr>
                <w:rStyle w:val="IndexLink"/>
              </w:rPr>
              <w:t>73</w:t>
            </w:r>
          </w:hyperlink>
        </w:p>
        <w:p>
          <w:pPr>
            <w:pStyle w:val="Contents5"/>
            <w:tabs>
              <w:tab w:val="clear" w:pos="7892"/>
              <w:tab w:val="right" w:pos="9026" w:leader="dot"/>
            </w:tabs>
            <w:rPr/>
          </w:pPr>
          <w:hyperlink w:anchor="__RefHeading___Toc15202256_12804478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5202258_1280447820">
            <w:r>
              <w:rPr>
                <w:webHidden/>
                <w:rStyle w:val="IndexLink"/>
                <w:rtl w:val="true"/>
              </w:rPr>
              <w:t>گفتار اول</w:t>
            </w:r>
            <w:r>
              <w:rPr>
                <w:rStyle w:val="IndexLink"/>
                <w:rtl w:val="true"/>
              </w:rPr>
              <w:t xml:space="preserve">: </w:t>
            </w:r>
            <w:r>
              <w:rPr>
                <w:rStyle w:val="IndexLink"/>
                <w:rtl w:val="true"/>
              </w:rPr>
              <w:t>بررسی جنس تعریف؛ مکان مسجد</w:t>
            </w:r>
            <w:r>
              <w:rPr>
                <w:rStyle w:val="IndexLink"/>
                <w:rtl w:val="true"/>
              </w:rPr>
              <w:tab/>
            </w:r>
            <w:r>
              <w:rPr>
                <w:rStyle w:val="IndexLink"/>
              </w:rPr>
              <w:t>75</w:t>
            </w:r>
          </w:hyperlink>
        </w:p>
        <w:p>
          <w:pPr>
            <w:pStyle w:val="Contents5"/>
            <w:tabs>
              <w:tab w:val="clear" w:pos="7892"/>
              <w:tab w:val="right" w:pos="9026" w:leader="dot"/>
            </w:tabs>
            <w:rPr/>
          </w:pPr>
          <w:hyperlink w:anchor="__RefHeading___Toc15202260_1280447820">
            <w:r>
              <w:rPr>
                <w:webHidden/>
                <w:rStyle w:val="IndexLink"/>
                <w:rtl w:val="true"/>
              </w:rPr>
              <w:t>گفتار دوم بررسی فصل تعریف مسجد</w:t>
            </w:r>
            <w:r>
              <w:rPr>
                <w:rStyle w:val="IndexLink"/>
                <w:rtl w:val="true"/>
              </w:rPr>
              <w:tab/>
            </w:r>
            <w:r>
              <w:rPr>
                <w:rStyle w:val="IndexLink"/>
              </w:rPr>
              <w:t>77</w:t>
            </w:r>
          </w:hyperlink>
        </w:p>
        <w:p>
          <w:pPr>
            <w:pStyle w:val="Contents6"/>
            <w:tabs>
              <w:tab w:val="clear" w:pos="7609"/>
              <w:tab w:val="right" w:pos="9026" w:leader="dot"/>
            </w:tabs>
            <w:rPr/>
          </w:pPr>
          <w:hyperlink w:anchor="__RefHeading___Toc15202262_128044782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5202264_1280447820">
            <w:r>
              <w:rPr>
                <w:webHidden/>
                <w:rStyle w:val="IndexLink"/>
                <w:rtl w:val="true"/>
              </w:rPr>
              <w:t>الف</w:t>
            </w:r>
            <w:r>
              <w:rPr>
                <w:rStyle w:val="IndexLink"/>
                <w:rtl w:val="true"/>
              </w:rPr>
              <w:t xml:space="preserve">) </w:t>
            </w:r>
            <w:r>
              <w:rPr>
                <w:rStyle w:val="IndexLink"/>
                <w:rtl w:val="true"/>
              </w:rPr>
              <w:t xml:space="preserve">بررسی قید اول؛ </w:t>
            </w:r>
            <w:r>
              <w:rPr>
                <w:rStyle w:val="IndexLink"/>
                <w:rtl w:val="true"/>
              </w:rPr>
              <w:t>«</w:t>
            </w:r>
            <w:r>
              <w:rPr>
                <w:rStyle w:val="IndexLink"/>
                <w:rtl w:val="true"/>
              </w:rPr>
              <w:t>اتخاذ</w:t>
            </w:r>
            <w:r>
              <w:rPr>
                <w:rStyle w:val="IndexLink"/>
                <w:rtl w:val="true"/>
              </w:rPr>
              <w:t>»</w:t>
              <w:tab/>
            </w:r>
            <w:r>
              <w:rPr>
                <w:rStyle w:val="IndexLink"/>
              </w:rPr>
              <w:t>77</w:t>
            </w:r>
          </w:hyperlink>
        </w:p>
        <w:p>
          <w:pPr>
            <w:pStyle w:val="Contents4"/>
            <w:tabs>
              <w:tab w:val="clear" w:pos="8176"/>
              <w:tab w:val="right" w:pos="9026" w:leader="dot"/>
            </w:tabs>
            <w:rPr/>
          </w:pPr>
          <w:hyperlink w:anchor="__RefHeading___Toc15202266_1280447820">
            <w:r>
              <w:rPr>
                <w:webHidden/>
                <w:rStyle w:val="IndexLink"/>
                <w:rtl w:val="true"/>
              </w:rPr>
              <w:t>مبحث سوم</w:t>
            </w:r>
            <w:r>
              <w:rPr>
                <w:rStyle w:val="IndexLink"/>
                <w:rtl w:val="true"/>
              </w:rPr>
              <w:t xml:space="preserve">: </w:t>
            </w:r>
            <w:r>
              <w:rPr>
                <w:rStyle w:val="IndexLink"/>
                <w:rtl w:val="true"/>
              </w:rPr>
              <w:t>دیدگاه اهل سنت</w:t>
            </w:r>
            <w:r>
              <w:rPr>
                <w:rStyle w:val="IndexLink"/>
                <w:rtl w:val="true"/>
              </w:rPr>
              <w:tab/>
            </w:r>
            <w:r>
              <w:rPr>
                <w:rStyle w:val="IndexLink"/>
              </w:rPr>
              <w:t>111</w:t>
            </w:r>
          </w:hyperlink>
        </w:p>
        <w:p>
          <w:pPr>
            <w:pStyle w:val="Contents5"/>
            <w:tabs>
              <w:tab w:val="clear" w:pos="7892"/>
              <w:tab w:val="right" w:pos="9026" w:leader="dot"/>
            </w:tabs>
            <w:rPr/>
          </w:pPr>
          <w:hyperlink w:anchor="__RefHeading___Toc15202268_128044782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5202270_1280447820">
            <w:r>
              <w:rPr>
                <w:webHidden/>
                <w:rStyle w:val="IndexLink"/>
              </w:rPr>
              <w:t>1</w:t>
            </w:r>
            <w:r>
              <w:rPr>
                <w:rStyle w:val="IndexLink"/>
                <w:rtl w:val="true"/>
              </w:rPr>
              <w:t xml:space="preserve">. </w:t>
            </w:r>
            <w:r>
              <w:rPr>
                <w:rStyle w:val="IndexLink"/>
                <w:rtl w:val="true"/>
              </w:rPr>
              <w:t>مذهب مالکی</w:t>
            </w:r>
            <w:r>
              <w:rPr>
                <w:rStyle w:val="IndexLink"/>
                <w:rtl w:val="true"/>
              </w:rPr>
              <w:tab/>
            </w:r>
            <w:r>
              <w:rPr>
                <w:rStyle w:val="IndexLink"/>
              </w:rPr>
              <w:t>111</w:t>
            </w:r>
          </w:hyperlink>
        </w:p>
        <w:p>
          <w:pPr>
            <w:pStyle w:val="Contents5"/>
            <w:tabs>
              <w:tab w:val="clear" w:pos="7892"/>
              <w:tab w:val="right" w:pos="9026" w:leader="dot"/>
            </w:tabs>
            <w:rPr/>
          </w:pPr>
          <w:hyperlink w:anchor="__RefHeading___Toc15202272_1280447820">
            <w:r>
              <w:rPr>
                <w:webHidden/>
                <w:rStyle w:val="IndexLink"/>
              </w:rPr>
              <w:t>2</w:t>
            </w:r>
            <w:r>
              <w:rPr>
                <w:rStyle w:val="IndexLink"/>
                <w:rtl w:val="true"/>
              </w:rPr>
              <w:t xml:space="preserve">. </w:t>
            </w:r>
            <w:r>
              <w:rPr>
                <w:rStyle w:val="IndexLink"/>
                <w:rtl w:val="true"/>
              </w:rPr>
              <w:t>مذهب شافعی</w:t>
            </w:r>
            <w:r>
              <w:rPr>
                <w:rStyle w:val="IndexLink"/>
                <w:rtl w:val="true"/>
              </w:rPr>
              <w:tab/>
            </w:r>
            <w:r>
              <w:rPr>
                <w:rStyle w:val="IndexLink"/>
              </w:rPr>
              <w:t>111</w:t>
            </w:r>
          </w:hyperlink>
        </w:p>
        <w:p>
          <w:pPr>
            <w:pStyle w:val="Contents5"/>
            <w:tabs>
              <w:tab w:val="clear" w:pos="7892"/>
              <w:tab w:val="right" w:pos="9026" w:leader="dot"/>
            </w:tabs>
            <w:rPr/>
          </w:pPr>
          <w:hyperlink w:anchor="__RefHeading___Toc15202274_1280447820">
            <w:r>
              <w:rPr>
                <w:webHidden/>
                <w:rStyle w:val="IndexLink"/>
              </w:rPr>
              <w:t>3</w:t>
            </w:r>
            <w:r>
              <w:rPr>
                <w:rStyle w:val="IndexLink"/>
                <w:rtl w:val="true"/>
              </w:rPr>
              <w:t xml:space="preserve">. </w:t>
            </w:r>
            <w:r>
              <w:rPr>
                <w:rStyle w:val="IndexLink"/>
                <w:rtl w:val="true"/>
              </w:rPr>
              <w:t>مذهب حنبلی</w:t>
            </w:r>
            <w:r>
              <w:rPr>
                <w:rStyle w:val="IndexLink"/>
                <w:rtl w:val="true"/>
              </w:rPr>
              <w:tab/>
            </w:r>
            <w:r>
              <w:rPr>
                <w:rStyle w:val="IndexLink"/>
              </w:rPr>
              <w:t>112</w:t>
            </w:r>
          </w:hyperlink>
        </w:p>
        <w:p>
          <w:pPr>
            <w:pStyle w:val="Contents3"/>
            <w:tabs>
              <w:tab w:val="clear" w:pos="8459"/>
              <w:tab w:val="right" w:pos="9026" w:leader="dot"/>
            </w:tabs>
            <w:rPr/>
          </w:pPr>
          <w:hyperlink w:anchor="__RefHeading___Toc15202276_1280447820">
            <w:r>
              <w:rPr>
                <w:webHidden/>
                <w:rStyle w:val="IndexLink"/>
                <w:rtl w:val="true"/>
              </w:rPr>
              <w:t>فصل دوم</w:t>
            </w:r>
            <w:r>
              <w:rPr>
                <w:rStyle w:val="IndexLink"/>
                <w:rtl w:val="true"/>
              </w:rPr>
              <w:t xml:space="preserve">: </w:t>
            </w:r>
            <w:r>
              <w:rPr>
                <w:rStyle w:val="IndexLink"/>
                <w:rtl w:val="true"/>
              </w:rPr>
              <w:t>کیفیت ساختمان مسجد</w:t>
            </w:r>
            <w:r>
              <w:rPr>
                <w:rStyle w:val="IndexLink"/>
                <w:rtl w:val="true"/>
              </w:rPr>
              <w:tab/>
            </w:r>
            <w:r>
              <w:rPr>
                <w:rStyle w:val="IndexLink"/>
              </w:rPr>
              <w:t>113</w:t>
            </w:r>
          </w:hyperlink>
        </w:p>
        <w:p>
          <w:pPr>
            <w:pStyle w:val="Contents4"/>
            <w:tabs>
              <w:tab w:val="clear" w:pos="8176"/>
              <w:tab w:val="right" w:pos="9026" w:leader="dot"/>
            </w:tabs>
            <w:rPr/>
          </w:pPr>
          <w:hyperlink w:anchor="__RefHeading___Toc15202278_12804478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5202280_1280447820">
            <w:r>
              <w:rPr>
                <w:webHidden/>
                <w:rStyle w:val="IndexLink"/>
                <w:rtl w:val="true"/>
              </w:rPr>
              <w:t>مبحث اول</w:t>
            </w:r>
            <w:r>
              <w:rPr>
                <w:rStyle w:val="IndexLink"/>
                <w:rtl w:val="true"/>
              </w:rPr>
              <w:t xml:space="preserve">: </w:t>
            </w:r>
            <w:r>
              <w:rPr>
                <w:rStyle w:val="IndexLink"/>
                <w:rtl w:val="true"/>
              </w:rPr>
              <w:t>نسبت طول و عرض مسجد</w:t>
            </w:r>
            <w:r>
              <w:rPr>
                <w:rStyle w:val="IndexLink"/>
                <w:rtl w:val="true"/>
              </w:rPr>
              <w:tab/>
            </w:r>
            <w:r>
              <w:rPr>
                <w:rStyle w:val="IndexLink"/>
              </w:rPr>
              <w:t>115</w:t>
            </w:r>
          </w:hyperlink>
        </w:p>
        <w:p>
          <w:pPr>
            <w:pStyle w:val="Contents5"/>
            <w:tabs>
              <w:tab w:val="clear" w:pos="7892"/>
              <w:tab w:val="right" w:pos="9026" w:leader="dot"/>
            </w:tabs>
            <w:rPr/>
          </w:pPr>
          <w:hyperlink w:anchor="__RefHeading___Toc15202282_1280447820">
            <w:r>
              <w:rPr>
                <w:webHidden/>
                <w:rStyle w:val="IndexLink"/>
                <w:rtl w:val="true"/>
              </w:rPr>
              <w:t>گفتار اول</w:t>
            </w:r>
            <w:r>
              <w:rPr>
                <w:rStyle w:val="IndexLink"/>
                <w:rtl w:val="true"/>
              </w:rPr>
              <w:t xml:space="preserve">: </w:t>
            </w:r>
            <w:r>
              <w:rPr>
                <w:rStyle w:val="IndexLink"/>
                <w:rtl w:val="true"/>
              </w:rPr>
              <w:t>دیدگاه فقهای شیعه</w:t>
            </w:r>
            <w:r>
              <w:rPr>
                <w:rStyle w:val="IndexLink"/>
                <w:rtl w:val="true"/>
              </w:rPr>
              <w:tab/>
            </w:r>
            <w:r>
              <w:rPr>
                <w:rStyle w:val="IndexLink"/>
              </w:rPr>
              <w:t>115</w:t>
            </w:r>
          </w:hyperlink>
        </w:p>
        <w:p>
          <w:pPr>
            <w:pStyle w:val="Contents5"/>
            <w:tabs>
              <w:tab w:val="clear" w:pos="7892"/>
              <w:tab w:val="right" w:pos="9026" w:leader="dot"/>
            </w:tabs>
            <w:rPr/>
          </w:pPr>
          <w:hyperlink w:anchor="__RefHeading___Toc15202284_1280447820">
            <w:r>
              <w:rPr>
                <w:webHidden/>
                <w:rStyle w:val="IndexLink"/>
                <w:rtl w:val="true"/>
              </w:rPr>
              <w:t>گفتار دوم دیدگاه اهل سنت</w:t>
            </w:r>
            <w:r>
              <w:rPr>
                <w:rStyle w:val="IndexLink"/>
                <w:rtl w:val="true"/>
              </w:rPr>
              <w:tab/>
            </w:r>
            <w:r>
              <w:rPr>
                <w:rStyle w:val="IndexLink"/>
              </w:rPr>
              <w:t>117</w:t>
            </w:r>
          </w:hyperlink>
        </w:p>
        <w:p>
          <w:pPr>
            <w:pStyle w:val="Contents4"/>
            <w:tabs>
              <w:tab w:val="clear" w:pos="8176"/>
              <w:tab w:val="right" w:pos="9026" w:leader="dot"/>
            </w:tabs>
            <w:rPr/>
          </w:pPr>
          <w:hyperlink w:anchor="__RefHeading___Toc15202286_1280447820">
            <w:r>
              <w:rPr>
                <w:webHidden/>
                <w:rStyle w:val="IndexLink"/>
                <w:rtl w:val="true"/>
              </w:rPr>
              <w:t>مبحث دوم</w:t>
            </w:r>
            <w:r>
              <w:rPr>
                <w:rStyle w:val="IndexLink"/>
                <w:rtl w:val="true"/>
              </w:rPr>
              <w:t xml:space="preserve">: </w:t>
            </w:r>
            <w:r>
              <w:rPr>
                <w:rStyle w:val="IndexLink"/>
                <w:rtl w:val="true"/>
              </w:rPr>
              <w:t>ارتفاع ساختمان مسجد</w:t>
            </w:r>
            <w:r>
              <w:rPr>
                <w:rStyle w:val="IndexLink"/>
                <w:rtl w:val="true"/>
              </w:rPr>
              <w:tab/>
            </w:r>
            <w:r>
              <w:rPr>
                <w:rStyle w:val="IndexLink"/>
              </w:rPr>
              <w:t>118</w:t>
            </w:r>
          </w:hyperlink>
        </w:p>
        <w:p>
          <w:pPr>
            <w:pStyle w:val="Contents5"/>
            <w:tabs>
              <w:tab w:val="clear" w:pos="7892"/>
              <w:tab w:val="right" w:pos="9026" w:leader="dot"/>
            </w:tabs>
            <w:rPr/>
          </w:pPr>
          <w:hyperlink w:anchor="__RefHeading___Toc15202288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5202290_1280447820">
            <w:r>
              <w:rPr>
                <w:webHidden/>
                <w:rStyle w:val="IndexLink"/>
                <w:rtl w:val="true"/>
              </w:rPr>
              <w:t>گفتار اول</w:t>
            </w:r>
            <w:r>
              <w:rPr>
                <w:rStyle w:val="IndexLink"/>
                <w:rtl w:val="true"/>
              </w:rPr>
              <w:t xml:space="preserve">: </w:t>
            </w:r>
            <w:r>
              <w:rPr>
                <w:rStyle w:val="IndexLink"/>
                <w:rtl w:val="true"/>
              </w:rPr>
              <w:t>بررسی ارتفاع مساجد از دیدگاه فقهی</w:t>
            </w:r>
            <w:r>
              <w:rPr>
                <w:rStyle w:val="IndexLink"/>
                <w:rtl w:val="true"/>
              </w:rPr>
              <w:tab/>
            </w:r>
            <w:r>
              <w:rPr>
                <w:rStyle w:val="IndexLink"/>
              </w:rPr>
              <w:t>119</w:t>
            </w:r>
          </w:hyperlink>
        </w:p>
        <w:p>
          <w:pPr>
            <w:pStyle w:val="Contents6"/>
            <w:tabs>
              <w:tab w:val="clear" w:pos="7609"/>
              <w:tab w:val="right" w:pos="9026" w:leader="dot"/>
            </w:tabs>
            <w:rPr/>
          </w:pPr>
          <w:hyperlink w:anchor="__RefHeading___Toc15202292_128044782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5202294_1280447820">
            <w:r>
              <w:rPr>
                <w:webHidden/>
                <w:rStyle w:val="IndexLink"/>
                <w:rtl w:val="true"/>
              </w:rPr>
              <w:t>الف</w:t>
            </w:r>
            <w:r>
              <w:rPr>
                <w:rStyle w:val="IndexLink"/>
                <w:rtl w:val="true"/>
              </w:rPr>
              <w:t xml:space="preserve">) </w:t>
            </w:r>
            <w:r>
              <w:rPr>
                <w:rStyle w:val="IndexLink"/>
                <w:rtl w:val="true"/>
              </w:rPr>
              <w:t>دیدگاه فقهای شیعه</w:t>
            </w:r>
            <w:r>
              <w:rPr>
                <w:rStyle w:val="IndexLink"/>
                <w:rtl w:val="true"/>
              </w:rPr>
              <w:tab/>
            </w:r>
            <w:r>
              <w:rPr>
                <w:rStyle w:val="IndexLink"/>
              </w:rPr>
              <w:t>119</w:t>
            </w:r>
          </w:hyperlink>
        </w:p>
        <w:p>
          <w:pPr>
            <w:pStyle w:val="Contents6"/>
            <w:tabs>
              <w:tab w:val="clear" w:pos="7609"/>
              <w:tab w:val="right" w:pos="9026" w:leader="dot"/>
            </w:tabs>
            <w:rPr/>
          </w:pPr>
          <w:hyperlink w:anchor="__RefHeading___Toc15202296_1280447820">
            <w:r>
              <w:rPr>
                <w:webHidden/>
                <w:rStyle w:val="IndexLink"/>
                <w:rtl w:val="true"/>
              </w:rPr>
              <w:t>ب</w:t>
            </w:r>
            <w:r>
              <w:rPr>
                <w:rStyle w:val="IndexLink"/>
                <w:rtl w:val="true"/>
              </w:rPr>
              <w:t xml:space="preserve">) </w:t>
            </w:r>
            <w:r>
              <w:rPr>
                <w:rStyle w:val="IndexLink"/>
                <w:rtl w:val="true"/>
              </w:rPr>
              <w:t>دليل عدم ارتفاع ساختمان مسجد</w:t>
            </w:r>
            <w:r>
              <w:rPr>
                <w:rStyle w:val="IndexLink"/>
                <w:rtl w:val="true"/>
              </w:rPr>
              <w:tab/>
            </w:r>
            <w:r>
              <w:rPr>
                <w:rStyle w:val="IndexLink"/>
              </w:rPr>
              <w:t>119</w:t>
            </w:r>
          </w:hyperlink>
        </w:p>
        <w:p>
          <w:pPr>
            <w:pStyle w:val="Contents6"/>
            <w:tabs>
              <w:tab w:val="clear" w:pos="7609"/>
              <w:tab w:val="right" w:pos="9026" w:leader="dot"/>
            </w:tabs>
            <w:rPr/>
          </w:pPr>
          <w:hyperlink w:anchor="__RefHeading___Toc15202298_1280447820">
            <w:r>
              <w:rPr>
                <w:webHidden/>
                <w:rStyle w:val="IndexLink"/>
                <w:rtl w:val="true"/>
              </w:rPr>
              <w:t>ج</w:t>
            </w:r>
            <w:r>
              <w:rPr>
                <w:rStyle w:val="IndexLink"/>
                <w:rtl w:val="true"/>
              </w:rPr>
              <w:t xml:space="preserve">) </w:t>
            </w:r>
            <w:r>
              <w:rPr>
                <w:rStyle w:val="IndexLink"/>
                <w:rtl w:val="true"/>
              </w:rPr>
              <w:t>متوسط متعارف و متناسب با عرف زمان بودن ارتفاع مسجد</w:t>
            </w:r>
            <w:r>
              <w:rPr>
                <w:rStyle w:val="IndexLink"/>
                <w:rtl w:val="true"/>
              </w:rPr>
              <w:tab/>
            </w:r>
            <w:r>
              <w:rPr>
                <w:rStyle w:val="IndexLink"/>
              </w:rPr>
              <w:t>120</w:t>
            </w:r>
          </w:hyperlink>
        </w:p>
        <w:p>
          <w:pPr>
            <w:pStyle w:val="Contents6"/>
            <w:tabs>
              <w:tab w:val="clear" w:pos="7609"/>
              <w:tab w:val="right" w:pos="9026" w:leader="dot"/>
            </w:tabs>
            <w:rPr/>
          </w:pPr>
          <w:hyperlink w:anchor="__RefHeading___Toc15202300_1280447820">
            <w:r>
              <w:rPr>
                <w:webHidden/>
                <w:rStyle w:val="IndexLink"/>
                <w:rtl w:val="true"/>
              </w:rPr>
              <w:t>د</w:t>
            </w:r>
            <w:r>
              <w:rPr>
                <w:rStyle w:val="IndexLink"/>
                <w:rtl w:val="true"/>
              </w:rPr>
              <w:t xml:space="preserve">) </w:t>
            </w:r>
            <w:r>
              <w:rPr>
                <w:rStyle w:val="IndexLink"/>
                <w:rtl w:val="true"/>
              </w:rPr>
              <w:t>دیدگاه فقهای اهل سنّت</w:t>
            </w:r>
            <w:r>
              <w:rPr>
                <w:rStyle w:val="IndexLink"/>
                <w:rtl w:val="true"/>
              </w:rPr>
              <w:tab/>
            </w:r>
            <w:r>
              <w:rPr>
                <w:rStyle w:val="IndexLink"/>
              </w:rPr>
              <w:t>122</w:t>
            </w:r>
          </w:hyperlink>
        </w:p>
        <w:p>
          <w:pPr>
            <w:pStyle w:val="Contents6"/>
            <w:tabs>
              <w:tab w:val="clear" w:pos="7609"/>
              <w:tab w:val="right" w:pos="9026" w:leader="dot"/>
            </w:tabs>
            <w:rPr/>
          </w:pPr>
          <w:hyperlink w:anchor="__RefHeading___Toc15202302_1280447820">
            <w:r>
              <w:rPr>
                <w:webHidden/>
                <w:rStyle w:val="IndexLink"/>
              </w:rPr>
              <w:t>1</w:t>
            </w:r>
            <w:r>
              <w:rPr>
                <w:rStyle w:val="IndexLink"/>
                <w:rtl w:val="true"/>
              </w:rPr>
              <w:t xml:space="preserve">. </w:t>
            </w:r>
            <w:r>
              <w:rPr>
                <w:rStyle w:val="IndexLink"/>
                <w:rtl w:val="true"/>
              </w:rPr>
              <w:t>مذهب حنبلی</w:t>
            </w:r>
            <w:r>
              <w:rPr>
                <w:rStyle w:val="IndexLink"/>
                <w:rtl w:val="true"/>
              </w:rPr>
              <w:tab/>
            </w:r>
            <w:r>
              <w:rPr>
                <w:rStyle w:val="IndexLink"/>
              </w:rPr>
              <w:t>122</w:t>
            </w:r>
          </w:hyperlink>
        </w:p>
        <w:p>
          <w:pPr>
            <w:pStyle w:val="Contents4"/>
            <w:tabs>
              <w:tab w:val="clear" w:pos="8176"/>
              <w:tab w:val="right" w:pos="9026" w:leader="dot"/>
            </w:tabs>
            <w:rPr/>
          </w:pPr>
          <w:hyperlink w:anchor="__RefHeading___Toc15202304_1280447820">
            <w:r>
              <w:rPr>
                <w:webHidden/>
                <w:rStyle w:val="IndexLink"/>
                <w:rtl w:val="true"/>
              </w:rPr>
              <w:t>مبحث سوم ساختن کنگره برای مسجد</w:t>
            </w:r>
            <w:r>
              <w:rPr>
                <w:rStyle w:val="IndexLink"/>
                <w:rtl w:val="true"/>
              </w:rPr>
              <w:tab/>
            </w:r>
            <w:r>
              <w:rPr>
                <w:rStyle w:val="IndexLink"/>
              </w:rPr>
              <w:t>124</w:t>
            </w:r>
          </w:hyperlink>
        </w:p>
        <w:p>
          <w:pPr>
            <w:pStyle w:val="Contents5"/>
            <w:tabs>
              <w:tab w:val="clear" w:pos="7892"/>
              <w:tab w:val="right" w:pos="9026" w:leader="dot"/>
            </w:tabs>
            <w:rPr/>
          </w:pPr>
          <w:hyperlink w:anchor="__RefHeading___Toc15202306_1280447820">
            <w:r>
              <w:rPr>
                <w:webHidden/>
                <w:rStyle w:val="IndexLink"/>
                <w:rtl w:val="true"/>
              </w:rPr>
              <w:t>گفتار اول</w:t>
            </w:r>
            <w:r>
              <w:rPr>
                <w:rStyle w:val="IndexLink"/>
                <w:rtl w:val="true"/>
              </w:rPr>
              <w:t xml:space="preserve">: </w:t>
            </w:r>
            <w:r>
              <w:rPr>
                <w:rStyle w:val="IndexLink"/>
                <w:rtl w:val="true"/>
              </w:rPr>
              <w:t>دیدگاه فقیهان شیعه</w:t>
            </w:r>
            <w:r>
              <w:rPr>
                <w:rStyle w:val="IndexLink"/>
                <w:rtl w:val="true"/>
              </w:rPr>
              <w:tab/>
            </w:r>
            <w:r>
              <w:rPr>
                <w:rStyle w:val="IndexLink"/>
              </w:rPr>
              <w:t>124</w:t>
            </w:r>
          </w:hyperlink>
        </w:p>
        <w:p>
          <w:pPr>
            <w:pStyle w:val="Contents5"/>
            <w:tabs>
              <w:tab w:val="clear" w:pos="7892"/>
              <w:tab w:val="right" w:pos="9026" w:leader="dot"/>
            </w:tabs>
            <w:rPr/>
          </w:pPr>
          <w:hyperlink w:anchor="__RefHeading___Toc15202308_1280447820">
            <w:r>
              <w:rPr>
                <w:webHidden/>
                <w:rStyle w:val="IndexLink"/>
                <w:rtl w:val="true"/>
              </w:rPr>
              <w:t>گفتار دوم</w:t>
            </w:r>
            <w:r>
              <w:rPr>
                <w:rStyle w:val="IndexLink"/>
                <w:rtl w:val="true"/>
              </w:rPr>
              <w:t xml:space="preserve">: </w:t>
            </w:r>
            <w:r>
              <w:rPr>
                <w:rStyle w:val="IndexLink"/>
                <w:rtl w:val="true"/>
              </w:rPr>
              <w:t>دلیل کراهت کنگره برای مسجد</w:t>
            </w:r>
            <w:r>
              <w:rPr>
                <w:rStyle w:val="IndexLink"/>
                <w:rtl w:val="true"/>
              </w:rPr>
              <w:tab/>
            </w:r>
            <w:r>
              <w:rPr>
                <w:rStyle w:val="IndexLink"/>
              </w:rPr>
              <w:t>126</w:t>
            </w:r>
          </w:hyperlink>
        </w:p>
        <w:p>
          <w:pPr>
            <w:pStyle w:val="Contents5"/>
            <w:tabs>
              <w:tab w:val="clear" w:pos="7892"/>
              <w:tab w:val="right" w:pos="9026" w:leader="dot"/>
            </w:tabs>
            <w:rPr/>
          </w:pPr>
          <w:hyperlink w:anchor="__RefHeading___Toc15202310_1280447820">
            <w:r>
              <w:rPr>
                <w:webHidden/>
                <w:rStyle w:val="IndexLink"/>
                <w:rtl w:val="true"/>
              </w:rPr>
              <w:t>گفتار سوم</w:t>
            </w:r>
            <w:r>
              <w:rPr>
                <w:rStyle w:val="IndexLink"/>
                <w:rtl w:val="true"/>
              </w:rPr>
              <w:t xml:space="preserve">: </w:t>
            </w:r>
            <w:r>
              <w:rPr>
                <w:rStyle w:val="IndexLink"/>
                <w:rtl w:val="true"/>
              </w:rPr>
              <w:t>دیدگاه اهل سنت</w:t>
            </w:r>
            <w:r>
              <w:rPr>
                <w:rStyle w:val="IndexLink"/>
                <w:rtl w:val="true"/>
              </w:rPr>
              <w:tab/>
            </w:r>
            <w:r>
              <w:rPr>
                <w:rStyle w:val="IndexLink"/>
              </w:rPr>
              <w:t>126</w:t>
            </w:r>
          </w:hyperlink>
        </w:p>
        <w:p>
          <w:pPr>
            <w:pStyle w:val="Contents4"/>
            <w:tabs>
              <w:tab w:val="clear" w:pos="8176"/>
              <w:tab w:val="right" w:pos="9026" w:leader="dot"/>
            </w:tabs>
            <w:rPr/>
          </w:pPr>
          <w:hyperlink w:anchor="__RefHeading___Toc15202312_1280447820">
            <w:r>
              <w:rPr>
                <w:webHidden/>
                <w:rStyle w:val="IndexLink"/>
                <w:rtl w:val="true"/>
              </w:rPr>
              <w:t>مبحث چهارم</w:t>
            </w:r>
            <w:r>
              <w:rPr>
                <w:rStyle w:val="IndexLink"/>
                <w:rtl w:val="true"/>
              </w:rPr>
              <w:t xml:space="preserve">: </w:t>
            </w:r>
            <w:r>
              <w:rPr>
                <w:rStyle w:val="IndexLink"/>
                <w:rtl w:val="true"/>
              </w:rPr>
              <w:t>محراب مسجد</w:t>
            </w:r>
            <w:r>
              <w:rPr>
                <w:rStyle w:val="IndexLink"/>
                <w:rtl w:val="true"/>
              </w:rPr>
              <w:tab/>
            </w:r>
            <w:r>
              <w:rPr>
                <w:rStyle w:val="IndexLink"/>
              </w:rPr>
              <w:t>128</w:t>
            </w:r>
          </w:hyperlink>
        </w:p>
        <w:p>
          <w:pPr>
            <w:pStyle w:val="Contents5"/>
            <w:tabs>
              <w:tab w:val="clear" w:pos="7892"/>
              <w:tab w:val="right" w:pos="9026" w:leader="dot"/>
            </w:tabs>
            <w:rPr/>
          </w:pPr>
          <w:hyperlink w:anchor="__RefHeading___Toc15202314_128044782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5202316_1280447820">
            <w:r>
              <w:rPr>
                <w:webHidden/>
                <w:rStyle w:val="IndexLink"/>
                <w:rtl w:val="true"/>
              </w:rPr>
              <w:t>گفتار اول</w:t>
            </w:r>
            <w:r>
              <w:rPr>
                <w:rStyle w:val="IndexLink"/>
                <w:rtl w:val="true"/>
              </w:rPr>
              <w:t xml:space="preserve">: </w:t>
            </w:r>
            <w:r>
              <w:rPr>
                <w:rStyle w:val="IndexLink"/>
                <w:rtl w:val="true"/>
              </w:rPr>
              <w:t>مفاهیم</w:t>
            </w:r>
            <w:r>
              <w:rPr>
                <w:rStyle w:val="IndexLink"/>
                <w:rtl w:val="true"/>
              </w:rPr>
              <w:tab/>
            </w:r>
            <w:r>
              <w:rPr>
                <w:rStyle w:val="IndexLink"/>
              </w:rPr>
              <w:t>128</w:t>
            </w:r>
          </w:hyperlink>
        </w:p>
        <w:p>
          <w:pPr>
            <w:pStyle w:val="Contents6"/>
            <w:tabs>
              <w:tab w:val="clear" w:pos="7609"/>
              <w:tab w:val="right" w:pos="9026" w:leader="dot"/>
            </w:tabs>
            <w:rPr/>
          </w:pPr>
          <w:hyperlink w:anchor="__RefHeading___Toc15202318_1280447820">
            <w:r>
              <w:rPr>
                <w:webHidden/>
                <w:rStyle w:val="IndexLink"/>
                <w:rtl w:val="true"/>
              </w:rPr>
              <w:t>الف</w:t>
            </w:r>
            <w:r>
              <w:rPr>
                <w:rStyle w:val="IndexLink"/>
                <w:rtl w:val="true"/>
              </w:rPr>
              <w:t xml:space="preserve">) </w:t>
            </w:r>
            <w:r>
              <w:rPr>
                <w:rStyle w:val="IndexLink"/>
                <w:rtl w:val="true"/>
              </w:rPr>
              <w:t>محراب در لغت</w:t>
            </w:r>
            <w:r>
              <w:rPr>
                <w:rStyle w:val="IndexLink"/>
                <w:rtl w:val="true"/>
              </w:rPr>
              <w:tab/>
            </w:r>
            <w:r>
              <w:rPr>
                <w:rStyle w:val="IndexLink"/>
              </w:rPr>
              <w:t>128</w:t>
            </w:r>
          </w:hyperlink>
        </w:p>
        <w:p>
          <w:pPr>
            <w:pStyle w:val="Contents6"/>
            <w:tabs>
              <w:tab w:val="clear" w:pos="7609"/>
              <w:tab w:val="right" w:pos="9026" w:leader="dot"/>
            </w:tabs>
            <w:rPr/>
          </w:pPr>
          <w:hyperlink w:anchor="__RefHeading___Toc15202320_1280447820">
            <w:r>
              <w:rPr>
                <w:webHidden/>
                <w:rStyle w:val="IndexLink"/>
                <w:rtl w:val="true"/>
              </w:rPr>
              <w:t>ب</w:t>
            </w:r>
            <w:r>
              <w:rPr>
                <w:rStyle w:val="IndexLink"/>
                <w:rtl w:val="true"/>
              </w:rPr>
              <w:t xml:space="preserve">) </w:t>
            </w:r>
            <w:r>
              <w:rPr>
                <w:rStyle w:val="IndexLink"/>
                <w:rtl w:val="true"/>
              </w:rPr>
              <w:t>محراب در اصطلاح</w:t>
            </w:r>
            <w:r>
              <w:rPr>
                <w:rStyle w:val="IndexLink"/>
                <w:rtl w:val="true"/>
              </w:rPr>
              <w:tab/>
            </w:r>
            <w:r>
              <w:rPr>
                <w:rStyle w:val="IndexLink"/>
              </w:rPr>
              <w:t>129</w:t>
            </w:r>
          </w:hyperlink>
        </w:p>
        <w:p>
          <w:pPr>
            <w:pStyle w:val="Contents6"/>
            <w:tabs>
              <w:tab w:val="clear" w:pos="7609"/>
              <w:tab w:val="right" w:pos="9026" w:leader="dot"/>
            </w:tabs>
            <w:rPr/>
          </w:pPr>
          <w:hyperlink w:anchor="__RefHeading___Toc15202322_1280447820">
            <w:r>
              <w:rPr>
                <w:webHidden/>
                <w:rStyle w:val="IndexLink"/>
                <w:rtl w:val="true"/>
              </w:rPr>
              <w:t>ج</w:t>
            </w:r>
            <w:r>
              <w:rPr>
                <w:rStyle w:val="IndexLink"/>
                <w:rtl w:val="true"/>
              </w:rPr>
              <w:t xml:space="preserve">) </w:t>
            </w:r>
            <w:r>
              <w:rPr>
                <w:rStyle w:val="IndexLink"/>
                <w:rtl w:val="true"/>
              </w:rPr>
              <w:t>محراب در آیات قرآن</w:t>
            </w:r>
            <w:r>
              <w:rPr>
                <w:rStyle w:val="IndexLink"/>
                <w:rtl w:val="true"/>
              </w:rPr>
              <w:tab/>
            </w:r>
            <w:r>
              <w:rPr>
                <w:rStyle w:val="IndexLink"/>
              </w:rPr>
              <w:t>130</w:t>
            </w:r>
          </w:hyperlink>
        </w:p>
        <w:p>
          <w:pPr>
            <w:pStyle w:val="Contents6"/>
            <w:tabs>
              <w:tab w:val="clear" w:pos="7609"/>
              <w:tab w:val="right" w:pos="9026" w:leader="dot"/>
            </w:tabs>
            <w:rPr/>
          </w:pPr>
          <w:hyperlink w:anchor="__RefHeading___Toc15202324_1280447820">
            <w:r>
              <w:rPr>
                <w:webHidden/>
                <w:rStyle w:val="IndexLink"/>
                <w:rtl w:val="true"/>
              </w:rPr>
              <w:t>د</w:t>
            </w:r>
            <w:r>
              <w:rPr>
                <w:rStyle w:val="IndexLink"/>
                <w:rtl w:val="true"/>
              </w:rPr>
              <w:t xml:space="preserve">) </w:t>
            </w:r>
            <w:r>
              <w:rPr>
                <w:rStyle w:val="IndexLink"/>
                <w:rtl w:val="true"/>
              </w:rPr>
              <w:t>محرابهای مسجد النبی صلی الله علیه و آله</w:t>
            </w:r>
            <w:r>
              <w:rPr>
                <w:rStyle w:val="IndexLink"/>
                <w:rtl w:val="true"/>
              </w:rPr>
              <w:tab/>
            </w:r>
            <w:r>
              <w:rPr>
                <w:rStyle w:val="IndexLink"/>
              </w:rPr>
              <w:t>130</w:t>
            </w:r>
          </w:hyperlink>
        </w:p>
        <w:p>
          <w:pPr>
            <w:pStyle w:val="Contents5"/>
            <w:tabs>
              <w:tab w:val="clear" w:pos="7892"/>
              <w:tab w:val="right" w:pos="9026" w:leader="dot"/>
            </w:tabs>
            <w:rPr/>
          </w:pPr>
          <w:hyperlink w:anchor="__RefHeading___Toc15202326_1280447820">
            <w:r>
              <w:rPr>
                <w:webHidden/>
                <w:rStyle w:val="IndexLink"/>
                <w:rtl w:val="true"/>
              </w:rPr>
              <w:t>گفتار دوم</w:t>
            </w:r>
            <w:r>
              <w:rPr>
                <w:rStyle w:val="IndexLink"/>
                <w:rtl w:val="true"/>
              </w:rPr>
              <w:t xml:space="preserve">: </w:t>
            </w:r>
            <w:r>
              <w:rPr>
                <w:rStyle w:val="IndexLink"/>
                <w:rtl w:val="true"/>
              </w:rPr>
              <w:t>دیدگاه فقیهان امامیه پیرامون ساختن محراب</w:t>
            </w:r>
            <w:r>
              <w:rPr>
                <w:rStyle w:val="IndexLink"/>
                <w:rtl w:val="true"/>
              </w:rPr>
              <w:tab/>
            </w:r>
            <w:r>
              <w:rPr>
                <w:rStyle w:val="IndexLink"/>
              </w:rPr>
              <w:t>132</w:t>
            </w:r>
          </w:hyperlink>
        </w:p>
        <w:p>
          <w:pPr>
            <w:pStyle w:val="Contents6"/>
            <w:tabs>
              <w:tab w:val="clear" w:pos="7609"/>
              <w:tab w:val="right" w:pos="9026" w:leader="dot"/>
            </w:tabs>
            <w:rPr/>
          </w:pPr>
          <w:hyperlink w:anchor="__RefHeading___Toc15202328_128044782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15202330_1280447820">
            <w:r>
              <w:rPr>
                <w:webHidden/>
                <w:rStyle w:val="IndexLink"/>
                <w:rtl w:val="true"/>
              </w:rPr>
              <w:t>الف</w:t>
            </w:r>
            <w:r>
              <w:rPr>
                <w:rStyle w:val="IndexLink"/>
                <w:rtl w:val="true"/>
              </w:rPr>
              <w:t xml:space="preserve">. </w:t>
            </w:r>
            <w:r>
              <w:rPr>
                <w:rStyle w:val="IndexLink"/>
                <w:rtl w:val="true"/>
              </w:rPr>
              <w:t>دیدگاه اول کراهت ساخت محراب</w:t>
            </w:r>
            <w:r>
              <w:rPr>
                <w:rStyle w:val="IndexLink"/>
                <w:rtl w:val="true"/>
              </w:rPr>
              <w:tab/>
            </w:r>
            <w:r>
              <w:rPr>
                <w:rStyle w:val="IndexLink"/>
              </w:rPr>
              <w:t>132</w:t>
            </w:r>
          </w:hyperlink>
        </w:p>
        <w:p>
          <w:pPr>
            <w:pStyle w:val="Contents6"/>
            <w:tabs>
              <w:tab w:val="clear" w:pos="7609"/>
              <w:tab w:val="right" w:pos="9026" w:leader="dot"/>
            </w:tabs>
            <w:rPr/>
          </w:pPr>
          <w:hyperlink w:anchor="__RefHeading___Toc15202332_1280447820">
            <w:r>
              <w:rPr>
                <w:webHidden/>
                <w:rStyle w:val="IndexLink"/>
                <w:rtl w:val="true"/>
              </w:rPr>
              <w:t>ب</w:t>
            </w:r>
            <w:r>
              <w:rPr>
                <w:rStyle w:val="IndexLink"/>
                <w:rtl w:val="true"/>
              </w:rPr>
              <w:t xml:space="preserve">. </w:t>
            </w:r>
            <w:r>
              <w:rPr>
                <w:rStyle w:val="IndexLink"/>
                <w:rtl w:val="true"/>
              </w:rPr>
              <w:t>دیدگاه دوم جواز ساختن محراب</w:t>
            </w:r>
            <w:r>
              <w:rPr>
                <w:rStyle w:val="IndexLink"/>
                <w:rtl w:val="true"/>
              </w:rPr>
              <w:tab/>
            </w:r>
            <w:r>
              <w:rPr>
                <w:rStyle w:val="IndexLink"/>
              </w:rPr>
              <w:t>133</w:t>
            </w:r>
          </w:hyperlink>
        </w:p>
        <w:p>
          <w:pPr>
            <w:pStyle w:val="Contents6"/>
            <w:tabs>
              <w:tab w:val="clear" w:pos="7609"/>
              <w:tab w:val="right" w:pos="9026" w:leader="dot"/>
            </w:tabs>
            <w:rPr/>
          </w:pPr>
          <w:hyperlink w:anchor="__RefHeading___Toc15202334_1280447820">
            <w:r>
              <w:rPr>
                <w:webHidden/>
                <w:rStyle w:val="IndexLink"/>
                <w:rtl w:val="true"/>
              </w:rPr>
              <w:t>ج</w:t>
            </w:r>
            <w:r>
              <w:rPr>
                <w:rStyle w:val="IndexLink"/>
                <w:rtl w:val="true"/>
              </w:rPr>
              <w:t xml:space="preserve">. </w:t>
            </w:r>
            <w:r>
              <w:rPr>
                <w:rStyle w:val="IndexLink"/>
                <w:rtl w:val="true"/>
              </w:rPr>
              <w:t>دیدگاه سوّم</w:t>
            </w:r>
            <w:r>
              <w:rPr>
                <w:rStyle w:val="IndexLink"/>
                <w:rtl w:val="true"/>
              </w:rPr>
              <w:t xml:space="preserve">: </w:t>
            </w:r>
            <w:r>
              <w:rPr>
                <w:rStyle w:val="IndexLink"/>
                <w:rtl w:val="true"/>
              </w:rPr>
              <w:t>استحباب ساختن محراب</w:t>
            </w:r>
            <w:r>
              <w:rPr>
                <w:rStyle w:val="IndexLink"/>
                <w:rtl w:val="true"/>
              </w:rPr>
              <w:tab/>
            </w:r>
            <w:r>
              <w:rPr>
                <w:rStyle w:val="IndexLink"/>
              </w:rPr>
              <w:t>134</w:t>
            </w:r>
          </w:hyperlink>
        </w:p>
        <w:p>
          <w:pPr>
            <w:pStyle w:val="Contents6"/>
            <w:tabs>
              <w:tab w:val="clear" w:pos="7609"/>
              <w:tab w:val="right" w:pos="9026" w:leader="dot"/>
            </w:tabs>
            <w:rPr/>
          </w:pPr>
          <w:hyperlink w:anchor="__RefHeading___Toc15202336_1280447820">
            <w:r>
              <w:rPr>
                <w:webHidden/>
                <w:rStyle w:val="IndexLink"/>
                <w:rtl w:val="true"/>
              </w:rPr>
              <w:t>د</w:t>
            </w:r>
            <w:r>
              <w:rPr>
                <w:rStyle w:val="IndexLink"/>
                <w:rtl w:val="true"/>
              </w:rPr>
              <w:t xml:space="preserve">. </w:t>
            </w:r>
            <w:r>
              <w:rPr>
                <w:rStyle w:val="IndexLink"/>
                <w:rtl w:val="true"/>
              </w:rPr>
              <w:t>دیدگاه چهارم</w:t>
            </w:r>
            <w:r>
              <w:rPr>
                <w:rStyle w:val="IndexLink"/>
                <w:rtl w:val="true"/>
              </w:rPr>
              <w:t xml:space="preserve">: </w:t>
            </w:r>
            <w:r>
              <w:rPr>
                <w:rStyle w:val="IndexLink"/>
                <w:rtl w:val="true"/>
              </w:rPr>
              <w:t>حرمت ساخت محراب در داخل فضای مسجد</w:t>
            </w:r>
            <w:r>
              <w:rPr>
                <w:rStyle w:val="IndexLink"/>
                <w:rtl w:val="true"/>
              </w:rPr>
              <w:tab/>
            </w:r>
            <w:r>
              <w:rPr>
                <w:rStyle w:val="IndexLink"/>
              </w:rPr>
              <w:t>134</w:t>
            </w:r>
          </w:hyperlink>
        </w:p>
        <w:p>
          <w:pPr>
            <w:pStyle w:val="Contents6"/>
            <w:tabs>
              <w:tab w:val="clear" w:pos="7609"/>
              <w:tab w:val="right" w:pos="9026" w:leader="dot"/>
            </w:tabs>
            <w:rPr/>
          </w:pPr>
          <w:hyperlink w:anchor="__RefHeading___Toc15202338_1280447820">
            <w:r>
              <w:rPr>
                <w:webHidden/>
                <w:rStyle w:val="IndexLink"/>
                <w:rtl w:val="true"/>
              </w:rPr>
              <w:t>ه</w:t>
            </w:r>
            <w:r>
              <w:rPr>
                <w:rStyle w:val="IndexLink"/>
                <w:rtl w:val="true"/>
              </w:rPr>
              <w:t xml:space="preserve">. </w:t>
            </w:r>
            <w:r>
              <w:rPr>
                <w:rStyle w:val="IndexLink"/>
                <w:rtl w:val="true"/>
              </w:rPr>
              <w:t>جمع بندی دیدگاه فقها</w:t>
            </w:r>
            <w:r>
              <w:rPr>
                <w:rStyle w:val="IndexLink"/>
                <w:rtl w:val="true"/>
              </w:rPr>
              <w:tab/>
            </w:r>
            <w:r>
              <w:rPr>
                <w:rStyle w:val="IndexLink"/>
              </w:rPr>
              <w:t>135</w:t>
            </w:r>
          </w:hyperlink>
        </w:p>
        <w:p>
          <w:pPr>
            <w:pStyle w:val="Contents5"/>
            <w:tabs>
              <w:tab w:val="clear" w:pos="7892"/>
              <w:tab w:val="right" w:pos="9026" w:leader="dot"/>
            </w:tabs>
            <w:rPr/>
          </w:pPr>
          <w:hyperlink w:anchor="__RefHeading___Toc15202340_1280447820">
            <w:r>
              <w:rPr>
                <w:webHidden/>
                <w:rStyle w:val="IndexLink"/>
                <w:rtl w:val="true"/>
              </w:rPr>
              <w:t>گفتار سوم</w:t>
            </w:r>
            <w:r>
              <w:rPr>
                <w:rStyle w:val="IndexLink"/>
                <w:rtl w:val="true"/>
              </w:rPr>
              <w:t xml:space="preserve">: </w:t>
            </w:r>
            <w:r>
              <w:rPr>
                <w:rStyle w:val="IndexLink"/>
                <w:rtl w:val="true"/>
              </w:rPr>
              <w:t>دیدگاه اهل سنّت در ساختن محراب</w:t>
            </w:r>
            <w:r>
              <w:rPr>
                <w:rStyle w:val="IndexLink"/>
                <w:rtl w:val="true"/>
              </w:rPr>
              <w:tab/>
            </w:r>
            <w:r>
              <w:rPr>
                <w:rStyle w:val="IndexLink"/>
              </w:rPr>
              <w:t>140</w:t>
            </w:r>
          </w:hyperlink>
        </w:p>
        <w:p>
          <w:pPr>
            <w:pStyle w:val="Contents6"/>
            <w:tabs>
              <w:tab w:val="clear" w:pos="7609"/>
              <w:tab w:val="right" w:pos="9026" w:leader="dot"/>
            </w:tabs>
            <w:rPr/>
          </w:pPr>
          <w:hyperlink w:anchor="__RefHeading___Toc15202342_128044782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5202344_1280447820">
            <w:r>
              <w:rPr>
                <w:webHidden/>
                <w:rStyle w:val="IndexLink"/>
              </w:rPr>
              <w:t>1</w:t>
            </w:r>
            <w:r>
              <w:rPr>
                <w:rStyle w:val="IndexLink"/>
                <w:rtl w:val="true"/>
              </w:rPr>
              <w:t xml:space="preserve">. </w:t>
            </w:r>
            <w:r>
              <w:rPr>
                <w:rStyle w:val="IndexLink"/>
                <w:rtl w:val="true"/>
              </w:rPr>
              <w:t>مذهب حنبلی</w:t>
            </w:r>
            <w:r>
              <w:rPr>
                <w:rStyle w:val="IndexLink"/>
                <w:rtl w:val="true"/>
              </w:rPr>
              <w:tab/>
            </w:r>
            <w:r>
              <w:rPr>
                <w:rStyle w:val="IndexLink"/>
              </w:rPr>
              <w:t>140</w:t>
            </w:r>
          </w:hyperlink>
        </w:p>
        <w:p>
          <w:pPr>
            <w:pStyle w:val="Contents6"/>
            <w:tabs>
              <w:tab w:val="clear" w:pos="7609"/>
              <w:tab w:val="right" w:pos="9026" w:leader="dot"/>
            </w:tabs>
            <w:rPr/>
          </w:pPr>
          <w:hyperlink w:anchor="__RefHeading___Toc15202346_128044782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5202348_128044782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5202350_1280447820">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مذهب حنفی و مالکی</w:t>
            </w:r>
            <w:r>
              <w:rPr>
                <w:rStyle w:val="IndexLink"/>
                <w:rtl w:val="true"/>
              </w:rPr>
              <w:tab/>
            </w:r>
            <w:r>
              <w:rPr>
                <w:rStyle w:val="IndexLink"/>
              </w:rPr>
              <w:t>141</w:t>
            </w:r>
          </w:hyperlink>
        </w:p>
        <w:p>
          <w:pPr>
            <w:pStyle w:val="Contents4"/>
            <w:tabs>
              <w:tab w:val="clear" w:pos="8176"/>
              <w:tab w:val="right" w:pos="9026" w:leader="dot"/>
            </w:tabs>
            <w:rPr/>
          </w:pPr>
          <w:hyperlink w:anchor="__RefHeading___Toc15202352_1280447820">
            <w:r>
              <w:rPr>
                <w:webHidden/>
                <w:rStyle w:val="IndexLink"/>
                <w:rtl w:val="true"/>
              </w:rPr>
              <w:t>مبحث پنجم</w:t>
            </w:r>
            <w:r>
              <w:rPr>
                <w:rStyle w:val="IndexLink"/>
                <w:rtl w:val="true"/>
              </w:rPr>
              <w:t xml:space="preserve">: </w:t>
            </w:r>
            <w:r>
              <w:rPr>
                <w:rStyle w:val="IndexLink"/>
                <w:rtl w:val="true"/>
              </w:rPr>
              <w:t>قرار دادن منبر در مسجد</w:t>
            </w:r>
            <w:r>
              <w:rPr>
                <w:rStyle w:val="IndexLink"/>
                <w:rtl w:val="true"/>
              </w:rPr>
              <w:tab/>
            </w:r>
            <w:r>
              <w:rPr>
                <w:rStyle w:val="IndexLink"/>
              </w:rPr>
              <w:t>141</w:t>
            </w:r>
          </w:hyperlink>
        </w:p>
        <w:p>
          <w:pPr>
            <w:pStyle w:val="Contents5"/>
            <w:tabs>
              <w:tab w:val="clear" w:pos="7892"/>
              <w:tab w:val="right" w:pos="9026" w:leader="dot"/>
            </w:tabs>
            <w:rPr/>
          </w:pPr>
          <w:hyperlink w:anchor="__RefHeading___Toc15202354_128044782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5202356_1280447820">
            <w:r>
              <w:rPr>
                <w:webHidden/>
                <w:rStyle w:val="IndexLink"/>
                <w:rtl w:val="true"/>
              </w:rPr>
              <w:t>گفتار دوم</w:t>
            </w:r>
            <w:r>
              <w:rPr>
                <w:rStyle w:val="IndexLink"/>
                <w:rtl w:val="true"/>
              </w:rPr>
              <w:t xml:space="preserve">: </w:t>
            </w:r>
            <w:r>
              <w:rPr>
                <w:rStyle w:val="IndexLink"/>
                <w:rtl w:val="true"/>
              </w:rPr>
              <w:t>منبر پیامبر صلی الله علیه و آله</w:t>
            </w:r>
            <w:r>
              <w:rPr>
                <w:rStyle w:val="IndexLink"/>
                <w:rtl w:val="true"/>
              </w:rPr>
              <w:tab/>
            </w:r>
            <w:r>
              <w:rPr>
                <w:rStyle w:val="IndexLink"/>
              </w:rPr>
              <w:t>142</w:t>
            </w:r>
          </w:hyperlink>
        </w:p>
        <w:p>
          <w:pPr>
            <w:pStyle w:val="Contents5"/>
            <w:tabs>
              <w:tab w:val="clear" w:pos="7892"/>
              <w:tab w:val="right" w:pos="9026" w:leader="dot"/>
            </w:tabs>
            <w:rPr/>
          </w:pPr>
          <w:hyperlink w:anchor="__RefHeading___Toc15202358_1280447820">
            <w:r>
              <w:rPr>
                <w:webHidden/>
                <w:rStyle w:val="IndexLink"/>
                <w:rtl w:val="true"/>
              </w:rPr>
              <w:t>گفتار سوم</w:t>
            </w:r>
            <w:r>
              <w:rPr>
                <w:rStyle w:val="IndexLink"/>
                <w:rtl w:val="true"/>
              </w:rPr>
              <w:t xml:space="preserve">: </w:t>
            </w:r>
            <w:r>
              <w:rPr>
                <w:rStyle w:val="IndexLink"/>
                <w:rtl w:val="true"/>
              </w:rPr>
              <w:t>فضیلت و مقام معنوی منبر پیامبر صلی الله علیه و آله</w:t>
            </w:r>
            <w:r>
              <w:rPr>
                <w:rStyle w:val="IndexLink"/>
                <w:rtl w:val="true"/>
              </w:rPr>
              <w:tab/>
            </w:r>
            <w:r>
              <w:rPr>
                <w:rStyle w:val="IndexLink"/>
              </w:rPr>
              <w:t>143</w:t>
            </w:r>
          </w:hyperlink>
        </w:p>
        <w:p>
          <w:pPr>
            <w:pStyle w:val="Contents6"/>
            <w:tabs>
              <w:tab w:val="clear" w:pos="7609"/>
              <w:tab w:val="right" w:pos="9026" w:leader="dot"/>
            </w:tabs>
            <w:rPr/>
          </w:pPr>
          <w:hyperlink w:anchor="__RefHeading___Toc15202360_1280447820">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15202362_1280447820">
            <w:r>
              <w:rPr>
                <w:webHidden/>
                <w:rStyle w:val="IndexLink"/>
                <w:rtl w:val="true"/>
              </w:rPr>
              <w:t>الف</w:t>
            </w:r>
            <w:r>
              <w:rPr>
                <w:rStyle w:val="IndexLink"/>
                <w:rtl w:val="true"/>
              </w:rPr>
              <w:t xml:space="preserve">) </w:t>
            </w:r>
            <w:r>
              <w:rPr>
                <w:rStyle w:val="IndexLink"/>
                <w:rtl w:val="true"/>
              </w:rPr>
              <w:t>استحباب تبرک جستن به منبر، نماز خواندن و دعا کردن کنار آن نزد شیعه</w:t>
            </w:r>
            <w:r>
              <w:rPr>
                <w:rStyle w:val="IndexLink"/>
                <w:rtl w:val="true"/>
              </w:rPr>
              <w:tab/>
            </w:r>
            <w:r>
              <w:rPr>
                <w:rStyle w:val="IndexLink"/>
              </w:rPr>
              <w:t>144</w:t>
            </w:r>
          </w:hyperlink>
        </w:p>
        <w:p>
          <w:pPr>
            <w:pStyle w:val="Contents6"/>
            <w:tabs>
              <w:tab w:val="clear" w:pos="7609"/>
              <w:tab w:val="right" w:pos="9026" w:leader="dot"/>
            </w:tabs>
            <w:rPr/>
          </w:pPr>
          <w:hyperlink w:anchor="__RefHeading___Toc15202364_1280447820">
            <w:r>
              <w:rPr>
                <w:webHidden/>
                <w:rStyle w:val="IndexLink"/>
                <w:rtl w:val="true"/>
              </w:rPr>
              <w:t>ب</w:t>
            </w:r>
            <w:r>
              <w:rPr>
                <w:rStyle w:val="IndexLink"/>
                <w:rtl w:val="true"/>
              </w:rPr>
              <w:t xml:space="preserve">) </w:t>
            </w:r>
            <w:r>
              <w:rPr>
                <w:rStyle w:val="IndexLink"/>
                <w:rtl w:val="true"/>
              </w:rPr>
              <w:t>جواز یا استحباب بوسیدن منبر پیامبر صلی الله علیه و آله از دیدگاه اهل سنت</w:t>
            </w:r>
            <w:r>
              <w:rPr>
                <w:rStyle w:val="IndexLink"/>
                <w:rtl w:val="true"/>
              </w:rPr>
              <w:tab/>
            </w:r>
            <w:r>
              <w:rPr>
                <w:rStyle w:val="IndexLink"/>
              </w:rPr>
              <w:t>145</w:t>
            </w:r>
          </w:hyperlink>
        </w:p>
        <w:p>
          <w:pPr>
            <w:pStyle w:val="Contents5"/>
            <w:tabs>
              <w:tab w:val="clear" w:pos="7892"/>
              <w:tab w:val="right" w:pos="9026" w:leader="dot"/>
            </w:tabs>
            <w:rPr/>
          </w:pPr>
          <w:hyperlink w:anchor="__RefHeading___Toc15202366_1280447820">
            <w:r>
              <w:rPr>
                <w:webHidden/>
                <w:rStyle w:val="IndexLink"/>
                <w:rtl w:val="true"/>
              </w:rPr>
              <w:t>گفتار چهارم تغلیظ یمین کنار منبر</w:t>
            </w:r>
            <w:r>
              <w:rPr>
                <w:rStyle w:val="IndexLink"/>
                <w:rtl w:val="true"/>
              </w:rPr>
              <w:tab/>
            </w:r>
            <w:r>
              <w:rPr>
                <w:rStyle w:val="IndexLink"/>
              </w:rPr>
              <w:t>147</w:t>
            </w:r>
          </w:hyperlink>
        </w:p>
        <w:p>
          <w:pPr>
            <w:pStyle w:val="Contents6"/>
            <w:tabs>
              <w:tab w:val="clear" w:pos="7609"/>
              <w:tab w:val="right" w:pos="9026" w:leader="dot"/>
            </w:tabs>
            <w:rPr/>
          </w:pPr>
          <w:hyperlink w:anchor="__RefHeading___Toc15202368_1280447820">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5202370_1280447820">
            <w:r>
              <w:rPr>
                <w:webHidden/>
                <w:rStyle w:val="IndexLink"/>
                <w:rtl w:val="true"/>
              </w:rPr>
              <w:t>الف</w:t>
            </w:r>
            <w:r>
              <w:rPr>
                <w:rStyle w:val="IndexLink"/>
                <w:rtl w:val="true"/>
              </w:rPr>
              <w:t xml:space="preserve">) </w:t>
            </w:r>
            <w:r>
              <w:rPr>
                <w:rStyle w:val="IndexLink"/>
                <w:rtl w:val="true"/>
              </w:rPr>
              <w:t>دیدگاه فقیهان امامیه</w:t>
            </w:r>
            <w:r>
              <w:rPr>
                <w:rStyle w:val="IndexLink"/>
                <w:rtl w:val="true"/>
              </w:rPr>
              <w:tab/>
            </w:r>
            <w:r>
              <w:rPr>
                <w:rStyle w:val="IndexLink"/>
              </w:rPr>
              <w:t>148</w:t>
            </w:r>
          </w:hyperlink>
        </w:p>
        <w:p>
          <w:pPr>
            <w:pStyle w:val="Contents6"/>
            <w:tabs>
              <w:tab w:val="clear" w:pos="7609"/>
              <w:tab w:val="right" w:pos="9026" w:leader="dot"/>
            </w:tabs>
            <w:rPr/>
          </w:pPr>
          <w:hyperlink w:anchor="__RefHeading___Toc15202372_1280447820">
            <w:r>
              <w:rPr>
                <w:webHidden/>
                <w:rStyle w:val="IndexLink"/>
                <w:rtl w:val="true"/>
              </w:rPr>
              <w:t>ب</w:t>
            </w:r>
            <w:r>
              <w:rPr>
                <w:rStyle w:val="IndexLink"/>
                <w:rtl w:val="true"/>
              </w:rPr>
              <w:t xml:space="preserve">) </w:t>
            </w:r>
            <w:r>
              <w:rPr>
                <w:rStyle w:val="IndexLink"/>
                <w:rtl w:val="true"/>
              </w:rPr>
              <w:t>دیدگاه اهل سنّت</w:t>
            </w:r>
            <w:r>
              <w:rPr>
                <w:rStyle w:val="IndexLink"/>
                <w:rtl w:val="true"/>
              </w:rPr>
              <w:tab/>
            </w:r>
            <w:r>
              <w:rPr>
                <w:rStyle w:val="IndexLink"/>
              </w:rPr>
              <w:t>150</w:t>
            </w:r>
          </w:hyperlink>
        </w:p>
        <w:p>
          <w:pPr>
            <w:pStyle w:val="Contents5"/>
            <w:tabs>
              <w:tab w:val="clear" w:pos="7892"/>
              <w:tab w:val="right" w:pos="9026" w:leader="dot"/>
            </w:tabs>
            <w:rPr/>
          </w:pPr>
          <w:hyperlink w:anchor="__RefHeading___Toc15202374_1280447820">
            <w:r>
              <w:rPr>
                <w:webHidden/>
                <w:rStyle w:val="IndexLink"/>
                <w:rtl w:val="true"/>
              </w:rPr>
              <w:t>گفتار پنجم استحباب اتخاذ منبر در مسجد</w:t>
            </w:r>
            <w:r>
              <w:rPr>
                <w:rStyle w:val="IndexLink"/>
                <w:rtl w:val="true"/>
              </w:rPr>
              <w:tab/>
            </w:r>
            <w:r>
              <w:rPr>
                <w:rStyle w:val="IndexLink"/>
              </w:rPr>
              <w:t>151</w:t>
            </w:r>
          </w:hyperlink>
        </w:p>
        <w:p>
          <w:pPr>
            <w:pStyle w:val="Contents6"/>
            <w:tabs>
              <w:tab w:val="clear" w:pos="7609"/>
              <w:tab w:val="right" w:pos="9026" w:leader="dot"/>
            </w:tabs>
            <w:rPr/>
          </w:pPr>
          <w:hyperlink w:anchor="__RefHeading___Toc15202376_128044782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5202378_1280447820">
            <w:r>
              <w:rPr>
                <w:webHidden/>
                <w:rStyle w:val="IndexLink"/>
                <w:rtl w:val="true"/>
              </w:rPr>
              <w:t>الف</w:t>
            </w:r>
            <w:r>
              <w:rPr>
                <w:rStyle w:val="IndexLink"/>
                <w:rtl w:val="true"/>
              </w:rPr>
              <w:t xml:space="preserve">) </w:t>
            </w:r>
            <w:r>
              <w:rPr>
                <w:rStyle w:val="IndexLink"/>
                <w:rtl w:val="true"/>
              </w:rPr>
              <w:t>دیدگاه فقیهان شیعه پیرامون اتخاذ منبر و ایراد خطبه بر فراز آن</w:t>
            </w:r>
            <w:r>
              <w:rPr>
                <w:rStyle w:val="IndexLink"/>
                <w:rtl w:val="true"/>
              </w:rPr>
              <w:tab/>
            </w:r>
            <w:r>
              <w:rPr>
                <w:rStyle w:val="IndexLink"/>
              </w:rPr>
              <w:t>151</w:t>
            </w:r>
          </w:hyperlink>
        </w:p>
        <w:p>
          <w:pPr>
            <w:pStyle w:val="Contents6"/>
            <w:tabs>
              <w:tab w:val="clear" w:pos="7609"/>
              <w:tab w:val="right" w:pos="9026" w:leader="dot"/>
            </w:tabs>
            <w:rPr/>
          </w:pPr>
          <w:hyperlink w:anchor="__RefHeading___Toc15202380_1280447820">
            <w:r>
              <w:rPr>
                <w:webHidden/>
                <w:rStyle w:val="IndexLink"/>
                <w:rtl w:val="true"/>
              </w:rPr>
              <w:t>ب</w:t>
            </w:r>
            <w:r>
              <w:rPr>
                <w:rStyle w:val="IndexLink"/>
                <w:rtl w:val="true"/>
              </w:rPr>
              <w:t xml:space="preserve">) </w:t>
            </w:r>
            <w:r>
              <w:rPr>
                <w:rStyle w:val="IndexLink"/>
                <w:rtl w:val="true"/>
              </w:rPr>
              <w:t>اتخاذ منبر در مسجد از نگاه اهل سنّت</w:t>
            </w:r>
            <w:r>
              <w:rPr>
                <w:rStyle w:val="IndexLink"/>
                <w:rtl w:val="true"/>
              </w:rPr>
              <w:tab/>
            </w:r>
            <w:r>
              <w:rPr>
                <w:rStyle w:val="IndexLink"/>
              </w:rPr>
              <w:t>153</w:t>
            </w:r>
          </w:hyperlink>
        </w:p>
        <w:p>
          <w:pPr>
            <w:pStyle w:val="Contents4"/>
            <w:tabs>
              <w:tab w:val="clear" w:pos="8176"/>
              <w:tab w:val="right" w:pos="9026" w:leader="dot"/>
            </w:tabs>
            <w:rPr/>
          </w:pPr>
          <w:hyperlink w:anchor="__RefHeading___Toc15202382_1280447820">
            <w:r>
              <w:rPr>
                <w:webHidden/>
                <w:rStyle w:val="IndexLink"/>
                <w:rtl w:val="true"/>
              </w:rPr>
              <w:t>ج</w:t>
            </w:r>
            <w:r>
              <w:rPr>
                <w:rStyle w:val="IndexLink"/>
                <w:rtl w:val="true"/>
              </w:rPr>
              <w:t xml:space="preserve">) </w:t>
            </w:r>
            <w:r>
              <w:rPr>
                <w:rStyle w:val="IndexLink"/>
                <w:rtl w:val="true"/>
              </w:rPr>
              <w:t>نکاتی چند پیرامون منبر</w:t>
            </w:r>
            <w:r>
              <w:rPr>
                <w:rStyle w:val="IndexLink"/>
                <w:rtl w:val="true"/>
              </w:rPr>
              <w:tab/>
            </w:r>
            <w:r>
              <w:rPr>
                <w:rStyle w:val="IndexLink"/>
              </w:rPr>
              <w:t>153</w:t>
            </w:r>
          </w:hyperlink>
        </w:p>
        <w:p>
          <w:pPr>
            <w:pStyle w:val="Contents4"/>
            <w:tabs>
              <w:tab w:val="clear" w:pos="8176"/>
              <w:tab w:val="right" w:pos="9026" w:leader="dot"/>
            </w:tabs>
            <w:rPr/>
          </w:pPr>
          <w:hyperlink w:anchor="__RefHeading___Toc15202384_1280447820">
            <w:r>
              <w:rPr>
                <w:webHidden/>
                <w:rStyle w:val="IndexLink"/>
                <w:rtl w:val="true"/>
              </w:rPr>
              <w:t>مبحث ششم</w:t>
            </w:r>
            <w:r>
              <w:rPr>
                <w:rStyle w:val="IndexLink"/>
                <w:rtl w:val="true"/>
              </w:rPr>
              <w:t xml:space="preserve">: </w:t>
            </w:r>
            <w:r>
              <w:rPr>
                <w:rStyle w:val="IndexLink"/>
                <w:rtl w:val="true"/>
              </w:rPr>
              <w:t>مناره مسجد</w:t>
            </w:r>
            <w:r>
              <w:rPr>
                <w:rStyle w:val="IndexLink"/>
                <w:rtl w:val="true"/>
              </w:rPr>
              <w:tab/>
            </w:r>
            <w:r>
              <w:rPr>
                <w:rStyle w:val="IndexLink"/>
              </w:rPr>
              <w:t>155</w:t>
            </w:r>
          </w:hyperlink>
        </w:p>
        <w:p>
          <w:pPr>
            <w:pStyle w:val="Contents5"/>
            <w:tabs>
              <w:tab w:val="clear" w:pos="7892"/>
              <w:tab w:val="right" w:pos="9026" w:leader="dot"/>
            </w:tabs>
            <w:rPr/>
          </w:pPr>
          <w:hyperlink w:anchor="__RefHeading___Toc15202386_1280447820">
            <w:r>
              <w:rPr>
                <w:webHidden/>
                <w:rStyle w:val="IndexLink"/>
                <w:rtl w:val="true"/>
              </w:rPr>
              <w:t>گفتار اول</w:t>
            </w:r>
            <w:r>
              <w:rPr>
                <w:rStyle w:val="IndexLink"/>
                <w:rtl w:val="true"/>
              </w:rPr>
              <w:t xml:space="preserve">: </w:t>
            </w:r>
            <w:r>
              <w:rPr>
                <w:rStyle w:val="IndexLink"/>
                <w:rtl w:val="true"/>
              </w:rPr>
              <w:t>مناره در لغت و اصطلاح</w:t>
            </w:r>
            <w:r>
              <w:rPr>
                <w:rStyle w:val="IndexLink"/>
                <w:rtl w:val="true"/>
              </w:rPr>
              <w:tab/>
            </w:r>
            <w:r>
              <w:rPr>
                <w:rStyle w:val="IndexLink"/>
              </w:rPr>
              <w:t>155</w:t>
            </w:r>
          </w:hyperlink>
        </w:p>
        <w:p>
          <w:pPr>
            <w:pStyle w:val="Contents5"/>
            <w:tabs>
              <w:tab w:val="clear" w:pos="7892"/>
              <w:tab w:val="right" w:pos="9026" w:leader="dot"/>
            </w:tabs>
            <w:rPr/>
          </w:pPr>
          <w:hyperlink w:anchor="__RefHeading___Toc15202388_1280447820">
            <w:r>
              <w:rPr>
                <w:webHidden/>
                <w:rStyle w:val="IndexLink"/>
                <w:rtl w:val="true"/>
              </w:rPr>
              <w:t>گفتار دوم</w:t>
            </w:r>
            <w:r>
              <w:rPr>
                <w:rStyle w:val="IndexLink"/>
                <w:rtl w:val="true"/>
              </w:rPr>
              <w:t xml:space="preserve">: </w:t>
            </w:r>
            <w:r>
              <w:rPr>
                <w:rStyle w:val="IndexLink"/>
                <w:rtl w:val="true"/>
              </w:rPr>
              <w:t>مناره های مسجدالنبی صلی الله علیه و آله</w:t>
            </w:r>
            <w:r>
              <w:rPr>
                <w:rStyle w:val="IndexLink"/>
                <w:rtl w:val="true"/>
              </w:rPr>
              <w:tab/>
            </w:r>
            <w:r>
              <w:rPr>
                <w:rStyle w:val="IndexLink"/>
              </w:rPr>
              <w:t>155</w:t>
            </w:r>
          </w:hyperlink>
        </w:p>
        <w:p>
          <w:pPr>
            <w:pStyle w:val="Contents5"/>
            <w:tabs>
              <w:tab w:val="clear" w:pos="7892"/>
              <w:tab w:val="right" w:pos="9026" w:leader="dot"/>
            </w:tabs>
            <w:rPr/>
          </w:pPr>
          <w:hyperlink w:anchor="__RefHeading___Toc15202390_1280447820">
            <w:r>
              <w:rPr>
                <w:webHidden/>
                <w:rStyle w:val="IndexLink"/>
                <w:rtl w:val="true"/>
              </w:rPr>
              <w:t>گفتار سوم ساختن مناره از دیدگاه فقها</w:t>
            </w:r>
            <w:r>
              <w:rPr>
                <w:rStyle w:val="IndexLink"/>
                <w:rtl w:val="true"/>
              </w:rPr>
              <w:tab/>
            </w:r>
            <w:r>
              <w:rPr>
                <w:rStyle w:val="IndexLink"/>
              </w:rPr>
              <w:t>157</w:t>
            </w:r>
          </w:hyperlink>
        </w:p>
        <w:p>
          <w:pPr>
            <w:pStyle w:val="Contents6"/>
            <w:tabs>
              <w:tab w:val="clear" w:pos="7609"/>
              <w:tab w:val="right" w:pos="9026" w:leader="dot"/>
            </w:tabs>
            <w:rPr/>
          </w:pPr>
          <w:hyperlink w:anchor="__RefHeading___Toc15202392_128044782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5202394_1280447820">
            <w:r>
              <w:rPr>
                <w:webHidden/>
                <w:rStyle w:val="IndexLink"/>
                <w:rtl w:val="true"/>
              </w:rPr>
              <w:t>الف</w:t>
            </w:r>
            <w:r>
              <w:rPr>
                <w:rStyle w:val="IndexLink"/>
                <w:rtl w:val="true"/>
              </w:rPr>
              <w:t xml:space="preserve">) </w:t>
            </w:r>
            <w:r>
              <w:rPr>
                <w:rStyle w:val="IndexLink"/>
                <w:rtl w:val="true"/>
              </w:rPr>
              <w:t>دیدگاه فقیهان شیعه پیرامون ساختن مناره</w:t>
            </w:r>
            <w:r>
              <w:rPr>
                <w:rStyle w:val="IndexLink"/>
                <w:rtl w:val="true"/>
              </w:rPr>
              <w:tab/>
            </w:r>
            <w:r>
              <w:rPr>
                <w:rStyle w:val="IndexLink"/>
              </w:rPr>
              <w:t>157</w:t>
            </w:r>
          </w:hyperlink>
        </w:p>
        <w:p>
          <w:pPr>
            <w:pStyle w:val="Contents6"/>
            <w:tabs>
              <w:tab w:val="clear" w:pos="7609"/>
              <w:tab w:val="right" w:pos="9026" w:leader="dot"/>
            </w:tabs>
            <w:rPr/>
          </w:pPr>
          <w:hyperlink w:anchor="__RefHeading___Toc15202396_128044782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5202398_1280447820">
            <w:r>
              <w:rPr>
                <w:webHidden/>
                <w:rStyle w:val="IndexLink"/>
              </w:rPr>
              <w:t>1</w:t>
            </w:r>
            <w:r>
              <w:rPr>
                <w:rStyle w:val="IndexLink"/>
                <w:rtl w:val="true"/>
              </w:rPr>
              <w:t xml:space="preserve">. </w:t>
            </w:r>
            <w:r>
              <w:rPr>
                <w:rStyle w:val="IndexLink"/>
                <w:rtl w:val="true"/>
              </w:rPr>
              <w:t>مسأله اول ساختن مناره در وسط مسجد یا در ضمن دیوار مسجد</w:t>
            </w:r>
            <w:r>
              <w:rPr>
                <w:rStyle w:val="IndexLink"/>
                <w:rtl w:val="true"/>
              </w:rPr>
              <w:tab/>
            </w:r>
            <w:r>
              <w:rPr>
                <w:rStyle w:val="IndexLink"/>
              </w:rPr>
              <w:t>158</w:t>
            </w:r>
          </w:hyperlink>
        </w:p>
        <w:p>
          <w:pPr>
            <w:pStyle w:val="Contents6"/>
            <w:tabs>
              <w:tab w:val="clear" w:pos="7609"/>
              <w:tab w:val="right" w:pos="9026" w:leader="dot"/>
            </w:tabs>
            <w:rPr/>
          </w:pPr>
          <w:hyperlink w:anchor="__RefHeading___Toc15202400_1280447820">
            <w:r>
              <w:rPr>
                <w:webHidden/>
                <w:rStyle w:val="IndexLink"/>
              </w:rPr>
              <w:t>2</w:t>
            </w:r>
            <w:r>
              <w:rPr>
                <w:rStyle w:val="IndexLink"/>
                <w:rtl w:val="true"/>
              </w:rPr>
              <w:t xml:space="preserve">. </w:t>
            </w:r>
            <w:r>
              <w:rPr>
                <w:rStyle w:val="IndexLink"/>
                <w:rtl w:val="true"/>
              </w:rPr>
              <w:t>مسأله دوم</w:t>
            </w:r>
            <w:r>
              <w:rPr>
                <w:rStyle w:val="IndexLink"/>
                <w:rtl w:val="true"/>
              </w:rPr>
              <w:t xml:space="preserve">: </w:t>
            </w:r>
            <w:r>
              <w:rPr>
                <w:rStyle w:val="IndexLink"/>
                <w:rtl w:val="true"/>
              </w:rPr>
              <w:t>کراهت مرتفع ساختن مناره از بام مسجد</w:t>
            </w:r>
            <w:r>
              <w:rPr>
                <w:rStyle w:val="IndexLink"/>
                <w:rtl w:val="true"/>
              </w:rPr>
              <w:tab/>
            </w:r>
            <w:r>
              <w:rPr>
                <w:rStyle w:val="IndexLink"/>
              </w:rPr>
              <w:t>160</w:t>
            </w:r>
          </w:hyperlink>
        </w:p>
        <w:p>
          <w:pPr>
            <w:pStyle w:val="Contents6"/>
            <w:tabs>
              <w:tab w:val="clear" w:pos="7609"/>
              <w:tab w:val="right" w:pos="9026" w:leader="dot"/>
            </w:tabs>
            <w:rPr/>
          </w:pPr>
          <w:hyperlink w:anchor="__RefHeading___Toc15202402_1280447820">
            <w:r>
              <w:rPr>
                <w:webHidden/>
                <w:rStyle w:val="IndexLink"/>
              </w:rPr>
              <w:t>3</w:t>
            </w:r>
            <w:r>
              <w:rPr>
                <w:rStyle w:val="IndexLink"/>
                <w:rtl w:val="true"/>
              </w:rPr>
              <w:t xml:space="preserve">. </w:t>
            </w:r>
            <w:r>
              <w:rPr>
                <w:rStyle w:val="IndexLink"/>
                <w:rtl w:val="true"/>
              </w:rPr>
              <w:t>مسأله سوم جواز ساختن مناره</w:t>
            </w:r>
            <w:r>
              <w:rPr>
                <w:rStyle w:val="IndexLink"/>
                <w:rtl w:val="true"/>
              </w:rPr>
              <w:tab/>
            </w:r>
            <w:r>
              <w:rPr>
                <w:rStyle w:val="IndexLink"/>
              </w:rPr>
              <w:t>161</w:t>
            </w:r>
          </w:hyperlink>
        </w:p>
        <w:p>
          <w:pPr>
            <w:pStyle w:val="Contents6"/>
            <w:tabs>
              <w:tab w:val="clear" w:pos="7609"/>
              <w:tab w:val="right" w:pos="9026" w:leader="dot"/>
            </w:tabs>
            <w:rPr/>
          </w:pPr>
          <w:hyperlink w:anchor="__RefHeading___Toc15202404_128044782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5202406_1280447820">
            <w:r>
              <w:rPr>
                <w:webHidden/>
                <w:rStyle w:val="IndexLink"/>
              </w:rPr>
              <w:t>4</w:t>
            </w:r>
            <w:r>
              <w:rPr>
                <w:rStyle w:val="IndexLink"/>
                <w:rtl w:val="true"/>
              </w:rPr>
              <w:t xml:space="preserve">. </w:t>
            </w:r>
            <w:r>
              <w:rPr>
                <w:rStyle w:val="IndexLink"/>
                <w:rtl w:val="true"/>
              </w:rPr>
              <w:t>مسأله چهارم</w:t>
            </w:r>
            <w:r>
              <w:rPr>
                <w:rStyle w:val="IndexLink"/>
                <w:rtl w:val="true"/>
              </w:rPr>
              <w:t xml:space="preserve">: </w:t>
            </w:r>
            <w:r>
              <w:rPr>
                <w:rStyle w:val="IndexLink"/>
                <w:rtl w:val="true"/>
              </w:rPr>
              <w:t>استحباب اذان بر مناره</w:t>
            </w:r>
            <w:r>
              <w:rPr>
                <w:rStyle w:val="IndexLink"/>
                <w:rtl w:val="true"/>
              </w:rPr>
              <w:tab/>
            </w:r>
            <w:r>
              <w:rPr>
                <w:rStyle w:val="IndexLink"/>
              </w:rPr>
              <w:t>163</w:t>
            </w:r>
          </w:hyperlink>
        </w:p>
        <w:p>
          <w:pPr>
            <w:pStyle w:val="Contents6"/>
            <w:tabs>
              <w:tab w:val="clear" w:pos="7609"/>
              <w:tab w:val="right" w:pos="9026" w:leader="dot"/>
            </w:tabs>
            <w:rPr/>
          </w:pPr>
          <w:hyperlink w:anchor="__RefHeading___Toc15202408_1280447820">
            <w:r>
              <w:rPr>
                <w:webHidden/>
                <w:rStyle w:val="IndexLink"/>
                <w:rtl w:val="true"/>
              </w:rPr>
              <w:t>ب</w:t>
            </w:r>
            <w:r>
              <w:rPr>
                <w:rStyle w:val="IndexLink"/>
                <w:rtl w:val="true"/>
              </w:rPr>
              <w:t xml:space="preserve">) </w:t>
            </w:r>
            <w:r>
              <w:rPr>
                <w:rStyle w:val="IndexLink"/>
                <w:rtl w:val="true"/>
              </w:rPr>
              <w:t>دليل استحباب اذان بر مناره</w:t>
            </w:r>
            <w:r>
              <w:rPr>
                <w:rStyle w:val="IndexLink"/>
                <w:rtl w:val="true"/>
              </w:rPr>
              <w:tab/>
            </w:r>
            <w:r>
              <w:rPr>
                <w:rStyle w:val="IndexLink"/>
              </w:rPr>
              <w:t>164</w:t>
            </w:r>
          </w:hyperlink>
        </w:p>
        <w:p>
          <w:pPr>
            <w:pStyle w:val="Contents5"/>
            <w:tabs>
              <w:tab w:val="clear" w:pos="7892"/>
              <w:tab w:val="right" w:pos="9026" w:leader="dot"/>
            </w:tabs>
            <w:rPr/>
          </w:pPr>
          <w:hyperlink w:anchor="__RefHeading___Toc15202410_1280447820">
            <w:r>
              <w:rPr>
                <w:webHidden/>
                <w:rStyle w:val="IndexLink"/>
                <w:rtl w:val="true"/>
              </w:rPr>
              <w:t>گفتار چهارم</w:t>
            </w:r>
            <w:r>
              <w:rPr>
                <w:rStyle w:val="IndexLink"/>
                <w:rtl w:val="true"/>
              </w:rPr>
              <w:t xml:space="preserve">: </w:t>
            </w:r>
            <w:r>
              <w:rPr>
                <w:rStyle w:val="IndexLink"/>
                <w:rtl w:val="true"/>
              </w:rPr>
              <w:t>مناره از نگاه اهل سنت</w:t>
            </w:r>
            <w:r>
              <w:rPr>
                <w:rStyle w:val="IndexLink"/>
                <w:rtl w:val="true"/>
              </w:rPr>
              <w:tab/>
            </w:r>
            <w:r>
              <w:rPr>
                <w:rStyle w:val="IndexLink"/>
              </w:rPr>
              <w:t>165</w:t>
            </w:r>
          </w:hyperlink>
        </w:p>
        <w:p>
          <w:pPr>
            <w:pStyle w:val="Contents6"/>
            <w:tabs>
              <w:tab w:val="clear" w:pos="7609"/>
              <w:tab w:val="right" w:pos="9026" w:leader="dot"/>
            </w:tabs>
            <w:rPr/>
          </w:pPr>
          <w:hyperlink w:anchor="__RefHeading___Toc15202412_1280447820">
            <w:r>
              <w:rPr>
                <w:webHidden/>
                <w:rStyle w:val="IndexLink"/>
              </w:rPr>
              <w:t>1</w:t>
            </w:r>
            <w:r>
              <w:rPr>
                <w:rStyle w:val="IndexLink"/>
                <w:rtl w:val="true"/>
              </w:rPr>
              <w:t xml:space="preserve">. </w:t>
            </w:r>
            <w:r>
              <w:rPr>
                <w:rStyle w:val="IndexLink"/>
                <w:rtl w:val="true"/>
              </w:rPr>
              <w:t>مذهب شافعی</w:t>
            </w:r>
            <w:r>
              <w:rPr>
                <w:rStyle w:val="IndexLink"/>
                <w:rtl w:val="true"/>
              </w:rPr>
              <w:tab/>
            </w:r>
            <w:r>
              <w:rPr>
                <w:rStyle w:val="IndexLink"/>
              </w:rPr>
              <w:t>165</w:t>
            </w:r>
          </w:hyperlink>
        </w:p>
        <w:p>
          <w:pPr>
            <w:pStyle w:val="Contents6"/>
            <w:tabs>
              <w:tab w:val="clear" w:pos="7609"/>
              <w:tab w:val="right" w:pos="9026" w:leader="dot"/>
            </w:tabs>
            <w:rPr/>
          </w:pPr>
          <w:hyperlink w:anchor="__RefHeading___Toc15202414_1280447820">
            <w:r>
              <w:rPr>
                <w:webHidden/>
                <w:rStyle w:val="IndexLink"/>
              </w:rPr>
              <w:t>2</w:t>
            </w:r>
            <w:r>
              <w:rPr>
                <w:rStyle w:val="IndexLink"/>
                <w:rtl w:val="true"/>
              </w:rPr>
              <w:t xml:space="preserve">. </w:t>
            </w:r>
            <w:r>
              <w:rPr>
                <w:rStyle w:val="IndexLink"/>
                <w:rtl w:val="true"/>
              </w:rPr>
              <w:t>مذهب حنبلی</w:t>
            </w:r>
            <w:r>
              <w:rPr>
                <w:rStyle w:val="IndexLink"/>
                <w:rtl w:val="true"/>
              </w:rPr>
              <w:tab/>
            </w:r>
            <w:r>
              <w:rPr>
                <w:rStyle w:val="IndexLink"/>
              </w:rPr>
              <w:t>167</w:t>
            </w:r>
          </w:hyperlink>
        </w:p>
        <w:p>
          <w:pPr>
            <w:pStyle w:val="Contents6"/>
            <w:tabs>
              <w:tab w:val="clear" w:pos="7609"/>
              <w:tab w:val="right" w:pos="9026" w:leader="dot"/>
            </w:tabs>
            <w:rPr/>
          </w:pPr>
          <w:hyperlink w:anchor="__RefHeading___Toc15202416_1280447820">
            <w:r>
              <w:rPr>
                <w:webHidden/>
                <w:rStyle w:val="IndexLink"/>
              </w:rPr>
              <w:t>3</w:t>
            </w:r>
            <w:r>
              <w:rPr>
                <w:rStyle w:val="IndexLink"/>
                <w:rtl w:val="true"/>
              </w:rPr>
              <w:t xml:space="preserve">. </w:t>
            </w:r>
            <w:r>
              <w:rPr>
                <w:rStyle w:val="IndexLink"/>
                <w:rtl w:val="true"/>
              </w:rPr>
              <w:t>مذهب حنفی</w:t>
            </w:r>
            <w:r>
              <w:rPr>
                <w:rStyle w:val="IndexLink"/>
                <w:rtl w:val="true"/>
              </w:rPr>
              <w:tab/>
            </w:r>
            <w:r>
              <w:rPr>
                <w:rStyle w:val="IndexLink"/>
              </w:rPr>
              <w:t>167</w:t>
            </w:r>
          </w:hyperlink>
        </w:p>
        <w:p>
          <w:pPr>
            <w:pStyle w:val="Contents6"/>
            <w:tabs>
              <w:tab w:val="clear" w:pos="7609"/>
              <w:tab w:val="right" w:pos="9026" w:leader="dot"/>
            </w:tabs>
            <w:rPr/>
          </w:pPr>
          <w:hyperlink w:anchor="__RefHeading___Toc15202418_1280447820">
            <w:r>
              <w:rPr>
                <w:webHidden/>
                <w:rStyle w:val="IndexLink"/>
              </w:rPr>
              <w:t>4</w:t>
            </w:r>
            <w:r>
              <w:rPr>
                <w:rStyle w:val="IndexLink"/>
                <w:rtl w:val="true"/>
              </w:rPr>
              <w:t xml:space="preserve">. </w:t>
            </w:r>
            <w:r>
              <w:rPr>
                <w:rStyle w:val="IndexLink"/>
                <w:rtl w:val="true"/>
              </w:rPr>
              <w:t>مذهب مالکی</w:t>
            </w:r>
            <w:r>
              <w:rPr>
                <w:rStyle w:val="IndexLink"/>
                <w:rtl w:val="true"/>
              </w:rPr>
              <w:tab/>
            </w:r>
            <w:r>
              <w:rPr>
                <w:rStyle w:val="IndexLink"/>
              </w:rPr>
              <w:t>169</w:t>
            </w:r>
          </w:hyperlink>
        </w:p>
        <w:p>
          <w:pPr>
            <w:pStyle w:val="Contents4"/>
            <w:tabs>
              <w:tab w:val="clear" w:pos="8176"/>
              <w:tab w:val="right" w:pos="9026" w:leader="dot"/>
            </w:tabs>
            <w:rPr/>
          </w:pPr>
          <w:hyperlink w:anchor="__RefHeading___Toc15202420_1280447820">
            <w:r>
              <w:rPr>
                <w:webHidden/>
                <w:rStyle w:val="IndexLink"/>
                <w:rtl w:val="true"/>
              </w:rPr>
              <w:t>مبحث هفتم دربهای مسجد</w:t>
            </w:r>
            <w:r>
              <w:rPr>
                <w:rStyle w:val="IndexLink"/>
                <w:rtl w:val="true"/>
              </w:rPr>
              <w:tab/>
            </w:r>
            <w:r>
              <w:rPr>
                <w:rStyle w:val="IndexLink"/>
              </w:rPr>
              <w:t>171</w:t>
            </w:r>
          </w:hyperlink>
        </w:p>
        <w:p>
          <w:pPr>
            <w:pStyle w:val="Contents5"/>
            <w:tabs>
              <w:tab w:val="clear" w:pos="7892"/>
              <w:tab w:val="right" w:pos="9026" w:leader="dot"/>
            </w:tabs>
            <w:rPr/>
          </w:pPr>
          <w:hyperlink w:anchor="__RefHeading___Toc15202422_128044782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5202424_1280447820">
            <w:r>
              <w:rPr>
                <w:webHidden/>
                <w:rStyle w:val="IndexLink"/>
                <w:rtl w:val="true"/>
              </w:rPr>
              <w:t>الف</w:t>
            </w:r>
            <w:r>
              <w:rPr>
                <w:rStyle w:val="IndexLink"/>
                <w:rtl w:val="true"/>
              </w:rPr>
              <w:t xml:space="preserve">. </w:t>
            </w:r>
            <w:r>
              <w:rPr>
                <w:rStyle w:val="IndexLink"/>
                <w:rtl w:val="true"/>
              </w:rPr>
              <w:t>تعداد دربهای مساجد</w:t>
            </w:r>
            <w:r>
              <w:rPr>
                <w:rStyle w:val="IndexLink"/>
                <w:rtl w:val="true"/>
              </w:rPr>
              <w:tab/>
            </w:r>
            <w:r>
              <w:rPr>
                <w:rStyle w:val="IndexLink"/>
              </w:rPr>
              <w:t>171</w:t>
            </w:r>
          </w:hyperlink>
        </w:p>
        <w:p>
          <w:pPr>
            <w:pStyle w:val="Contents5"/>
            <w:tabs>
              <w:tab w:val="clear" w:pos="7892"/>
              <w:tab w:val="right" w:pos="9026" w:leader="dot"/>
            </w:tabs>
            <w:rPr/>
          </w:pPr>
          <w:hyperlink w:anchor="__RefHeading___Toc15202426_1280447820">
            <w:r>
              <w:rPr>
                <w:webHidden/>
                <w:rStyle w:val="IndexLink"/>
                <w:rtl w:val="true"/>
              </w:rPr>
              <w:t>ب</w:t>
            </w:r>
            <w:r>
              <w:rPr>
                <w:rStyle w:val="IndexLink"/>
                <w:rtl w:val="true"/>
              </w:rPr>
              <w:t xml:space="preserve">. </w:t>
            </w:r>
            <w:r>
              <w:rPr>
                <w:rStyle w:val="IndexLink"/>
                <w:rtl w:val="true"/>
              </w:rPr>
              <w:t xml:space="preserve">محل نصب </w:t>
            </w:r>
            <w:r>
              <w:rPr>
                <w:rStyle w:val="IndexLink"/>
                <w:rtl w:val="true"/>
              </w:rPr>
              <w:t>«</w:t>
            </w:r>
            <w:r>
              <w:rPr>
                <w:rStyle w:val="IndexLink"/>
                <w:rtl w:val="true"/>
              </w:rPr>
              <w:t>درب</w:t>
            </w:r>
            <w:r>
              <w:rPr>
                <w:rStyle w:val="IndexLink"/>
                <w:rtl w:val="true"/>
              </w:rPr>
              <w:t xml:space="preserve">» </w:t>
            </w:r>
            <w:r>
              <w:rPr>
                <w:rStyle w:val="IndexLink"/>
                <w:rtl w:val="true"/>
              </w:rPr>
              <w:t>مساجد</w:t>
            </w:r>
            <w:r>
              <w:rPr>
                <w:rStyle w:val="IndexLink"/>
                <w:rtl w:val="true"/>
              </w:rPr>
              <w:tab/>
            </w:r>
            <w:r>
              <w:rPr>
                <w:rStyle w:val="IndexLink"/>
              </w:rPr>
              <w:t>171</w:t>
            </w:r>
          </w:hyperlink>
        </w:p>
        <w:p>
          <w:pPr>
            <w:pStyle w:val="Contents5"/>
            <w:tabs>
              <w:tab w:val="clear" w:pos="7892"/>
              <w:tab w:val="right" w:pos="9026" w:leader="dot"/>
            </w:tabs>
            <w:rPr/>
          </w:pPr>
          <w:hyperlink w:anchor="__RefHeading___Toc15202428_1280447820">
            <w:r>
              <w:rPr>
                <w:webHidden/>
                <w:rStyle w:val="IndexLink"/>
                <w:rtl w:val="true"/>
              </w:rPr>
              <w:t>ج</w:t>
            </w:r>
            <w:r>
              <w:rPr>
                <w:rStyle w:val="IndexLink"/>
                <w:rtl w:val="true"/>
              </w:rPr>
              <w:t xml:space="preserve">. </w:t>
            </w:r>
            <w:r>
              <w:rPr>
                <w:rStyle w:val="IndexLink"/>
                <w:rtl w:val="true"/>
              </w:rPr>
              <w:t>درب ویژه بانوان</w:t>
            </w:r>
            <w:r>
              <w:rPr>
                <w:rStyle w:val="IndexLink"/>
                <w:rtl w:val="true"/>
              </w:rPr>
              <w:tab/>
            </w:r>
            <w:r>
              <w:rPr>
                <w:rStyle w:val="IndexLink"/>
              </w:rPr>
              <w:t>173</w:t>
            </w:r>
          </w:hyperlink>
        </w:p>
        <w:p>
          <w:pPr>
            <w:pStyle w:val="Contents4"/>
            <w:tabs>
              <w:tab w:val="clear" w:pos="8176"/>
              <w:tab w:val="right" w:pos="9026" w:leader="dot"/>
            </w:tabs>
            <w:rPr/>
          </w:pPr>
          <w:hyperlink w:anchor="__RefHeading___Toc15202430_1280447820">
            <w:r>
              <w:rPr>
                <w:webHidden/>
                <w:rStyle w:val="IndexLink"/>
                <w:rtl w:val="true"/>
              </w:rPr>
              <w:t>مبحث هشتم گنبد مسجد</w:t>
            </w:r>
            <w:r>
              <w:rPr>
                <w:rStyle w:val="IndexLink"/>
                <w:rtl w:val="true"/>
              </w:rPr>
              <w:tab/>
            </w:r>
            <w:r>
              <w:rPr>
                <w:rStyle w:val="IndexLink"/>
              </w:rPr>
              <w:t>174</w:t>
            </w:r>
          </w:hyperlink>
        </w:p>
        <w:p>
          <w:pPr>
            <w:pStyle w:val="Contents5"/>
            <w:tabs>
              <w:tab w:val="clear" w:pos="7892"/>
              <w:tab w:val="right" w:pos="9026" w:leader="dot"/>
            </w:tabs>
            <w:rPr/>
          </w:pPr>
          <w:hyperlink w:anchor="__RefHeading___Toc15202432_1280447820">
            <w:r>
              <w:rPr>
                <w:webHidden/>
                <w:rStyle w:val="IndexLink"/>
                <w:rtl w:val="true"/>
              </w:rPr>
              <w:t>الف</w:t>
            </w:r>
            <w:r>
              <w:rPr>
                <w:rStyle w:val="IndexLink"/>
                <w:rtl w:val="true"/>
              </w:rPr>
              <w:t xml:space="preserve">. </w:t>
            </w:r>
            <w:r>
              <w:rPr>
                <w:rStyle w:val="IndexLink"/>
                <w:rtl w:val="true"/>
              </w:rPr>
              <w:t>تعریف گنبد</w:t>
            </w:r>
            <w:r>
              <w:rPr>
                <w:rStyle w:val="IndexLink"/>
                <w:rtl w:val="true"/>
              </w:rPr>
              <w:tab/>
            </w:r>
            <w:r>
              <w:rPr>
                <w:rStyle w:val="IndexLink"/>
              </w:rPr>
              <w:t>174</w:t>
            </w:r>
          </w:hyperlink>
        </w:p>
        <w:p>
          <w:pPr>
            <w:pStyle w:val="Contents5"/>
            <w:tabs>
              <w:tab w:val="clear" w:pos="7892"/>
              <w:tab w:val="right" w:pos="9026" w:leader="dot"/>
            </w:tabs>
            <w:rPr/>
          </w:pPr>
          <w:hyperlink w:anchor="__RefHeading___Toc15202434_1280447820">
            <w:r>
              <w:rPr>
                <w:webHidden/>
                <w:rStyle w:val="IndexLink"/>
                <w:rtl w:val="true"/>
              </w:rPr>
              <w:t>ب</w:t>
            </w:r>
            <w:r>
              <w:rPr>
                <w:rStyle w:val="IndexLink"/>
                <w:rtl w:val="true"/>
              </w:rPr>
              <w:t xml:space="preserve">. </w:t>
            </w:r>
            <w:r>
              <w:rPr>
                <w:rStyle w:val="IndexLink"/>
                <w:rtl w:val="true"/>
              </w:rPr>
              <w:t>پیشینه گنبد</w:t>
            </w:r>
            <w:r>
              <w:rPr>
                <w:rStyle w:val="IndexLink"/>
                <w:rtl w:val="true"/>
              </w:rPr>
              <w:tab/>
            </w:r>
            <w:r>
              <w:rPr>
                <w:rStyle w:val="IndexLink"/>
              </w:rPr>
              <w:t>174</w:t>
            </w:r>
          </w:hyperlink>
        </w:p>
        <w:p>
          <w:pPr>
            <w:pStyle w:val="Contents5"/>
            <w:tabs>
              <w:tab w:val="clear" w:pos="7892"/>
              <w:tab w:val="right" w:pos="9026" w:leader="dot"/>
            </w:tabs>
            <w:rPr/>
          </w:pPr>
          <w:hyperlink w:anchor="__RefHeading___Toc15202436_1280447820">
            <w:r>
              <w:rPr>
                <w:webHidden/>
                <w:rStyle w:val="IndexLink"/>
                <w:rtl w:val="true"/>
              </w:rPr>
              <w:t>ج</w:t>
            </w:r>
            <w:r>
              <w:rPr>
                <w:rStyle w:val="IndexLink"/>
                <w:rtl w:val="true"/>
              </w:rPr>
              <w:t xml:space="preserve">. </w:t>
            </w:r>
            <w:r>
              <w:rPr>
                <w:rStyle w:val="IndexLink"/>
                <w:rtl w:val="true"/>
              </w:rPr>
              <w:t>گنبد سبز</w:t>
            </w:r>
            <w:r>
              <w:rPr>
                <w:rStyle w:val="IndexLink"/>
                <w:rtl w:val="true"/>
              </w:rPr>
              <w:tab/>
            </w:r>
            <w:r>
              <w:rPr>
                <w:rStyle w:val="IndexLink"/>
              </w:rPr>
              <w:t>175</w:t>
            </w:r>
          </w:hyperlink>
        </w:p>
        <w:p>
          <w:pPr>
            <w:pStyle w:val="Contents3"/>
            <w:tabs>
              <w:tab w:val="clear" w:pos="8459"/>
              <w:tab w:val="right" w:pos="9026" w:leader="dot"/>
            </w:tabs>
            <w:rPr/>
          </w:pPr>
          <w:hyperlink w:anchor="__RefHeading___Toc15202438_1280447820">
            <w:r>
              <w:rPr>
                <w:webHidden/>
                <w:rStyle w:val="IndexLink"/>
                <w:rtl w:val="true"/>
              </w:rPr>
              <w:t>فصل سوم</w:t>
            </w:r>
            <w:r>
              <w:rPr>
                <w:rStyle w:val="IndexLink"/>
                <w:rtl w:val="true"/>
              </w:rPr>
              <w:t xml:space="preserve">: </w:t>
            </w:r>
            <w:r>
              <w:rPr>
                <w:rStyle w:val="IndexLink"/>
                <w:rtl w:val="true"/>
              </w:rPr>
              <w:t>متعلّقات مسجد</w:t>
            </w:r>
            <w:r>
              <w:rPr>
                <w:rStyle w:val="IndexLink"/>
                <w:rtl w:val="true"/>
              </w:rPr>
              <w:tab/>
            </w:r>
            <w:r>
              <w:rPr>
                <w:rStyle w:val="IndexLink"/>
              </w:rPr>
              <w:t>179</w:t>
            </w:r>
          </w:hyperlink>
        </w:p>
        <w:p>
          <w:pPr>
            <w:pStyle w:val="Contents4"/>
            <w:tabs>
              <w:tab w:val="clear" w:pos="8176"/>
              <w:tab w:val="right" w:pos="9026" w:leader="dot"/>
            </w:tabs>
            <w:rPr/>
          </w:pPr>
          <w:hyperlink w:anchor="__RefHeading___Toc15202440_12804478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5202442_1280447820">
            <w:r>
              <w:rPr>
                <w:webHidden/>
                <w:rStyle w:val="IndexLink"/>
                <w:rtl w:val="true"/>
              </w:rPr>
              <w:t>مبحث اول</w:t>
            </w:r>
            <w:r>
              <w:rPr>
                <w:rStyle w:val="IndexLink"/>
                <w:rtl w:val="true"/>
              </w:rPr>
              <w:t xml:space="preserve">: </w:t>
            </w:r>
            <w:r>
              <w:rPr>
                <w:rStyle w:val="IndexLink"/>
                <w:rtl w:val="true"/>
              </w:rPr>
              <w:t>وضوخانه</w:t>
            </w:r>
            <w:r>
              <w:rPr>
                <w:rStyle w:val="IndexLink"/>
                <w:rtl w:val="true"/>
              </w:rPr>
              <w:tab/>
            </w:r>
            <w:r>
              <w:rPr>
                <w:rStyle w:val="IndexLink"/>
              </w:rPr>
              <w:t>181</w:t>
            </w:r>
          </w:hyperlink>
        </w:p>
        <w:p>
          <w:pPr>
            <w:pStyle w:val="Contents5"/>
            <w:tabs>
              <w:tab w:val="clear" w:pos="7892"/>
              <w:tab w:val="right" w:pos="9026" w:leader="dot"/>
            </w:tabs>
            <w:rPr/>
          </w:pPr>
          <w:hyperlink w:anchor="__RefHeading___Toc15202444_128044782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5202446_1280447820">
            <w:r>
              <w:rPr>
                <w:webHidden/>
                <w:rStyle w:val="IndexLink"/>
                <w:rtl w:val="true"/>
              </w:rPr>
              <w:t>گفتار اول</w:t>
            </w:r>
            <w:r>
              <w:rPr>
                <w:rStyle w:val="IndexLink"/>
                <w:rtl w:val="true"/>
              </w:rPr>
              <w:t xml:space="preserve">: </w:t>
            </w:r>
            <w:r>
              <w:rPr>
                <w:rStyle w:val="IndexLink"/>
                <w:rtl w:val="true"/>
              </w:rPr>
              <w:t>تعریف میضاً در لغت و اصطلاح</w:t>
            </w:r>
            <w:r>
              <w:rPr>
                <w:rStyle w:val="IndexLink"/>
                <w:rtl w:val="true"/>
              </w:rPr>
              <w:tab/>
            </w:r>
            <w:r>
              <w:rPr>
                <w:rStyle w:val="IndexLink"/>
              </w:rPr>
              <w:t>181</w:t>
            </w:r>
          </w:hyperlink>
        </w:p>
        <w:p>
          <w:pPr>
            <w:pStyle w:val="Contents6"/>
            <w:tabs>
              <w:tab w:val="clear" w:pos="7609"/>
              <w:tab w:val="right" w:pos="9026" w:leader="dot"/>
            </w:tabs>
            <w:rPr/>
          </w:pPr>
          <w:hyperlink w:anchor="__RefHeading___Toc15202448_1280447820">
            <w:r>
              <w:rPr>
                <w:webHidden/>
                <w:rStyle w:val="IndexLink"/>
                <w:rtl w:val="true"/>
              </w:rPr>
              <w:t>الف</w:t>
            </w:r>
            <w:r>
              <w:rPr>
                <w:rStyle w:val="IndexLink"/>
                <w:rtl w:val="true"/>
              </w:rPr>
              <w:t xml:space="preserve">) </w:t>
            </w:r>
            <w:r>
              <w:rPr>
                <w:rStyle w:val="IndexLink"/>
                <w:rtl w:val="true"/>
              </w:rPr>
              <w:t>معناى لغوى</w:t>
            </w:r>
            <w:r>
              <w:rPr>
                <w:rStyle w:val="IndexLink"/>
                <w:rtl w:val="true"/>
              </w:rPr>
              <w:tab/>
            </w:r>
            <w:r>
              <w:rPr>
                <w:rStyle w:val="IndexLink"/>
              </w:rPr>
              <w:t>181</w:t>
            </w:r>
          </w:hyperlink>
        </w:p>
        <w:p>
          <w:pPr>
            <w:pStyle w:val="Contents6"/>
            <w:tabs>
              <w:tab w:val="clear" w:pos="7609"/>
              <w:tab w:val="right" w:pos="9026" w:leader="dot"/>
            </w:tabs>
            <w:rPr/>
          </w:pPr>
          <w:hyperlink w:anchor="__RefHeading___Toc15202450_1280447820">
            <w:r>
              <w:rPr>
                <w:webHidden/>
                <w:rStyle w:val="IndexLink"/>
                <w:rtl w:val="true"/>
              </w:rPr>
              <w:t>ب</w:t>
            </w:r>
            <w:r>
              <w:rPr>
                <w:rStyle w:val="IndexLink"/>
                <w:rtl w:val="true"/>
              </w:rPr>
              <w:t xml:space="preserve">) </w:t>
            </w:r>
            <w:r>
              <w:rPr>
                <w:rStyle w:val="IndexLink"/>
                <w:rtl w:val="true"/>
              </w:rPr>
              <w:t>معنای اصطلاحی میضأه</w:t>
            </w:r>
            <w:r>
              <w:rPr>
                <w:rStyle w:val="IndexLink"/>
                <w:rtl w:val="true"/>
              </w:rPr>
              <w:tab/>
            </w:r>
            <w:r>
              <w:rPr>
                <w:rStyle w:val="IndexLink"/>
              </w:rPr>
              <w:t>182</w:t>
            </w:r>
          </w:hyperlink>
        </w:p>
        <w:p>
          <w:pPr>
            <w:pStyle w:val="Contents5"/>
            <w:tabs>
              <w:tab w:val="clear" w:pos="7892"/>
              <w:tab w:val="right" w:pos="9026" w:leader="dot"/>
            </w:tabs>
            <w:rPr/>
          </w:pPr>
          <w:hyperlink w:anchor="__RefHeading___Toc15202452_1280447820">
            <w:r>
              <w:rPr>
                <w:webHidden/>
                <w:rStyle w:val="IndexLink"/>
                <w:rtl w:val="true"/>
              </w:rPr>
              <w:t xml:space="preserve">گفتار دوم حکم فقهی </w:t>
            </w:r>
            <w:r>
              <w:rPr>
                <w:rStyle w:val="IndexLink"/>
                <w:rtl w:val="true"/>
              </w:rPr>
              <w:t>«</w:t>
            </w:r>
            <w:r>
              <w:rPr>
                <w:rStyle w:val="IndexLink"/>
                <w:rtl w:val="true"/>
              </w:rPr>
              <w:t>ميضأة</w:t>
            </w:r>
            <w:r>
              <w:rPr>
                <w:rStyle w:val="IndexLink"/>
                <w:rtl w:val="true"/>
              </w:rPr>
              <w:t>»</w:t>
              <w:tab/>
            </w:r>
            <w:r>
              <w:rPr>
                <w:rStyle w:val="IndexLink"/>
              </w:rPr>
              <w:t>183</w:t>
            </w:r>
          </w:hyperlink>
        </w:p>
        <w:p>
          <w:pPr>
            <w:pStyle w:val="Contents6"/>
            <w:tabs>
              <w:tab w:val="clear" w:pos="7609"/>
              <w:tab w:val="right" w:pos="9026" w:leader="dot"/>
            </w:tabs>
            <w:rPr/>
          </w:pPr>
          <w:hyperlink w:anchor="__RefHeading___Toc15202454_1280447820">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15202456_1280447820">
            <w:r>
              <w:rPr>
                <w:webHidden/>
                <w:rStyle w:val="IndexLink"/>
                <w:rtl w:val="true"/>
              </w:rPr>
              <w:t>دليل استحباب ساخت وضوخانه در خارج از مسجد</w:t>
            </w:r>
            <w:r>
              <w:rPr>
                <w:rStyle w:val="IndexLink"/>
                <w:rtl w:val="true"/>
              </w:rPr>
              <w:tab/>
            </w:r>
            <w:r>
              <w:rPr>
                <w:rStyle w:val="IndexLink"/>
              </w:rPr>
              <w:t>183</w:t>
            </w:r>
          </w:hyperlink>
        </w:p>
        <w:p>
          <w:pPr>
            <w:pStyle w:val="Contents5"/>
            <w:tabs>
              <w:tab w:val="clear" w:pos="7892"/>
              <w:tab w:val="right" w:pos="9026" w:leader="dot"/>
            </w:tabs>
            <w:rPr/>
          </w:pPr>
          <w:hyperlink w:anchor="__RefHeading___Toc15202458_1280447820">
            <w:r>
              <w:rPr>
                <w:webHidden/>
                <w:rStyle w:val="IndexLink"/>
                <w:rtl w:val="true"/>
              </w:rPr>
              <w:t>گفتار سوم وضوخانه از دیدگاه اهل سنّت</w:t>
            </w:r>
            <w:r>
              <w:rPr>
                <w:rStyle w:val="IndexLink"/>
                <w:rtl w:val="true"/>
              </w:rPr>
              <w:tab/>
            </w:r>
            <w:r>
              <w:rPr>
                <w:rStyle w:val="IndexLink"/>
              </w:rPr>
              <w:t>185</w:t>
            </w:r>
          </w:hyperlink>
        </w:p>
        <w:p>
          <w:pPr>
            <w:pStyle w:val="Contents6"/>
            <w:tabs>
              <w:tab w:val="clear" w:pos="7609"/>
              <w:tab w:val="right" w:pos="9026" w:leader="dot"/>
            </w:tabs>
            <w:rPr/>
          </w:pPr>
          <w:hyperlink w:anchor="__RefHeading___Toc15202460_128044782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5202462_1280447820">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مذهب حنفی و مالکی</w:t>
            </w:r>
            <w:r>
              <w:rPr>
                <w:rStyle w:val="IndexLink"/>
                <w:rtl w:val="true"/>
              </w:rPr>
              <w:tab/>
            </w:r>
            <w:r>
              <w:rPr>
                <w:rStyle w:val="IndexLink"/>
              </w:rPr>
              <w:t>185</w:t>
            </w:r>
          </w:hyperlink>
        </w:p>
        <w:p>
          <w:pPr>
            <w:pStyle w:val="Contents6"/>
            <w:tabs>
              <w:tab w:val="clear" w:pos="7609"/>
              <w:tab w:val="right" w:pos="9026" w:leader="dot"/>
            </w:tabs>
            <w:rPr/>
          </w:pPr>
          <w:hyperlink w:anchor="__RefHeading___Toc15202464_1280447820">
            <w:r>
              <w:rPr>
                <w:webHidden/>
                <w:rStyle w:val="IndexLink"/>
              </w:rPr>
              <w:t>3</w:t>
            </w:r>
            <w:r>
              <w:rPr>
                <w:rStyle w:val="IndexLink"/>
                <w:rtl w:val="true"/>
              </w:rPr>
              <w:t>و</w:t>
            </w:r>
            <w:r>
              <w:rPr>
                <w:rStyle w:val="IndexLink"/>
              </w:rPr>
              <w:t>4</w:t>
            </w:r>
            <w:r>
              <w:rPr>
                <w:rStyle w:val="IndexLink"/>
                <w:rtl w:val="true"/>
              </w:rPr>
              <w:t xml:space="preserve">. </w:t>
            </w:r>
            <w:r>
              <w:rPr>
                <w:rStyle w:val="IndexLink"/>
                <w:rtl w:val="true"/>
              </w:rPr>
              <w:t>مذهب شافعی و حنبلی</w:t>
            </w:r>
            <w:r>
              <w:rPr>
                <w:rStyle w:val="IndexLink"/>
                <w:rtl w:val="true"/>
              </w:rPr>
              <w:tab/>
            </w:r>
            <w:r>
              <w:rPr>
                <w:rStyle w:val="IndexLink"/>
              </w:rPr>
              <w:t>186</w:t>
            </w:r>
          </w:hyperlink>
        </w:p>
        <w:p>
          <w:pPr>
            <w:pStyle w:val="Contents5"/>
            <w:tabs>
              <w:tab w:val="clear" w:pos="7892"/>
              <w:tab w:val="right" w:pos="9026" w:leader="dot"/>
            </w:tabs>
            <w:rPr/>
          </w:pPr>
          <w:hyperlink w:anchor="__RefHeading___Toc15202466_1280447820">
            <w:r>
              <w:rPr>
                <w:webHidden/>
                <w:rStyle w:val="IndexLink"/>
                <w:rtl w:val="true"/>
              </w:rPr>
              <w:t>گفتار چهارم</w:t>
            </w:r>
            <w:r>
              <w:rPr>
                <w:rStyle w:val="IndexLink"/>
                <w:rtl w:val="true"/>
              </w:rPr>
              <w:t xml:space="preserve">: </w:t>
            </w:r>
            <w:r>
              <w:rPr>
                <w:rStyle w:val="IndexLink"/>
                <w:rtl w:val="true"/>
              </w:rPr>
              <w:t>کیفیت ساختن سرویسهای بهداشتی مساجد</w:t>
            </w:r>
            <w:r>
              <w:rPr>
                <w:rStyle w:val="IndexLink"/>
                <w:rtl w:val="true"/>
              </w:rPr>
              <w:tab/>
            </w:r>
            <w:r>
              <w:rPr>
                <w:rStyle w:val="IndexLink"/>
              </w:rPr>
              <w:t>187</w:t>
            </w:r>
          </w:hyperlink>
        </w:p>
        <w:p>
          <w:pPr>
            <w:pStyle w:val="Contents6"/>
            <w:tabs>
              <w:tab w:val="clear" w:pos="7609"/>
              <w:tab w:val="right" w:pos="9026" w:leader="dot"/>
            </w:tabs>
            <w:rPr/>
          </w:pPr>
          <w:hyperlink w:anchor="__RefHeading___Toc15202468_128044782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5202470_1280447820">
            <w:r>
              <w:rPr>
                <w:webHidden/>
                <w:rStyle w:val="IndexLink"/>
                <w:rtl w:val="true"/>
              </w:rPr>
              <w:t>دلیل حرمت استقبال و استدبار قبله در حال تخلی</w:t>
            </w:r>
            <w:r>
              <w:rPr>
                <w:rStyle w:val="IndexLink"/>
                <w:rtl w:val="true"/>
              </w:rPr>
              <w:tab/>
            </w:r>
            <w:r>
              <w:rPr>
                <w:rStyle w:val="IndexLink"/>
              </w:rPr>
              <w:t>187</w:t>
            </w:r>
          </w:hyperlink>
        </w:p>
        <w:p>
          <w:pPr>
            <w:pStyle w:val="Contents4"/>
            <w:tabs>
              <w:tab w:val="clear" w:pos="8176"/>
              <w:tab w:val="right" w:pos="9026" w:leader="dot"/>
            </w:tabs>
            <w:rPr/>
          </w:pPr>
          <w:hyperlink w:anchor="__RefHeading___Toc15202472_1280447820">
            <w:r>
              <w:rPr>
                <w:webHidden/>
                <w:rStyle w:val="IndexLink"/>
                <w:rtl w:val="true"/>
              </w:rPr>
              <w:t>مبحث دوم</w:t>
            </w:r>
            <w:r>
              <w:rPr>
                <w:rStyle w:val="IndexLink"/>
                <w:rtl w:val="true"/>
              </w:rPr>
              <w:t xml:space="preserve">: </w:t>
            </w:r>
            <w:r>
              <w:rPr>
                <w:rStyle w:val="IndexLink"/>
                <w:rtl w:val="true"/>
              </w:rPr>
              <w:t>صحن مسجد</w:t>
            </w:r>
            <w:r>
              <w:rPr>
                <w:rStyle w:val="IndexLink"/>
                <w:rtl w:val="true"/>
              </w:rPr>
              <w:tab/>
            </w:r>
            <w:r>
              <w:rPr>
                <w:rStyle w:val="IndexLink"/>
              </w:rPr>
              <w:t>190</w:t>
            </w:r>
          </w:hyperlink>
        </w:p>
        <w:p>
          <w:pPr>
            <w:pStyle w:val="Contents5"/>
            <w:tabs>
              <w:tab w:val="clear" w:pos="7892"/>
              <w:tab w:val="right" w:pos="9026" w:leader="dot"/>
            </w:tabs>
            <w:rPr/>
          </w:pPr>
          <w:hyperlink w:anchor="__RefHeading___Toc15202474_12804478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5202476_1280447820">
            <w:r>
              <w:rPr>
                <w:webHidden/>
                <w:rStyle w:val="IndexLink"/>
                <w:rtl w:val="true"/>
              </w:rPr>
              <w:t>گفتار اول</w:t>
            </w:r>
            <w:r>
              <w:rPr>
                <w:rStyle w:val="IndexLink"/>
                <w:rtl w:val="true"/>
              </w:rPr>
              <w:t xml:space="preserve">: </w:t>
            </w:r>
            <w:r>
              <w:rPr>
                <w:rStyle w:val="IndexLink"/>
                <w:rtl w:val="true"/>
              </w:rPr>
              <w:t xml:space="preserve">تعریف </w:t>
            </w:r>
            <w:r>
              <w:rPr>
                <w:rStyle w:val="IndexLink"/>
                <w:rtl w:val="true"/>
              </w:rPr>
              <w:t>«</w:t>
            </w:r>
            <w:r>
              <w:rPr>
                <w:rStyle w:val="IndexLink"/>
                <w:rtl w:val="true"/>
              </w:rPr>
              <w:t>رحبه</w:t>
            </w:r>
            <w:r>
              <w:rPr>
                <w:rStyle w:val="IndexLink"/>
                <w:rtl w:val="true"/>
              </w:rPr>
              <w:t xml:space="preserve">» </w:t>
            </w:r>
            <w:r>
              <w:rPr>
                <w:rStyle w:val="IndexLink"/>
                <w:rtl w:val="true"/>
              </w:rPr>
              <w:t>در لغت و اصطلاح</w:t>
            </w:r>
            <w:r>
              <w:rPr>
                <w:rStyle w:val="IndexLink"/>
                <w:rtl w:val="true"/>
              </w:rPr>
              <w:tab/>
            </w:r>
            <w:r>
              <w:rPr>
                <w:rStyle w:val="IndexLink"/>
              </w:rPr>
              <w:t>190</w:t>
            </w:r>
          </w:hyperlink>
        </w:p>
        <w:p>
          <w:pPr>
            <w:pStyle w:val="Contents6"/>
            <w:tabs>
              <w:tab w:val="clear" w:pos="7609"/>
              <w:tab w:val="right" w:pos="9026" w:leader="dot"/>
            </w:tabs>
            <w:rPr/>
          </w:pPr>
          <w:hyperlink w:anchor="__RefHeading___Toc15202478_1280447820">
            <w:r>
              <w:rPr>
                <w:webHidden/>
                <w:rStyle w:val="IndexLink"/>
                <w:rtl w:val="true"/>
              </w:rPr>
              <w:t>الف</w:t>
            </w:r>
            <w:r>
              <w:rPr>
                <w:rStyle w:val="IndexLink"/>
                <w:rtl w:val="true"/>
              </w:rPr>
              <w:t xml:space="preserve">) </w:t>
            </w:r>
            <w:r>
              <w:rPr>
                <w:rStyle w:val="IndexLink"/>
                <w:rtl w:val="true"/>
              </w:rPr>
              <w:t>رحبه در لغت</w:t>
            </w:r>
            <w:r>
              <w:rPr>
                <w:rStyle w:val="IndexLink"/>
                <w:rtl w:val="true"/>
              </w:rPr>
              <w:tab/>
            </w:r>
            <w:r>
              <w:rPr>
                <w:rStyle w:val="IndexLink"/>
              </w:rPr>
              <w:t>190</w:t>
            </w:r>
          </w:hyperlink>
        </w:p>
        <w:p>
          <w:pPr>
            <w:pStyle w:val="Contents6"/>
            <w:tabs>
              <w:tab w:val="clear" w:pos="7609"/>
              <w:tab w:val="right" w:pos="9026" w:leader="dot"/>
            </w:tabs>
            <w:rPr/>
          </w:pPr>
          <w:hyperlink w:anchor="__RefHeading___Toc15202480_1280447820">
            <w:r>
              <w:rPr>
                <w:webHidden/>
                <w:rStyle w:val="IndexLink"/>
                <w:rtl w:val="true"/>
              </w:rPr>
              <w:t>ب</w:t>
            </w:r>
            <w:r>
              <w:rPr>
                <w:rStyle w:val="IndexLink"/>
                <w:rtl w:val="true"/>
              </w:rPr>
              <w:t xml:space="preserve">) </w:t>
            </w:r>
            <w:r>
              <w:rPr>
                <w:rStyle w:val="IndexLink"/>
                <w:rtl w:val="true"/>
              </w:rPr>
              <w:t>رحبه در اصطلاح فقها</w:t>
            </w:r>
            <w:r>
              <w:rPr>
                <w:rStyle w:val="IndexLink"/>
                <w:rtl w:val="true"/>
              </w:rPr>
              <w:tab/>
            </w:r>
            <w:r>
              <w:rPr>
                <w:rStyle w:val="IndexLink"/>
              </w:rPr>
              <w:t>191</w:t>
            </w:r>
          </w:hyperlink>
        </w:p>
        <w:p>
          <w:pPr>
            <w:pStyle w:val="Contents5"/>
            <w:tabs>
              <w:tab w:val="clear" w:pos="7892"/>
              <w:tab w:val="right" w:pos="9026" w:leader="dot"/>
            </w:tabs>
            <w:rPr/>
          </w:pPr>
          <w:hyperlink w:anchor="__RefHeading___Toc15202482_1280447820">
            <w:r>
              <w:rPr>
                <w:webHidden/>
                <w:rStyle w:val="IndexLink"/>
                <w:rtl w:val="true"/>
              </w:rPr>
              <w:t>گفتار دوم</w:t>
            </w:r>
            <w:r>
              <w:rPr>
                <w:rStyle w:val="IndexLink"/>
                <w:rtl w:val="true"/>
              </w:rPr>
              <w:t xml:space="preserve">: </w:t>
            </w:r>
            <w:r>
              <w:rPr>
                <w:rStyle w:val="IndexLink"/>
                <w:rtl w:val="true"/>
              </w:rPr>
              <w:t>احکام فقهی صحن مسجد</w:t>
            </w:r>
            <w:r>
              <w:rPr>
                <w:rStyle w:val="IndexLink"/>
                <w:rtl w:val="true"/>
              </w:rPr>
              <w:tab/>
            </w:r>
            <w:r>
              <w:rPr>
                <w:rStyle w:val="IndexLink"/>
              </w:rPr>
              <w:t>191</w:t>
            </w:r>
          </w:hyperlink>
        </w:p>
        <w:p>
          <w:pPr>
            <w:pStyle w:val="Contents6"/>
            <w:tabs>
              <w:tab w:val="clear" w:pos="7609"/>
              <w:tab w:val="right" w:pos="9026" w:leader="dot"/>
            </w:tabs>
            <w:rPr/>
          </w:pPr>
          <w:hyperlink w:anchor="__RefHeading___Toc15202484_12804478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15202486_1280447820">
            <w:r>
              <w:rPr>
                <w:webHidden/>
                <w:rStyle w:val="IndexLink"/>
                <w:rtl w:val="true"/>
              </w:rPr>
              <w:t>اعتکاف در صحن مسجد</w:t>
            </w:r>
            <w:r>
              <w:rPr>
                <w:rStyle w:val="IndexLink"/>
                <w:rtl w:val="true"/>
              </w:rPr>
              <w:tab/>
            </w:r>
            <w:r>
              <w:rPr>
                <w:rStyle w:val="IndexLink"/>
              </w:rPr>
              <w:t>192</w:t>
            </w:r>
          </w:hyperlink>
        </w:p>
        <w:p>
          <w:pPr>
            <w:pStyle w:val="Contents5"/>
            <w:tabs>
              <w:tab w:val="clear" w:pos="7892"/>
              <w:tab w:val="right" w:pos="9026" w:leader="dot"/>
            </w:tabs>
            <w:rPr/>
          </w:pPr>
          <w:hyperlink w:anchor="__RefHeading___Toc15202488_1280447820">
            <w:r>
              <w:rPr>
                <w:webHidden/>
                <w:rStyle w:val="IndexLink"/>
                <w:rtl w:val="true"/>
              </w:rPr>
              <w:t>گفتار سوم</w:t>
            </w:r>
            <w:r>
              <w:rPr>
                <w:rStyle w:val="IndexLink"/>
                <w:rtl w:val="true"/>
              </w:rPr>
              <w:t xml:space="preserve">: </w:t>
            </w:r>
            <w:r>
              <w:rPr>
                <w:rStyle w:val="IndexLink"/>
                <w:rtl w:val="true"/>
              </w:rPr>
              <w:t>احکام رحبه از دیدگاه اهل سنّت</w:t>
            </w:r>
            <w:r>
              <w:rPr>
                <w:rStyle w:val="IndexLink"/>
                <w:rtl w:val="true"/>
              </w:rPr>
              <w:tab/>
            </w:r>
            <w:r>
              <w:rPr>
                <w:rStyle w:val="IndexLink"/>
              </w:rPr>
              <w:t>193</w:t>
            </w:r>
          </w:hyperlink>
        </w:p>
        <w:p>
          <w:pPr>
            <w:pStyle w:val="Contents6"/>
            <w:tabs>
              <w:tab w:val="clear" w:pos="7609"/>
              <w:tab w:val="right" w:pos="9026" w:leader="dot"/>
            </w:tabs>
            <w:rPr/>
          </w:pPr>
          <w:hyperlink w:anchor="__RefHeading___Toc15202490_1280447820">
            <w:r>
              <w:rPr>
                <w:webHidden/>
                <w:rStyle w:val="IndexLink"/>
              </w:rPr>
              <w:t>1</w:t>
            </w:r>
            <w:r>
              <w:rPr>
                <w:rStyle w:val="IndexLink"/>
                <w:rtl w:val="true"/>
              </w:rPr>
              <w:t xml:space="preserve">. </w:t>
            </w:r>
            <w:r>
              <w:rPr>
                <w:rStyle w:val="IndexLink"/>
                <w:rtl w:val="true"/>
              </w:rPr>
              <w:t>مذهب شافعی</w:t>
            </w:r>
            <w:r>
              <w:rPr>
                <w:rStyle w:val="IndexLink"/>
                <w:rtl w:val="true"/>
              </w:rPr>
              <w:tab/>
            </w:r>
            <w:r>
              <w:rPr>
                <w:rStyle w:val="IndexLink"/>
              </w:rPr>
              <w:t>193</w:t>
            </w:r>
          </w:hyperlink>
        </w:p>
        <w:p>
          <w:pPr>
            <w:pStyle w:val="Contents6"/>
            <w:tabs>
              <w:tab w:val="clear" w:pos="7609"/>
              <w:tab w:val="right" w:pos="9026" w:leader="dot"/>
            </w:tabs>
            <w:rPr/>
          </w:pPr>
          <w:hyperlink w:anchor="__RefHeading___Toc15202492_1280447820">
            <w:r>
              <w:rPr>
                <w:webHidden/>
                <w:rStyle w:val="IndexLink"/>
              </w:rPr>
              <w:t>2</w:t>
            </w:r>
            <w:r>
              <w:rPr>
                <w:rStyle w:val="IndexLink"/>
                <w:rtl w:val="true"/>
              </w:rPr>
              <w:t xml:space="preserve">. </w:t>
            </w:r>
            <w:r>
              <w:rPr>
                <w:rStyle w:val="IndexLink"/>
                <w:rtl w:val="true"/>
              </w:rPr>
              <w:t>دیدگاه سایز مذاهب</w:t>
            </w:r>
            <w:r>
              <w:rPr>
                <w:rStyle w:val="IndexLink"/>
                <w:rtl w:val="true"/>
              </w:rPr>
              <w:tab/>
            </w:r>
            <w:r>
              <w:rPr>
                <w:rStyle w:val="IndexLink"/>
              </w:rPr>
              <w:t>193</w:t>
            </w:r>
          </w:hyperlink>
        </w:p>
        <w:p>
          <w:pPr>
            <w:pStyle w:val="Contents4"/>
            <w:tabs>
              <w:tab w:val="clear" w:pos="8176"/>
              <w:tab w:val="right" w:pos="9026" w:leader="dot"/>
            </w:tabs>
            <w:rPr/>
          </w:pPr>
          <w:hyperlink w:anchor="__RefHeading___Toc15202494_1280447820">
            <w:r>
              <w:rPr>
                <w:webHidden/>
                <w:rStyle w:val="IndexLink"/>
                <w:rtl w:val="true"/>
              </w:rPr>
              <w:t>مبحث سوم</w:t>
            </w:r>
            <w:r>
              <w:rPr>
                <w:rStyle w:val="IndexLink"/>
                <w:rtl w:val="true"/>
              </w:rPr>
              <w:t xml:space="preserve">: </w:t>
            </w:r>
            <w:r>
              <w:rPr>
                <w:rStyle w:val="IndexLink"/>
                <w:rtl w:val="true"/>
              </w:rPr>
              <w:t>تعیین قبله مسجد</w:t>
            </w:r>
            <w:r>
              <w:rPr>
                <w:rStyle w:val="IndexLink"/>
                <w:rtl w:val="true"/>
              </w:rPr>
              <w:tab/>
            </w:r>
            <w:r>
              <w:rPr>
                <w:rStyle w:val="IndexLink"/>
              </w:rPr>
              <w:t>194</w:t>
            </w:r>
          </w:hyperlink>
        </w:p>
        <w:p>
          <w:pPr>
            <w:pStyle w:val="Contents5"/>
            <w:tabs>
              <w:tab w:val="clear" w:pos="7892"/>
              <w:tab w:val="right" w:pos="9026" w:leader="dot"/>
            </w:tabs>
            <w:rPr/>
          </w:pPr>
          <w:hyperlink w:anchor="__RefHeading___Toc15202496_1280447820">
            <w:r>
              <w:rPr>
                <w:webHidden/>
                <w:rStyle w:val="IndexLink"/>
                <w:rtl w:val="true"/>
              </w:rPr>
              <w:t>گفتار اول</w:t>
            </w:r>
            <w:r>
              <w:rPr>
                <w:rStyle w:val="IndexLink"/>
                <w:rtl w:val="true"/>
              </w:rPr>
              <w:t xml:space="preserve">: </w:t>
            </w:r>
            <w:r>
              <w:rPr>
                <w:rStyle w:val="IndexLink"/>
                <w:rtl w:val="true"/>
              </w:rPr>
              <w:t>شناختن قبله</w:t>
            </w:r>
            <w:r>
              <w:rPr>
                <w:rStyle w:val="IndexLink"/>
                <w:rtl w:val="true"/>
              </w:rPr>
              <w:tab/>
            </w:r>
            <w:r>
              <w:rPr>
                <w:rStyle w:val="IndexLink"/>
              </w:rPr>
              <w:t>194</w:t>
            </w:r>
          </w:hyperlink>
        </w:p>
        <w:p>
          <w:pPr>
            <w:pStyle w:val="Contents5"/>
            <w:tabs>
              <w:tab w:val="clear" w:pos="7892"/>
              <w:tab w:val="right" w:pos="9026" w:leader="dot"/>
            </w:tabs>
            <w:rPr/>
          </w:pPr>
          <w:hyperlink w:anchor="__RefHeading___Toc15202498_1280447820">
            <w:r>
              <w:rPr>
                <w:webHidden/>
                <w:rStyle w:val="IndexLink"/>
                <w:rtl w:val="true"/>
              </w:rPr>
              <w:t>گفتار دوم</w:t>
            </w:r>
            <w:r>
              <w:rPr>
                <w:rStyle w:val="IndexLink"/>
                <w:rtl w:val="true"/>
              </w:rPr>
              <w:t xml:space="preserve">: </w:t>
            </w:r>
            <w:r>
              <w:rPr>
                <w:rStyle w:val="IndexLink"/>
                <w:rtl w:val="true"/>
              </w:rPr>
              <w:t>امارات قبله</w:t>
            </w:r>
            <w:r>
              <w:rPr>
                <w:rStyle w:val="IndexLink"/>
                <w:rtl w:val="true"/>
              </w:rPr>
              <w:tab/>
            </w:r>
            <w:r>
              <w:rPr>
                <w:rStyle w:val="IndexLink"/>
              </w:rPr>
              <w:t>195</w:t>
            </w:r>
          </w:hyperlink>
        </w:p>
        <w:p>
          <w:pPr>
            <w:pStyle w:val="Contents5"/>
            <w:tabs>
              <w:tab w:val="clear" w:pos="7892"/>
              <w:tab w:val="right" w:pos="9026" w:leader="dot"/>
            </w:tabs>
            <w:rPr/>
          </w:pPr>
          <w:hyperlink w:anchor="__RefHeading___Toc15202500_1280447820">
            <w:r>
              <w:rPr>
                <w:webHidden/>
                <w:rStyle w:val="IndexLink"/>
                <w:rtl w:val="true"/>
              </w:rPr>
              <w:t>گفتار سوم دلیل اماره بودن قبله مسلمین</w:t>
            </w:r>
            <w:r>
              <w:rPr>
                <w:rStyle w:val="IndexLink"/>
                <w:rtl w:val="true"/>
              </w:rPr>
              <w:tab/>
            </w:r>
            <w:r>
              <w:rPr>
                <w:rStyle w:val="IndexLink"/>
              </w:rPr>
              <w:t>196</w:t>
            </w:r>
          </w:hyperlink>
        </w:p>
        <w:p>
          <w:pPr>
            <w:pStyle w:val="Contents6"/>
            <w:tabs>
              <w:tab w:val="clear" w:pos="7609"/>
              <w:tab w:val="right" w:pos="9026" w:leader="dot"/>
            </w:tabs>
            <w:rPr/>
          </w:pPr>
          <w:hyperlink w:anchor="__RefHeading___Toc15202502_1280447820">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5202504_1280447820">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197</w:t>
            </w:r>
          </w:hyperlink>
        </w:p>
        <w:p>
          <w:pPr>
            <w:pStyle w:val="Contents6"/>
            <w:tabs>
              <w:tab w:val="clear" w:pos="7609"/>
              <w:tab w:val="right" w:pos="9026" w:leader="dot"/>
            </w:tabs>
            <w:rPr/>
          </w:pPr>
          <w:hyperlink w:anchor="__RefHeading___Toc15202506_1280447820">
            <w:r>
              <w:rPr>
                <w:webHidden/>
                <w:rStyle w:val="IndexLink"/>
              </w:rPr>
              <w:t>2</w:t>
            </w:r>
            <w:r>
              <w:rPr>
                <w:rStyle w:val="IndexLink"/>
                <w:rtl w:val="true"/>
              </w:rPr>
              <w:t xml:space="preserve">. </w:t>
            </w:r>
            <w:r>
              <w:rPr>
                <w:rStyle w:val="IndexLink"/>
                <w:rtl w:val="true"/>
              </w:rPr>
              <w:t>سيرة قطعية مسلمين</w:t>
            </w:r>
            <w:r>
              <w:rPr>
                <w:rStyle w:val="IndexLink"/>
                <w:rtl w:val="true"/>
              </w:rPr>
              <w:tab/>
            </w:r>
            <w:r>
              <w:rPr>
                <w:rStyle w:val="IndexLink"/>
              </w:rPr>
              <w:t>197</w:t>
            </w:r>
          </w:hyperlink>
        </w:p>
        <w:p>
          <w:pPr>
            <w:pStyle w:val="Contents5"/>
            <w:tabs>
              <w:tab w:val="clear" w:pos="7892"/>
              <w:tab w:val="right" w:pos="9026" w:leader="dot"/>
            </w:tabs>
            <w:rPr/>
          </w:pPr>
          <w:hyperlink w:anchor="__RefHeading___Toc15202508_1280447820">
            <w:r>
              <w:rPr>
                <w:webHidden/>
                <w:rStyle w:val="IndexLink"/>
                <w:rtl w:val="true"/>
              </w:rPr>
              <w:t>گفتار چهارم</w:t>
            </w:r>
            <w:r>
              <w:rPr>
                <w:rStyle w:val="IndexLink"/>
                <w:rtl w:val="true"/>
              </w:rPr>
              <w:t xml:space="preserve">: </w:t>
            </w:r>
            <w:r>
              <w:rPr>
                <w:rStyle w:val="IndexLink"/>
                <w:rtl w:val="true"/>
              </w:rPr>
              <w:t>امارات و علامات قبله از دیدگاه علمای هیئت</w:t>
            </w:r>
            <w:r>
              <w:rPr>
                <w:rStyle w:val="IndexLink"/>
                <w:rtl w:val="true"/>
              </w:rPr>
              <w:tab/>
            </w:r>
            <w:r>
              <w:rPr>
                <w:rStyle w:val="IndexLink"/>
              </w:rPr>
              <w:t>198</w:t>
            </w:r>
          </w:hyperlink>
        </w:p>
        <w:p>
          <w:pPr>
            <w:pStyle w:val="Contents5"/>
            <w:tabs>
              <w:tab w:val="clear" w:pos="7892"/>
              <w:tab w:val="right" w:pos="9026" w:leader="dot"/>
            </w:tabs>
            <w:rPr/>
          </w:pPr>
          <w:hyperlink w:anchor="__RefHeading___Toc15202510_1280447820">
            <w:r>
              <w:rPr>
                <w:webHidden/>
                <w:rStyle w:val="IndexLink"/>
                <w:rtl w:val="true"/>
              </w:rPr>
              <w:t>گفتار پنجم</w:t>
            </w:r>
            <w:r>
              <w:rPr>
                <w:rStyle w:val="IndexLink"/>
                <w:rtl w:val="true"/>
              </w:rPr>
              <w:t xml:space="preserve">: </w:t>
            </w:r>
            <w:r>
              <w:rPr>
                <w:rStyle w:val="IndexLink"/>
                <w:rtl w:val="true"/>
              </w:rPr>
              <w:t>تعیین قبله به وسیله ابزارهای جدید</w:t>
            </w:r>
            <w:r>
              <w:rPr>
                <w:rStyle w:val="IndexLink"/>
                <w:rtl w:val="true"/>
              </w:rPr>
              <w:tab/>
            </w:r>
            <w:r>
              <w:rPr>
                <w:rStyle w:val="IndexLink"/>
              </w:rPr>
              <w:t>199</w:t>
            </w:r>
          </w:hyperlink>
        </w:p>
        <w:p>
          <w:pPr>
            <w:pStyle w:val="Contents3"/>
            <w:tabs>
              <w:tab w:val="clear" w:pos="8459"/>
              <w:tab w:val="right" w:pos="9026" w:leader="dot"/>
            </w:tabs>
            <w:rPr/>
          </w:pPr>
          <w:hyperlink w:anchor="__RefHeading___Toc15202512_1280447820">
            <w:r>
              <w:rPr>
                <w:webHidden/>
                <w:rStyle w:val="IndexLink"/>
                <w:rtl w:val="true"/>
              </w:rPr>
              <w:t>فصل چهارم</w:t>
            </w:r>
            <w:r>
              <w:rPr>
                <w:rStyle w:val="IndexLink"/>
                <w:rtl w:val="true"/>
              </w:rPr>
              <w:t xml:space="preserve">: </w:t>
            </w:r>
            <w:r>
              <w:rPr>
                <w:rStyle w:val="IndexLink"/>
                <w:rtl w:val="true"/>
              </w:rPr>
              <w:t>ترمیم مساجد</w:t>
            </w:r>
            <w:r>
              <w:rPr>
                <w:rStyle w:val="IndexLink"/>
                <w:rtl w:val="true"/>
              </w:rPr>
              <w:tab/>
            </w:r>
            <w:r>
              <w:rPr>
                <w:rStyle w:val="IndexLink"/>
              </w:rPr>
              <w:t>203</w:t>
            </w:r>
          </w:hyperlink>
        </w:p>
        <w:p>
          <w:pPr>
            <w:pStyle w:val="Contents4"/>
            <w:tabs>
              <w:tab w:val="clear" w:pos="8176"/>
              <w:tab w:val="right" w:pos="9026" w:leader="dot"/>
            </w:tabs>
            <w:rPr/>
          </w:pPr>
          <w:hyperlink w:anchor="__RefHeading___Toc15202514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5202516_1280447820">
            <w:r>
              <w:rPr>
                <w:webHidden/>
                <w:rStyle w:val="IndexLink"/>
                <w:rtl w:val="true"/>
              </w:rPr>
              <w:t>مبحث اول</w:t>
            </w:r>
            <w:r>
              <w:rPr>
                <w:rStyle w:val="IndexLink"/>
                <w:rtl w:val="true"/>
              </w:rPr>
              <w:t xml:space="preserve">: </w:t>
            </w:r>
            <w:r>
              <w:rPr>
                <w:rStyle w:val="IndexLink"/>
                <w:rtl w:val="true"/>
              </w:rPr>
              <w:t>ترمیم در لغت و تفسیر</w:t>
            </w:r>
            <w:r>
              <w:rPr>
                <w:rStyle w:val="IndexLink"/>
                <w:rtl w:val="true"/>
              </w:rPr>
              <w:tab/>
            </w:r>
            <w:r>
              <w:rPr>
                <w:rStyle w:val="IndexLink"/>
              </w:rPr>
              <w:t>205</w:t>
            </w:r>
          </w:hyperlink>
        </w:p>
        <w:p>
          <w:pPr>
            <w:pStyle w:val="Contents5"/>
            <w:tabs>
              <w:tab w:val="clear" w:pos="7892"/>
              <w:tab w:val="right" w:pos="9026" w:leader="dot"/>
            </w:tabs>
            <w:rPr/>
          </w:pPr>
          <w:hyperlink w:anchor="__RefHeading___Toc15202518_1280447820">
            <w:r>
              <w:rPr>
                <w:webHidden/>
                <w:rStyle w:val="IndexLink"/>
                <w:rtl w:val="true"/>
              </w:rPr>
              <w:t>گفتار اول</w:t>
            </w:r>
            <w:r>
              <w:rPr>
                <w:rStyle w:val="IndexLink"/>
                <w:rtl w:val="true"/>
              </w:rPr>
              <w:t xml:space="preserve">: </w:t>
            </w:r>
            <w:r>
              <w:rPr>
                <w:rStyle w:val="IndexLink"/>
                <w:rtl w:val="true"/>
              </w:rPr>
              <w:t>تعریف ترمیم</w:t>
            </w:r>
            <w:r>
              <w:rPr>
                <w:rStyle w:val="IndexLink"/>
                <w:rtl w:val="true"/>
              </w:rPr>
              <w:tab/>
            </w:r>
            <w:r>
              <w:rPr>
                <w:rStyle w:val="IndexLink"/>
              </w:rPr>
              <w:t>205</w:t>
            </w:r>
          </w:hyperlink>
        </w:p>
        <w:p>
          <w:pPr>
            <w:pStyle w:val="Contents5"/>
            <w:tabs>
              <w:tab w:val="clear" w:pos="7892"/>
              <w:tab w:val="right" w:pos="9026" w:leader="dot"/>
            </w:tabs>
            <w:rPr/>
          </w:pPr>
          <w:hyperlink w:anchor="__RefHeading___Toc15202520_1280447820">
            <w:r>
              <w:rPr>
                <w:webHidden/>
                <w:rStyle w:val="IndexLink"/>
                <w:rtl w:val="true"/>
              </w:rPr>
              <w:t>گفتار دوم</w:t>
            </w:r>
            <w:r>
              <w:rPr>
                <w:rStyle w:val="IndexLink"/>
                <w:rtl w:val="true"/>
              </w:rPr>
              <w:t xml:space="preserve">: </w:t>
            </w:r>
            <w:r>
              <w:rPr>
                <w:rStyle w:val="IndexLink"/>
                <w:rtl w:val="true"/>
              </w:rPr>
              <w:t>ترمیم از نگاه مفسران</w:t>
            </w:r>
            <w:r>
              <w:rPr>
                <w:rStyle w:val="IndexLink"/>
                <w:rtl w:val="true"/>
              </w:rPr>
              <w:tab/>
            </w:r>
            <w:r>
              <w:rPr>
                <w:rStyle w:val="IndexLink"/>
              </w:rPr>
              <w:t>206</w:t>
            </w:r>
          </w:hyperlink>
        </w:p>
        <w:p>
          <w:pPr>
            <w:pStyle w:val="Contents4"/>
            <w:tabs>
              <w:tab w:val="clear" w:pos="8176"/>
              <w:tab w:val="right" w:pos="9026" w:leader="dot"/>
            </w:tabs>
            <w:rPr/>
          </w:pPr>
          <w:hyperlink w:anchor="__RefHeading___Toc15202522_1280447820">
            <w:r>
              <w:rPr>
                <w:webHidden/>
                <w:rStyle w:val="IndexLink"/>
                <w:rtl w:val="true"/>
              </w:rPr>
              <w:t>مبحث دوم</w:t>
            </w:r>
            <w:r>
              <w:rPr>
                <w:rStyle w:val="IndexLink"/>
                <w:rtl w:val="true"/>
              </w:rPr>
              <w:t xml:space="preserve">: </w:t>
            </w:r>
            <w:r>
              <w:rPr>
                <w:rStyle w:val="IndexLink"/>
                <w:rtl w:val="true"/>
              </w:rPr>
              <w:t>حکم شرعی مرمت تجدید و توسعه مسجد</w:t>
            </w:r>
            <w:r>
              <w:rPr>
                <w:rStyle w:val="IndexLink"/>
                <w:rtl w:val="true"/>
              </w:rPr>
              <w:tab/>
            </w:r>
            <w:r>
              <w:rPr>
                <w:rStyle w:val="IndexLink"/>
              </w:rPr>
              <w:t>207</w:t>
            </w:r>
          </w:hyperlink>
        </w:p>
        <w:p>
          <w:pPr>
            <w:pStyle w:val="Contents5"/>
            <w:tabs>
              <w:tab w:val="clear" w:pos="7892"/>
              <w:tab w:val="right" w:pos="9026" w:leader="dot"/>
            </w:tabs>
            <w:rPr/>
          </w:pPr>
          <w:hyperlink w:anchor="__RefHeading___Toc15202524_1280447820">
            <w:r>
              <w:rPr>
                <w:webHidden/>
                <w:rStyle w:val="IndexLink"/>
                <w:rtl w:val="true"/>
              </w:rPr>
              <w:t>گفتار اول</w:t>
            </w:r>
            <w:r>
              <w:rPr>
                <w:rStyle w:val="IndexLink"/>
                <w:rtl w:val="true"/>
              </w:rPr>
              <w:t xml:space="preserve">: </w:t>
            </w:r>
            <w:r>
              <w:rPr>
                <w:rStyle w:val="IndexLink"/>
                <w:rtl w:val="true"/>
              </w:rPr>
              <w:t>دیدگاه فقیهان امامیه</w:t>
            </w:r>
            <w:r>
              <w:rPr>
                <w:rStyle w:val="IndexLink"/>
                <w:rtl w:val="true"/>
              </w:rPr>
              <w:tab/>
            </w:r>
            <w:r>
              <w:rPr>
                <w:rStyle w:val="IndexLink"/>
              </w:rPr>
              <w:t>207</w:t>
            </w:r>
          </w:hyperlink>
        </w:p>
        <w:p>
          <w:pPr>
            <w:pStyle w:val="Contents6"/>
            <w:tabs>
              <w:tab w:val="clear" w:pos="7609"/>
              <w:tab w:val="right" w:pos="9026" w:leader="dot"/>
            </w:tabs>
            <w:rPr/>
          </w:pPr>
          <w:hyperlink w:anchor="__RefHeading___Toc15202526_128044782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5202528_1280447820">
            <w:r>
              <w:rPr>
                <w:webHidden/>
                <w:rStyle w:val="IndexLink"/>
                <w:rtl w:val="true"/>
              </w:rPr>
              <w:t>الف</w:t>
            </w:r>
            <w:r>
              <w:rPr>
                <w:rStyle w:val="IndexLink"/>
                <w:rtl w:val="true"/>
              </w:rPr>
              <w:t xml:space="preserve">) </w:t>
            </w:r>
            <w:r>
              <w:rPr>
                <w:rStyle w:val="IndexLink"/>
                <w:rtl w:val="true"/>
              </w:rPr>
              <w:t>ادله استحباب تعمیر مساجد</w:t>
            </w:r>
            <w:r>
              <w:rPr>
                <w:rStyle w:val="IndexLink"/>
                <w:rtl w:val="true"/>
              </w:rPr>
              <w:tab/>
            </w:r>
            <w:r>
              <w:rPr>
                <w:rStyle w:val="IndexLink"/>
              </w:rPr>
              <w:t>207</w:t>
            </w:r>
          </w:hyperlink>
        </w:p>
        <w:p>
          <w:pPr>
            <w:pStyle w:val="Contents6"/>
            <w:tabs>
              <w:tab w:val="clear" w:pos="7609"/>
              <w:tab w:val="right" w:pos="9026" w:leader="dot"/>
            </w:tabs>
            <w:rPr/>
          </w:pPr>
          <w:hyperlink w:anchor="__RefHeading___Toc15202530_1280447820">
            <w:r>
              <w:rPr>
                <w:webHidden/>
                <w:rStyle w:val="IndexLink"/>
                <w:rtl w:val="true"/>
              </w:rPr>
              <w:t>ب</w:t>
            </w:r>
            <w:r>
              <w:rPr>
                <w:rStyle w:val="IndexLink"/>
                <w:rtl w:val="true"/>
              </w:rPr>
              <w:t xml:space="preserve">) </w:t>
            </w:r>
            <w:r>
              <w:rPr>
                <w:rStyle w:val="IndexLink"/>
                <w:rtl w:val="true"/>
              </w:rPr>
              <w:t>توسعه مسجد</w:t>
            </w:r>
            <w:r>
              <w:rPr>
                <w:rStyle w:val="IndexLink"/>
                <w:rtl w:val="true"/>
              </w:rPr>
              <w:tab/>
            </w:r>
            <w:r>
              <w:rPr>
                <w:rStyle w:val="IndexLink"/>
              </w:rPr>
              <w:t>208</w:t>
            </w:r>
          </w:hyperlink>
        </w:p>
        <w:p>
          <w:pPr>
            <w:pStyle w:val="Contents6"/>
            <w:tabs>
              <w:tab w:val="clear" w:pos="7609"/>
              <w:tab w:val="right" w:pos="9026" w:leader="dot"/>
            </w:tabs>
            <w:rPr/>
          </w:pPr>
          <w:hyperlink w:anchor="__RefHeading___Toc15202532_1280447820">
            <w:r>
              <w:rPr>
                <w:webHidden/>
                <w:rStyle w:val="IndexLink"/>
                <w:rtl w:val="true"/>
              </w:rPr>
              <w:t>ج</w:t>
            </w:r>
            <w:r>
              <w:rPr>
                <w:rStyle w:val="IndexLink"/>
                <w:rtl w:val="true"/>
              </w:rPr>
              <w:t xml:space="preserve">) </w:t>
            </w:r>
            <w:r>
              <w:rPr>
                <w:rStyle w:val="IndexLink"/>
                <w:rtl w:val="true"/>
              </w:rPr>
              <w:t>ادله جواز تخریب مسجد</w:t>
            </w:r>
            <w:r>
              <w:rPr>
                <w:rStyle w:val="IndexLink"/>
                <w:rtl w:val="true"/>
              </w:rPr>
              <w:tab/>
            </w:r>
            <w:r>
              <w:rPr>
                <w:rStyle w:val="IndexLink"/>
              </w:rPr>
              <w:t>209</w:t>
            </w:r>
          </w:hyperlink>
        </w:p>
        <w:p>
          <w:pPr>
            <w:pStyle w:val="Contents6"/>
            <w:tabs>
              <w:tab w:val="clear" w:pos="7609"/>
              <w:tab w:val="right" w:pos="9026" w:leader="dot"/>
            </w:tabs>
            <w:rPr/>
          </w:pPr>
          <w:hyperlink w:anchor="__RefHeading___Toc15202534_1280447820">
            <w:r>
              <w:rPr>
                <w:webHidden/>
                <w:rStyle w:val="IndexLink"/>
                <w:rtl w:val="true"/>
              </w:rPr>
              <w:t>د</w:t>
            </w:r>
            <w:r>
              <w:rPr>
                <w:rStyle w:val="IndexLink"/>
                <w:rtl w:val="true"/>
              </w:rPr>
              <w:t xml:space="preserve">) </w:t>
            </w:r>
            <w:r>
              <w:rPr>
                <w:rStyle w:val="IndexLink"/>
                <w:rtl w:val="true"/>
              </w:rPr>
              <w:t>تجدید بنای مسجد</w:t>
            </w:r>
            <w:r>
              <w:rPr>
                <w:rStyle w:val="IndexLink"/>
                <w:rtl w:val="true"/>
              </w:rPr>
              <w:tab/>
            </w:r>
            <w:r>
              <w:rPr>
                <w:rStyle w:val="IndexLink"/>
              </w:rPr>
              <w:t>212</w:t>
            </w:r>
          </w:hyperlink>
        </w:p>
        <w:p>
          <w:pPr>
            <w:pStyle w:val="Contents6"/>
            <w:tabs>
              <w:tab w:val="clear" w:pos="7609"/>
              <w:tab w:val="right" w:pos="9026" w:leader="dot"/>
            </w:tabs>
            <w:rPr/>
          </w:pPr>
          <w:hyperlink w:anchor="__RefHeading___Toc15202536_1280447820">
            <w:r>
              <w:rPr>
                <w:webHidden/>
                <w:rStyle w:val="IndexLink"/>
                <w:rtl w:val="true"/>
              </w:rPr>
              <w:t>ه</w:t>
            </w:r>
            <w:r>
              <w:rPr>
                <w:rStyle w:val="IndexLink"/>
                <w:rtl w:val="true"/>
              </w:rPr>
              <w:t xml:space="preserve">) </w:t>
            </w:r>
            <w:r>
              <w:rPr>
                <w:rStyle w:val="IndexLink"/>
                <w:rtl w:val="true"/>
              </w:rPr>
              <w:t>احداث درب پنجره و دریچه برای مسجد</w:t>
            </w:r>
            <w:r>
              <w:rPr>
                <w:rStyle w:val="IndexLink"/>
                <w:rtl w:val="true"/>
              </w:rPr>
              <w:tab/>
            </w:r>
            <w:r>
              <w:rPr>
                <w:rStyle w:val="IndexLink"/>
              </w:rPr>
              <w:t>213</w:t>
            </w:r>
          </w:hyperlink>
        </w:p>
        <w:p>
          <w:pPr>
            <w:pStyle w:val="Contents6"/>
            <w:tabs>
              <w:tab w:val="clear" w:pos="7609"/>
              <w:tab w:val="right" w:pos="9026" w:leader="dot"/>
            </w:tabs>
            <w:rPr/>
          </w:pPr>
          <w:hyperlink w:anchor="__RefHeading___Toc15202538_12804478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5202540_1280447820">
            <w:r>
              <w:rPr>
                <w:webHidden/>
                <w:rStyle w:val="IndexLink"/>
              </w:rPr>
              <w:t>1</w:t>
            </w:r>
            <w:r>
              <w:rPr>
                <w:rStyle w:val="IndexLink"/>
                <w:rtl w:val="true"/>
              </w:rPr>
              <w:t xml:space="preserve">. </w:t>
            </w:r>
            <w:r>
              <w:rPr>
                <w:rStyle w:val="IndexLink"/>
                <w:rtl w:val="true"/>
              </w:rPr>
              <w:t>احداث درب جدید</w:t>
            </w:r>
            <w:r>
              <w:rPr>
                <w:rStyle w:val="IndexLink"/>
                <w:rtl w:val="true"/>
              </w:rPr>
              <w:tab/>
            </w:r>
            <w:r>
              <w:rPr>
                <w:rStyle w:val="IndexLink"/>
              </w:rPr>
              <w:t>213</w:t>
            </w:r>
          </w:hyperlink>
        </w:p>
        <w:p>
          <w:pPr>
            <w:pStyle w:val="Contents6"/>
            <w:tabs>
              <w:tab w:val="clear" w:pos="7609"/>
              <w:tab w:val="right" w:pos="9026" w:leader="dot"/>
            </w:tabs>
            <w:rPr/>
          </w:pPr>
          <w:hyperlink w:anchor="__RefHeading___Toc15202542_1280447820">
            <w:r>
              <w:rPr>
                <w:webHidden/>
                <w:rStyle w:val="IndexLink"/>
              </w:rPr>
              <w:t>2</w:t>
            </w:r>
            <w:r>
              <w:rPr>
                <w:rStyle w:val="IndexLink"/>
                <w:rtl w:val="true"/>
              </w:rPr>
              <w:t xml:space="preserve">. </w:t>
            </w:r>
            <w:r>
              <w:rPr>
                <w:rStyle w:val="IndexLink"/>
                <w:rtl w:val="true"/>
              </w:rPr>
              <w:t>احداث پنجره و روزنه</w:t>
            </w:r>
            <w:r>
              <w:rPr>
                <w:rStyle w:val="IndexLink"/>
                <w:rtl w:val="true"/>
              </w:rPr>
              <w:tab/>
            </w:r>
            <w:r>
              <w:rPr>
                <w:rStyle w:val="IndexLink"/>
              </w:rPr>
              <w:t>213</w:t>
            </w:r>
          </w:hyperlink>
        </w:p>
        <w:p>
          <w:pPr>
            <w:pStyle w:val="Contents6"/>
            <w:tabs>
              <w:tab w:val="clear" w:pos="7609"/>
              <w:tab w:val="right" w:pos="9026" w:leader="dot"/>
            </w:tabs>
            <w:rPr/>
          </w:pPr>
          <w:hyperlink w:anchor="__RefHeading___Toc15202544_1280447820">
            <w:r>
              <w:rPr>
                <w:webHidden/>
                <w:rStyle w:val="IndexLink"/>
              </w:rPr>
              <w:t>3</w:t>
            </w:r>
            <w:r>
              <w:rPr>
                <w:rStyle w:val="IndexLink"/>
                <w:rtl w:val="true"/>
              </w:rPr>
              <w:t xml:space="preserve">. </w:t>
            </w:r>
            <w:r>
              <w:rPr>
                <w:rStyle w:val="IndexLink"/>
                <w:rtl w:val="true"/>
              </w:rPr>
              <w:t>تغییر هیئت مسجد</w:t>
            </w:r>
            <w:r>
              <w:rPr>
                <w:rStyle w:val="IndexLink"/>
                <w:rtl w:val="true"/>
              </w:rPr>
              <w:tab/>
            </w:r>
            <w:r>
              <w:rPr>
                <w:rStyle w:val="IndexLink"/>
              </w:rPr>
              <w:t>213</w:t>
            </w:r>
          </w:hyperlink>
        </w:p>
        <w:p>
          <w:pPr>
            <w:pStyle w:val="Contents6"/>
            <w:tabs>
              <w:tab w:val="clear" w:pos="7609"/>
              <w:tab w:val="right" w:pos="9026" w:leader="dot"/>
            </w:tabs>
            <w:rPr/>
          </w:pPr>
          <w:hyperlink w:anchor="__RefHeading___Toc15202546_12804478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5202548_1280447820">
            <w:r>
              <w:rPr>
                <w:webHidden/>
                <w:rStyle w:val="IndexLink"/>
              </w:rPr>
              <w:t>4</w:t>
            </w:r>
            <w:r>
              <w:rPr>
                <w:rStyle w:val="IndexLink"/>
                <w:rtl w:val="true"/>
              </w:rPr>
              <w:t xml:space="preserve">. </w:t>
            </w:r>
            <w:r>
              <w:rPr>
                <w:rStyle w:val="IndexLink"/>
                <w:rtl w:val="true"/>
              </w:rPr>
              <w:t>آلات و وسایل مسجد منهدم شده</w:t>
            </w:r>
            <w:r>
              <w:rPr>
                <w:rStyle w:val="IndexLink"/>
                <w:rtl w:val="true"/>
              </w:rPr>
              <w:tab/>
            </w:r>
            <w:r>
              <w:rPr>
                <w:rStyle w:val="IndexLink"/>
              </w:rPr>
              <w:t>213</w:t>
            </w:r>
          </w:hyperlink>
        </w:p>
        <w:p>
          <w:pPr>
            <w:pStyle w:val="Contents5"/>
            <w:tabs>
              <w:tab w:val="clear" w:pos="7892"/>
              <w:tab w:val="right" w:pos="9026" w:leader="dot"/>
            </w:tabs>
            <w:rPr/>
          </w:pPr>
          <w:hyperlink w:anchor="__RefHeading___Toc15202550_1280447820">
            <w:r>
              <w:rPr>
                <w:webHidden/>
                <w:rStyle w:val="IndexLink"/>
                <w:rtl w:val="true"/>
              </w:rPr>
              <w:t>گفتار دوم دیدگاه اهل سنّت</w:t>
            </w:r>
            <w:r>
              <w:rPr>
                <w:rStyle w:val="IndexLink"/>
                <w:rtl w:val="true"/>
              </w:rPr>
              <w:tab/>
            </w:r>
            <w:r>
              <w:rPr>
                <w:rStyle w:val="IndexLink"/>
              </w:rPr>
              <w:t>214</w:t>
            </w:r>
          </w:hyperlink>
        </w:p>
        <w:p>
          <w:pPr>
            <w:pStyle w:val="Contents3"/>
            <w:tabs>
              <w:tab w:val="clear" w:pos="8459"/>
              <w:tab w:val="right" w:pos="9026" w:leader="dot"/>
            </w:tabs>
            <w:rPr/>
          </w:pPr>
          <w:hyperlink w:anchor="__RefHeading___Toc15202552_1280447820">
            <w:r>
              <w:rPr>
                <w:webHidden/>
                <w:rStyle w:val="IndexLink"/>
                <w:rtl w:val="true"/>
              </w:rPr>
              <w:t>فصل پنجم</w:t>
            </w:r>
            <w:r>
              <w:rPr>
                <w:rStyle w:val="IndexLink"/>
                <w:rtl w:val="true"/>
              </w:rPr>
              <w:t xml:space="preserve">: </w:t>
            </w:r>
            <w:r>
              <w:rPr>
                <w:rStyle w:val="IndexLink"/>
                <w:rtl w:val="true"/>
              </w:rPr>
              <w:t>آراستگی و پیراستگی مسجد</w:t>
            </w:r>
            <w:r>
              <w:rPr>
                <w:rStyle w:val="IndexLink"/>
                <w:rtl w:val="true"/>
              </w:rPr>
              <w:tab/>
            </w:r>
            <w:r>
              <w:rPr>
                <w:rStyle w:val="IndexLink"/>
              </w:rPr>
              <w:t>217</w:t>
            </w:r>
          </w:hyperlink>
        </w:p>
        <w:p>
          <w:pPr>
            <w:pStyle w:val="Contents4"/>
            <w:tabs>
              <w:tab w:val="clear" w:pos="8176"/>
              <w:tab w:val="right" w:pos="9026" w:leader="dot"/>
            </w:tabs>
            <w:rPr/>
          </w:pPr>
          <w:hyperlink w:anchor="__RefHeading___Toc15202554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5202556_1280447820">
            <w:r>
              <w:rPr>
                <w:webHidden/>
                <w:rStyle w:val="IndexLink"/>
                <w:rtl w:val="true"/>
              </w:rPr>
              <w:t>مبحث اول</w:t>
            </w:r>
            <w:r>
              <w:rPr>
                <w:rStyle w:val="IndexLink"/>
                <w:rtl w:val="true"/>
              </w:rPr>
              <w:t xml:space="preserve">: </w:t>
            </w:r>
            <w:r>
              <w:rPr>
                <w:rStyle w:val="IndexLink"/>
                <w:rtl w:val="true"/>
              </w:rPr>
              <w:t>تزیین مساجد</w:t>
            </w:r>
            <w:r>
              <w:rPr>
                <w:rStyle w:val="IndexLink"/>
                <w:rtl w:val="true"/>
              </w:rPr>
              <w:tab/>
            </w:r>
            <w:r>
              <w:rPr>
                <w:rStyle w:val="IndexLink"/>
              </w:rPr>
              <w:t>219</w:t>
            </w:r>
          </w:hyperlink>
        </w:p>
        <w:p>
          <w:pPr>
            <w:pStyle w:val="Contents5"/>
            <w:tabs>
              <w:tab w:val="clear" w:pos="7892"/>
              <w:tab w:val="right" w:pos="9026" w:leader="dot"/>
            </w:tabs>
            <w:rPr/>
          </w:pPr>
          <w:hyperlink w:anchor="__RefHeading___Toc15202558_1280447820">
            <w:r>
              <w:rPr>
                <w:webHidden/>
                <w:rStyle w:val="IndexLink"/>
                <w:rtl w:val="true"/>
              </w:rPr>
              <w:t>مقدمه</w:t>
            </w:r>
            <w:r>
              <w:rPr>
                <w:rStyle w:val="IndexLink"/>
                <w:rtl w:val="true"/>
              </w:rPr>
              <w:tab/>
            </w:r>
            <w:r>
              <w:rPr>
                <w:rStyle w:val="IndexLink"/>
              </w:rPr>
              <w:t>219</w:t>
            </w:r>
          </w:hyperlink>
        </w:p>
        <w:p>
          <w:pPr>
            <w:pStyle w:val="Contents5"/>
            <w:tabs>
              <w:tab w:val="clear" w:pos="7892"/>
              <w:tab w:val="right" w:pos="9026" w:leader="dot"/>
            </w:tabs>
            <w:rPr/>
          </w:pPr>
          <w:hyperlink w:anchor="__RefHeading___Toc15202560_1280447820">
            <w:r>
              <w:rPr>
                <w:webHidden/>
                <w:rStyle w:val="IndexLink"/>
                <w:rtl w:val="true"/>
              </w:rPr>
              <w:t>گفتار اول</w:t>
            </w:r>
            <w:r>
              <w:rPr>
                <w:rStyle w:val="IndexLink"/>
                <w:rtl w:val="true"/>
              </w:rPr>
              <w:t xml:space="preserve">: </w:t>
            </w:r>
            <w:r>
              <w:rPr>
                <w:rStyle w:val="IndexLink"/>
                <w:rtl w:val="true"/>
              </w:rPr>
              <w:t>بررسی حرمت یا کراهت تزیین مساجد</w:t>
            </w:r>
            <w:r>
              <w:rPr>
                <w:rStyle w:val="IndexLink"/>
                <w:rtl w:val="true"/>
              </w:rPr>
              <w:tab/>
            </w:r>
            <w:r>
              <w:rPr>
                <w:rStyle w:val="IndexLink"/>
              </w:rPr>
              <w:t>221</w:t>
            </w:r>
          </w:hyperlink>
        </w:p>
        <w:p>
          <w:pPr>
            <w:pStyle w:val="Contents6"/>
            <w:tabs>
              <w:tab w:val="clear" w:pos="7609"/>
              <w:tab w:val="right" w:pos="9026" w:leader="dot"/>
            </w:tabs>
            <w:rPr/>
          </w:pPr>
          <w:hyperlink w:anchor="__RefHeading___Toc15202562_1280447820">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15202564_1280447820">
            <w:r>
              <w:rPr>
                <w:webHidden/>
                <w:rStyle w:val="IndexLink"/>
                <w:rtl w:val="true"/>
              </w:rPr>
              <w:t>الف</w:t>
            </w:r>
            <w:r>
              <w:rPr>
                <w:rStyle w:val="IndexLink"/>
                <w:rtl w:val="true"/>
              </w:rPr>
              <w:t xml:space="preserve">) </w:t>
            </w:r>
            <w:r>
              <w:rPr>
                <w:rStyle w:val="IndexLink"/>
                <w:rtl w:val="true"/>
              </w:rPr>
              <w:t>دیدگاه اول حرمت</w:t>
            </w:r>
            <w:r>
              <w:rPr>
                <w:rStyle w:val="IndexLink"/>
                <w:rtl w:val="true"/>
              </w:rPr>
              <w:tab/>
            </w:r>
            <w:r>
              <w:rPr>
                <w:rStyle w:val="IndexLink"/>
              </w:rPr>
              <w:t>221</w:t>
            </w:r>
          </w:hyperlink>
        </w:p>
        <w:p>
          <w:pPr>
            <w:pStyle w:val="Contents6"/>
            <w:tabs>
              <w:tab w:val="clear" w:pos="7609"/>
              <w:tab w:val="right" w:pos="9026" w:leader="dot"/>
            </w:tabs>
            <w:rPr/>
          </w:pPr>
          <w:hyperlink w:anchor="__RefHeading___Toc15202566_1280447820">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15202568_1280447820">
            <w:r>
              <w:rPr>
                <w:webHidden/>
                <w:rStyle w:val="IndexLink"/>
              </w:rPr>
              <w:t>1</w:t>
            </w:r>
            <w:r>
              <w:rPr>
                <w:rStyle w:val="IndexLink"/>
                <w:rtl w:val="true"/>
              </w:rPr>
              <w:t xml:space="preserve">. </w:t>
            </w:r>
            <w:r>
              <w:rPr>
                <w:rStyle w:val="IndexLink"/>
                <w:rtl w:val="true"/>
              </w:rPr>
              <w:t>ادله حرمت تزئین مسجد</w:t>
            </w:r>
            <w:r>
              <w:rPr>
                <w:rStyle w:val="IndexLink"/>
                <w:rtl w:val="true"/>
              </w:rPr>
              <w:tab/>
            </w:r>
            <w:r>
              <w:rPr>
                <w:rStyle w:val="IndexLink"/>
              </w:rPr>
              <w:t>222</w:t>
            </w:r>
          </w:hyperlink>
        </w:p>
        <w:p>
          <w:pPr>
            <w:pStyle w:val="Contents6"/>
            <w:tabs>
              <w:tab w:val="clear" w:pos="7609"/>
              <w:tab w:val="right" w:pos="9026" w:leader="dot"/>
            </w:tabs>
            <w:rPr/>
          </w:pPr>
          <w:hyperlink w:anchor="__RefHeading___Toc15202570_1280447820">
            <w:r>
              <w:rPr>
                <w:webHidden/>
                <w:rStyle w:val="IndexLink"/>
              </w:rPr>
              <w:t>2</w:t>
            </w:r>
            <w:r>
              <w:rPr>
                <w:rStyle w:val="IndexLink"/>
                <w:rtl w:val="true"/>
              </w:rPr>
              <w:t xml:space="preserve">. </w:t>
            </w:r>
            <w:r>
              <w:rPr>
                <w:rStyle w:val="IndexLink"/>
                <w:rtl w:val="true"/>
              </w:rPr>
              <w:t>نقد و بررسی هر دو دلیل</w:t>
            </w:r>
            <w:r>
              <w:rPr>
                <w:rStyle w:val="IndexLink"/>
                <w:rtl w:val="true"/>
              </w:rPr>
              <w:tab/>
            </w:r>
            <w:r>
              <w:rPr>
                <w:rStyle w:val="IndexLink"/>
              </w:rPr>
              <w:t>223</w:t>
            </w:r>
          </w:hyperlink>
        </w:p>
        <w:p>
          <w:pPr>
            <w:pStyle w:val="Contents6"/>
            <w:tabs>
              <w:tab w:val="clear" w:pos="7609"/>
              <w:tab w:val="right" w:pos="9026" w:leader="dot"/>
            </w:tabs>
            <w:rPr/>
          </w:pPr>
          <w:hyperlink w:anchor="__RefHeading___Toc15202572_1280447820">
            <w:r>
              <w:rPr>
                <w:webHidden/>
                <w:rStyle w:val="IndexLink"/>
                <w:rtl w:val="true"/>
              </w:rPr>
              <w:t>ب</w:t>
            </w:r>
            <w:r>
              <w:rPr>
                <w:rStyle w:val="IndexLink"/>
                <w:rtl w:val="true"/>
              </w:rPr>
              <w:t xml:space="preserve">) </w:t>
            </w:r>
            <w:r>
              <w:rPr>
                <w:rStyle w:val="IndexLink"/>
                <w:rtl w:val="true"/>
              </w:rPr>
              <w:t>دیدگاه دوم کراهت</w:t>
            </w:r>
            <w:r>
              <w:rPr>
                <w:rStyle w:val="IndexLink"/>
                <w:rtl w:val="true"/>
              </w:rPr>
              <w:tab/>
            </w:r>
            <w:r>
              <w:rPr>
                <w:rStyle w:val="IndexLink"/>
              </w:rPr>
              <w:t>225</w:t>
            </w:r>
          </w:hyperlink>
        </w:p>
        <w:p>
          <w:pPr>
            <w:pStyle w:val="Contents5"/>
            <w:tabs>
              <w:tab w:val="clear" w:pos="7892"/>
              <w:tab w:val="right" w:pos="9026" w:leader="dot"/>
            </w:tabs>
            <w:rPr/>
          </w:pPr>
          <w:hyperlink w:anchor="__RefHeading___Toc15202574_1280447820">
            <w:r>
              <w:rPr>
                <w:webHidden/>
                <w:rStyle w:val="IndexLink"/>
                <w:rtl w:val="true"/>
              </w:rPr>
              <w:t>گفتار دوم</w:t>
            </w:r>
            <w:r>
              <w:rPr>
                <w:rStyle w:val="IndexLink"/>
                <w:rtl w:val="true"/>
              </w:rPr>
              <w:t xml:space="preserve">: </w:t>
            </w:r>
            <w:r>
              <w:rPr>
                <w:rStyle w:val="IndexLink"/>
                <w:rtl w:val="true"/>
              </w:rPr>
              <w:t>تزئین مساجد از نگاه اهل سنت</w:t>
            </w:r>
            <w:r>
              <w:rPr>
                <w:rStyle w:val="IndexLink"/>
                <w:rtl w:val="true"/>
              </w:rPr>
              <w:tab/>
            </w:r>
            <w:r>
              <w:rPr>
                <w:rStyle w:val="IndexLink"/>
              </w:rPr>
              <w:t>226</w:t>
            </w:r>
          </w:hyperlink>
        </w:p>
        <w:p>
          <w:pPr>
            <w:pStyle w:val="Contents6"/>
            <w:tabs>
              <w:tab w:val="clear" w:pos="7609"/>
              <w:tab w:val="right" w:pos="9026" w:leader="dot"/>
            </w:tabs>
            <w:rPr/>
          </w:pPr>
          <w:hyperlink w:anchor="__RefHeading___Toc15202576_1280447820">
            <w:r>
              <w:rPr>
                <w:webHidden/>
                <w:rStyle w:val="IndexLink"/>
              </w:rPr>
              <w:t>1</w:t>
            </w:r>
            <w:r>
              <w:rPr>
                <w:rStyle w:val="IndexLink"/>
                <w:rtl w:val="true"/>
              </w:rPr>
              <w:t xml:space="preserve">. </w:t>
            </w:r>
            <w:r>
              <w:rPr>
                <w:rStyle w:val="IndexLink"/>
                <w:rtl w:val="true"/>
              </w:rPr>
              <w:t>مذهب شافعی</w:t>
            </w:r>
            <w:r>
              <w:rPr>
                <w:rStyle w:val="IndexLink"/>
                <w:rtl w:val="true"/>
              </w:rPr>
              <w:tab/>
            </w:r>
            <w:r>
              <w:rPr>
                <w:rStyle w:val="IndexLink"/>
              </w:rPr>
              <w:t>226</w:t>
            </w:r>
          </w:hyperlink>
        </w:p>
        <w:p>
          <w:pPr>
            <w:pStyle w:val="Contents6"/>
            <w:tabs>
              <w:tab w:val="clear" w:pos="7609"/>
              <w:tab w:val="right" w:pos="9026" w:leader="dot"/>
            </w:tabs>
            <w:rPr/>
          </w:pPr>
          <w:hyperlink w:anchor="__RefHeading___Toc15202578_1280447820">
            <w:r>
              <w:rPr>
                <w:webHidden/>
                <w:rStyle w:val="IndexLink"/>
              </w:rPr>
              <w:t>2</w:t>
            </w:r>
            <w:r>
              <w:rPr>
                <w:rStyle w:val="IndexLink"/>
                <w:rtl w:val="true"/>
              </w:rPr>
              <w:t xml:space="preserve">. </w:t>
            </w:r>
            <w:r>
              <w:rPr>
                <w:rStyle w:val="IndexLink"/>
                <w:rtl w:val="true"/>
              </w:rPr>
              <w:t>مذهب حنفی</w:t>
            </w:r>
            <w:r>
              <w:rPr>
                <w:rStyle w:val="IndexLink"/>
                <w:rtl w:val="true"/>
              </w:rPr>
              <w:tab/>
            </w:r>
            <w:r>
              <w:rPr>
                <w:rStyle w:val="IndexLink"/>
              </w:rPr>
              <w:t>228</w:t>
            </w:r>
          </w:hyperlink>
        </w:p>
        <w:p>
          <w:pPr>
            <w:pStyle w:val="Contents6"/>
            <w:tabs>
              <w:tab w:val="clear" w:pos="7609"/>
              <w:tab w:val="right" w:pos="9026" w:leader="dot"/>
            </w:tabs>
            <w:rPr/>
          </w:pPr>
          <w:hyperlink w:anchor="__RefHeading___Toc15202580_1280447820">
            <w:r>
              <w:rPr>
                <w:webHidden/>
                <w:rStyle w:val="IndexLink"/>
              </w:rPr>
              <w:t>3</w:t>
            </w:r>
            <w:r>
              <w:rPr>
                <w:rStyle w:val="IndexLink"/>
                <w:rtl w:val="true"/>
              </w:rPr>
              <w:t xml:space="preserve">. </w:t>
            </w:r>
            <w:r>
              <w:rPr>
                <w:rStyle w:val="IndexLink"/>
                <w:rtl w:val="true"/>
              </w:rPr>
              <w:t>مذهب حنبلی</w:t>
            </w:r>
            <w:r>
              <w:rPr>
                <w:rStyle w:val="IndexLink"/>
                <w:rtl w:val="true"/>
              </w:rPr>
              <w:tab/>
            </w:r>
            <w:r>
              <w:rPr>
                <w:rStyle w:val="IndexLink"/>
              </w:rPr>
              <w:t>228</w:t>
            </w:r>
          </w:hyperlink>
        </w:p>
        <w:p>
          <w:pPr>
            <w:pStyle w:val="Contents6"/>
            <w:tabs>
              <w:tab w:val="clear" w:pos="7609"/>
              <w:tab w:val="right" w:pos="9026" w:leader="dot"/>
            </w:tabs>
            <w:rPr/>
          </w:pPr>
          <w:hyperlink w:anchor="__RefHeading___Toc15202582_1280447820">
            <w:r>
              <w:rPr>
                <w:webHidden/>
                <w:rStyle w:val="IndexLink"/>
              </w:rPr>
              <w:t>4</w:t>
            </w:r>
            <w:r>
              <w:rPr>
                <w:rStyle w:val="IndexLink"/>
                <w:rtl w:val="true"/>
              </w:rPr>
              <w:t xml:space="preserve">. </w:t>
            </w:r>
            <w:r>
              <w:rPr>
                <w:rStyle w:val="IndexLink"/>
                <w:rtl w:val="true"/>
              </w:rPr>
              <w:t>مذهب مالکی</w:t>
            </w:r>
            <w:r>
              <w:rPr>
                <w:rStyle w:val="IndexLink"/>
                <w:rtl w:val="true"/>
              </w:rPr>
              <w:tab/>
            </w:r>
            <w:r>
              <w:rPr>
                <w:rStyle w:val="IndexLink"/>
              </w:rPr>
              <w:t>228</w:t>
            </w:r>
          </w:hyperlink>
        </w:p>
        <w:p>
          <w:pPr>
            <w:pStyle w:val="Contents4"/>
            <w:tabs>
              <w:tab w:val="clear" w:pos="8176"/>
              <w:tab w:val="right" w:pos="9026" w:leader="dot"/>
            </w:tabs>
            <w:rPr/>
          </w:pPr>
          <w:hyperlink w:anchor="__RefHeading___Toc15202584_1280447820">
            <w:r>
              <w:rPr>
                <w:webHidden/>
                <w:rStyle w:val="IndexLink"/>
                <w:rtl w:val="true"/>
              </w:rPr>
              <w:t>مبحث دوم</w:t>
            </w:r>
            <w:r>
              <w:rPr>
                <w:rStyle w:val="IndexLink"/>
                <w:rtl w:val="true"/>
              </w:rPr>
              <w:t xml:space="preserve">: </w:t>
            </w:r>
            <w:r>
              <w:rPr>
                <w:rStyle w:val="IndexLink"/>
                <w:rtl w:val="true"/>
              </w:rPr>
              <w:t>پاکیزه، خوشبو کردن و روشن نگه داشتن مسجد</w:t>
            </w:r>
            <w:r>
              <w:rPr>
                <w:rStyle w:val="IndexLink"/>
                <w:rtl w:val="true"/>
              </w:rPr>
              <w:tab/>
            </w:r>
            <w:r>
              <w:rPr>
                <w:rStyle w:val="IndexLink"/>
              </w:rPr>
              <w:t>229</w:t>
            </w:r>
          </w:hyperlink>
        </w:p>
        <w:p>
          <w:pPr>
            <w:pStyle w:val="Contents5"/>
            <w:tabs>
              <w:tab w:val="clear" w:pos="7892"/>
              <w:tab w:val="right" w:pos="9026" w:leader="dot"/>
            </w:tabs>
            <w:rPr/>
          </w:pPr>
          <w:hyperlink w:anchor="__RefHeading___Toc15202586_1280447820">
            <w:r>
              <w:rPr>
                <w:webHidden/>
                <w:rStyle w:val="IndexLink"/>
                <w:rtl w:val="true"/>
              </w:rPr>
              <w:t>گفتار اول</w:t>
            </w:r>
            <w:r>
              <w:rPr>
                <w:rStyle w:val="IndexLink"/>
                <w:rtl w:val="true"/>
              </w:rPr>
              <w:t xml:space="preserve">: </w:t>
            </w:r>
            <w:r>
              <w:rPr>
                <w:rStyle w:val="IndexLink"/>
                <w:rtl w:val="true"/>
              </w:rPr>
              <w:t>پاکیزه نگه داشتن مسجد</w:t>
            </w:r>
            <w:r>
              <w:rPr>
                <w:rStyle w:val="IndexLink"/>
                <w:rtl w:val="true"/>
              </w:rPr>
              <w:tab/>
            </w:r>
            <w:r>
              <w:rPr>
                <w:rStyle w:val="IndexLink"/>
              </w:rPr>
              <w:t>229</w:t>
            </w:r>
          </w:hyperlink>
        </w:p>
        <w:p>
          <w:pPr>
            <w:pStyle w:val="Contents6"/>
            <w:tabs>
              <w:tab w:val="clear" w:pos="7609"/>
              <w:tab w:val="right" w:pos="9026" w:leader="dot"/>
            </w:tabs>
            <w:rPr/>
          </w:pPr>
          <w:hyperlink w:anchor="__RefHeading___Toc15202588_1280447820">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5202590_1280447820">
            <w:r>
              <w:rPr>
                <w:webHidden/>
                <w:rStyle w:val="IndexLink"/>
                <w:rtl w:val="true"/>
              </w:rPr>
              <w:t>ادله استحباب تنظيف مساجد</w:t>
            </w:r>
            <w:r>
              <w:rPr>
                <w:rStyle w:val="IndexLink"/>
                <w:rtl w:val="true"/>
              </w:rPr>
              <w:tab/>
            </w:r>
            <w:r>
              <w:rPr>
                <w:rStyle w:val="IndexLink"/>
              </w:rPr>
              <w:t>230</w:t>
            </w:r>
          </w:hyperlink>
        </w:p>
        <w:p>
          <w:pPr>
            <w:pStyle w:val="Contents5"/>
            <w:tabs>
              <w:tab w:val="clear" w:pos="7892"/>
              <w:tab w:val="right" w:pos="9026" w:leader="dot"/>
            </w:tabs>
            <w:rPr/>
          </w:pPr>
          <w:hyperlink w:anchor="__RefHeading___Toc15202592_1280447820">
            <w:r>
              <w:rPr>
                <w:webHidden/>
                <w:rStyle w:val="IndexLink"/>
                <w:rtl w:val="true"/>
              </w:rPr>
              <w:t>گفتار دوم</w:t>
            </w:r>
            <w:r>
              <w:rPr>
                <w:rStyle w:val="IndexLink"/>
                <w:rtl w:val="true"/>
              </w:rPr>
              <w:t xml:space="preserve">: </w:t>
            </w:r>
            <w:r>
              <w:rPr>
                <w:rStyle w:val="IndexLink"/>
                <w:rtl w:val="true"/>
              </w:rPr>
              <w:t>روشن نگه داشتن مسجد</w:t>
            </w:r>
            <w:r>
              <w:rPr>
                <w:rStyle w:val="IndexLink"/>
                <w:rtl w:val="true"/>
              </w:rPr>
              <w:tab/>
            </w:r>
            <w:r>
              <w:rPr>
                <w:rStyle w:val="IndexLink"/>
              </w:rPr>
              <w:t>232</w:t>
            </w:r>
          </w:hyperlink>
        </w:p>
        <w:p>
          <w:pPr>
            <w:pStyle w:val="Contents6"/>
            <w:tabs>
              <w:tab w:val="clear" w:pos="7609"/>
              <w:tab w:val="right" w:pos="9026" w:leader="dot"/>
            </w:tabs>
            <w:rPr/>
          </w:pPr>
          <w:hyperlink w:anchor="__RefHeading___Toc15202594_128044782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15202596_1280447820">
            <w:r>
              <w:rPr>
                <w:webHidden/>
                <w:rStyle w:val="IndexLink"/>
                <w:rtl w:val="true"/>
              </w:rPr>
              <w:t>ادله استحباب افروختن چراغ در مساجد</w:t>
            </w:r>
            <w:r>
              <w:rPr>
                <w:rStyle w:val="IndexLink"/>
                <w:rtl w:val="true"/>
              </w:rPr>
              <w:tab/>
            </w:r>
            <w:r>
              <w:rPr>
                <w:rStyle w:val="IndexLink"/>
              </w:rPr>
              <w:t>232</w:t>
            </w:r>
          </w:hyperlink>
        </w:p>
        <w:p>
          <w:pPr>
            <w:pStyle w:val="Contents5"/>
            <w:tabs>
              <w:tab w:val="clear" w:pos="7892"/>
              <w:tab w:val="right" w:pos="9026" w:leader="dot"/>
            </w:tabs>
            <w:rPr/>
          </w:pPr>
          <w:hyperlink w:anchor="__RefHeading___Toc15202598_1280447820">
            <w:r>
              <w:rPr>
                <w:webHidden/>
                <w:rStyle w:val="IndexLink"/>
                <w:rtl w:val="true"/>
              </w:rPr>
              <w:t>گفتار سوم</w:t>
            </w:r>
            <w:r>
              <w:rPr>
                <w:rStyle w:val="IndexLink"/>
                <w:rtl w:val="true"/>
              </w:rPr>
              <w:t xml:space="preserve">: </w:t>
            </w:r>
            <w:r>
              <w:rPr>
                <w:rStyle w:val="IndexLink"/>
                <w:rtl w:val="true"/>
              </w:rPr>
              <w:t>خوشبو کردن مسجد</w:t>
            </w:r>
            <w:r>
              <w:rPr>
                <w:rStyle w:val="IndexLink"/>
                <w:rtl w:val="true"/>
              </w:rPr>
              <w:tab/>
            </w:r>
            <w:r>
              <w:rPr>
                <w:rStyle w:val="IndexLink"/>
              </w:rPr>
              <w:t>233</w:t>
            </w:r>
          </w:hyperlink>
        </w:p>
        <w:p>
          <w:pPr>
            <w:pStyle w:val="Contents5"/>
            <w:tabs>
              <w:tab w:val="clear" w:pos="7892"/>
              <w:tab w:val="right" w:pos="9026" w:leader="dot"/>
            </w:tabs>
            <w:rPr/>
          </w:pPr>
          <w:hyperlink w:anchor="__RefHeading___Toc15202600_1280447820">
            <w:r>
              <w:rPr>
                <w:webHidden/>
                <w:rStyle w:val="IndexLink"/>
                <w:rtl w:val="true"/>
              </w:rPr>
              <w:t>گفتار چهارم</w:t>
            </w:r>
            <w:r>
              <w:rPr>
                <w:rStyle w:val="IndexLink"/>
                <w:rtl w:val="true"/>
              </w:rPr>
              <w:t xml:space="preserve">: </w:t>
            </w:r>
            <w:r>
              <w:rPr>
                <w:rStyle w:val="IndexLink"/>
                <w:rtl w:val="true"/>
              </w:rPr>
              <w:t>مفروش کردن مساجد</w:t>
            </w:r>
            <w:r>
              <w:rPr>
                <w:rStyle w:val="IndexLink"/>
                <w:rtl w:val="true"/>
              </w:rPr>
              <w:tab/>
            </w:r>
            <w:r>
              <w:rPr>
                <w:rStyle w:val="IndexLink"/>
              </w:rPr>
              <w:t>234</w:t>
            </w:r>
          </w:hyperlink>
        </w:p>
        <w:p>
          <w:pPr>
            <w:pStyle w:val="Contents5"/>
            <w:tabs>
              <w:tab w:val="clear" w:pos="7892"/>
              <w:tab w:val="right" w:pos="9026" w:leader="dot"/>
            </w:tabs>
            <w:rPr/>
          </w:pPr>
          <w:hyperlink w:anchor="__RefHeading___Toc15202602_1280447820">
            <w:r>
              <w:rPr>
                <w:webHidden/>
                <w:rStyle w:val="IndexLink"/>
                <w:rtl w:val="true"/>
              </w:rPr>
              <w:t>گفتار پنجم</w:t>
            </w:r>
            <w:r>
              <w:rPr>
                <w:rStyle w:val="IndexLink"/>
                <w:rtl w:val="true"/>
              </w:rPr>
              <w:t xml:space="preserve">: </w:t>
            </w:r>
            <w:r>
              <w:rPr>
                <w:rStyle w:val="IndexLink"/>
                <w:rtl w:val="true"/>
              </w:rPr>
              <w:t>دیدگاه اهل سنّت پیرامون نظافت، چراغانی و خوشبو کردن مسجد</w:t>
            </w:r>
            <w:r>
              <w:rPr>
                <w:rStyle w:val="IndexLink"/>
                <w:rtl w:val="true"/>
              </w:rPr>
              <w:tab/>
            </w:r>
            <w:r>
              <w:rPr>
                <w:rStyle w:val="IndexLink"/>
              </w:rPr>
              <w:t>235</w:t>
            </w:r>
          </w:hyperlink>
        </w:p>
        <w:p>
          <w:pPr>
            <w:pStyle w:val="Contents6"/>
            <w:tabs>
              <w:tab w:val="clear" w:pos="7609"/>
              <w:tab w:val="right" w:pos="9026" w:leader="dot"/>
            </w:tabs>
            <w:rPr/>
          </w:pPr>
          <w:hyperlink w:anchor="__RefHeading___Toc15202604_1280447820">
            <w:r>
              <w:rPr>
                <w:webHidden/>
                <w:rStyle w:val="IndexLink"/>
              </w:rPr>
              <w:t>1</w:t>
            </w:r>
            <w:r>
              <w:rPr>
                <w:rStyle w:val="IndexLink"/>
                <w:rtl w:val="true"/>
              </w:rPr>
              <w:t xml:space="preserve">. </w:t>
            </w:r>
            <w:r>
              <w:rPr>
                <w:rStyle w:val="IndexLink"/>
                <w:rtl w:val="true"/>
              </w:rPr>
              <w:t>مذهب شافعی</w:t>
            </w:r>
            <w:r>
              <w:rPr>
                <w:rStyle w:val="IndexLink"/>
                <w:rtl w:val="true"/>
              </w:rPr>
              <w:tab/>
            </w:r>
            <w:r>
              <w:rPr>
                <w:rStyle w:val="IndexLink"/>
              </w:rPr>
              <w:t>235</w:t>
            </w:r>
          </w:hyperlink>
        </w:p>
        <w:p>
          <w:pPr>
            <w:pStyle w:val="Contents6"/>
            <w:tabs>
              <w:tab w:val="clear" w:pos="7609"/>
              <w:tab w:val="right" w:pos="9026" w:leader="dot"/>
            </w:tabs>
            <w:rPr/>
          </w:pPr>
          <w:hyperlink w:anchor="__RefHeading___Toc15202606_1280447820">
            <w:r>
              <w:rPr>
                <w:webHidden/>
                <w:rStyle w:val="IndexLink"/>
              </w:rPr>
              <w:t>2</w:t>
            </w:r>
            <w:r>
              <w:rPr>
                <w:rStyle w:val="IndexLink"/>
                <w:rtl w:val="true"/>
              </w:rPr>
              <w:t xml:space="preserve">. </w:t>
            </w:r>
            <w:r>
              <w:rPr>
                <w:rStyle w:val="IndexLink"/>
                <w:rtl w:val="true"/>
              </w:rPr>
              <w:t>مذهب حنفی</w:t>
            </w:r>
            <w:r>
              <w:rPr>
                <w:rStyle w:val="IndexLink"/>
                <w:rtl w:val="true"/>
              </w:rPr>
              <w:tab/>
            </w:r>
            <w:r>
              <w:rPr>
                <w:rStyle w:val="IndexLink"/>
              </w:rPr>
              <w:t>235</w:t>
            </w:r>
          </w:hyperlink>
        </w:p>
        <w:p>
          <w:pPr>
            <w:pStyle w:val="Contents6"/>
            <w:tabs>
              <w:tab w:val="clear" w:pos="7609"/>
              <w:tab w:val="right" w:pos="9026" w:leader="dot"/>
            </w:tabs>
            <w:rPr/>
          </w:pPr>
          <w:hyperlink w:anchor="__RefHeading___Toc15202608_1280447820">
            <w:r>
              <w:rPr>
                <w:webHidden/>
                <w:rStyle w:val="IndexLink"/>
              </w:rPr>
              <w:t>3</w:t>
            </w:r>
            <w:r>
              <w:rPr>
                <w:rStyle w:val="IndexLink"/>
                <w:rtl w:val="true"/>
              </w:rPr>
              <w:t xml:space="preserve">. </w:t>
            </w:r>
            <w:r>
              <w:rPr>
                <w:rStyle w:val="IndexLink"/>
                <w:rtl w:val="true"/>
              </w:rPr>
              <w:t>مذهب حنبلی</w:t>
            </w:r>
            <w:r>
              <w:rPr>
                <w:rStyle w:val="IndexLink"/>
                <w:rtl w:val="true"/>
              </w:rPr>
              <w:tab/>
            </w:r>
            <w:r>
              <w:rPr>
                <w:rStyle w:val="IndexLink"/>
              </w:rPr>
              <w:t>236</w:t>
            </w:r>
          </w:hyperlink>
        </w:p>
        <w:p>
          <w:pPr>
            <w:pStyle w:val="Contents4"/>
            <w:tabs>
              <w:tab w:val="clear" w:pos="8176"/>
              <w:tab w:val="right" w:pos="9026" w:leader="dot"/>
            </w:tabs>
            <w:rPr/>
          </w:pPr>
          <w:hyperlink w:anchor="__RefHeading___Toc15202610_1280447820">
            <w:r>
              <w:rPr>
                <w:webHidden/>
                <w:rStyle w:val="IndexLink"/>
                <w:rtl w:val="true"/>
              </w:rPr>
              <w:t>مبحث سوم</w:t>
            </w:r>
            <w:r>
              <w:rPr>
                <w:rStyle w:val="IndexLink"/>
                <w:rtl w:val="true"/>
              </w:rPr>
              <w:t xml:space="preserve">: </w:t>
            </w:r>
            <w:r>
              <w:rPr>
                <w:rStyle w:val="IndexLink"/>
                <w:rtl w:val="true"/>
              </w:rPr>
              <w:t>خارج کردن سنگریزه از مسجد</w:t>
            </w:r>
            <w:r>
              <w:rPr>
                <w:rStyle w:val="IndexLink"/>
                <w:rtl w:val="true"/>
              </w:rPr>
              <w:tab/>
            </w:r>
            <w:r>
              <w:rPr>
                <w:rStyle w:val="IndexLink"/>
              </w:rPr>
              <w:t>238</w:t>
            </w:r>
          </w:hyperlink>
        </w:p>
        <w:p>
          <w:pPr>
            <w:pStyle w:val="Contents5"/>
            <w:tabs>
              <w:tab w:val="clear" w:pos="7892"/>
              <w:tab w:val="right" w:pos="9026" w:leader="dot"/>
            </w:tabs>
            <w:rPr/>
          </w:pPr>
          <w:hyperlink w:anchor="__RefHeading___Toc15202612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5202614_1280447820">
            <w:r>
              <w:rPr>
                <w:webHidden/>
                <w:rStyle w:val="IndexLink"/>
                <w:rtl w:val="true"/>
              </w:rPr>
              <w:t>الف</w:t>
            </w:r>
            <w:r>
              <w:rPr>
                <w:rStyle w:val="IndexLink"/>
                <w:rtl w:val="true"/>
              </w:rPr>
              <w:t xml:space="preserve">) </w:t>
            </w:r>
            <w:r>
              <w:rPr>
                <w:rStyle w:val="IndexLink"/>
                <w:rtl w:val="true"/>
              </w:rPr>
              <w:t>دیدگاه نخست</w:t>
            </w:r>
            <w:r>
              <w:rPr>
                <w:rStyle w:val="IndexLink"/>
                <w:rtl w:val="true"/>
              </w:rPr>
              <w:t xml:space="preserve">: </w:t>
            </w:r>
            <w:r>
              <w:rPr>
                <w:rStyle w:val="IndexLink"/>
                <w:rtl w:val="true"/>
              </w:rPr>
              <w:t>حرمت</w:t>
            </w:r>
            <w:r>
              <w:rPr>
                <w:rStyle w:val="IndexLink"/>
                <w:rtl w:val="true"/>
              </w:rPr>
              <w:tab/>
            </w:r>
            <w:r>
              <w:rPr>
                <w:rStyle w:val="IndexLink"/>
              </w:rPr>
              <w:t>239</w:t>
            </w:r>
          </w:hyperlink>
        </w:p>
        <w:p>
          <w:pPr>
            <w:pStyle w:val="Contents6"/>
            <w:tabs>
              <w:tab w:val="clear" w:pos="7609"/>
              <w:tab w:val="right" w:pos="9026" w:leader="dot"/>
            </w:tabs>
            <w:rPr/>
          </w:pPr>
          <w:hyperlink w:anchor="__RefHeading___Toc15202616_128044782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5202618_1280447820">
            <w:r>
              <w:rPr>
                <w:webHidden/>
                <w:rStyle w:val="IndexLink"/>
                <w:rtl w:val="true"/>
              </w:rPr>
              <w:t>ادله حرمت اخراج سنگریزه از مسجد و وجوب برگرداندن آن به مسجد</w:t>
            </w:r>
            <w:r>
              <w:rPr>
                <w:rStyle w:val="IndexLink"/>
                <w:rtl w:val="true"/>
              </w:rPr>
              <w:tab/>
            </w:r>
            <w:r>
              <w:rPr>
                <w:rStyle w:val="IndexLink"/>
              </w:rPr>
              <w:t>241</w:t>
            </w:r>
          </w:hyperlink>
        </w:p>
        <w:p>
          <w:pPr>
            <w:pStyle w:val="Contents5"/>
            <w:tabs>
              <w:tab w:val="clear" w:pos="7892"/>
              <w:tab w:val="right" w:pos="9026" w:leader="dot"/>
            </w:tabs>
            <w:rPr/>
          </w:pPr>
          <w:hyperlink w:anchor="__RefHeading___Toc15202620_1280447820">
            <w:r>
              <w:rPr>
                <w:webHidden/>
                <w:rStyle w:val="IndexLink"/>
                <w:rtl w:val="true"/>
              </w:rPr>
              <w:t>ب</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کراهت</w:t>
            </w:r>
            <w:r>
              <w:rPr>
                <w:rStyle w:val="IndexLink"/>
                <w:rtl w:val="true"/>
              </w:rPr>
              <w:tab/>
            </w:r>
            <w:r>
              <w:rPr>
                <w:rStyle w:val="IndexLink"/>
              </w:rPr>
              <w:t>244</w:t>
            </w:r>
          </w:hyperlink>
        </w:p>
        <w:p>
          <w:pPr>
            <w:pStyle w:val="Contents5"/>
            <w:tabs>
              <w:tab w:val="clear" w:pos="7892"/>
              <w:tab w:val="right" w:pos="9026" w:leader="dot"/>
            </w:tabs>
            <w:rPr/>
          </w:pPr>
          <w:hyperlink w:anchor="__RefHeading___Toc15202622_1280447820">
            <w:r>
              <w:rPr>
                <w:webHidden/>
                <w:rStyle w:val="IndexLink"/>
                <w:rtl w:val="true"/>
              </w:rPr>
              <w:t>ج</w:t>
            </w:r>
            <w:r>
              <w:rPr>
                <w:rStyle w:val="IndexLink"/>
                <w:rtl w:val="true"/>
              </w:rPr>
              <w:t xml:space="preserve">) </w:t>
            </w:r>
            <w:r>
              <w:rPr>
                <w:rStyle w:val="IndexLink"/>
                <w:rtl w:val="true"/>
              </w:rPr>
              <w:t>دیدگاه سوم</w:t>
            </w:r>
            <w:r>
              <w:rPr>
                <w:rStyle w:val="IndexLink"/>
                <w:rtl w:val="true"/>
              </w:rPr>
              <w:t xml:space="preserve">: </w:t>
            </w:r>
            <w:r>
              <w:rPr>
                <w:rStyle w:val="IndexLink"/>
                <w:rtl w:val="true"/>
              </w:rPr>
              <w:t>تفصیل</w:t>
            </w:r>
            <w:r>
              <w:rPr>
                <w:rStyle w:val="IndexLink"/>
                <w:rtl w:val="true"/>
              </w:rPr>
              <w:tab/>
            </w:r>
            <w:r>
              <w:rPr>
                <w:rStyle w:val="IndexLink"/>
              </w:rPr>
              <w:t>245</w:t>
            </w:r>
          </w:hyperlink>
        </w:p>
        <w:p>
          <w:pPr>
            <w:pStyle w:val="Contents2"/>
            <w:tabs>
              <w:tab w:val="clear" w:pos="8743"/>
              <w:tab w:val="right" w:pos="9026" w:leader="dot"/>
            </w:tabs>
            <w:rPr/>
          </w:pPr>
          <w:hyperlink w:anchor="__RefHeading___Toc15202624_1280447820">
            <w:r>
              <w:rPr>
                <w:webHidden/>
                <w:rStyle w:val="IndexLink"/>
                <w:rtl w:val="true"/>
              </w:rPr>
              <w:t>بخش سوم</w:t>
            </w:r>
            <w:r>
              <w:rPr>
                <w:rStyle w:val="IndexLink"/>
                <w:rtl w:val="true"/>
              </w:rPr>
              <w:t xml:space="preserve">: </w:t>
            </w:r>
            <w:r>
              <w:rPr>
                <w:rStyle w:val="IndexLink"/>
                <w:rtl w:val="true"/>
              </w:rPr>
              <w:t>کارکردها و برنامه های مرتبط با مسجد</w:t>
            </w:r>
            <w:r>
              <w:rPr>
                <w:rStyle w:val="IndexLink"/>
                <w:rtl w:val="true"/>
              </w:rPr>
              <w:tab/>
            </w:r>
            <w:r>
              <w:rPr>
                <w:rStyle w:val="IndexLink"/>
              </w:rPr>
              <w:t>247</w:t>
            </w:r>
          </w:hyperlink>
        </w:p>
        <w:p>
          <w:pPr>
            <w:pStyle w:val="Contents3"/>
            <w:tabs>
              <w:tab w:val="clear" w:pos="8459"/>
              <w:tab w:val="right" w:pos="9026" w:leader="dot"/>
            </w:tabs>
            <w:rPr/>
          </w:pPr>
          <w:hyperlink w:anchor="__RefHeading___Toc15202626_128044782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5202628_1280447820">
            <w:r>
              <w:rPr>
                <w:webHidden/>
                <w:rStyle w:val="IndexLink"/>
                <w:rtl w:val="true"/>
              </w:rPr>
              <w:t>فصل اول</w:t>
            </w:r>
            <w:r>
              <w:rPr>
                <w:rStyle w:val="IndexLink"/>
                <w:rtl w:val="true"/>
              </w:rPr>
              <w:t>:</w:t>
              <w:tab/>
            </w:r>
            <w:r>
              <w:rPr>
                <w:rStyle w:val="IndexLink"/>
              </w:rPr>
              <w:t>249</w:t>
            </w:r>
          </w:hyperlink>
        </w:p>
        <w:p>
          <w:pPr>
            <w:pStyle w:val="Contents4"/>
            <w:tabs>
              <w:tab w:val="clear" w:pos="8176"/>
              <w:tab w:val="right" w:pos="9026" w:leader="dot"/>
            </w:tabs>
            <w:rPr/>
          </w:pPr>
          <w:hyperlink w:anchor="__RefHeading___Toc15202630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5202632_1280447820">
            <w:r>
              <w:rPr>
                <w:webHidden/>
                <w:rStyle w:val="IndexLink"/>
                <w:rtl w:val="true"/>
              </w:rPr>
              <w:t>مبحث اول</w:t>
            </w:r>
            <w:r>
              <w:rPr>
                <w:rStyle w:val="IndexLink"/>
                <w:rtl w:val="true"/>
              </w:rPr>
              <w:t xml:space="preserve">: </w:t>
            </w:r>
            <w:r>
              <w:rPr>
                <w:rStyle w:val="IndexLink"/>
                <w:rtl w:val="true"/>
              </w:rPr>
              <w:t>اقامه نماز در مسجد</w:t>
            </w:r>
            <w:r>
              <w:rPr>
                <w:rStyle w:val="IndexLink"/>
                <w:rtl w:val="true"/>
              </w:rPr>
              <w:tab/>
            </w:r>
            <w:r>
              <w:rPr>
                <w:rStyle w:val="IndexLink"/>
              </w:rPr>
              <w:t>251</w:t>
            </w:r>
          </w:hyperlink>
        </w:p>
        <w:p>
          <w:pPr>
            <w:pStyle w:val="Contents5"/>
            <w:tabs>
              <w:tab w:val="clear" w:pos="7892"/>
              <w:tab w:val="right" w:pos="9026" w:leader="dot"/>
            </w:tabs>
            <w:rPr/>
          </w:pPr>
          <w:hyperlink w:anchor="__RefHeading___Toc15202634_128044782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5202636_1280447820">
            <w:r>
              <w:rPr>
                <w:webHidden/>
                <w:rStyle w:val="IndexLink"/>
                <w:rtl w:val="true"/>
              </w:rPr>
              <w:t>گفتار اول</w:t>
            </w:r>
            <w:r>
              <w:rPr>
                <w:rStyle w:val="IndexLink"/>
                <w:rtl w:val="true"/>
              </w:rPr>
              <w:t xml:space="preserve">: </w:t>
            </w:r>
            <w:r>
              <w:rPr>
                <w:rStyle w:val="IndexLink"/>
                <w:rtl w:val="true"/>
              </w:rPr>
              <w:t>نماز جماعت در مسجد</w:t>
            </w:r>
            <w:r>
              <w:rPr>
                <w:rStyle w:val="IndexLink"/>
                <w:rtl w:val="true"/>
              </w:rPr>
              <w:tab/>
            </w:r>
            <w:r>
              <w:rPr>
                <w:rStyle w:val="IndexLink"/>
              </w:rPr>
              <w:t>252</w:t>
            </w:r>
          </w:hyperlink>
        </w:p>
        <w:p>
          <w:pPr>
            <w:pStyle w:val="Contents5"/>
            <w:tabs>
              <w:tab w:val="clear" w:pos="7892"/>
              <w:tab w:val="right" w:pos="9026" w:leader="dot"/>
            </w:tabs>
            <w:rPr/>
          </w:pPr>
          <w:hyperlink w:anchor="__RefHeading___Toc15202638_1280447820">
            <w:r>
              <w:rPr>
                <w:webHidden/>
                <w:rStyle w:val="IndexLink"/>
                <w:rtl w:val="true"/>
              </w:rPr>
              <w:t>گفتار دوم</w:t>
            </w:r>
            <w:r>
              <w:rPr>
                <w:rStyle w:val="IndexLink"/>
                <w:rtl w:val="true"/>
              </w:rPr>
              <w:t xml:space="preserve">: </w:t>
            </w:r>
            <w:r>
              <w:rPr>
                <w:rStyle w:val="IndexLink"/>
                <w:rtl w:val="true"/>
              </w:rPr>
              <w:t>ادله استحباب اقامه نماز در مسجد</w:t>
            </w:r>
            <w:r>
              <w:rPr>
                <w:rStyle w:val="IndexLink"/>
                <w:rtl w:val="true"/>
              </w:rPr>
              <w:tab/>
            </w:r>
            <w:r>
              <w:rPr>
                <w:rStyle w:val="IndexLink"/>
              </w:rPr>
              <w:t>253</w:t>
            </w:r>
          </w:hyperlink>
        </w:p>
        <w:p>
          <w:pPr>
            <w:pStyle w:val="Contents5"/>
            <w:tabs>
              <w:tab w:val="clear" w:pos="7892"/>
              <w:tab w:val="right" w:pos="9026" w:leader="dot"/>
            </w:tabs>
            <w:rPr/>
          </w:pPr>
          <w:hyperlink w:anchor="__RefHeading___Toc15202640_1280447820">
            <w:r>
              <w:rPr>
                <w:webHidden/>
                <w:rStyle w:val="IndexLink"/>
                <w:rtl w:val="true"/>
              </w:rPr>
              <w:t>گفتار سوم استحباب نماز در مشاهد أئمه علیهم السلام</w:t>
            </w:r>
            <w:r>
              <w:rPr>
                <w:rStyle w:val="IndexLink"/>
                <w:rtl w:val="true"/>
              </w:rPr>
              <w:tab/>
            </w:r>
            <w:r>
              <w:rPr>
                <w:rStyle w:val="IndexLink"/>
              </w:rPr>
              <w:t>257</w:t>
            </w:r>
          </w:hyperlink>
        </w:p>
        <w:p>
          <w:pPr>
            <w:pStyle w:val="Contents5"/>
            <w:tabs>
              <w:tab w:val="clear" w:pos="7892"/>
              <w:tab w:val="right" w:pos="9026" w:leader="dot"/>
            </w:tabs>
            <w:rPr/>
          </w:pPr>
          <w:hyperlink w:anchor="__RefHeading___Toc15202642_1280447820">
            <w:r>
              <w:rPr>
                <w:webHidden/>
                <w:rStyle w:val="IndexLink"/>
                <w:rtl w:val="true"/>
              </w:rPr>
              <w:t>گفتار چهارم</w:t>
            </w:r>
            <w:r>
              <w:rPr>
                <w:rStyle w:val="IndexLink"/>
                <w:rtl w:val="true"/>
              </w:rPr>
              <w:t xml:space="preserve">: </w:t>
            </w:r>
            <w:r>
              <w:rPr>
                <w:rStyle w:val="IndexLink"/>
                <w:rtl w:val="true"/>
              </w:rPr>
              <w:t>فضیلت نشستن در مسجد</w:t>
            </w:r>
            <w:r>
              <w:rPr>
                <w:rStyle w:val="IndexLink"/>
                <w:rtl w:val="true"/>
              </w:rPr>
              <w:tab/>
            </w:r>
            <w:r>
              <w:rPr>
                <w:rStyle w:val="IndexLink"/>
              </w:rPr>
              <w:t>257</w:t>
            </w:r>
          </w:hyperlink>
        </w:p>
        <w:p>
          <w:pPr>
            <w:pStyle w:val="Contents4"/>
            <w:tabs>
              <w:tab w:val="clear" w:pos="8176"/>
              <w:tab w:val="right" w:pos="9026" w:leader="dot"/>
            </w:tabs>
            <w:rPr/>
          </w:pPr>
          <w:hyperlink w:anchor="__RefHeading___Toc15202644_1280447820">
            <w:r>
              <w:rPr>
                <w:webHidden/>
                <w:rStyle w:val="IndexLink"/>
                <w:rtl w:val="true"/>
              </w:rPr>
              <w:t>مبحث دوم</w:t>
            </w:r>
            <w:r>
              <w:rPr>
                <w:rStyle w:val="IndexLink"/>
                <w:rtl w:val="true"/>
              </w:rPr>
              <w:t xml:space="preserve">: </w:t>
            </w:r>
            <w:r>
              <w:rPr>
                <w:rStyle w:val="IndexLink"/>
                <w:rtl w:val="true"/>
              </w:rPr>
              <w:t>مسجد جایگاه دعا ذکر و یاد خداوند</w:t>
            </w:r>
            <w:r>
              <w:rPr>
                <w:rStyle w:val="IndexLink"/>
                <w:rtl w:val="true"/>
              </w:rPr>
              <w:tab/>
            </w:r>
            <w:r>
              <w:rPr>
                <w:rStyle w:val="IndexLink"/>
              </w:rPr>
              <w:t>259</w:t>
            </w:r>
          </w:hyperlink>
        </w:p>
        <w:p>
          <w:pPr>
            <w:pStyle w:val="Contents4"/>
            <w:tabs>
              <w:tab w:val="clear" w:pos="8176"/>
              <w:tab w:val="right" w:pos="9026" w:leader="dot"/>
            </w:tabs>
            <w:rPr/>
          </w:pPr>
          <w:hyperlink w:anchor="__RefHeading___Toc15202646_1280447820">
            <w:r>
              <w:rPr>
                <w:webHidden/>
                <w:rStyle w:val="IndexLink"/>
                <w:rtl w:val="true"/>
              </w:rPr>
              <w:t>مبحث سوم</w:t>
            </w:r>
            <w:r>
              <w:rPr>
                <w:rStyle w:val="IndexLink"/>
                <w:rtl w:val="true"/>
              </w:rPr>
              <w:t xml:space="preserve">: </w:t>
            </w:r>
            <w:r>
              <w:rPr>
                <w:rStyle w:val="IndexLink"/>
                <w:rtl w:val="true"/>
              </w:rPr>
              <w:t>استحباب تلاوت قرآن در مسجد</w:t>
            </w:r>
            <w:r>
              <w:rPr>
                <w:rStyle w:val="IndexLink"/>
                <w:rtl w:val="true"/>
              </w:rPr>
              <w:tab/>
            </w:r>
            <w:r>
              <w:rPr>
                <w:rStyle w:val="IndexLink"/>
              </w:rPr>
              <w:t>262</w:t>
            </w:r>
          </w:hyperlink>
        </w:p>
        <w:p>
          <w:pPr>
            <w:pStyle w:val="Contents3"/>
            <w:tabs>
              <w:tab w:val="clear" w:pos="8459"/>
              <w:tab w:val="right" w:pos="9026" w:leader="dot"/>
            </w:tabs>
            <w:rPr/>
          </w:pPr>
          <w:hyperlink w:anchor="__RefHeading___Toc15202648_1280447820">
            <w:r>
              <w:rPr>
                <w:webHidden/>
                <w:rStyle w:val="IndexLink"/>
                <w:rtl w:val="true"/>
              </w:rPr>
              <w:t>فصل دوم</w:t>
            </w:r>
            <w:r>
              <w:rPr>
                <w:rStyle w:val="IndexLink"/>
                <w:rtl w:val="true"/>
              </w:rPr>
              <w:t xml:space="preserve">: </w:t>
            </w:r>
            <w:r>
              <w:rPr>
                <w:rStyle w:val="IndexLink"/>
                <w:rtl w:val="true"/>
              </w:rPr>
              <w:t>اعتکاف</w:t>
            </w:r>
            <w:r>
              <w:rPr>
                <w:rStyle w:val="IndexLink"/>
                <w:rtl w:val="true"/>
              </w:rPr>
              <w:tab/>
            </w:r>
            <w:r>
              <w:rPr>
                <w:rStyle w:val="IndexLink"/>
              </w:rPr>
              <w:t>267</w:t>
            </w:r>
          </w:hyperlink>
        </w:p>
        <w:p>
          <w:pPr>
            <w:pStyle w:val="Contents4"/>
            <w:tabs>
              <w:tab w:val="clear" w:pos="8176"/>
              <w:tab w:val="right" w:pos="9026" w:leader="dot"/>
            </w:tabs>
            <w:rPr/>
          </w:pPr>
          <w:hyperlink w:anchor="__RefHeading___Toc15202650_128044782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5202652_1280447820">
            <w:r>
              <w:rPr>
                <w:webHidden/>
                <w:rStyle w:val="IndexLink"/>
                <w:rtl w:val="true"/>
              </w:rPr>
              <w:t>مبحث اول</w:t>
            </w:r>
            <w:r>
              <w:rPr>
                <w:rStyle w:val="IndexLink"/>
                <w:rtl w:val="true"/>
              </w:rPr>
              <w:t xml:space="preserve">: </w:t>
            </w:r>
            <w:r>
              <w:rPr>
                <w:rStyle w:val="IndexLink"/>
                <w:rtl w:val="true"/>
              </w:rPr>
              <w:t>چیستی اعتکاف</w:t>
            </w:r>
            <w:r>
              <w:rPr>
                <w:rStyle w:val="IndexLink"/>
                <w:rtl w:val="true"/>
              </w:rPr>
              <w:tab/>
            </w:r>
            <w:r>
              <w:rPr>
                <w:rStyle w:val="IndexLink"/>
              </w:rPr>
              <w:t>269</w:t>
            </w:r>
          </w:hyperlink>
        </w:p>
        <w:p>
          <w:pPr>
            <w:pStyle w:val="Contents5"/>
            <w:tabs>
              <w:tab w:val="clear" w:pos="7892"/>
              <w:tab w:val="right" w:pos="9026" w:leader="dot"/>
            </w:tabs>
            <w:rPr/>
          </w:pPr>
          <w:hyperlink w:anchor="__RefHeading___Toc15202654_128044782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5202656_1280447820">
            <w:r>
              <w:rPr>
                <w:webHidden/>
                <w:rStyle w:val="IndexLink"/>
                <w:rtl w:val="true"/>
              </w:rPr>
              <w:t>الف</w:t>
            </w:r>
            <w:r>
              <w:rPr>
                <w:rStyle w:val="IndexLink"/>
                <w:rtl w:val="true"/>
              </w:rPr>
              <w:t xml:space="preserve">) </w:t>
            </w:r>
            <w:r>
              <w:rPr>
                <w:rStyle w:val="IndexLink"/>
                <w:rtl w:val="true"/>
              </w:rPr>
              <w:t>مفهوم لغوى اعتكاف</w:t>
            </w:r>
            <w:r>
              <w:rPr>
                <w:rStyle w:val="IndexLink"/>
                <w:rtl w:val="true"/>
              </w:rPr>
              <w:tab/>
            </w:r>
            <w:r>
              <w:rPr>
                <w:rStyle w:val="IndexLink"/>
              </w:rPr>
              <w:t>269</w:t>
            </w:r>
          </w:hyperlink>
        </w:p>
        <w:p>
          <w:pPr>
            <w:pStyle w:val="Contents5"/>
            <w:tabs>
              <w:tab w:val="clear" w:pos="7892"/>
              <w:tab w:val="right" w:pos="9026" w:leader="dot"/>
            </w:tabs>
            <w:rPr/>
          </w:pPr>
          <w:hyperlink w:anchor="__RefHeading___Toc15202658_1280447820">
            <w:r>
              <w:rPr>
                <w:webHidden/>
                <w:rStyle w:val="IndexLink"/>
                <w:rtl w:val="true"/>
              </w:rPr>
              <w:t>ب</w:t>
            </w:r>
            <w:r>
              <w:rPr>
                <w:rStyle w:val="IndexLink"/>
                <w:rtl w:val="true"/>
              </w:rPr>
              <w:t xml:space="preserve">) </w:t>
            </w:r>
            <w:r>
              <w:rPr>
                <w:rStyle w:val="IndexLink"/>
                <w:rtl w:val="true"/>
              </w:rPr>
              <w:t>مفهوم اصطلاحی اعتکاف</w:t>
            </w:r>
            <w:r>
              <w:rPr>
                <w:rStyle w:val="IndexLink"/>
                <w:rtl w:val="true"/>
              </w:rPr>
              <w:tab/>
            </w:r>
            <w:r>
              <w:rPr>
                <w:rStyle w:val="IndexLink"/>
              </w:rPr>
              <w:t>271</w:t>
            </w:r>
          </w:hyperlink>
        </w:p>
        <w:p>
          <w:pPr>
            <w:pStyle w:val="Contents6"/>
            <w:tabs>
              <w:tab w:val="clear" w:pos="7609"/>
              <w:tab w:val="right" w:pos="9026" w:leader="dot"/>
            </w:tabs>
            <w:rPr/>
          </w:pPr>
          <w:hyperlink w:anchor="__RefHeading___Toc15202660_1280447820">
            <w:r>
              <w:rPr>
                <w:webHidden/>
                <w:rStyle w:val="IndexLink"/>
              </w:rPr>
              <w:t>1</w:t>
            </w:r>
            <w:r>
              <w:rPr>
                <w:rStyle w:val="IndexLink"/>
                <w:rtl w:val="true"/>
              </w:rPr>
              <w:t xml:space="preserve">. </w:t>
            </w:r>
            <w:r>
              <w:rPr>
                <w:rStyle w:val="IndexLink"/>
                <w:rtl w:val="true"/>
              </w:rPr>
              <w:t>دیدگاه فقیهان امامیه</w:t>
            </w:r>
            <w:r>
              <w:rPr>
                <w:rStyle w:val="IndexLink"/>
                <w:rtl w:val="true"/>
              </w:rPr>
              <w:tab/>
            </w:r>
            <w:r>
              <w:rPr>
                <w:rStyle w:val="IndexLink"/>
              </w:rPr>
              <w:t>271</w:t>
            </w:r>
          </w:hyperlink>
        </w:p>
        <w:p>
          <w:pPr>
            <w:pStyle w:val="Contents6"/>
            <w:tabs>
              <w:tab w:val="clear" w:pos="7609"/>
              <w:tab w:val="right" w:pos="9026" w:leader="dot"/>
            </w:tabs>
            <w:rPr/>
          </w:pPr>
          <w:hyperlink w:anchor="__RefHeading___Toc15202662_1280447820">
            <w:r>
              <w:rPr>
                <w:webHidden/>
                <w:rStyle w:val="IndexLink"/>
              </w:rPr>
              <w:t>2</w:t>
            </w:r>
            <w:r>
              <w:rPr>
                <w:rStyle w:val="IndexLink"/>
                <w:rtl w:val="true"/>
              </w:rPr>
              <w:t xml:space="preserve">. </w:t>
            </w:r>
            <w:r>
              <w:rPr>
                <w:rStyle w:val="IndexLink"/>
                <w:rtl w:val="true"/>
              </w:rPr>
              <w:t>دیدگاه اهل سنت</w:t>
            </w:r>
            <w:r>
              <w:rPr>
                <w:rStyle w:val="IndexLink"/>
                <w:rtl w:val="true"/>
              </w:rPr>
              <w:tab/>
            </w:r>
            <w:r>
              <w:rPr>
                <w:rStyle w:val="IndexLink"/>
              </w:rPr>
              <w:t>272</w:t>
            </w:r>
          </w:hyperlink>
        </w:p>
        <w:p>
          <w:pPr>
            <w:pStyle w:val="Contents5"/>
            <w:tabs>
              <w:tab w:val="clear" w:pos="7892"/>
              <w:tab w:val="right" w:pos="9026" w:leader="dot"/>
            </w:tabs>
            <w:rPr/>
          </w:pPr>
          <w:hyperlink w:anchor="__RefHeading___Toc15202664_1280447820">
            <w:r>
              <w:rPr>
                <w:webHidden/>
                <w:rStyle w:val="IndexLink"/>
                <w:rtl w:val="true"/>
              </w:rPr>
              <w:t>گفتار دوم</w:t>
            </w:r>
            <w:r>
              <w:rPr>
                <w:rStyle w:val="IndexLink"/>
                <w:rtl w:val="true"/>
              </w:rPr>
              <w:t xml:space="preserve">: </w:t>
            </w:r>
            <w:r>
              <w:rPr>
                <w:rStyle w:val="IndexLink"/>
                <w:rtl w:val="true"/>
              </w:rPr>
              <w:t>پیشینه اعتکاف</w:t>
            </w:r>
            <w:r>
              <w:rPr>
                <w:rStyle w:val="IndexLink"/>
                <w:rtl w:val="true"/>
              </w:rPr>
              <w:tab/>
            </w:r>
            <w:r>
              <w:rPr>
                <w:rStyle w:val="IndexLink"/>
              </w:rPr>
              <w:t>273</w:t>
            </w:r>
          </w:hyperlink>
        </w:p>
        <w:p>
          <w:pPr>
            <w:pStyle w:val="Contents5"/>
            <w:tabs>
              <w:tab w:val="clear" w:pos="7892"/>
              <w:tab w:val="right" w:pos="9026" w:leader="dot"/>
            </w:tabs>
            <w:rPr/>
          </w:pPr>
          <w:hyperlink w:anchor="__RefHeading___Toc15202666_1280447820">
            <w:r>
              <w:rPr>
                <w:webHidden/>
                <w:rStyle w:val="IndexLink"/>
                <w:rtl w:val="true"/>
              </w:rPr>
              <w:t>گفتار سوم</w:t>
            </w:r>
            <w:r>
              <w:rPr>
                <w:rStyle w:val="IndexLink"/>
                <w:rtl w:val="true"/>
              </w:rPr>
              <w:t xml:space="preserve">: </w:t>
            </w:r>
            <w:r>
              <w:rPr>
                <w:rStyle w:val="IndexLink"/>
                <w:rtl w:val="true"/>
              </w:rPr>
              <w:t>عبادت اعتکاف در شریعت</w:t>
            </w:r>
            <w:r>
              <w:rPr>
                <w:rStyle w:val="IndexLink"/>
                <w:rtl w:val="true"/>
              </w:rPr>
              <w:tab/>
            </w:r>
            <w:r>
              <w:rPr>
                <w:rStyle w:val="IndexLink"/>
              </w:rPr>
              <w:t>277</w:t>
            </w:r>
          </w:hyperlink>
        </w:p>
        <w:p>
          <w:pPr>
            <w:pStyle w:val="Contents6"/>
            <w:tabs>
              <w:tab w:val="clear" w:pos="7609"/>
              <w:tab w:val="right" w:pos="9026" w:leader="dot"/>
            </w:tabs>
            <w:rPr/>
          </w:pPr>
          <w:hyperlink w:anchor="__RefHeading___Toc15202668_128044782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5202670_1280447820">
            <w:r>
              <w:rPr>
                <w:webHidden/>
                <w:rStyle w:val="IndexLink"/>
              </w:rPr>
              <w:t>1</w:t>
            </w:r>
            <w:r>
              <w:rPr>
                <w:rStyle w:val="IndexLink"/>
                <w:rtl w:val="true"/>
              </w:rPr>
              <w:t xml:space="preserve">. </w:t>
            </w:r>
            <w:r>
              <w:rPr>
                <w:rStyle w:val="IndexLink"/>
                <w:rtl w:val="true"/>
              </w:rPr>
              <w:t>اعتکاف در قرآن</w:t>
            </w:r>
            <w:r>
              <w:rPr>
                <w:rStyle w:val="IndexLink"/>
                <w:rtl w:val="true"/>
              </w:rPr>
              <w:tab/>
            </w:r>
            <w:r>
              <w:rPr>
                <w:rStyle w:val="IndexLink"/>
              </w:rPr>
              <w:t>277</w:t>
            </w:r>
          </w:hyperlink>
        </w:p>
        <w:p>
          <w:pPr>
            <w:pStyle w:val="Contents6"/>
            <w:tabs>
              <w:tab w:val="clear" w:pos="7609"/>
              <w:tab w:val="right" w:pos="9026" w:leader="dot"/>
            </w:tabs>
            <w:rPr/>
          </w:pPr>
          <w:hyperlink w:anchor="__RefHeading___Toc15202672_128044782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5202674_1280447820">
            <w:r>
              <w:rPr>
                <w:webHidden/>
                <w:rStyle w:val="IndexLink"/>
              </w:rPr>
              <w:t>2</w:t>
            </w:r>
            <w:r>
              <w:rPr>
                <w:rStyle w:val="IndexLink"/>
                <w:rtl w:val="true"/>
              </w:rPr>
              <w:t xml:space="preserve">. </w:t>
            </w:r>
            <w:r>
              <w:rPr>
                <w:rStyle w:val="IndexLink"/>
                <w:rtl w:val="true"/>
              </w:rPr>
              <w:t>روايات</w:t>
            </w:r>
            <w:r>
              <w:rPr>
                <w:rStyle w:val="IndexLink"/>
                <w:rtl w:val="true"/>
              </w:rPr>
              <w:tab/>
            </w:r>
            <w:r>
              <w:rPr>
                <w:rStyle w:val="IndexLink"/>
              </w:rPr>
              <w:t>278</w:t>
            </w:r>
          </w:hyperlink>
        </w:p>
        <w:p>
          <w:pPr>
            <w:pStyle w:val="Contents6"/>
            <w:tabs>
              <w:tab w:val="clear" w:pos="7609"/>
              <w:tab w:val="right" w:pos="9026" w:leader="dot"/>
            </w:tabs>
            <w:rPr/>
          </w:pPr>
          <w:hyperlink w:anchor="__RefHeading___Toc15202676_1280447820">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279</w:t>
            </w:r>
          </w:hyperlink>
        </w:p>
        <w:p>
          <w:pPr>
            <w:pStyle w:val="Contents5"/>
            <w:tabs>
              <w:tab w:val="clear" w:pos="7892"/>
              <w:tab w:val="right" w:pos="9026" w:leader="dot"/>
            </w:tabs>
            <w:rPr/>
          </w:pPr>
          <w:hyperlink w:anchor="__RefHeading___Toc15202678_1280447820">
            <w:r>
              <w:rPr>
                <w:webHidden/>
                <w:rStyle w:val="IndexLink"/>
                <w:rtl w:val="true"/>
              </w:rPr>
              <w:t>گفتار چهارم</w:t>
            </w:r>
            <w:r>
              <w:rPr>
                <w:rStyle w:val="IndexLink"/>
                <w:rtl w:val="true"/>
              </w:rPr>
              <w:t xml:space="preserve">: </w:t>
            </w:r>
            <w:r>
              <w:rPr>
                <w:rStyle w:val="IndexLink"/>
                <w:rtl w:val="true"/>
              </w:rPr>
              <w:t>بهترین اوقات برای اعتکاف</w:t>
            </w:r>
            <w:r>
              <w:rPr>
                <w:rStyle w:val="IndexLink"/>
                <w:rtl w:val="true"/>
              </w:rPr>
              <w:tab/>
            </w:r>
            <w:r>
              <w:rPr>
                <w:rStyle w:val="IndexLink"/>
              </w:rPr>
              <w:t>279</w:t>
            </w:r>
          </w:hyperlink>
        </w:p>
        <w:p>
          <w:pPr>
            <w:pStyle w:val="Contents4"/>
            <w:tabs>
              <w:tab w:val="clear" w:pos="8176"/>
              <w:tab w:val="right" w:pos="9026" w:leader="dot"/>
            </w:tabs>
            <w:rPr/>
          </w:pPr>
          <w:hyperlink w:anchor="__RefHeading___Toc15202680_1280447820">
            <w:r>
              <w:rPr>
                <w:webHidden/>
                <w:rStyle w:val="IndexLink"/>
                <w:rtl w:val="true"/>
              </w:rPr>
              <w:t>مبحث دوم</w:t>
            </w:r>
            <w:r>
              <w:rPr>
                <w:rStyle w:val="IndexLink"/>
                <w:rtl w:val="true"/>
              </w:rPr>
              <w:t xml:space="preserve">: </w:t>
            </w:r>
            <w:r>
              <w:rPr>
                <w:rStyle w:val="IndexLink"/>
                <w:rtl w:val="true"/>
              </w:rPr>
              <w:t>شرایط صحت اعتکاف</w:t>
            </w:r>
            <w:r>
              <w:rPr>
                <w:rStyle w:val="IndexLink"/>
                <w:rtl w:val="true"/>
              </w:rPr>
              <w:tab/>
            </w:r>
            <w:r>
              <w:rPr>
                <w:rStyle w:val="IndexLink"/>
              </w:rPr>
              <w:t>280</w:t>
            </w:r>
          </w:hyperlink>
        </w:p>
        <w:p>
          <w:pPr>
            <w:pStyle w:val="Contents5"/>
            <w:tabs>
              <w:tab w:val="clear" w:pos="7892"/>
              <w:tab w:val="right" w:pos="9026" w:leader="dot"/>
            </w:tabs>
            <w:rPr/>
          </w:pPr>
          <w:hyperlink w:anchor="__RefHeading___Toc15202682_1280447820">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5202684_1280447820">
            <w:r>
              <w:rPr>
                <w:webHidden/>
                <w:rStyle w:val="IndexLink"/>
                <w:rtl w:val="true"/>
              </w:rPr>
              <w:t>گفتار اول</w:t>
            </w:r>
            <w:r>
              <w:rPr>
                <w:rStyle w:val="IndexLink"/>
                <w:rtl w:val="true"/>
              </w:rPr>
              <w:t xml:space="preserve">: </w:t>
            </w:r>
            <w:r>
              <w:rPr>
                <w:rStyle w:val="IndexLink"/>
                <w:rtl w:val="true"/>
              </w:rPr>
              <w:t>مکان اعتکاف</w:t>
            </w:r>
            <w:r>
              <w:rPr>
                <w:rStyle w:val="IndexLink"/>
                <w:rtl w:val="true"/>
              </w:rPr>
              <w:tab/>
            </w:r>
            <w:r>
              <w:rPr>
                <w:rStyle w:val="IndexLink"/>
              </w:rPr>
              <w:t>281</w:t>
            </w:r>
          </w:hyperlink>
        </w:p>
        <w:p>
          <w:pPr>
            <w:pStyle w:val="Contents6"/>
            <w:tabs>
              <w:tab w:val="clear" w:pos="7609"/>
              <w:tab w:val="right" w:pos="9026" w:leader="dot"/>
            </w:tabs>
            <w:rPr/>
          </w:pPr>
          <w:hyperlink w:anchor="__RefHeading___Toc15202686_1280447820">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15202688_1280447820">
            <w:r>
              <w:rPr>
                <w:webHidden/>
                <w:rStyle w:val="IndexLink"/>
                <w:rtl w:val="true"/>
              </w:rPr>
              <w:t>الف</w:t>
            </w:r>
            <w:r>
              <w:rPr>
                <w:rStyle w:val="IndexLink"/>
                <w:rtl w:val="true"/>
              </w:rPr>
              <w:t xml:space="preserve">) </w:t>
            </w:r>
            <w:r>
              <w:rPr>
                <w:rStyle w:val="IndexLink"/>
                <w:rtl w:val="true"/>
              </w:rPr>
              <w:t>دیدگاه فقیهان امامیه</w:t>
            </w:r>
            <w:r>
              <w:rPr>
                <w:rStyle w:val="IndexLink"/>
                <w:rtl w:val="true"/>
              </w:rPr>
              <w:tab/>
            </w:r>
            <w:r>
              <w:rPr>
                <w:rStyle w:val="IndexLink"/>
              </w:rPr>
              <w:t>281</w:t>
            </w:r>
          </w:hyperlink>
        </w:p>
        <w:p>
          <w:pPr>
            <w:pStyle w:val="Contents6"/>
            <w:tabs>
              <w:tab w:val="clear" w:pos="7609"/>
              <w:tab w:val="right" w:pos="9026" w:leader="dot"/>
            </w:tabs>
            <w:rPr/>
          </w:pPr>
          <w:hyperlink w:anchor="__RefHeading___Toc15202690_1280447820">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15202692_1280447820">
            <w:r>
              <w:rPr>
                <w:webHidden/>
                <w:rStyle w:val="IndexLink"/>
              </w:rPr>
              <w:t>1</w:t>
            </w:r>
            <w:r>
              <w:rPr>
                <w:rStyle w:val="IndexLink"/>
                <w:rtl w:val="true"/>
              </w:rPr>
              <w:t xml:space="preserve">. </w:t>
            </w:r>
            <w:r>
              <w:rPr>
                <w:rStyle w:val="IndexLink"/>
                <w:rtl w:val="true"/>
              </w:rPr>
              <w:t>دیدگاه نخست</w:t>
            </w:r>
            <w:r>
              <w:rPr>
                <w:rStyle w:val="IndexLink"/>
                <w:rtl w:val="true"/>
              </w:rPr>
              <w:tab/>
            </w:r>
            <w:r>
              <w:rPr>
                <w:rStyle w:val="IndexLink"/>
              </w:rPr>
              <w:t>282</w:t>
            </w:r>
          </w:hyperlink>
        </w:p>
        <w:p>
          <w:pPr>
            <w:pStyle w:val="Contents6"/>
            <w:tabs>
              <w:tab w:val="clear" w:pos="7609"/>
              <w:tab w:val="right" w:pos="9026" w:leader="dot"/>
            </w:tabs>
            <w:rPr/>
          </w:pPr>
          <w:hyperlink w:anchor="__RefHeading___Toc15202694_1280447820">
            <w:r>
              <w:rPr>
                <w:webHidden/>
                <w:rStyle w:val="IndexLink"/>
              </w:rPr>
              <w:t>2</w:t>
            </w:r>
            <w:r>
              <w:rPr>
                <w:rStyle w:val="IndexLink"/>
                <w:rtl w:val="true"/>
              </w:rPr>
              <w:t xml:space="preserve">. </w:t>
            </w:r>
            <w:r>
              <w:rPr>
                <w:rStyle w:val="IndexLink"/>
                <w:rtl w:val="true"/>
              </w:rPr>
              <w:t>دیدگاه دوم</w:t>
            </w:r>
            <w:r>
              <w:rPr>
                <w:rStyle w:val="IndexLink"/>
                <w:rtl w:val="true"/>
              </w:rPr>
              <w:tab/>
            </w:r>
            <w:r>
              <w:rPr>
                <w:rStyle w:val="IndexLink"/>
              </w:rPr>
              <w:t>283</w:t>
            </w:r>
          </w:hyperlink>
        </w:p>
        <w:p>
          <w:pPr>
            <w:pStyle w:val="Contents6"/>
            <w:tabs>
              <w:tab w:val="clear" w:pos="7609"/>
              <w:tab w:val="right" w:pos="9026" w:leader="dot"/>
            </w:tabs>
            <w:rPr/>
          </w:pPr>
          <w:hyperlink w:anchor="__RefHeading___Toc15202696_128044782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5202698_1280447820">
            <w:r>
              <w:rPr>
                <w:webHidden/>
                <w:rStyle w:val="IndexLink"/>
              </w:rPr>
              <w:t>2-1</w:t>
            </w:r>
            <w:r>
              <w:rPr>
                <w:rStyle w:val="IndexLink"/>
                <w:rtl w:val="true"/>
              </w:rPr>
              <w:t xml:space="preserve">. </w:t>
            </w:r>
            <w:r>
              <w:rPr>
                <w:rStyle w:val="IndexLink"/>
                <w:rtl w:val="true"/>
              </w:rPr>
              <w:t>نظرگاه اول</w:t>
            </w:r>
            <w:r>
              <w:rPr>
                <w:rStyle w:val="IndexLink"/>
                <w:rtl w:val="true"/>
              </w:rPr>
              <w:tab/>
            </w:r>
            <w:r>
              <w:rPr>
                <w:rStyle w:val="IndexLink"/>
              </w:rPr>
              <w:t>283</w:t>
            </w:r>
          </w:hyperlink>
        </w:p>
        <w:p>
          <w:pPr>
            <w:pStyle w:val="Contents6"/>
            <w:tabs>
              <w:tab w:val="clear" w:pos="7609"/>
              <w:tab w:val="right" w:pos="9026" w:leader="dot"/>
            </w:tabs>
            <w:rPr/>
          </w:pPr>
          <w:hyperlink w:anchor="__RefHeading___Toc15202700_1280447820">
            <w:r>
              <w:rPr>
                <w:webHidden/>
                <w:rStyle w:val="IndexLink"/>
              </w:rPr>
              <w:t>2-2</w:t>
            </w:r>
            <w:r>
              <w:rPr>
                <w:rStyle w:val="IndexLink"/>
                <w:rtl w:val="true"/>
              </w:rPr>
              <w:t xml:space="preserve">. </w:t>
            </w:r>
            <w:r>
              <w:rPr>
                <w:rStyle w:val="IndexLink"/>
                <w:rtl w:val="true"/>
              </w:rPr>
              <w:t>نظرگاه دوم</w:t>
            </w:r>
            <w:r>
              <w:rPr>
                <w:rStyle w:val="IndexLink"/>
                <w:rtl w:val="true"/>
              </w:rPr>
              <w:tab/>
            </w:r>
            <w:r>
              <w:rPr>
                <w:rStyle w:val="IndexLink"/>
              </w:rPr>
              <w:t>286</w:t>
            </w:r>
          </w:hyperlink>
        </w:p>
        <w:p>
          <w:pPr>
            <w:pStyle w:val="Contents6"/>
            <w:tabs>
              <w:tab w:val="clear" w:pos="7609"/>
              <w:tab w:val="right" w:pos="9026" w:leader="dot"/>
            </w:tabs>
            <w:rPr/>
          </w:pPr>
          <w:hyperlink w:anchor="__RefHeading___Toc15202702_1280447820">
            <w:r>
              <w:rPr>
                <w:webHidden/>
                <w:rStyle w:val="IndexLink"/>
              </w:rPr>
              <w:t>2-3</w:t>
            </w:r>
            <w:r>
              <w:rPr>
                <w:rStyle w:val="IndexLink"/>
                <w:rtl w:val="true"/>
              </w:rPr>
              <w:t xml:space="preserve">. </w:t>
            </w:r>
            <w:r>
              <w:rPr>
                <w:rStyle w:val="IndexLink"/>
                <w:rtl w:val="true"/>
              </w:rPr>
              <w:t>نظرگاه سوم</w:t>
            </w:r>
            <w:r>
              <w:rPr>
                <w:rStyle w:val="IndexLink"/>
                <w:rtl w:val="true"/>
              </w:rPr>
              <w:tab/>
            </w:r>
            <w:r>
              <w:rPr>
                <w:rStyle w:val="IndexLink"/>
              </w:rPr>
              <w:t>287</w:t>
            </w:r>
          </w:hyperlink>
        </w:p>
        <w:p>
          <w:pPr>
            <w:pStyle w:val="Contents6"/>
            <w:tabs>
              <w:tab w:val="clear" w:pos="7609"/>
              <w:tab w:val="right" w:pos="9026" w:leader="dot"/>
            </w:tabs>
            <w:rPr/>
          </w:pPr>
          <w:hyperlink w:anchor="__RefHeading___Toc15202704_1280447820">
            <w:r>
              <w:rPr>
                <w:webHidden/>
                <w:rStyle w:val="IndexLink"/>
              </w:rPr>
              <w:t>3</w:t>
            </w:r>
            <w:r>
              <w:rPr>
                <w:rStyle w:val="IndexLink"/>
                <w:rtl w:val="true"/>
              </w:rPr>
              <w:t xml:space="preserve">. </w:t>
            </w:r>
            <w:r>
              <w:rPr>
                <w:rStyle w:val="IndexLink"/>
                <w:rtl w:val="true"/>
              </w:rPr>
              <w:t>دیدگاه سوم</w:t>
            </w:r>
            <w:r>
              <w:rPr>
                <w:rStyle w:val="IndexLink"/>
                <w:rtl w:val="true"/>
              </w:rPr>
              <w:tab/>
            </w:r>
            <w:r>
              <w:rPr>
                <w:rStyle w:val="IndexLink"/>
              </w:rPr>
              <w:t>288</w:t>
            </w:r>
          </w:hyperlink>
        </w:p>
        <w:p>
          <w:pPr>
            <w:pStyle w:val="Contents6"/>
            <w:tabs>
              <w:tab w:val="clear" w:pos="7609"/>
              <w:tab w:val="right" w:pos="9026" w:leader="dot"/>
            </w:tabs>
            <w:rPr/>
          </w:pPr>
          <w:hyperlink w:anchor="__RefHeading___Toc15202706_1280447820">
            <w:r>
              <w:rPr>
                <w:webHidden/>
                <w:rStyle w:val="IndexLink"/>
                <w:rtl w:val="true"/>
              </w:rPr>
              <w:t>ب</w:t>
            </w:r>
            <w:r>
              <w:rPr>
                <w:rStyle w:val="IndexLink"/>
                <w:rtl w:val="true"/>
              </w:rPr>
              <w:t xml:space="preserve">) </w:t>
            </w:r>
            <w:r>
              <w:rPr>
                <w:rStyle w:val="IndexLink"/>
                <w:rtl w:val="true"/>
              </w:rPr>
              <w:t>دیدگاه اهل سنت</w:t>
            </w:r>
            <w:r>
              <w:rPr>
                <w:rStyle w:val="IndexLink"/>
                <w:rtl w:val="true"/>
              </w:rPr>
              <w:tab/>
            </w:r>
            <w:r>
              <w:rPr>
                <w:rStyle w:val="IndexLink"/>
              </w:rPr>
              <w:t>292</w:t>
            </w:r>
          </w:hyperlink>
        </w:p>
        <w:p>
          <w:pPr>
            <w:pStyle w:val="Contents6"/>
            <w:tabs>
              <w:tab w:val="clear" w:pos="7609"/>
              <w:tab w:val="right" w:pos="9026" w:leader="dot"/>
            </w:tabs>
            <w:rPr/>
          </w:pPr>
          <w:hyperlink w:anchor="__RefHeading___Toc15202708_1280447820">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15202710_1280447820">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مذهب حنفی و حنبلی</w:t>
            </w:r>
            <w:r>
              <w:rPr>
                <w:rStyle w:val="IndexLink"/>
                <w:rtl w:val="true"/>
              </w:rPr>
              <w:tab/>
            </w:r>
            <w:r>
              <w:rPr>
                <w:rStyle w:val="IndexLink"/>
              </w:rPr>
              <w:t>292</w:t>
            </w:r>
          </w:hyperlink>
        </w:p>
        <w:p>
          <w:pPr>
            <w:pStyle w:val="Contents6"/>
            <w:tabs>
              <w:tab w:val="clear" w:pos="7609"/>
              <w:tab w:val="right" w:pos="9026" w:leader="dot"/>
            </w:tabs>
            <w:rPr/>
          </w:pPr>
          <w:hyperlink w:anchor="__RefHeading___Toc15202712_1280447820">
            <w:r>
              <w:rPr>
                <w:webHidden/>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مذهب مالکی و شافعی</w:t>
            </w:r>
            <w:r>
              <w:rPr>
                <w:rStyle w:val="IndexLink"/>
                <w:rtl w:val="true"/>
              </w:rPr>
              <w:tab/>
            </w:r>
            <w:r>
              <w:rPr>
                <w:rStyle w:val="IndexLink"/>
              </w:rPr>
              <w:t>293</w:t>
            </w:r>
          </w:hyperlink>
        </w:p>
        <w:p>
          <w:pPr>
            <w:pStyle w:val="Contents6"/>
            <w:tabs>
              <w:tab w:val="clear" w:pos="7609"/>
              <w:tab w:val="right" w:pos="9026" w:leader="dot"/>
            </w:tabs>
            <w:rPr/>
          </w:pPr>
          <w:hyperlink w:anchor="__RefHeading___Toc15202714_1280447820">
            <w:r>
              <w:rPr>
                <w:webHidden/>
                <w:rStyle w:val="IndexLink"/>
                <w:rtl w:val="true"/>
              </w:rPr>
              <w:t>ج</w:t>
            </w:r>
            <w:r>
              <w:rPr>
                <w:rStyle w:val="IndexLink"/>
                <w:rtl w:val="true"/>
              </w:rPr>
              <w:t xml:space="preserve">. </w:t>
            </w:r>
            <w:r>
              <w:rPr>
                <w:rStyle w:val="IndexLink"/>
                <w:rtl w:val="true"/>
              </w:rPr>
              <w:t>مكان اعتكاف بانوان</w:t>
            </w:r>
            <w:r>
              <w:rPr>
                <w:rStyle w:val="IndexLink"/>
                <w:rtl w:val="true"/>
              </w:rPr>
              <w:tab/>
            </w:r>
            <w:r>
              <w:rPr>
                <w:rStyle w:val="IndexLink"/>
              </w:rPr>
              <w:t>293</w:t>
            </w:r>
          </w:hyperlink>
        </w:p>
        <w:p>
          <w:pPr>
            <w:pStyle w:val="Contents6"/>
            <w:tabs>
              <w:tab w:val="clear" w:pos="7609"/>
              <w:tab w:val="right" w:pos="9026" w:leader="dot"/>
            </w:tabs>
            <w:rPr/>
          </w:pPr>
          <w:hyperlink w:anchor="__RefHeading___Toc15202716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5202718_1280447820">
            <w:r>
              <w:rPr>
                <w:webHidden/>
                <w:rStyle w:val="IndexLink"/>
              </w:rPr>
              <w:t>1</w:t>
            </w:r>
            <w:r>
              <w:rPr>
                <w:rStyle w:val="IndexLink"/>
                <w:rtl w:val="true"/>
              </w:rPr>
              <w:t xml:space="preserve">. </w:t>
            </w:r>
            <w:r>
              <w:rPr>
                <w:rStyle w:val="IndexLink"/>
                <w:rtl w:val="true"/>
              </w:rPr>
              <w:t>دیدگاه فقیهان امامیه</w:t>
            </w:r>
            <w:r>
              <w:rPr>
                <w:rStyle w:val="IndexLink"/>
                <w:rtl w:val="true"/>
              </w:rPr>
              <w:tab/>
            </w:r>
            <w:r>
              <w:rPr>
                <w:rStyle w:val="IndexLink"/>
              </w:rPr>
              <w:t>294</w:t>
            </w:r>
          </w:hyperlink>
        </w:p>
        <w:p>
          <w:pPr>
            <w:pStyle w:val="Contents6"/>
            <w:tabs>
              <w:tab w:val="clear" w:pos="7609"/>
              <w:tab w:val="right" w:pos="9026" w:leader="dot"/>
            </w:tabs>
            <w:rPr/>
          </w:pPr>
          <w:hyperlink w:anchor="__RefHeading___Toc15202720_1280447820">
            <w:r>
              <w:rPr>
                <w:webHidden/>
                <w:rStyle w:val="IndexLink"/>
              </w:rPr>
              <w:t>2</w:t>
            </w:r>
            <w:r>
              <w:rPr>
                <w:rStyle w:val="IndexLink"/>
                <w:rtl w:val="true"/>
              </w:rPr>
              <w:t xml:space="preserve">. </w:t>
            </w:r>
            <w:r>
              <w:rPr>
                <w:rStyle w:val="IndexLink"/>
                <w:rtl w:val="true"/>
              </w:rPr>
              <w:t>دیدگاه اهل سنت</w:t>
            </w:r>
            <w:r>
              <w:rPr>
                <w:rStyle w:val="IndexLink"/>
                <w:rtl w:val="true"/>
              </w:rPr>
              <w:tab/>
            </w:r>
            <w:r>
              <w:rPr>
                <w:rStyle w:val="IndexLink"/>
              </w:rPr>
              <w:t>295</w:t>
            </w:r>
          </w:hyperlink>
        </w:p>
        <w:p>
          <w:pPr>
            <w:pStyle w:val="Contents6"/>
            <w:tabs>
              <w:tab w:val="clear" w:pos="7609"/>
              <w:tab w:val="right" w:pos="9026" w:leader="dot"/>
            </w:tabs>
            <w:rPr/>
          </w:pPr>
          <w:hyperlink w:anchor="__RefHeading___Toc15202722_1280447820">
            <w:r>
              <w:rPr>
                <w:webHidden/>
                <w:rStyle w:val="IndexLink"/>
                <w:rtl w:val="true"/>
              </w:rPr>
              <w:t>الف</w:t>
            </w:r>
            <w:r>
              <w:rPr>
                <w:rStyle w:val="IndexLink"/>
                <w:rtl w:val="true"/>
              </w:rPr>
              <w:t xml:space="preserve">. </w:t>
            </w:r>
            <w:r>
              <w:rPr>
                <w:rStyle w:val="IndexLink"/>
                <w:rtl w:val="true"/>
              </w:rPr>
              <w:t>دیدگاه جمهور و شافعی در مذهب جدید</w:t>
            </w:r>
            <w:r>
              <w:rPr>
                <w:rStyle w:val="IndexLink"/>
                <w:rtl w:val="true"/>
              </w:rPr>
              <w:tab/>
            </w:r>
            <w:r>
              <w:rPr>
                <w:rStyle w:val="IndexLink"/>
              </w:rPr>
              <w:t>295</w:t>
            </w:r>
          </w:hyperlink>
        </w:p>
        <w:p>
          <w:pPr>
            <w:pStyle w:val="Contents6"/>
            <w:tabs>
              <w:tab w:val="clear" w:pos="7609"/>
              <w:tab w:val="right" w:pos="9026" w:leader="dot"/>
            </w:tabs>
            <w:rPr/>
          </w:pPr>
          <w:hyperlink w:anchor="__RefHeading___Toc15202724_1280447820">
            <w:r>
              <w:rPr>
                <w:webHidden/>
                <w:rStyle w:val="IndexLink"/>
                <w:rtl w:val="true"/>
              </w:rPr>
              <w:t>ب</w:t>
            </w:r>
            <w:r>
              <w:rPr>
                <w:rStyle w:val="IndexLink"/>
                <w:rtl w:val="true"/>
              </w:rPr>
              <w:t xml:space="preserve">. </w:t>
            </w:r>
            <w:r>
              <w:rPr>
                <w:rStyle w:val="IndexLink"/>
                <w:rtl w:val="true"/>
              </w:rPr>
              <w:t>مذهب حنفی و مذهب قدیم شافعی</w:t>
            </w:r>
            <w:r>
              <w:rPr>
                <w:rStyle w:val="IndexLink"/>
                <w:rtl w:val="true"/>
              </w:rPr>
              <w:tab/>
            </w:r>
            <w:r>
              <w:rPr>
                <w:rStyle w:val="IndexLink"/>
              </w:rPr>
              <w:t>295</w:t>
            </w:r>
          </w:hyperlink>
        </w:p>
        <w:p>
          <w:pPr>
            <w:pStyle w:val="Contents6"/>
            <w:tabs>
              <w:tab w:val="clear" w:pos="7609"/>
              <w:tab w:val="right" w:pos="9026" w:leader="dot"/>
            </w:tabs>
            <w:rPr/>
          </w:pPr>
          <w:hyperlink w:anchor="__RefHeading___Toc15202726_1280447820">
            <w:r>
              <w:rPr>
                <w:webHidden/>
                <w:rStyle w:val="IndexLink"/>
                <w:rtl w:val="true"/>
              </w:rPr>
              <w:t>د</w:t>
            </w:r>
            <w:r>
              <w:rPr>
                <w:rStyle w:val="IndexLink"/>
                <w:rtl w:val="true"/>
              </w:rPr>
              <w:t xml:space="preserve">) </w:t>
            </w:r>
            <w:r>
              <w:rPr>
                <w:rStyle w:val="IndexLink"/>
                <w:rtl w:val="true"/>
              </w:rPr>
              <w:t>تعريف مسجد جامع</w:t>
            </w:r>
            <w:r>
              <w:rPr>
                <w:rStyle w:val="IndexLink"/>
                <w:rtl w:val="true"/>
              </w:rPr>
              <w:tab/>
            </w:r>
            <w:r>
              <w:rPr>
                <w:rStyle w:val="IndexLink"/>
              </w:rPr>
              <w:t>297</w:t>
            </w:r>
          </w:hyperlink>
        </w:p>
        <w:p>
          <w:pPr>
            <w:pStyle w:val="Contents5"/>
            <w:tabs>
              <w:tab w:val="clear" w:pos="7892"/>
              <w:tab w:val="right" w:pos="9026" w:leader="dot"/>
            </w:tabs>
            <w:rPr/>
          </w:pPr>
          <w:hyperlink w:anchor="__RefHeading___Toc15202728_1280447820">
            <w:r>
              <w:rPr>
                <w:webHidden/>
                <w:rStyle w:val="IndexLink"/>
                <w:rtl w:val="true"/>
              </w:rPr>
              <w:t>گفتار دوم</w:t>
            </w:r>
            <w:r>
              <w:rPr>
                <w:rStyle w:val="IndexLink"/>
                <w:rtl w:val="true"/>
              </w:rPr>
              <w:t xml:space="preserve">: </w:t>
            </w:r>
            <w:r>
              <w:rPr>
                <w:rStyle w:val="IndexLink"/>
                <w:rtl w:val="true"/>
              </w:rPr>
              <w:t>استمرار داشتن حضور در مسجد</w:t>
            </w:r>
            <w:r>
              <w:rPr>
                <w:rStyle w:val="IndexLink"/>
                <w:rtl w:val="true"/>
              </w:rPr>
              <w:tab/>
            </w:r>
            <w:r>
              <w:rPr>
                <w:rStyle w:val="IndexLink"/>
              </w:rPr>
              <w:t>300</w:t>
            </w:r>
          </w:hyperlink>
        </w:p>
        <w:p>
          <w:pPr>
            <w:pStyle w:val="Contents6"/>
            <w:tabs>
              <w:tab w:val="clear" w:pos="7609"/>
              <w:tab w:val="right" w:pos="9026" w:leader="dot"/>
            </w:tabs>
            <w:rPr/>
          </w:pPr>
          <w:hyperlink w:anchor="__RefHeading___Toc15202730_1280447820">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15202732_1280447820">
            <w:r>
              <w:rPr>
                <w:webHidden/>
                <w:rStyle w:val="IndexLink"/>
                <w:rtl w:val="true"/>
              </w:rPr>
              <w:t>الف</w:t>
            </w:r>
            <w:r>
              <w:rPr>
                <w:rStyle w:val="IndexLink"/>
                <w:rtl w:val="true"/>
              </w:rPr>
              <w:t xml:space="preserve">) </w:t>
            </w:r>
            <w:r>
              <w:rPr>
                <w:rStyle w:val="IndexLink"/>
                <w:rtl w:val="true"/>
              </w:rPr>
              <w:t>دیدگاه فقیهان امامیه</w:t>
            </w:r>
            <w:r>
              <w:rPr>
                <w:rStyle w:val="IndexLink"/>
                <w:rtl w:val="true"/>
              </w:rPr>
              <w:tab/>
            </w:r>
            <w:r>
              <w:rPr>
                <w:rStyle w:val="IndexLink"/>
              </w:rPr>
              <w:t>300</w:t>
            </w:r>
          </w:hyperlink>
        </w:p>
        <w:p>
          <w:pPr>
            <w:pStyle w:val="Contents6"/>
            <w:tabs>
              <w:tab w:val="clear" w:pos="7609"/>
              <w:tab w:val="right" w:pos="9026" w:leader="dot"/>
            </w:tabs>
            <w:rPr/>
          </w:pPr>
          <w:hyperlink w:anchor="__RefHeading___Toc15202734_1280447820">
            <w:r>
              <w:rPr>
                <w:webHidden/>
                <w:rStyle w:val="IndexLink"/>
                <w:rtl w:val="true"/>
              </w:rPr>
              <w:t>ب</w:t>
            </w:r>
            <w:r>
              <w:rPr>
                <w:rStyle w:val="IndexLink"/>
                <w:rtl w:val="true"/>
              </w:rPr>
              <w:t xml:space="preserve">) </w:t>
            </w:r>
            <w:r>
              <w:rPr>
                <w:rStyle w:val="IndexLink"/>
                <w:rtl w:val="true"/>
              </w:rPr>
              <w:t>دیدگاه اهل سنّت</w:t>
            </w:r>
            <w:r>
              <w:rPr>
                <w:rStyle w:val="IndexLink"/>
                <w:rtl w:val="true"/>
              </w:rPr>
              <w:tab/>
            </w:r>
            <w:r>
              <w:rPr>
                <w:rStyle w:val="IndexLink"/>
              </w:rPr>
              <w:t>302</w:t>
            </w:r>
          </w:hyperlink>
        </w:p>
        <w:p>
          <w:pPr>
            <w:pStyle w:val="Contents5"/>
            <w:tabs>
              <w:tab w:val="clear" w:pos="7892"/>
              <w:tab w:val="right" w:pos="9026" w:leader="dot"/>
            </w:tabs>
            <w:rPr/>
          </w:pPr>
          <w:hyperlink w:anchor="__RefHeading___Toc15202736_1280447820">
            <w:r>
              <w:rPr>
                <w:webHidden/>
                <w:rStyle w:val="IndexLink"/>
                <w:rtl w:val="true"/>
              </w:rPr>
              <w:t>گفتار سوم</w:t>
            </w:r>
            <w:r>
              <w:rPr>
                <w:rStyle w:val="IndexLink"/>
                <w:rtl w:val="true"/>
              </w:rPr>
              <w:t xml:space="preserve">: </w:t>
            </w:r>
            <w:r>
              <w:rPr>
                <w:rStyle w:val="IndexLink"/>
                <w:rtl w:val="true"/>
              </w:rPr>
              <w:t>مجوزات خروج از مسجد</w:t>
            </w:r>
            <w:r>
              <w:rPr>
                <w:rStyle w:val="IndexLink"/>
                <w:rtl w:val="true"/>
              </w:rPr>
              <w:tab/>
            </w:r>
            <w:r>
              <w:rPr>
                <w:rStyle w:val="IndexLink"/>
              </w:rPr>
              <w:t>303</w:t>
            </w:r>
          </w:hyperlink>
        </w:p>
        <w:p>
          <w:pPr>
            <w:pStyle w:val="Contents6"/>
            <w:tabs>
              <w:tab w:val="clear" w:pos="7609"/>
              <w:tab w:val="right" w:pos="9026" w:leader="dot"/>
            </w:tabs>
            <w:rPr/>
          </w:pPr>
          <w:hyperlink w:anchor="__RefHeading___Toc15202738_1280447820">
            <w:r>
              <w:rPr>
                <w:webHidden/>
                <w:rStyle w:val="IndexLink"/>
                <w:rtl w:val="true"/>
              </w:rPr>
              <w:t>الف</w:t>
            </w:r>
            <w:r>
              <w:rPr>
                <w:rStyle w:val="IndexLink"/>
                <w:rtl w:val="true"/>
              </w:rPr>
              <w:t xml:space="preserve">) </w:t>
            </w:r>
            <w:r>
              <w:rPr>
                <w:rStyle w:val="IndexLink"/>
                <w:rtl w:val="true"/>
              </w:rPr>
              <w:t>دیدگاه فقیهان امامیه</w:t>
            </w:r>
            <w:r>
              <w:rPr>
                <w:rStyle w:val="IndexLink"/>
                <w:rtl w:val="true"/>
              </w:rPr>
              <w:tab/>
            </w:r>
            <w:r>
              <w:rPr>
                <w:rStyle w:val="IndexLink"/>
              </w:rPr>
              <w:t>303</w:t>
            </w:r>
          </w:hyperlink>
        </w:p>
        <w:p>
          <w:pPr>
            <w:pStyle w:val="Contents6"/>
            <w:tabs>
              <w:tab w:val="clear" w:pos="7609"/>
              <w:tab w:val="right" w:pos="9026" w:leader="dot"/>
            </w:tabs>
            <w:rPr/>
          </w:pPr>
          <w:hyperlink w:anchor="__RefHeading___Toc15202740_1280447820">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5202742_1280447820">
            <w:r>
              <w:rPr>
                <w:webHidden/>
                <w:rStyle w:val="IndexLink"/>
                <w:rtl w:val="true"/>
              </w:rPr>
              <w:t>دیدگاه اول</w:t>
            </w:r>
            <w:r>
              <w:rPr>
                <w:rStyle w:val="IndexLink"/>
                <w:rtl w:val="true"/>
              </w:rPr>
              <w:t>:</w:t>
              <w:tab/>
            </w:r>
            <w:r>
              <w:rPr>
                <w:rStyle w:val="IndexLink"/>
              </w:rPr>
              <w:t>303</w:t>
            </w:r>
          </w:hyperlink>
        </w:p>
        <w:p>
          <w:pPr>
            <w:pStyle w:val="Contents6"/>
            <w:tabs>
              <w:tab w:val="clear" w:pos="7609"/>
              <w:tab w:val="right" w:pos="9026" w:leader="dot"/>
            </w:tabs>
            <w:rPr/>
          </w:pPr>
          <w:hyperlink w:anchor="__RefHeading___Toc15202744_1280447820">
            <w:r>
              <w:rPr>
                <w:webHidden/>
                <w:rStyle w:val="IndexLink"/>
                <w:rtl w:val="true"/>
              </w:rPr>
              <w:t>دیدگاه دوم</w:t>
            </w:r>
            <w:r>
              <w:rPr>
                <w:rStyle w:val="IndexLink"/>
                <w:rtl w:val="true"/>
              </w:rPr>
              <w:t>:</w:t>
              <w:tab/>
            </w:r>
            <w:r>
              <w:rPr>
                <w:rStyle w:val="IndexLink"/>
              </w:rPr>
              <w:t>303</w:t>
            </w:r>
          </w:hyperlink>
        </w:p>
        <w:p>
          <w:pPr>
            <w:pStyle w:val="Contents6"/>
            <w:tabs>
              <w:tab w:val="clear" w:pos="7609"/>
              <w:tab w:val="right" w:pos="9026" w:leader="dot"/>
            </w:tabs>
            <w:rPr/>
          </w:pPr>
          <w:hyperlink w:anchor="__RefHeading___Toc15202746_1280447820">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5202748_1280447820">
            <w:r>
              <w:rPr>
                <w:webHidden/>
                <w:rStyle w:val="IndexLink"/>
              </w:rPr>
              <w:t>1</w:t>
            </w:r>
            <w:r>
              <w:rPr>
                <w:rStyle w:val="IndexLink"/>
                <w:rtl w:val="true"/>
              </w:rPr>
              <w:t xml:space="preserve">- </w:t>
            </w:r>
            <w:r>
              <w:rPr>
                <w:rStyle w:val="IndexLink"/>
                <w:rtl w:val="true"/>
              </w:rPr>
              <w:t xml:space="preserve">ادله دیدگاه اول </w:t>
            </w:r>
            <w:r>
              <w:rPr>
                <w:rStyle w:val="IndexLink"/>
                <w:rtl w:val="true"/>
              </w:rPr>
              <w:t>(</w:t>
            </w:r>
            <w:r>
              <w:rPr>
                <w:rStyle w:val="IndexLink"/>
                <w:rtl w:val="true"/>
              </w:rPr>
              <w:t>مطلق حاجت</w:t>
            </w:r>
            <w:r>
              <w:rPr>
                <w:rStyle w:val="IndexLink"/>
                <w:rtl w:val="true"/>
              </w:rPr>
              <w:t>)</w:t>
              <w:tab/>
            </w:r>
            <w:r>
              <w:rPr>
                <w:rStyle w:val="IndexLink"/>
              </w:rPr>
              <w:t>304</w:t>
            </w:r>
          </w:hyperlink>
        </w:p>
        <w:p>
          <w:pPr>
            <w:pStyle w:val="Contents6"/>
            <w:tabs>
              <w:tab w:val="clear" w:pos="7609"/>
              <w:tab w:val="right" w:pos="9026" w:leader="dot"/>
            </w:tabs>
            <w:rPr/>
          </w:pPr>
          <w:hyperlink w:anchor="__RefHeading___Toc15202750_1280447820">
            <w:r>
              <w:rPr>
                <w:webHidden/>
                <w:rStyle w:val="IndexLink"/>
              </w:rPr>
              <w:t>2</w:t>
            </w:r>
            <w:r>
              <w:rPr>
                <w:rStyle w:val="IndexLink"/>
                <w:rtl w:val="true"/>
              </w:rPr>
              <w:t xml:space="preserve">- </w:t>
            </w:r>
            <w:r>
              <w:rPr>
                <w:rStyle w:val="IndexLink"/>
                <w:rtl w:val="true"/>
              </w:rPr>
              <w:t xml:space="preserve">ادله دیدگاه دوم حاجت </w:t>
            </w:r>
            <w:r>
              <w:rPr>
                <w:rStyle w:val="IndexLink"/>
                <w:rtl w:val="true"/>
              </w:rPr>
              <w:t>(</w:t>
            </w:r>
            <w:r>
              <w:rPr>
                <w:rStyle w:val="IndexLink"/>
                <w:rtl w:val="true"/>
              </w:rPr>
              <w:t>ضروری</w:t>
            </w:r>
            <w:r>
              <w:rPr>
                <w:rStyle w:val="IndexLink"/>
                <w:rtl w:val="true"/>
              </w:rPr>
              <w:t>)</w:t>
              <w:tab/>
            </w:r>
            <w:r>
              <w:rPr>
                <w:rStyle w:val="IndexLink"/>
              </w:rPr>
              <w:t>305</w:t>
            </w:r>
          </w:hyperlink>
        </w:p>
        <w:p>
          <w:pPr>
            <w:pStyle w:val="Contents6"/>
            <w:tabs>
              <w:tab w:val="clear" w:pos="7609"/>
              <w:tab w:val="right" w:pos="9026" w:leader="dot"/>
            </w:tabs>
            <w:rPr/>
          </w:pPr>
          <w:hyperlink w:anchor="__RefHeading___Toc15202752_1280447820">
            <w:r>
              <w:rPr>
                <w:webHidden/>
                <w:rStyle w:val="IndexLink"/>
                <w:rtl w:val="true"/>
              </w:rPr>
              <w:t>ب</w:t>
            </w:r>
            <w:r>
              <w:rPr>
                <w:rStyle w:val="IndexLink"/>
                <w:rtl w:val="true"/>
              </w:rPr>
              <w:t xml:space="preserve">) </w:t>
            </w:r>
            <w:r>
              <w:rPr>
                <w:rStyle w:val="IndexLink"/>
                <w:rtl w:val="true"/>
              </w:rPr>
              <w:t>ذكر بعضی از مصادیق مجوز خروج از مسجد</w:t>
            </w:r>
            <w:r>
              <w:rPr>
                <w:rStyle w:val="IndexLink"/>
                <w:rtl w:val="true"/>
              </w:rPr>
              <w:tab/>
            </w:r>
            <w:r>
              <w:rPr>
                <w:rStyle w:val="IndexLink"/>
              </w:rPr>
              <w:t>306</w:t>
            </w:r>
          </w:hyperlink>
        </w:p>
        <w:p>
          <w:pPr>
            <w:pStyle w:val="Contents6"/>
            <w:tabs>
              <w:tab w:val="clear" w:pos="7609"/>
              <w:tab w:val="right" w:pos="9026" w:leader="dot"/>
            </w:tabs>
            <w:rPr/>
          </w:pPr>
          <w:hyperlink w:anchor="__RefHeading___Toc15202754_1280447820">
            <w:r>
              <w:rPr>
                <w:webHidden/>
                <w:rStyle w:val="IndexLink"/>
              </w:rPr>
              <w:t>1</w:t>
            </w:r>
            <w:r>
              <w:rPr>
                <w:rStyle w:val="IndexLink"/>
                <w:rtl w:val="true"/>
              </w:rPr>
              <w:t xml:space="preserve">. </w:t>
            </w:r>
            <w:r>
              <w:rPr>
                <w:rStyle w:val="IndexLink"/>
                <w:rtl w:val="true"/>
              </w:rPr>
              <w:t>غسل جنابت</w:t>
            </w:r>
            <w:r>
              <w:rPr>
                <w:rStyle w:val="IndexLink"/>
                <w:rtl w:val="true"/>
              </w:rPr>
              <w:tab/>
            </w:r>
            <w:r>
              <w:rPr>
                <w:rStyle w:val="IndexLink"/>
              </w:rPr>
              <w:t>306</w:t>
            </w:r>
          </w:hyperlink>
        </w:p>
        <w:p>
          <w:pPr>
            <w:pStyle w:val="Contents6"/>
            <w:tabs>
              <w:tab w:val="clear" w:pos="7609"/>
              <w:tab w:val="right" w:pos="9026" w:leader="dot"/>
            </w:tabs>
            <w:rPr/>
          </w:pPr>
          <w:hyperlink w:anchor="__RefHeading___Toc15202756_1280447820">
            <w:r>
              <w:rPr>
                <w:webHidden/>
                <w:rStyle w:val="IndexLink"/>
              </w:rPr>
              <w:t>2</w:t>
            </w:r>
            <w:r>
              <w:rPr>
                <w:rStyle w:val="IndexLink"/>
                <w:rtl w:val="true"/>
              </w:rPr>
              <w:t xml:space="preserve">. </w:t>
            </w:r>
            <w:r>
              <w:rPr>
                <w:rStyle w:val="IndexLink"/>
                <w:rtl w:val="true"/>
              </w:rPr>
              <w:t>عیادت از بیمار و تشییع جنازه</w:t>
            </w:r>
            <w:r>
              <w:rPr>
                <w:rStyle w:val="IndexLink"/>
                <w:rtl w:val="true"/>
              </w:rPr>
              <w:tab/>
            </w:r>
            <w:r>
              <w:rPr>
                <w:rStyle w:val="IndexLink"/>
              </w:rPr>
              <w:t>307</w:t>
            </w:r>
          </w:hyperlink>
        </w:p>
        <w:p>
          <w:pPr>
            <w:pStyle w:val="Contents6"/>
            <w:tabs>
              <w:tab w:val="clear" w:pos="7609"/>
              <w:tab w:val="right" w:pos="9026" w:leader="dot"/>
            </w:tabs>
            <w:rPr/>
          </w:pPr>
          <w:hyperlink w:anchor="__RefHeading___Toc15202758_1280447820">
            <w:r>
              <w:rPr>
                <w:webHidden/>
                <w:rStyle w:val="IndexLink"/>
              </w:rPr>
              <w:t>3</w:t>
            </w:r>
            <w:r>
              <w:rPr>
                <w:rStyle w:val="IndexLink"/>
                <w:rtl w:val="true"/>
              </w:rPr>
              <w:t xml:space="preserve">. </w:t>
            </w:r>
            <w:r>
              <w:rPr>
                <w:rStyle w:val="IndexLink"/>
                <w:rtl w:val="true"/>
              </w:rPr>
              <w:t>شهادت دادن</w:t>
            </w:r>
            <w:r>
              <w:rPr>
                <w:rStyle w:val="IndexLink"/>
                <w:rtl w:val="true"/>
              </w:rPr>
              <w:tab/>
            </w:r>
            <w:r>
              <w:rPr>
                <w:rStyle w:val="IndexLink"/>
              </w:rPr>
              <w:t>308</w:t>
            </w:r>
          </w:hyperlink>
        </w:p>
        <w:p>
          <w:pPr>
            <w:pStyle w:val="Contents6"/>
            <w:tabs>
              <w:tab w:val="clear" w:pos="7609"/>
              <w:tab w:val="right" w:pos="9026" w:leader="dot"/>
            </w:tabs>
            <w:rPr/>
          </w:pPr>
          <w:hyperlink w:anchor="__RefHeading___Toc15202760_128044782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15202762_1280447820">
            <w:r>
              <w:rPr>
                <w:webHidden/>
                <w:rStyle w:val="IndexLink"/>
              </w:rPr>
              <w:t>4</w:t>
            </w:r>
            <w:r>
              <w:rPr>
                <w:rStyle w:val="IndexLink"/>
                <w:rtl w:val="true"/>
              </w:rPr>
              <w:t xml:space="preserve">. </w:t>
            </w:r>
            <w:r>
              <w:rPr>
                <w:rStyle w:val="IndexLink"/>
                <w:rtl w:val="true"/>
              </w:rPr>
              <w:t>رفع قضای حاجت</w:t>
            </w:r>
            <w:r>
              <w:rPr>
                <w:rStyle w:val="IndexLink"/>
                <w:rtl w:val="true"/>
              </w:rPr>
              <w:tab/>
            </w:r>
            <w:r>
              <w:rPr>
                <w:rStyle w:val="IndexLink"/>
              </w:rPr>
              <w:t>310</w:t>
            </w:r>
          </w:hyperlink>
        </w:p>
        <w:p>
          <w:pPr>
            <w:pStyle w:val="Contents6"/>
            <w:tabs>
              <w:tab w:val="clear" w:pos="7609"/>
              <w:tab w:val="right" w:pos="9026" w:leader="dot"/>
            </w:tabs>
            <w:rPr/>
          </w:pPr>
          <w:hyperlink w:anchor="__RefHeading___Toc15202764_1280447820">
            <w:r>
              <w:rPr>
                <w:webHidden/>
                <w:rStyle w:val="IndexLink"/>
                <w:rtl w:val="true"/>
              </w:rPr>
              <w:t>ج</w:t>
            </w:r>
            <w:r>
              <w:rPr>
                <w:rStyle w:val="IndexLink"/>
                <w:rtl w:val="true"/>
              </w:rPr>
              <w:t xml:space="preserve">) </w:t>
            </w:r>
            <w:r>
              <w:rPr>
                <w:rStyle w:val="IndexLink"/>
                <w:rtl w:val="true"/>
              </w:rPr>
              <w:t>سبب های مجوز خروج از نگاه اهل سنّت</w:t>
            </w:r>
            <w:r>
              <w:rPr>
                <w:rStyle w:val="IndexLink"/>
                <w:rtl w:val="true"/>
              </w:rPr>
              <w:tab/>
            </w:r>
            <w:r>
              <w:rPr>
                <w:rStyle w:val="IndexLink"/>
              </w:rPr>
              <w:t>313</w:t>
            </w:r>
          </w:hyperlink>
        </w:p>
        <w:p>
          <w:pPr>
            <w:pStyle w:val="Contents6"/>
            <w:tabs>
              <w:tab w:val="clear" w:pos="7609"/>
              <w:tab w:val="right" w:pos="9026" w:leader="dot"/>
            </w:tabs>
            <w:rPr/>
          </w:pPr>
          <w:hyperlink w:anchor="__RefHeading___Toc15202766_128044782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15202768_1280447820">
            <w:r>
              <w:rPr>
                <w:webHidden/>
                <w:rStyle w:val="IndexLink"/>
              </w:rPr>
              <w:t>1</w:t>
            </w:r>
            <w:r>
              <w:rPr>
                <w:rStyle w:val="IndexLink"/>
                <w:rtl w:val="true"/>
              </w:rPr>
              <w:t xml:space="preserve">. </w:t>
            </w:r>
            <w:r>
              <w:rPr>
                <w:rStyle w:val="IndexLink"/>
                <w:rtl w:val="true"/>
              </w:rPr>
              <w:t>قضای حاجت و غسل واجب</w:t>
            </w:r>
            <w:r>
              <w:rPr>
                <w:rStyle w:val="IndexLink"/>
                <w:rtl w:val="true"/>
              </w:rPr>
              <w:tab/>
            </w:r>
            <w:r>
              <w:rPr>
                <w:rStyle w:val="IndexLink"/>
              </w:rPr>
              <w:t>313</w:t>
            </w:r>
          </w:hyperlink>
        </w:p>
        <w:p>
          <w:pPr>
            <w:pStyle w:val="Contents6"/>
            <w:tabs>
              <w:tab w:val="clear" w:pos="7609"/>
              <w:tab w:val="right" w:pos="9026" w:leader="dot"/>
            </w:tabs>
            <w:rPr/>
          </w:pPr>
          <w:hyperlink w:anchor="__RefHeading___Toc15202770_128044782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15202772_1280447820">
            <w:r>
              <w:rPr>
                <w:webHidden/>
                <w:rStyle w:val="IndexLink"/>
              </w:rPr>
              <w:t>1-1</w:t>
            </w:r>
            <w:r>
              <w:rPr>
                <w:rStyle w:val="IndexLink"/>
                <w:rtl w:val="true"/>
              </w:rPr>
              <w:t xml:space="preserve">. </w:t>
            </w:r>
            <w:r>
              <w:rPr>
                <w:rStyle w:val="IndexLink"/>
                <w:rtl w:val="true"/>
              </w:rPr>
              <w:t>مذهب حنفی و حنبلی</w:t>
            </w:r>
            <w:r>
              <w:rPr>
                <w:rStyle w:val="IndexLink"/>
                <w:rtl w:val="true"/>
              </w:rPr>
              <w:tab/>
            </w:r>
            <w:r>
              <w:rPr>
                <w:rStyle w:val="IndexLink"/>
              </w:rPr>
              <w:t>314</w:t>
            </w:r>
          </w:hyperlink>
        </w:p>
        <w:p>
          <w:pPr>
            <w:pStyle w:val="Contents6"/>
            <w:tabs>
              <w:tab w:val="clear" w:pos="7609"/>
              <w:tab w:val="right" w:pos="9026" w:leader="dot"/>
            </w:tabs>
            <w:rPr/>
          </w:pPr>
          <w:hyperlink w:anchor="__RefHeading___Toc15202774_1280447820">
            <w:r>
              <w:rPr>
                <w:webHidden/>
                <w:rStyle w:val="IndexLink"/>
              </w:rPr>
              <w:t>1-2</w:t>
            </w:r>
            <w:r>
              <w:rPr>
                <w:rStyle w:val="IndexLink"/>
                <w:rtl w:val="true"/>
              </w:rPr>
              <w:t xml:space="preserve">. </w:t>
            </w:r>
            <w:r>
              <w:rPr>
                <w:rStyle w:val="IndexLink"/>
                <w:rtl w:val="true"/>
              </w:rPr>
              <w:t>مذهب شافعی</w:t>
            </w:r>
            <w:r>
              <w:rPr>
                <w:rStyle w:val="IndexLink"/>
                <w:rtl w:val="true"/>
              </w:rPr>
              <w:tab/>
            </w:r>
            <w:r>
              <w:rPr>
                <w:rStyle w:val="IndexLink"/>
              </w:rPr>
              <w:t>314</w:t>
            </w:r>
          </w:hyperlink>
        </w:p>
        <w:p>
          <w:pPr>
            <w:pStyle w:val="Contents6"/>
            <w:tabs>
              <w:tab w:val="clear" w:pos="7609"/>
              <w:tab w:val="right" w:pos="9026" w:leader="dot"/>
            </w:tabs>
            <w:rPr/>
          </w:pPr>
          <w:hyperlink w:anchor="__RefHeading___Toc15202776_1280447820">
            <w:r>
              <w:rPr>
                <w:webHidden/>
                <w:rStyle w:val="IndexLink"/>
              </w:rPr>
              <w:t>1-3</w:t>
            </w:r>
            <w:r>
              <w:rPr>
                <w:rStyle w:val="IndexLink"/>
                <w:rtl w:val="true"/>
              </w:rPr>
              <w:t xml:space="preserve">. </w:t>
            </w:r>
            <w:r>
              <w:rPr>
                <w:rStyle w:val="IndexLink"/>
                <w:rtl w:val="true"/>
              </w:rPr>
              <w:t>مذهب مالکی</w:t>
            </w:r>
            <w:r>
              <w:rPr>
                <w:rStyle w:val="IndexLink"/>
                <w:rtl w:val="true"/>
              </w:rPr>
              <w:tab/>
            </w:r>
            <w:r>
              <w:rPr>
                <w:rStyle w:val="IndexLink"/>
              </w:rPr>
              <w:t>314</w:t>
            </w:r>
          </w:hyperlink>
        </w:p>
        <w:p>
          <w:pPr>
            <w:pStyle w:val="Contents6"/>
            <w:tabs>
              <w:tab w:val="clear" w:pos="7609"/>
              <w:tab w:val="right" w:pos="9026" w:leader="dot"/>
            </w:tabs>
            <w:rPr/>
          </w:pPr>
          <w:hyperlink w:anchor="__RefHeading___Toc15202778_1280447820">
            <w:r>
              <w:rPr>
                <w:webHidden/>
                <w:rStyle w:val="IndexLink"/>
              </w:rPr>
              <w:t>2</w:t>
            </w:r>
            <w:r>
              <w:rPr>
                <w:rStyle w:val="IndexLink"/>
                <w:rtl w:val="true"/>
              </w:rPr>
              <w:t xml:space="preserve">. </w:t>
            </w:r>
            <w:r>
              <w:rPr>
                <w:rStyle w:val="IndexLink"/>
                <w:rtl w:val="true"/>
              </w:rPr>
              <w:t>خوردن و آشامیدن</w:t>
            </w:r>
            <w:r>
              <w:rPr>
                <w:rStyle w:val="IndexLink"/>
                <w:rtl w:val="true"/>
              </w:rPr>
              <w:tab/>
            </w:r>
            <w:r>
              <w:rPr>
                <w:rStyle w:val="IndexLink"/>
              </w:rPr>
              <w:t>314</w:t>
            </w:r>
          </w:hyperlink>
        </w:p>
        <w:p>
          <w:pPr>
            <w:pStyle w:val="Contents6"/>
            <w:tabs>
              <w:tab w:val="clear" w:pos="7609"/>
              <w:tab w:val="right" w:pos="9026" w:leader="dot"/>
            </w:tabs>
            <w:rPr/>
          </w:pPr>
          <w:hyperlink w:anchor="__RefHeading___Toc15202780_1280447820">
            <w:r>
              <w:rPr>
                <w:webHidden/>
                <w:rStyle w:val="IndexLink"/>
              </w:rPr>
              <w:t>3</w:t>
            </w:r>
            <w:r>
              <w:rPr>
                <w:rStyle w:val="IndexLink"/>
                <w:rtl w:val="true"/>
              </w:rPr>
              <w:t xml:space="preserve">. </w:t>
            </w:r>
            <w:r>
              <w:rPr>
                <w:rStyle w:val="IndexLink"/>
                <w:rtl w:val="true"/>
              </w:rPr>
              <w:t>غسل جمعه و عید</w:t>
            </w:r>
            <w:r>
              <w:rPr>
                <w:rStyle w:val="IndexLink"/>
                <w:rtl w:val="true"/>
              </w:rPr>
              <w:tab/>
            </w:r>
            <w:r>
              <w:rPr>
                <w:rStyle w:val="IndexLink"/>
              </w:rPr>
              <w:t>315</w:t>
            </w:r>
          </w:hyperlink>
        </w:p>
        <w:p>
          <w:pPr>
            <w:pStyle w:val="Contents6"/>
            <w:tabs>
              <w:tab w:val="clear" w:pos="7609"/>
              <w:tab w:val="right" w:pos="9026" w:leader="dot"/>
            </w:tabs>
            <w:rPr/>
          </w:pPr>
          <w:hyperlink w:anchor="__RefHeading___Toc15202782_128044782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5202784_1280447820">
            <w:r>
              <w:rPr>
                <w:webHidden/>
                <w:rStyle w:val="IndexLink"/>
              </w:rPr>
              <w:t>4</w:t>
            </w:r>
            <w:r>
              <w:rPr>
                <w:rStyle w:val="IndexLink"/>
                <w:rtl w:val="true"/>
              </w:rPr>
              <w:t xml:space="preserve">. </w:t>
            </w:r>
            <w:r>
              <w:rPr>
                <w:rStyle w:val="IndexLink"/>
                <w:rtl w:val="true"/>
              </w:rPr>
              <w:t>نماز جمعه</w:t>
            </w:r>
            <w:r>
              <w:rPr>
                <w:rStyle w:val="IndexLink"/>
                <w:rtl w:val="true"/>
              </w:rPr>
              <w:tab/>
            </w:r>
            <w:r>
              <w:rPr>
                <w:rStyle w:val="IndexLink"/>
              </w:rPr>
              <w:t>315</w:t>
            </w:r>
          </w:hyperlink>
        </w:p>
        <w:p>
          <w:pPr>
            <w:pStyle w:val="Contents6"/>
            <w:tabs>
              <w:tab w:val="clear" w:pos="7609"/>
              <w:tab w:val="right" w:pos="9026" w:leader="dot"/>
            </w:tabs>
            <w:rPr/>
          </w:pPr>
          <w:hyperlink w:anchor="__RefHeading___Toc15202786_1280447820">
            <w:r>
              <w:rPr>
                <w:webHidden/>
                <w:rStyle w:val="IndexLink"/>
              </w:rPr>
              <w:t>5</w:t>
            </w:r>
            <w:r>
              <w:rPr>
                <w:rStyle w:val="IndexLink"/>
                <w:rtl w:val="true"/>
              </w:rPr>
              <w:t xml:space="preserve">. </w:t>
            </w:r>
            <w:r>
              <w:rPr>
                <w:rStyle w:val="IndexLink"/>
                <w:rtl w:val="true"/>
              </w:rPr>
              <w:t>عیادت از بیمار و خواندن نماز میت</w:t>
            </w:r>
            <w:r>
              <w:rPr>
                <w:rStyle w:val="IndexLink"/>
                <w:rtl w:val="true"/>
              </w:rPr>
              <w:tab/>
            </w:r>
            <w:r>
              <w:rPr>
                <w:rStyle w:val="IndexLink"/>
              </w:rPr>
              <w:t>316</w:t>
            </w:r>
          </w:hyperlink>
        </w:p>
        <w:p>
          <w:pPr>
            <w:pStyle w:val="Contents6"/>
            <w:tabs>
              <w:tab w:val="clear" w:pos="7609"/>
              <w:tab w:val="right" w:pos="9026" w:leader="dot"/>
            </w:tabs>
            <w:rPr/>
          </w:pPr>
          <w:hyperlink w:anchor="__RefHeading___Toc15202788_1280447820">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15202790_1280447820">
            <w:r>
              <w:rPr>
                <w:webHidden/>
                <w:rStyle w:val="IndexLink"/>
              </w:rPr>
              <w:t>6</w:t>
            </w:r>
            <w:r>
              <w:rPr>
                <w:rStyle w:val="IndexLink"/>
                <w:rtl w:val="true"/>
              </w:rPr>
              <w:t xml:space="preserve">. </w:t>
            </w:r>
            <w:r>
              <w:rPr>
                <w:rStyle w:val="IndexLink"/>
                <w:rtl w:val="true"/>
              </w:rPr>
              <w:t>شهادت دادن</w:t>
            </w:r>
            <w:r>
              <w:rPr>
                <w:rStyle w:val="IndexLink"/>
                <w:rtl w:val="true"/>
              </w:rPr>
              <w:tab/>
            </w:r>
            <w:r>
              <w:rPr>
                <w:rStyle w:val="IndexLink"/>
              </w:rPr>
              <w:t>317</w:t>
            </w:r>
          </w:hyperlink>
        </w:p>
        <w:p>
          <w:pPr>
            <w:pStyle w:val="Contents6"/>
            <w:tabs>
              <w:tab w:val="clear" w:pos="7609"/>
              <w:tab w:val="right" w:pos="9026" w:leader="dot"/>
            </w:tabs>
            <w:rPr/>
          </w:pPr>
          <w:hyperlink w:anchor="__RefHeading___Toc15202792_1280447820">
            <w:r>
              <w:rPr>
                <w:webHidden/>
                <w:rStyle w:val="IndexLink"/>
              </w:rPr>
              <w:t>6-1</w:t>
            </w:r>
            <w:r>
              <w:rPr>
                <w:rStyle w:val="IndexLink"/>
                <w:rtl w:val="true"/>
              </w:rPr>
              <w:t xml:space="preserve">. </w:t>
            </w:r>
            <w:r>
              <w:rPr>
                <w:rStyle w:val="IndexLink"/>
                <w:rtl w:val="true"/>
              </w:rPr>
              <w:t>مذهب حنفی و مالکی</w:t>
            </w:r>
            <w:r>
              <w:rPr>
                <w:rStyle w:val="IndexLink"/>
                <w:rtl w:val="true"/>
              </w:rPr>
              <w:tab/>
            </w:r>
            <w:r>
              <w:rPr>
                <w:rStyle w:val="IndexLink"/>
              </w:rPr>
              <w:t>317</w:t>
            </w:r>
          </w:hyperlink>
        </w:p>
        <w:p>
          <w:pPr>
            <w:pStyle w:val="Contents6"/>
            <w:tabs>
              <w:tab w:val="clear" w:pos="7609"/>
              <w:tab w:val="right" w:pos="9026" w:leader="dot"/>
            </w:tabs>
            <w:rPr/>
          </w:pPr>
          <w:hyperlink w:anchor="__RefHeading___Toc15202794_1280447820">
            <w:r>
              <w:rPr>
                <w:webHidden/>
                <w:rStyle w:val="IndexLink"/>
              </w:rPr>
              <w:t>6-2</w:t>
            </w:r>
            <w:r>
              <w:rPr>
                <w:rStyle w:val="IndexLink"/>
                <w:rtl w:val="true"/>
              </w:rPr>
              <w:t xml:space="preserve">. </w:t>
            </w:r>
            <w:r>
              <w:rPr>
                <w:rStyle w:val="IndexLink"/>
                <w:rtl w:val="true"/>
              </w:rPr>
              <w:t>شافعی و حنبلی</w:t>
            </w:r>
            <w:r>
              <w:rPr>
                <w:rStyle w:val="IndexLink"/>
                <w:rtl w:val="true"/>
              </w:rPr>
              <w:tab/>
            </w:r>
            <w:r>
              <w:rPr>
                <w:rStyle w:val="IndexLink"/>
              </w:rPr>
              <w:t>318</w:t>
            </w:r>
          </w:hyperlink>
        </w:p>
        <w:p>
          <w:pPr>
            <w:pStyle w:val="Contents6"/>
            <w:tabs>
              <w:tab w:val="clear" w:pos="7609"/>
              <w:tab w:val="right" w:pos="9026" w:leader="dot"/>
            </w:tabs>
            <w:rPr/>
          </w:pPr>
          <w:hyperlink w:anchor="__RefHeading___Toc15202796_1280447820">
            <w:r>
              <w:rPr>
                <w:webHidden/>
                <w:rStyle w:val="IndexLink"/>
              </w:rPr>
              <w:t>7</w:t>
            </w:r>
            <w:r>
              <w:rPr>
                <w:rStyle w:val="IndexLink"/>
                <w:rtl w:val="true"/>
              </w:rPr>
              <w:t xml:space="preserve">. </w:t>
            </w:r>
            <w:r>
              <w:rPr>
                <w:rStyle w:val="IndexLink"/>
                <w:rtl w:val="true"/>
              </w:rPr>
              <w:t>بیمار شدن معتکف</w:t>
            </w:r>
            <w:r>
              <w:rPr>
                <w:rStyle w:val="IndexLink"/>
                <w:rtl w:val="true"/>
              </w:rPr>
              <w:tab/>
            </w:r>
            <w:r>
              <w:rPr>
                <w:rStyle w:val="IndexLink"/>
              </w:rPr>
              <w:t>318</w:t>
            </w:r>
          </w:hyperlink>
        </w:p>
        <w:p>
          <w:pPr>
            <w:pStyle w:val="Contents4"/>
            <w:tabs>
              <w:tab w:val="clear" w:pos="8176"/>
              <w:tab w:val="right" w:pos="9026" w:leader="dot"/>
            </w:tabs>
            <w:rPr/>
          </w:pPr>
          <w:hyperlink w:anchor="__RefHeading___Toc15202798_1280447820">
            <w:r>
              <w:rPr>
                <w:webHidden/>
                <w:rStyle w:val="IndexLink"/>
                <w:rtl w:val="true"/>
              </w:rPr>
              <w:t>مبحث سوم محرمات اعتکاف</w:t>
            </w:r>
            <w:r>
              <w:rPr>
                <w:rStyle w:val="IndexLink"/>
                <w:rtl w:val="true"/>
              </w:rPr>
              <w:tab/>
            </w:r>
            <w:r>
              <w:rPr>
                <w:rStyle w:val="IndexLink"/>
              </w:rPr>
              <w:t>320</w:t>
            </w:r>
          </w:hyperlink>
        </w:p>
        <w:p>
          <w:pPr>
            <w:pStyle w:val="Contents5"/>
            <w:tabs>
              <w:tab w:val="clear" w:pos="7892"/>
              <w:tab w:val="right" w:pos="9026" w:leader="dot"/>
            </w:tabs>
            <w:rPr/>
          </w:pPr>
          <w:hyperlink w:anchor="__RefHeading___Toc15202800_128044782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5202802_1280447820">
            <w:r>
              <w:rPr>
                <w:webHidden/>
                <w:rStyle w:val="IndexLink"/>
              </w:rPr>
              <w:t>1</w:t>
            </w:r>
            <w:r>
              <w:rPr>
                <w:rStyle w:val="IndexLink"/>
                <w:rtl w:val="true"/>
              </w:rPr>
              <w:t xml:space="preserve">. </w:t>
            </w:r>
            <w:r>
              <w:rPr>
                <w:rStyle w:val="IndexLink"/>
                <w:rtl w:val="true"/>
              </w:rPr>
              <w:t>استمتاع از همسر</w:t>
            </w:r>
            <w:r>
              <w:rPr>
                <w:rStyle w:val="IndexLink"/>
                <w:rtl w:val="true"/>
              </w:rPr>
              <w:tab/>
            </w:r>
            <w:r>
              <w:rPr>
                <w:rStyle w:val="IndexLink"/>
              </w:rPr>
              <w:t>320</w:t>
            </w:r>
          </w:hyperlink>
        </w:p>
        <w:p>
          <w:pPr>
            <w:pStyle w:val="Contents6"/>
            <w:tabs>
              <w:tab w:val="clear" w:pos="7609"/>
              <w:tab w:val="right" w:pos="9026" w:leader="dot"/>
            </w:tabs>
            <w:rPr/>
          </w:pPr>
          <w:hyperlink w:anchor="__RefHeading___Toc15202804_1280447820">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15202806_1280447820">
            <w:r>
              <w:rPr>
                <w:webHidden/>
                <w:rStyle w:val="IndexLink"/>
                <w:rtl w:val="true"/>
              </w:rPr>
              <w:t>الف</w:t>
            </w:r>
            <w:r>
              <w:rPr>
                <w:rStyle w:val="IndexLink"/>
                <w:rtl w:val="true"/>
              </w:rPr>
              <w:t xml:space="preserve">) </w:t>
            </w:r>
            <w:r>
              <w:rPr>
                <w:rStyle w:val="IndexLink"/>
                <w:rtl w:val="true"/>
              </w:rPr>
              <w:t>جماع</w:t>
            </w:r>
            <w:r>
              <w:rPr>
                <w:rStyle w:val="IndexLink"/>
                <w:rtl w:val="true"/>
              </w:rPr>
              <w:tab/>
            </w:r>
            <w:r>
              <w:rPr>
                <w:rStyle w:val="IndexLink"/>
              </w:rPr>
              <w:t>320</w:t>
            </w:r>
          </w:hyperlink>
        </w:p>
        <w:p>
          <w:pPr>
            <w:pStyle w:val="Contents5"/>
            <w:tabs>
              <w:tab w:val="clear" w:pos="7892"/>
              <w:tab w:val="right" w:pos="9026" w:leader="dot"/>
            </w:tabs>
            <w:rPr/>
          </w:pPr>
          <w:hyperlink w:anchor="__RefHeading___Toc15202808_1280447820">
            <w:r>
              <w:rPr>
                <w:webHidden/>
                <w:rStyle w:val="IndexLink"/>
                <w:rtl w:val="true"/>
              </w:rPr>
              <w:t>ب</w:t>
            </w:r>
            <w:r>
              <w:rPr>
                <w:rStyle w:val="IndexLink"/>
                <w:rtl w:val="true"/>
              </w:rPr>
              <w:t xml:space="preserve">) </w:t>
            </w:r>
            <w:r>
              <w:rPr>
                <w:rStyle w:val="IndexLink"/>
                <w:rtl w:val="true"/>
              </w:rPr>
              <w:t>بوسيدن يا لمس کردن همسر</w:t>
            </w:r>
            <w:r>
              <w:rPr>
                <w:rStyle w:val="IndexLink"/>
                <w:rtl w:val="true"/>
              </w:rPr>
              <w:tab/>
            </w:r>
            <w:r>
              <w:rPr>
                <w:rStyle w:val="IndexLink"/>
              </w:rPr>
              <w:t>326</w:t>
            </w:r>
          </w:hyperlink>
        </w:p>
        <w:p>
          <w:pPr>
            <w:pStyle w:val="Contents6"/>
            <w:tabs>
              <w:tab w:val="clear" w:pos="7609"/>
              <w:tab w:val="right" w:pos="9026" w:leader="dot"/>
            </w:tabs>
            <w:rPr/>
          </w:pPr>
          <w:hyperlink w:anchor="__RefHeading___Toc15202810_1280447820">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5202812_1280447820">
            <w:r>
              <w:rPr>
                <w:webHidden/>
                <w:rStyle w:val="IndexLink"/>
                <w:rtl w:val="true"/>
              </w:rPr>
              <w:t>دیدگاه اهل سنت</w:t>
            </w:r>
            <w:r>
              <w:rPr>
                <w:rStyle w:val="IndexLink"/>
                <w:rtl w:val="true"/>
              </w:rPr>
              <w:tab/>
            </w:r>
            <w:r>
              <w:rPr>
                <w:rStyle w:val="IndexLink"/>
              </w:rPr>
              <w:t>329</w:t>
            </w:r>
          </w:hyperlink>
        </w:p>
        <w:p>
          <w:pPr>
            <w:pStyle w:val="Contents6"/>
            <w:tabs>
              <w:tab w:val="clear" w:pos="7609"/>
              <w:tab w:val="right" w:pos="9026" w:leader="dot"/>
            </w:tabs>
            <w:rPr/>
          </w:pPr>
          <w:hyperlink w:anchor="__RefHeading___Toc15202814_1280447820">
            <w:r>
              <w:rPr>
                <w:webHidden/>
                <w:rStyle w:val="IndexLink"/>
              </w:rPr>
              <w:t>1</w:t>
            </w:r>
            <w:r>
              <w:rPr>
                <w:rStyle w:val="IndexLink"/>
                <w:rtl w:val="true"/>
              </w:rPr>
              <w:t xml:space="preserve">. </w:t>
            </w:r>
            <w:r>
              <w:rPr>
                <w:rStyle w:val="IndexLink"/>
                <w:rtl w:val="true"/>
              </w:rPr>
              <w:t>مذهب حنفی، حنبلی و شافعی</w:t>
            </w:r>
            <w:r>
              <w:rPr>
                <w:rStyle w:val="IndexLink"/>
                <w:rtl w:val="true"/>
              </w:rPr>
              <w:tab/>
            </w:r>
            <w:r>
              <w:rPr>
                <w:rStyle w:val="IndexLink"/>
              </w:rPr>
              <w:t>329</w:t>
            </w:r>
          </w:hyperlink>
        </w:p>
        <w:p>
          <w:pPr>
            <w:pStyle w:val="Contents6"/>
            <w:tabs>
              <w:tab w:val="clear" w:pos="7609"/>
              <w:tab w:val="right" w:pos="9026" w:leader="dot"/>
            </w:tabs>
            <w:rPr/>
          </w:pPr>
          <w:hyperlink w:anchor="__RefHeading___Toc15202816_1280447820">
            <w:r>
              <w:rPr>
                <w:webHidden/>
                <w:rStyle w:val="IndexLink"/>
              </w:rPr>
              <w:t>2</w:t>
            </w:r>
            <w:r>
              <w:rPr>
                <w:rStyle w:val="IndexLink"/>
                <w:rtl w:val="true"/>
              </w:rPr>
              <w:t xml:space="preserve">. </w:t>
            </w:r>
            <w:r>
              <w:rPr>
                <w:rStyle w:val="IndexLink"/>
                <w:rtl w:val="true"/>
              </w:rPr>
              <w:t>مذهب مالکی</w:t>
            </w:r>
            <w:r>
              <w:rPr>
                <w:rStyle w:val="IndexLink"/>
                <w:rtl w:val="true"/>
              </w:rPr>
              <w:tab/>
            </w:r>
            <w:r>
              <w:rPr>
                <w:rStyle w:val="IndexLink"/>
              </w:rPr>
              <w:t>330</w:t>
            </w:r>
          </w:hyperlink>
        </w:p>
        <w:p>
          <w:pPr>
            <w:pStyle w:val="Contents5"/>
            <w:tabs>
              <w:tab w:val="clear" w:pos="7892"/>
              <w:tab w:val="right" w:pos="9026" w:leader="dot"/>
            </w:tabs>
            <w:rPr/>
          </w:pPr>
          <w:hyperlink w:anchor="__RefHeading___Toc15202818_1280447820">
            <w:r>
              <w:rPr>
                <w:webHidden/>
                <w:rStyle w:val="IndexLink"/>
              </w:rPr>
              <w:t>2</w:t>
            </w:r>
            <w:r>
              <w:rPr>
                <w:rStyle w:val="IndexLink"/>
                <w:rtl w:val="true"/>
              </w:rPr>
              <w:t xml:space="preserve">. </w:t>
            </w:r>
            <w:r>
              <w:rPr>
                <w:rStyle w:val="IndexLink"/>
                <w:rtl w:val="true"/>
              </w:rPr>
              <w:t>استمناء</w:t>
            </w:r>
            <w:r>
              <w:rPr>
                <w:rStyle w:val="IndexLink"/>
                <w:rtl w:val="true"/>
              </w:rPr>
              <w:tab/>
            </w:r>
            <w:r>
              <w:rPr>
                <w:rStyle w:val="IndexLink"/>
              </w:rPr>
              <w:t>330</w:t>
            </w:r>
          </w:hyperlink>
        </w:p>
        <w:p>
          <w:pPr>
            <w:pStyle w:val="Contents6"/>
            <w:tabs>
              <w:tab w:val="clear" w:pos="7609"/>
              <w:tab w:val="right" w:pos="9026" w:leader="dot"/>
            </w:tabs>
            <w:rPr/>
          </w:pPr>
          <w:hyperlink w:anchor="__RefHeading___Toc15202820_1280447820">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15202822_1280447820">
            <w:r>
              <w:rPr>
                <w:webHidden/>
                <w:rStyle w:val="IndexLink"/>
                <w:rtl w:val="true"/>
              </w:rPr>
              <w:t>دیدگاه اهل سنّت</w:t>
            </w:r>
            <w:r>
              <w:rPr>
                <w:rStyle w:val="IndexLink"/>
                <w:rtl w:val="true"/>
              </w:rPr>
              <w:tab/>
            </w:r>
            <w:r>
              <w:rPr>
                <w:rStyle w:val="IndexLink"/>
              </w:rPr>
              <w:t>333</w:t>
            </w:r>
          </w:hyperlink>
        </w:p>
        <w:p>
          <w:pPr>
            <w:pStyle w:val="Contents5"/>
            <w:tabs>
              <w:tab w:val="clear" w:pos="7892"/>
              <w:tab w:val="right" w:pos="9026" w:leader="dot"/>
            </w:tabs>
            <w:rPr/>
          </w:pPr>
          <w:hyperlink w:anchor="__RefHeading___Toc15202824_1280447820">
            <w:r>
              <w:rPr>
                <w:webHidden/>
                <w:rStyle w:val="IndexLink"/>
              </w:rPr>
              <w:t>3</w:t>
            </w:r>
            <w:r>
              <w:rPr>
                <w:rStyle w:val="IndexLink"/>
                <w:rtl w:val="true"/>
              </w:rPr>
              <w:t xml:space="preserve">. </w:t>
            </w:r>
            <w:r>
              <w:rPr>
                <w:rStyle w:val="IndexLink"/>
                <w:rtl w:val="true"/>
              </w:rPr>
              <w:t>خرید و فروش</w:t>
            </w:r>
            <w:r>
              <w:rPr>
                <w:rStyle w:val="IndexLink"/>
                <w:rtl w:val="true"/>
              </w:rPr>
              <w:tab/>
            </w:r>
            <w:r>
              <w:rPr>
                <w:rStyle w:val="IndexLink"/>
              </w:rPr>
              <w:t>333</w:t>
            </w:r>
          </w:hyperlink>
        </w:p>
        <w:p>
          <w:pPr>
            <w:pStyle w:val="Contents6"/>
            <w:tabs>
              <w:tab w:val="clear" w:pos="7609"/>
              <w:tab w:val="right" w:pos="9026" w:leader="dot"/>
            </w:tabs>
            <w:rPr/>
          </w:pPr>
          <w:hyperlink w:anchor="__RefHeading___Toc15202826_1280447820">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15202828_1280447820">
            <w:r>
              <w:rPr>
                <w:webHidden/>
                <w:rStyle w:val="IndexLink"/>
                <w:rtl w:val="true"/>
              </w:rPr>
              <w:t>الف</w:t>
            </w:r>
            <w:r>
              <w:rPr>
                <w:rStyle w:val="IndexLink"/>
                <w:rtl w:val="true"/>
              </w:rPr>
              <w:t xml:space="preserve">) </w:t>
            </w:r>
            <w:r>
              <w:rPr>
                <w:rStyle w:val="IndexLink"/>
                <w:rtl w:val="true"/>
              </w:rPr>
              <w:t>بررسى حكم عقود مختلف در حال اعتکاف</w:t>
            </w:r>
            <w:r>
              <w:rPr>
                <w:rStyle w:val="IndexLink"/>
                <w:rtl w:val="true"/>
              </w:rPr>
              <w:tab/>
            </w:r>
            <w:r>
              <w:rPr>
                <w:rStyle w:val="IndexLink"/>
              </w:rPr>
              <w:t>335</w:t>
            </w:r>
          </w:hyperlink>
        </w:p>
        <w:p>
          <w:pPr>
            <w:pStyle w:val="Contents6"/>
            <w:tabs>
              <w:tab w:val="clear" w:pos="7609"/>
              <w:tab w:val="right" w:pos="9026" w:leader="dot"/>
            </w:tabs>
            <w:rPr/>
          </w:pPr>
          <w:hyperlink w:anchor="__RefHeading___Toc15202830_1280447820">
            <w:r>
              <w:rPr>
                <w:webHidden/>
                <w:rStyle w:val="IndexLink"/>
                <w:rtl w:val="true"/>
              </w:rPr>
              <w:t>ب</w:t>
            </w:r>
            <w:r>
              <w:rPr>
                <w:rStyle w:val="IndexLink"/>
                <w:rtl w:val="true"/>
              </w:rPr>
              <w:t xml:space="preserve">. </w:t>
            </w:r>
            <w:r>
              <w:rPr>
                <w:rStyle w:val="IndexLink"/>
                <w:rtl w:val="true"/>
              </w:rPr>
              <w:t>بررسی بطلان اعتکاف به سبب بيع و شراء</w:t>
            </w:r>
            <w:r>
              <w:rPr>
                <w:rStyle w:val="IndexLink"/>
                <w:rtl w:val="true"/>
              </w:rPr>
              <w:tab/>
            </w:r>
            <w:r>
              <w:rPr>
                <w:rStyle w:val="IndexLink"/>
              </w:rPr>
              <w:t>339</w:t>
            </w:r>
          </w:hyperlink>
        </w:p>
        <w:p>
          <w:pPr>
            <w:pStyle w:val="Contents6"/>
            <w:tabs>
              <w:tab w:val="clear" w:pos="7609"/>
              <w:tab w:val="right" w:pos="9026" w:leader="dot"/>
            </w:tabs>
            <w:rPr/>
          </w:pPr>
          <w:hyperlink w:anchor="__RefHeading___Toc15202832_1280447820">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5202834_1280447820">
            <w:r>
              <w:rPr>
                <w:webHidden/>
                <w:rStyle w:val="IndexLink"/>
                <w:rtl w:val="true"/>
              </w:rPr>
              <w:t>دیدگاه اهل سنت</w:t>
            </w:r>
            <w:r>
              <w:rPr>
                <w:rStyle w:val="IndexLink"/>
                <w:rtl w:val="true"/>
              </w:rPr>
              <w:tab/>
            </w:r>
            <w:r>
              <w:rPr>
                <w:rStyle w:val="IndexLink"/>
              </w:rPr>
              <w:t>340</w:t>
            </w:r>
          </w:hyperlink>
        </w:p>
        <w:p>
          <w:pPr>
            <w:pStyle w:val="Contents6"/>
            <w:tabs>
              <w:tab w:val="clear" w:pos="7609"/>
              <w:tab w:val="right" w:pos="9026" w:leader="dot"/>
            </w:tabs>
            <w:rPr/>
          </w:pPr>
          <w:hyperlink w:anchor="__RefHeading___Toc15202836_1280447820">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15202838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340</w:t>
            </w:r>
          </w:hyperlink>
        </w:p>
        <w:p>
          <w:pPr>
            <w:pStyle w:val="Contents6"/>
            <w:tabs>
              <w:tab w:val="clear" w:pos="7609"/>
              <w:tab w:val="right" w:pos="9026" w:leader="dot"/>
            </w:tabs>
            <w:rPr/>
          </w:pPr>
          <w:hyperlink w:anchor="__RefHeading___Toc15202840_1280447820">
            <w:r>
              <w:rPr>
                <w:webHidden/>
                <w:rStyle w:val="IndexLink"/>
              </w:rPr>
              <w:t>2</w:t>
            </w:r>
            <w:r>
              <w:rPr>
                <w:rStyle w:val="IndexLink"/>
                <w:rtl w:val="true"/>
              </w:rPr>
              <w:t xml:space="preserve">. </w:t>
            </w:r>
            <w:r>
              <w:rPr>
                <w:rStyle w:val="IndexLink"/>
                <w:rtl w:val="true"/>
              </w:rPr>
              <w:t>مذهب شافعی</w:t>
            </w:r>
            <w:r>
              <w:rPr>
                <w:rStyle w:val="IndexLink"/>
                <w:rtl w:val="true"/>
              </w:rPr>
              <w:tab/>
            </w:r>
            <w:r>
              <w:rPr>
                <w:rStyle w:val="IndexLink"/>
              </w:rPr>
              <w:t>340</w:t>
            </w:r>
          </w:hyperlink>
        </w:p>
        <w:p>
          <w:pPr>
            <w:pStyle w:val="Contents6"/>
            <w:tabs>
              <w:tab w:val="clear" w:pos="7609"/>
              <w:tab w:val="right" w:pos="9026" w:leader="dot"/>
            </w:tabs>
            <w:rPr/>
          </w:pPr>
          <w:hyperlink w:anchor="__RefHeading___Toc15202842_1280447820">
            <w:r>
              <w:rPr>
                <w:webHidden/>
                <w:rStyle w:val="IndexLink"/>
              </w:rPr>
              <w:t>3</w:t>
            </w:r>
            <w:r>
              <w:rPr>
                <w:rStyle w:val="IndexLink"/>
                <w:rtl w:val="true"/>
              </w:rPr>
              <w:t xml:space="preserve">. </w:t>
            </w:r>
            <w:r>
              <w:rPr>
                <w:rStyle w:val="IndexLink"/>
                <w:rtl w:val="true"/>
              </w:rPr>
              <w:t>مذهب حنبلی</w:t>
            </w:r>
            <w:r>
              <w:rPr>
                <w:rStyle w:val="IndexLink"/>
                <w:rtl w:val="true"/>
              </w:rPr>
              <w:tab/>
            </w:r>
            <w:r>
              <w:rPr>
                <w:rStyle w:val="IndexLink"/>
              </w:rPr>
              <w:t>341</w:t>
            </w:r>
          </w:hyperlink>
        </w:p>
        <w:p>
          <w:pPr>
            <w:pStyle w:val="Contents6"/>
            <w:tabs>
              <w:tab w:val="clear" w:pos="7609"/>
              <w:tab w:val="right" w:pos="9026" w:leader="dot"/>
            </w:tabs>
            <w:rPr/>
          </w:pPr>
          <w:hyperlink w:anchor="__RefHeading___Toc15202844_1280447820">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15202846_1280447820">
            <w:r>
              <w:rPr>
                <w:webHidden/>
                <w:rStyle w:val="IndexLink"/>
              </w:rPr>
              <w:t>4</w:t>
            </w:r>
            <w:r>
              <w:rPr>
                <w:rStyle w:val="IndexLink"/>
                <w:rtl w:val="true"/>
              </w:rPr>
              <w:t xml:space="preserve">. </w:t>
            </w:r>
            <w:r>
              <w:rPr>
                <w:rStyle w:val="IndexLink"/>
                <w:rtl w:val="true"/>
              </w:rPr>
              <w:t>مذهب مالکی</w:t>
            </w:r>
            <w:r>
              <w:rPr>
                <w:rStyle w:val="IndexLink"/>
                <w:rtl w:val="true"/>
              </w:rPr>
              <w:tab/>
            </w:r>
            <w:r>
              <w:rPr>
                <w:rStyle w:val="IndexLink"/>
              </w:rPr>
              <w:t>341</w:t>
            </w:r>
          </w:hyperlink>
        </w:p>
        <w:p>
          <w:pPr>
            <w:pStyle w:val="Contents5"/>
            <w:tabs>
              <w:tab w:val="clear" w:pos="7892"/>
              <w:tab w:val="right" w:pos="9026" w:leader="dot"/>
            </w:tabs>
            <w:rPr/>
          </w:pPr>
          <w:hyperlink w:anchor="__RefHeading___Toc15202848_1280447820">
            <w:r>
              <w:rPr>
                <w:webHidden/>
                <w:rStyle w:val="IndexLink"/>
              </w:rPr>
              <w:t>4</w:t>
            </w:r>
            <w:r>
              <w:rPr>
                <w:rStyle w:val="IndexLink"/>
                <w:rtl w:val="true"/>
              </w:rPr>
              <w:t xml:space="preserve">. </w:t>
            </w:r>
            <w:r>
              <w:rPr>
                <w:rStyle w:val="IndexLink"/>
                <w:rtl w:val="true"/>
              </w:rPr>
              <w:t>بوییدن عطر و گلهای خوشبو</w:t>
            </w:r>
            <w:r>
              <w:rPr>
                <w:rStyle w:val="IndexLink"/>
                <w:rtl w:val="true"/>
              </w:rPr>
              <w:tab/>
            </w:r>
            <w:r>
              <w:rPr>
                <w:rStyle w:val="IndexLink"/>
              </w:rPr>
              <w:t>342</w:t>
            </w:r>
          </w:hyperlink>
        </w:p>
        <w:p>
          <w:pPr>
            <w:pStyle w:val="Contents6"/>
            <w:tabs>
              <w:tab w:val="clear" w:pos="7609"/>
              <w:tab w:val="right" w:pos="9026" w:leader="dot"/>
            </w:tabs>
            <w:rPr/>
          </w:pPr>
          <w:hyperlink w:anchor="__RefHeading___Toc15202850_1280447820">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15202852_1280447820">
            <w:r>
              <w:rPr>
                <w:webHidden/>
                <w:rStyle w:val="IndexLink"/>
                <w:rtl w:val="true"/>
              </w:rPr>
              <w:t>دیدگاه اهل سنت</w:t>
            </w:r>
            <w:r>
              <w:rPr>
                <w:rStyle w:val="IndexLink"/>
                <w:rtl w:val="true"/>
              </w:rPr>
              <w:tab/>
            </w:r>
            <w:r>
              <w:rPr>
                <w:rStyle w:val="IndexLink"/>
              </w:rPr>
              <w:t>344</w:t>
            </w:r>
          </w:hyperlink>
        </w:p>
        <w:p>
          <w:pPr>
            <w:pStyle w:val="Contents5"/>
            <w:tabs>
              <w:tab w:val="clear" w:pos="7892"/>
              <w:tab w:val="right" w:pos="9026" w:leader="dot"/>
            </w:tabs>
            <w:rPr/>
          </w:pPr>
          <w:hyperlink w:anchor="__RefHeading___Toc15202854_1280447820">
            <w:r>
              <w:rPr>
                <w:webHidden/>
                <w:rStyle w:val="IndexLink"/>
              </w:rPr>
              <w:t>5</w:t>
            </w:r>
            <w:r>
              <w:rPr>
                <w:rStyle w:val="IndexLink"/>
                <w:rtl w:val="true"/>
              </w:rPr>
              <w:t xml:space="preserve">. </w:t>
            </w:r>
            <w:r>
              <w:rPr>
                <w:rStyle w:val="IndexLink"/>
                <w:rtl w:val="true"/>
              </w:rPr>
              <w:t>بحث و مجادله کردن</w:t>
            </w:r>
            <w:r>
              <w:rPr>
                <w:rStyle w:val="IndexLink"/>
                <w:rtl w:val="true"/>
              </w:rPr>
              <w:tab/>
            </w:r>
            <w:r>
              <w:rPr>
                <w:rStyle w:val="IndexLink"/>
              </w:rPr>
              <w:t>344</w:t>
            </w:r>
          </w:hyperlink>
        </w:p>
        <w:p>
          <w:pPr>
            <w:pStyle w:val="Contents6"/>
            <w:tabs>
              <w:tab w:val="clear" w:pos="7609"/>
              <w:tab w:val="right" w:pos="9026" w:leader="dot"/>
            </w:tabs>
            <w:rPr/>
          </w:pPr>
          <w:hyperlink w:anchor="__RefHeading___Toc15202856_1280447820">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15202858_1280447820">
            <w:r>
              <w:rPr>
                <w:webHidden/>
                <w:rStyle w:val="IndexLink"/>
                <w:rtl w:val="true"/>
              </w:rPr>
              <w:t>دیدگاه اهل سنت</w:t>
            </w:r>
            <w:r>
              <w:rPr>
                <w:rStyle w:val="IndexLink"/>
                <w:rtl w:val="true"/>
              </w:rPr>
              <w:tab/>
            </w:r>
            <w:r>
              <w:rPr>
                <w:rStyle w:val="IndexLink"/>
              </w:rPr>
              <w:t>346</w:t>
            </w:r>
          </w:hyperlink>
        </w:p>
        <w:p>
          <w:pPr>
            <w:pStyle w:val="Contents5"/>
            <w:tabs>
              <w:tab w:val="clear" w:pos="7892"/>
              <w:tab w:val="right" w:pos="9026" w:leader="dot"/>
            </w:tabs>
            <w:rPr/>
          </w:pPr>
          <w:hyperlink w:anchor="__RefHeading___Toc15202860_1280447820">
            <w:r>
              <w:rPr>
                <w:webHidden/>
                <w:rStyle w:val="IndexLink"/>
              </w:rPr>
              <w:t>6</w:t>
            </w:r>
            <w:r>
              <w:rPr>
                <w:rStyle w:val="IndexLink"/>
                <w:rtl w:val="true"/>
              </w:rPr>
              <w:t xml:space="preserve">. </w:t>
            </w:r>
            <w:r>
              <w:rPr>
                <w:rStyle w:val="IndexLink"/>
                <w:rtl w:val="true"/>
              </w:rPr>
              <w:t>انجام هر آنچه بر روزه دار حرام است</w:t>
            </w:r>
            <w:r>
              <w:rPr>
                <w:rStyle w:val="IndexLink"/>
                <w:rtl w:val="true"/>
              </w:rPr>
              <w:tab/>
            </w:r>
            <w:r>
              <w:rPr>
                <w:rStyle w:val="IndexLink"/>
              </w:rPr>
              <w:t>346</w:t>
            </w:r>
          </w:hyperlink>
        </w:p>
        <w:p>
          <w:pPr>
            <w:pStyle w:val="Contents3"/>
            <w:tabs>
              <w:tab w:val="clear" w:pos="8459"/>
              <w:tab w:val="right" w:pos="9026" w:leader="dot"/>
            </w:tabs>
            <w:rPr/>
          </w:pPr>
          <w:hyperlink w:anchor="__RefHeading___Toc15202862_1280447820">
            <w:r>
              <w:rPr>
                <w:webHidden/>
                <w:rStyle w:val="IndexLink"/>
                <w:rtl w:val="true"/>
              </w:rPr>
              <w:t>فصل سوم</w:t>
            </w:r>
            <w:r>
              <w:rPr>
                <w:rStyle w:val="IndexLink"/>
                <w:rtl w:val="true"/>
              </w:rPr>
              <w:t xml:space="preserve">: </w:t>
            </w:r>
            <w:r>
              <w:rPr>
                <w:rStyle w:val="IndexLink"/>
                <w:rtl w:val="true"/>
              </w:rPr>
              <w:t>استفاده از مسجد جهت امور غیر مرتبط با کاربری مسجد</w:t>
            </w:r>
            <w:r>
              <w:rPr>
                <w:rStyle w:val="IndexLink"/>
                <w:rtl w:val="true"/>
              </w:rPr>
              <w:tab/>
            </w:r>
            <w:r>
              <w:rPr>
                <w:rStyle w:val="IndexLink"/>
              </w:rPr>
              <w:t>347</w:t>
            </w:r>
          </w:hyperlink>
        </w:p>
        <w:p>
          <w:pPr>
            <w:pStyle w:val="Contents4"/>
            <w:tabs>
              <w:tab w:val="clear" w:pos="8176"/>
              <w:tab w:val="right" w:pos="9026" w:leader="dot"/>
            </w:tabs>
            <w:rPr/>
          </w:pPr>
          <w:hyperlink w:anchor="__RefHeading___Toc15202864_128044782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5202866_1280447820">
            <w:r>
              <w:rPr>
                <w:webHidden/>
                <w:rStyle w:val="IndexLink"/>
                <w:rtl w:val="true"/>
              </w:rPr>
              <w:t>مبحث اول</w:t>
            </w:r>
            <w:r>
              <w:rPr>
                <w:rStyle w:val="IndexLink"/>
                <w:rtl w:val="true"/>
              </w:rPr>
              <w:t xml:space="preserve">: </w:t>
            </w:r>
            <w:r>
              <w:rPr>
                <w:rStyle w:val="IndexLink"/>
                <w:rtl w:val="true"/>
              </w:rPr>
              <w:t>قضاوت و اجرای حدود در مسجد</w:t>
            </w:r>
            <w:r>
              <w:rPr>
                <w:rStyle w:val="IndexLink"/>
                <w:rtl w:val="true"/>
              </w:rPr>
              <w:tab/>
            </w:r>
            <w:r>
              <w:rPr>
                <w:rStyle w:val="IndexLink"/>
              </w:rPr>
              <w:t>349</w:t>
            </w:r>
          </w:hyperlink>
        </w:p>
        <w:p>
          <w:pPr>
            <w:pStyle w:val="Contents5"/>
            <w:tabs>
              <w:tab w:val="clear" w:pos="7892"/>
              <w:tab w:val="right" w:pos="9026" w:leader="dot"/>
            </w:tabs>
            <w:rPr/>
          </w:pPr>
          <w:hyperlink w:anchor="__RefHeading___Toc15202868_1280447820">
            <w:r>
              <w:rPr>
                <w:webHidden/>
                <w:rStyle w:val="IndexLink"/>
                <w:rtl w:val="true"/>
              </w:rPr>
              <w:t>گفتار اول</w:t>
            </w:r>
            <w:r>
              <w:rPr>
                <w:rStyle w:val="IndexLink"/>
                <w:rtl w:val="true"/>
              </w:rPr>
              <w:t xml:space="preserve">: </w:t>
            </w:r>
            <w:r>
              <w:rPr>
                <w:rStyle w:val="IndexLink"/>
                <w:rtl w:val="true"/>
              </w:rPr>
              <w:t>قضاوت در مسجد</w:t>
            </w:r>
            <w:r>
              <w:rPr>
                <w:rStyle w:val="IndexLink"/>
                <w:rtl w:val="true"/>
              </w:rPr>
              <w:tab/>
            </w:r>
            <w:r>
              <w:rPr>
                <w:rStyle w:val="IndexLink"/>
              </w:rPr>
              <w:t>349</w:t>
            </w:r>
          </w:hyperlink>
        </w:p>
        <w:p>
          <w:pPr>
            <w:pStyle w:val="Contents6"/>
            <w:tabs>
              <w:tab w:val="clear" w:pos="7609"/>
              <w:tab w:val="right" w:pos="9026" w:leader="dot"/>
            </w:tabs>
            <w:rPr/>
          </w:pPr>
          <w:hyperlink w:anchor="__RefHeading___Toc15202870_1280447820">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15202872_1280447820">
            <w:r>
              <w:rPr>
                <w:webHidden/>
                <w:rStyle w:val="IndexLink"/>
                <w:rtl w:val="true"/>
              </w:rPr>
              <w:t>الف</w:t>
            </w:r>
            <w:r>
              <w:rPr>
                <w:rStyle w:val="IndexLink"/>
                <w:rtl w:val="true"/>
              </w:rPr>
              <w:t xml:space="preserve">) </w:t>
            </w:r>
            <w:r>
              <w:rPr>
                <w:rStyle w:val="IndexLink"/>
                <w:rtl w:val="true"/>
              </w:rPr>
              <w:t>دیدگاه اول</w:t>
            </w:r>
            <w:r>
              <w:rPr>
                <w:rStyle w:val="IndexLink"/>
                <w:rtl w:val="true"/>
              </w:rPr>
              <w:t xml:space="preserve">: </w:t>
            </w:r>
            <w:r>
              <w:rPr>
                <w:rStyle w:val="IndexLink"/>
                <w:rtl w:val="true"/>
              </w:rPr>
              <w:t>کراهت</w:t>
            </w:r>
            <w:r>
              <w:rPr>
                <w:rStyle w:val="IndexLink"/>
                <w:rtl w:val="true"/>
              </w:rPr>
              <w:tab/>
            </w:r>
            <w:r>
              <w:rPr>
                <w:rStyle w:val="IndexLink"/>
              </w:rPr>
              <w:t>349</w:t>
            </w:r>
          </w:hyperlink>
        </w:p>
        <w:p>
          <w:pPr>
            <w:pStyle w:val="Contents6"/>
            <w:tabs>
              <w:tab w:val="clear" w:pos="7609"/>
              <w:tab w:val="right" w:pos="9026" w:leader="dot"/>
            </w:tabs>
            <w:rPr/>
          </w:pPr>
          <w:hyperlink w:anchor="__RefHeading___Toc15202874_1280447820">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15202876_1280447820">
            <w:r>
              <w:rPr>
                <w:webHidden/>
                <w:rStyle w:val="IndexLink"/>
                <w:rtl w:val="true"/>
              </w:rPr>
              <w:t>ادله دیدگاه نخست</w:t>
            </w:r>
            <w:r>
              <w:rPr>
                <w:rStyle w:val="IndexLink"/>
                <w:rtl w:val="true"/>
              </w:rPr>
              <w:tab/>
            </w:r>
            <w:r>
              <w:rPr>
                <w:rStyle w:val="IndexLink"/>
              </w:rPr>
              <w:t>351</w:t>
            </w:r>
          </w:hyperlink>
        </w:p>
        <w:p>
          <w:pPr>
            <w:pStyle w:val="Contents6"/>
            <w:tabs>
              <w:tab w:val="clear" w:pos="7609"/>
              <w:tab w:val="right" w:pos="9026" w:leader="dot"/>
            </w:tabs>
            <w:rPr/>
          </w:pPr>
          <w:hyperlink w:anchor="__RefHeading___Toc15202878_1280447820">
            <w:r>
              <w:rPr>
                <w:webHidden/>
                <w:rStyle w:val="IndexLink"/>
                <w:rtl w:val="true"/>
              </w:rPr>
              <w:t>ج</w:t>
            </w:r>
            <w:r>
              <w:rPr>
                <w:rStyle w:val="IndexLink"/>
                <w:rtl w:val="true"/>
              </w:rPr>
              <w:t xml:space="preserve">) </w:t>
            </w:r>
            <w:r>
              <w:rPr>
                <w:rStyle w:val="IndexLink"/>
                <w:rtl w:val="true"/>
              </w:rPr>
              <w:t>دیدگاه سوم</w:t>
            </w:r>
            <w:r>
              <w:rPr>
                <w:rStyle w:val="IndexLink"/>
                <w:rtl w:val="true"/>
              </w:rPr>
              <w:t xml:space="preserve">: </w:t>
            </w:r>
            <w:r>
              <w:rPr>
                <w:rStyle w:val="IndexLink"/>
                <w:rtl w:val="true"/>
              </w:rPr>
              <w:t>تفصیل</w:t>
            </w:r>
            <w:r>
              <w:rPr>
                <w:rStyle w:val="IndexLink"/>
                <w:rtl w:val="true"/>
              </w:rPr>
              <w:tab/>
            </w:r>
            <w:r>
              <w:rPr>
                <w:rStyle w:val="IndexLink"/>
              </w:rPr>
              <w:t>354</w:t>
            </w:r>
          </w:hyperlink>
        </w:p>
        <w:p>
          <w:pPr>
            <w:pStyle w:val="Contents6"/>
            <w:tabs>
              <w:tab w:val="clear" w:pos="7609"/>
              <w:tab w:val="right" w:pos="9026" w:leader="dot"/>
            </w:tabs>
            <w:rPr/>
          </w:pPr>
          <w:hyperlink w:anchor="__RefHeading___Toc15202880_1280447820">
            <w:r>
              <w:rPr>
                <w:webHidden/>
                <w:rStyle w:val="IndexLink"/>
                <w:rtl w:val="true"/>
              </w:rPr>
              <w:t>ه</w:t>
            </w:r>
            <w:r>
              <w:rPr>
                <w:rStyle w:val="IndexLink"/>
                <w:rtl w:val="true"/>
              </w:rPr>
              <w:t xml:space="preserve">-) </w:t>
            </w:r>
            <w:r>
              <w:rPr>
                <w:rStyle w:val="IndexLink"/>
                <w:rtl w:val="true"/>
              </w:rPr>
              <w:t>دیدگاه اهل سنت</w:t>
            </w:r>
            <w:r>
              <w:rPr>
                <w:rStyle w:val="IndexLink"/>
                <w:rtl w:val="true"/>
              </w:rPr>
              <w:tab/>
            </w:r>
            <w:r>
              <w:rPr>
                <w:rStyle w:val="IndexLink"/>
              </w:rPr>
              <w:t>355</w:t>
            </w:r>
          </w:hyperlink>
        </w:p>
        <w:p>
          <w:pPr>
            <w:pStyle w:val="Contents6"/>
            <w:tabs>
              <w:tab w:val="clear" w:pos="7609"/>
              <w:tab w:val="right" w:pos="9026" w:leader="dot"/>
            </w:tabs>
            <w:rPr/>
          </w:pPr>
          <w:hyperlink w:anchor="__RefHeading___Toc15202882_1280447820">
            <w:r>
              <w:rPr>
                <w:webHidden/>
                <w:rStyle w:val="IndexLink"/>
              </w:rPr>
              <w:t>1</w:t>
            </w:r>
            <w:r>
              <w:rPr>
                <w:rStyle w:val="IndexLink"/>
                <w:rtl w:val="true"/>
              </w:rPr>
              <w:t xml:space="preserve">. </w:t>
            </w:r>
            <w:r>
              <w:rPr>
                <w:rStyle w:val="IndexLink"/>
                <w:rtl w:val="true"/>
              </w:rPr>
              <w:t>مذهب شافعی</w:t>
            </w:r>
            <w:r>
              <w:rPr>
                <w:rStyle w:val="IndexLink"/>
                <w:rtl w:val="true"/>
              </w:rPr>
              <w:tab/>
            </w:r>
            <w:r>
              <w:rPr>
                <w:rStyle w:val="IndexLink"/>
              </w:rPr>
              <w:t>355</w:t>
            </w:r>
          </w:hyperlink>
        </w:p>
        <w:p>
          <w:pPr>
            <w:pStyle w:val="Contents6"/>
            <w:tabs>
              <w:tab w:val="clear" w:pos="7609"/>
              <w:tab w:val="right" w:pos="9026" w:leader="dot"/>
            </w:tabs>
            <w:rPr/>
          </w:pPr>
          <w:hyperlink w:anchor="__RefHeading___Toc15202884_1280447820">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15202886_1280447820">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مذهب حنفی و حنبلی</w:t>
            </w:r>
            <w:r>
              <w:rPr>
                <w:rStyle w:val="IndexLink"/>
                <w:rtl w:val="true"/>
              </w:rPr>
              <w:tab/>
            </w:r>
            <w:r>
              <w:rPr>
                <w:rStyle w:val="IndexLink"/>
              </w:rPr>
              <w:t>356</w:t>
            </w:r>
          </w:hyperlink>
        </w:p>
        <w:p>
          <w:pPr>
            <w:pStyle w:val="Contents6"/>
            <w:tabs>
              <w:tab w:val="clear" w:pos="7609"/>
              <w:tab w:val="right" w:pos="9026" w:leader="dot"/>
            </w:tabs>
            <w:rPr/>
          </w:pPr>
          <w:hyperlink w:anchor="__RefHeading___Toc15202888_1280447820">
            <w:r>
              <w:rPr>
                <w:webHidden/>
                <w:rStyle w:val="IndexLink"/>
              </w:rPr>
              <w:t>4</w:t>
            </w:r>
            <w:r>
              <w:rPr>
                <w:rStyle w:val="IndexLink"/>
                <w:rtl w:val="true"/>
              </w:rPr>
              <w:t xml:space="preserve">. </w:t>
            </w:r>
            <w:r>
              <w:rPr>
                <w:rStyle w:val="IndexLink"/>
                <w:rtl w:val="true"/>
              </w:rPr>
              <w:t>مذهب مالکی</w:t>
            </w:r>
            <w:r>
              <w:rPr>
                <w:rStyle w:val="IndexLink"/>
                <w:rtl w:val="true"/>
              </w:rPr>
              <w:tab/>
            </w:r>
            <w:r>
              <w:rPr>
                <w:rStyle w:val="IndexLink"/>
              </w:rPr>
              <w:t>357</w:t>
            </w:r>
          </w:hyperlink>
        </w:p>
        <w:p>
          <w:pPr>
            <w:pStyle w:val="Contents5"/>
            <w:tabs>
              <w:tab w:val="clear" w:pos="7892"/>
              <w:tab w:val="right" w:pos="9026" w:leader="dot"/>
            </w:tabs>
            <w:rPr/>
          </w:pPr>
          <w:hyperlink w:anchor="__RefHeading___Toc15202890_1280447820">
            <w:r>
              <w:rPr>
                <w:webHidden/>
                <w:rStyle w:val="IndexLink"/>
                <w:rtl w:val="true"/>
              </w:rPr>
              <w:t>گفتار دوم</w:t>
            </w:r>
            <w:r>
              <w:rPr>
                <w:rStyle w:val="IndexLink"/>
                <w:rtl w:val="true"/>
              </w:rPr>
              <w:t xml:space="preserve">: </w:t>
            </w:r>
            <w:r>
              <w:rPr>
                <w:rStyle w:val="IndexLink"/>
                <w:rtl w:val="true"/>
              </w:rPr>
              <w:t>اجرای حدود در مسجد</w:t>
            </w:r>
            <w:r>
              <w:rPr>
                <w:rStyle w:val="IndexLink"/>
                <w:rtl w:val="true"/>
              </w:rPr>
              <w:tab/>
            </w:r>
            <w:r>
              <w:rPr>
                <w:rStyle w:val="IndexLink"/>
              </w:rPr>
              <w:t>357</w:t>
            </w:r>
          </w:hyperlink>
        </w:p>
        <w:p>
          <w:pPr>
            <w:pStyle w:val="Contents6"/>
            <w:tabs>
              <w:tab w:val="clear" w:pos="7609"/>
              <w:tab w:val="right" w:pos="9026" w:leader="dot"/>
            </w:tabs>
            <w:rPr/>
          </w:pPr>
          <w:hyperlink w:anchor="__RefHeading___Toc15202892_1280447820">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15202894_1280447820">
            <w:r>
              <w:rPr>
                <w:webHidden/>
                <w:rStyle w:val="IndexLink"/>
                <w:rtl w:val="true"/>
              </w:rPr>
              <w:t>الف</w:t>
            </w:r>
            <w:r>
              <w:rPr>
                <w:rStyle w:val="IndexLink"/>
                <w:rtl w:val="true"/>
              </w:rPr>
              <w:t xml:space="preserve">) </w:t>
            </w:r>
            <w:r>
              <w:rPr>
                <w:rStyle w:val="IndexLink"/>
                <w:rtl w:val="true"/>
              </w:rPr>
              <w:t>ادله قائلین به حرمت</w:t>
            </w:r>
            <w:r>
              <w:rPr>
                <w:rStyle w:val="IndexLink"/>
                <w:rtl w:val="true"/>
              </w:rPr>
              <w:tab/>
            </w:r>
            <w:r>
              <w:rPr>
                <w:rStyle w:val="IndexLink"/>
              </w:rPr>
              <w:t>358</w:t>
            </w:r>
          </w:hyperlink>
        </w:p>
        <w:p>
          <w:pPr>
            <w:pStyle w:val="Contents6"/>
            <w:tabs>
              <w:tab w:val="clear" w:pos="7609"/>
              <w:tab w:val="right" w:pos="9026" w:leader="dot"/>
            </w:tabs>
            <w:rPr/>
          </w:pPr>
          <w:hyperlink w:anchor="__RefHeading___Toc15202896_1280447820">
            <w:r>
              <w:rPr>
                <w:webHidden/>
                <w:rStyle w:val="IndexLink"/>
                <w:rtl w:val="true"/>
              </w:rPr>
              <w:t>ب</w:t>
            </w:r>
            <w:r>
              <w:rPr>
                <w:rStyle w:val="IndexLink"/>
                <w:rtl w:val="true"/>
              </w:rPr>
              <w:t xml:space="preserve">) </w:t>
            </w:r>
            <w:r>
              <w:rPr>
                <w:rStyle w:val="IndexLink"/>
                <w:rtl w:val="true"/>
              </w:rPr>
              <w:t>ادله قول به کراهت</w:t>
            </w:r>
            <w:r>
              <w:rPr>
                <w:rStyle w:val="IndexLink"/>
                <w:rtl w:val="true"/>
              </w:rPr>
              <w:tab/>
            </w:r>
            <w:r>
              <w:rPr>
                <w:rStyle w:val="IndexLink"/>
              </w:rPr>
              <w:t>359</w:t>
            </w:r>
          </w:hyperlink>
        </w:p>
        <w:p>
          <w:pPr>
            <w:pStyle w:val="Contents6"/>
            <w:tabs>
              <w:tab w:val="clear" w:pos="7609"/>
              <w:tab w:val="right" w:pos="9026" w:leader="dot"/>
            </w:tabs>
            <w:rPr/>
          </w:pPr>
          <w:hyperlink w:anchor="__RefHeading___Toc15202898_1280447820">
            <w:r>
              <w:rPr>
                <w:webHidden/>
                <w:rStyle w:val="IndexLink"/>
                <w:rtl w:val="true"/>
              </w:rPr>
              <w:t>ج</w:t>
            </w:r>
            <w:r>
              <w:rPr>
                <w:rStyle w:val="IndexLink"/>
                <w:rtl w:val="true"/>
              </w:rPr>
              <w:t xml:space="preserve">) </w:t>
            </w:r>
            <w:r>
              <w:rPr>
                <w:rStyle w:val="IndexLink"/>
                <w:rtl w:val="true"/>
              </w:rPr>
              <w:t>دیدگاه اهل سنت</w:t>
            </w:r>
            <w:r>
              <w:rPr>
                <w:rStyle w:val="IndexLink"/>
                <w:rtl w:val="true"/>
              </w:rPr>
              <w:tab/>
            </w:r>
            <w:r>
              <w:rPr>
                <w:rStyle w:val="IndexLink"/>
              </w:rPr>
              <w:t>360</w:t>
            </w:r>
          </w:hyperlink>
        </w:p>
        <w:p>
          <w:pPr>
            <w:pStyle w:val="Contents4"/>
            <w:tabs>
              <w:tab w:val="clear" w:pos="8176"/>
              <w:tab w:val="right" w:pos="9026" w:leader="dot"/>
            </w:tabs>
            <w:rPr/>
          </w:pPr>
          <w:hyperlink w:anchor="__RefHeading___Toc15202900_1280447820">
            <w:r>
              <w:rPr>
                <w:webHidden/>
                <w:rStyle w:val="IndexLink"/>
                <w:rtl w:val="true"/>
              </w:rPr>
              <w:t>مبحث دوم</w:t>
            </w:r>
            <w:r>
              <w:rPr>
                <w:rStyle w:val="IndexLink"/>
                <w:rtl w:val="true"/>
              </w:rPr>
              <w:t xml:space="preserve">: </w:t>
            </w:r>
            <w:r>
              <w:rPr>
                <w:rStyle w:val="IndexLink"/>
                <w:rtl w:val="true"/>
              </w:rPr>
              <w:t>شعر خواندن در مسجد</w:t>
            </w:r>
            <w:r>
              <w:rPr>
                <w:rStyle w:val="IndexLink"/>
                <w:rtl w:val="true"/>
              </w:rPr>
              <w:tab/>
            </w:r>
            <w:r>
              <w:rPr>
                <w:rStyle w:val="IndexLink"/>
              </w:rPr>
              <w:t>363</w:t>
            </w:r>
          </w:hyperlink>
        </w:p>
        <w:p>
          <w:pPr>
            <w:pStyle w:val="Contents5"/>
            <w:tabs>
              <w:tab w:val="clear" w:pos="7892"/>
              <w:tab w:val="right" w:pos="9026" w:leader="dot"/>
            </w:tabs>
            <w:rPr/>
          </w:pPr>
          <w:hyperlink w:anchor="__RefHeading___Toc15202902_128044782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5202904_1280447820">
            <w:r>
              <w:rPr>
                <w:webHidden/>
                <w:rStyle w:val="IndexLink"/>
                <w:rtl w:val="true"/>
              </w:rPr>
              <w:t>الف</w:t>
            </w:r>
            <w:r>
              <w:rPr>
                <w:rStyle w:val="IndexLink"/>
                <w:rtl w:val="true"/>
              </w:rPr>
              <w:t xml:space="preserve">) </w:t>
            </w:r>
            <w:r>
              <w:rPr>
                <w:rStyle w:val="IndexLink"/>
                <w:rtl w:val="true"/>
              </w:rPr>
              <w:t>دیدگاه فقیهان امامیه</w:t>
            </w:r>
            <w:r>
              <w:rPr>
                <w:rStyle w:val="IndexLink"/>
                <w:rtl w:val="true"/>
              </w:rPr>
              <w:tab/>
            </w:r>
            <w:r>
              <w:rPr>
                <w:rStyle w:val="IndexLink"/>
              </w:rPr>
              <w:t>363</w:t>
            </w:r>
          </w:hyperlink>
        </w:p>
        <w:p>
          <w:pPr>
            <w:pStyle w:val="Contents6"/>
            <w:tabs>
              <w:tab w:val="clear" w:pos="7609"/>
              <w:tab w:val="right" w:pos="9026" w:leader="dot"/>
            </w:tabs>
            <w:rPr/>
          </w:pPr>
          <w:hyperlink w:anchor="__RefHeading___Toc15202906_1280447820">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15202908_1280447820">
            <w:r>
              <w:rPr>
                <w:webHidden/>
                <w:rStyle w:val="IndexLink"/>
              </w:rPr>
              <w:t>1</w:t>
            </w:r>
            <w:r>
              <w:rPr>
                <w:rStyle w:val="IndexLink"/>
                <w:rtl w:val="true"/>
              </w:rPr>
              <w:t xml:space="preserve">. </w:t>
            </w:r>
            <w:r>
              <w:rPr>
                <w:rStyle w:val="IndexLink"/>
                <w:rtl w:val="true"/>
              </w:rPr>
              <w:t>دیدگاه نخست</w:t>
            </w:r>
            <w:r>
              <w:rPr>
                <w:rStyle w:val="IndexLink"/>
                <w:rtl w:val="true"/>
              </w:rPr>
              <w:t xml:space="preserve">: </w:t>
            </w:r>
            <w:r>
              <w:rPr>
                <w:rStyle w:val="IndexLink"/>
                <w:rtl w:val="true"/>
              </w:rPr>
              <w:t>کراهت</w:t>
            </w:r>
            <w:r>
              <w:rPr>
                <w:rStyle w:val="IndexLink"/>
                <w:rtl w:val="true"/>
              </w:rPr>
              <w:tab/>
            </w:r>
            <w:r>
              <w:rPr>
                <w:rStyle w:val="IndexLink"/>
              </w:rPr>
              <w:t>363</w:t>
            </w:r>
          </w:hyperlink>
        </w:p>
        <w:p>
          <w:pPr>
            <w:pStyle w:val="Contents6"/>
            <w:tabs>
              <w:tab w:val="clear" w:pos="7609"/>
              <w:tab w:val="right" w:pos="9026" w:leader="dot"/>
            </w:tabs>
            <w:rPr/>
          </w:pPr>
          <w:hyperlink w:anchor="__RefHeading___Toc15202910_1280447820">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15202912_1280447820">
            <w:r>
              <w:rPr>
                <w:webHidden/>
                <w:rStyle w:val="IndexLink"/>
                <w:rtl w:val="true"/>
              </w:rPr>
              <w:t>ادله کراهت خواندن شعر در مسجد</w:t>
            </w:r>
            <w:r>
              <w:rPr>
                <w:rStyle w:val="IndexLink"/>
                <w:rtl w:val="true"/>
              </w:rPr>
              <w:tab/>
            </w:r>
            <w:r>
              <w:rPr>
                <w:rStyle w:val="IndexLink"/>
              </w:rPr>
              <w:t>364</w:t>
            </w:r>
          </w:hyperlink>
        </w:p>
        <w:p>
          <w:pPr>
            <w:pStyle w:val="Contents6"/>
            <w:tabs>
              <w:tab w:val="clear" w:pos="7609"/>
              <w:tab w:val="right" w:pos="9026" w:leader="dot"/>
            </w:tabs>
            <w:rPr/>
          </w:pPr>
          <w:hyperlink w:anchor="__RefHeading___Toc15202914_1280447820">
            <w:r>
              <w:rPr>
                <w:webHidden/>
                <w:rStyle w:val="IndexLink"/>
              </w:rPr>
              <w:t>2</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اباحه</w:t>
            </w:r>
            <w:r>
              <w:rPr>
                <w:rStyle w:val="IndexLink"/>
                <w:rtl w:val="true"/>
              </w:rPr>
              <w:tab/>
            </w:r>
            <w:r>
              <w:rPr>
                <w:rStyle w:val="IndexLink"/>
              </w:rPr>
              <w:t>365</w:t>
            </w:r>
          </w:hyperlink>
        </w:p>
        <w:p>
          <w:pPr>
            <w:pStyle w:val="Contents6"/>
            <w:tabs>
              <w:tab w:val="clear" w:pos="7609"/>
              <w:tab w:val="right" w:pos="9026" w:leader="dot"/>
            </w:tabs>
            <w:rPr/>
          </w:pPr>
          <w:hyperlink w:anchor="__RefHeading___Toc15202916_1280447820">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15202918_1280447820">
            <w:r>
              <w:rPr>
                <w:webHidden/>
                <w:rStyle w:val="IndexLink"/>
                <w:rtl w:val="true"/>
              </w:rPr>
              <w:t>راه های جمع میان روایات</w:t>
            </w:r>
            <w:r>
              <w:rPr>
                <w:rStyle w:val="IndexLink"/>
                <w:rtl w:val="true"/>
              </w:rPr>
              <w:tab/>
            </w:r>
            <w:r>
              <w:rPr>
                <w:rStyle w:val="IndexLink"/>
              </w:rPr>
              <w:t>365</w:t>
            </w:r>
          </w:hyperlink>
        </w:p>
        <w:p>
          <w:pPr>
            <w:pStyle w:val="Contents6"/>
            <w:tabs>
              <w:tab w:val="clear" w:pos="7609"/>
              <w:tab w:val="right" w:pos="9026" w:leader="dot"/>
            </w:tabs>
            <w:rPr/>
          </w:pPr>
          <w:hyperlink w:anchor="__RefHeading___Toc15202920_1280447820">
            <w:r>
              <w:rPr>
                <w:webHidden/>
                <w:rStyle w:val="IndexLink"/>
              </w:rPr>
              <w:t>3</w:t>
            </w:r>
            <w:r>
              <w:rPr>
                <w:rStyle w:val="IndexLink"/>
                <w:rtl w:val="true"/>
              </w:rPr>
              <w:t xml:space="preserve">. </w:t>
            </w:r>
            <w:r>
              <w:rPr>
                <w:rStyle w:val="IndexLink"/>
                <w:rtl w:val="true"/>
              </w:rPr>
              <w:t>دیدگاه سوم</w:t>
            </w:r>
            <w:r>
              <w:rPr>
                <w:rStyle w:val="IndexLink"/>
                <w:rtl w:val="true"/>
              </w:rPr>
              <w:t xml:space="preserve">: </w:t>
            </w:r>
            <w:r>
              <w:rPr>
                <w:rStyle w:val="IndexLink"/>
                <w:rtl w:val="true"/>
              </w:rPr>
              <w:t>تفصیل</w:t>
            </w:r>
            <w:r>
              <w:rPr>
                <w:rStyle w:val="IndexLink"/>
                <w:rtl w:val="true"/>
              </w:rPr>
              <w:tab/>
            </w:r>
            <w:r>
              <w:rPr>
                <w:rStyle w:val="IndexLink"/>
              </w:rPr>
              <w:t>366</w:t>
            </w:r>
          </w:hyperlink>
        </w:p>
        <w:p>
          <w:pPr>
            <w:pStyle w:val="Contents6"/>
            <w:tabs>
              <w:tab w:val="clear" w:pos="7609"/>
              <w:tab w:val="right" w:pos="9026" w:leader="dot"/>
            </w:tabs>
            <w:rPr/>
          </w:pPr>
          <w:hyperlink w:anchor="__RefHeading___Toc15202922_1280447820">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15202924_1280447820">
            <w:r>
              <w:rPr>
                <w:webHidden/>
                <w:rStyle w:val="IndexLink"/>
                <w:rtl w:val="true"/>
              </w:rPr>
              <w:t>ادله قول به استحباب خواندن اشعار شایسته در مسجد</w:t>
            </w:r>
            <w:r>
              <w:rPr>
                <w:rStyle w:val="IndexLink"/>
                <w:rtl w:val="true"/>
              </w:rPr>
              <w:tab/>
            </w:r>
            <w:r>
              <w:rPr>
                <w:rStyle w:val="IndexLink"/>
              </w:rPr>
              <w:t>367</w:t>
            </w:r>
          </w:hyperlink>
        </w:p>
        <w:p>
          <w:pPr>
            <w:pStyle w:val="Contents5"/>
            <w:tabs>
              <w:tab w:val="clear" w:pos="7892"/>
              <w:tab w:val="right" w:pos="9026" w:leader="dot"/>
            </w:tabs>
            <w:rPr/>
          </w:pPr>
          <w:hyperlink w:anchor="__RefHeading___Toc15202926_1280447820">
            <w:r>
              <w:rPr>
                <w:webHidden/>
                <w:rStyle w:val="IndexLink"/>
                <w:rtl w:val="true"/>
              </w:rPr>
              <w:t>ب</w:t>
            </w:r>
            <w:r>
              <w:rPr>
                <w:rStyle w:val="IndexLink"/>
                <w:rtl w:val="true"/>
              </w:rPr>
              <w:t xml:space="preserve">) </w:t>
            </w:r>
            <w:r>
              <w:rPr>
                <w:rStyle w:val="IndexLink"/>
                <w:rtl w:val="true"/>
              </w:rPr>
              <w:t>دیدگاه فقیهان اهل سنّت</w:t>
            </w:r>
            <w:r>
              <w:rPr>
                <w:rStyle w:val="IndexLink"/>
                <w:rtl w:val="true"/>
              </w:rPr>
              <w:tab/>
            </w:r>
            <w:r>
              <w:rPr>
                <w:rStyle w:val="IndexLink"/>
              </w:rPr>
              <w:t>369</w:t>
            </w:r>
          </w:hyperlink>
        </w:p>
        <w:p>
          <w:pPr>
            <w:pStyle w:val="Contents6"/>
            <w:tabs>
              <w:tab w:val="clear" w:pos="7609"/>
              <w:tab w:val="right" w:pos="9026" w:leader="dot"/>
            </w:tabs>
            <w:rPr/>
          </w:pPr>
          <w:hyperlink w:anchor="__RefHeading___Toc15202928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369</w:t>
            </w:r>
          </w:hyperlink>
        </w:p>
        <w:p>
          <w:pPr>
            <w:pStyle w:val="Contents6"/>
            <w:tabs>
              <w:tab w:val="clear" w:pos="7609"/>
              <w:tab w:val="right" w:pos="9026" w:leader="dot"/>
            </w:tabs>
            <w:rPr/>
          </w:pPr>
          <w:hyperlink w:anchor="__RefHeading___Toc15202930_1280447820">
            <w:r>
              <w:rPr>
                <w:webHidden/>
                <w:rStyle w:val="IndexLink"/>
              </w:rPr>
              <w:t>2</w:t>
            </w:r>
            <w:r>
              <w:rPr>
                <w:rStyle w:val="IndexLink"/>
                <w:rtl w:val="true"/>
              </w:rPr>
              <w:t xml:space="preserve">. </w:t>
            </w:r>
            <w:r>
              <w:rPr>
                <w:rStyle w:val="IndexLink"/>
                <w:rtl w:val="true"/>
              </w:rPr>
              <w:t>مذهب حنبلی</w:t>
            </w:r>
            <w:r>
              <w:rPr>
                <w:rStyle w:val="IndexLink"/>
                <w:rtl w:val="true"/>
              </w:rPr>
              <w:tab/>
            </w:r>
            <w:r>
              <w:rPr>
                <w:rStyle w:val="IndexLink"/>
              </w:rPr>
              <w:t>369</w:t>
            </w:r>
          </w:hyperlink>
        </w:p>
        <w:p>
          <w:pPr>
            <w:pStyle w:val="Contents6"/>
            <w:tabs>
              <w:tab w:val="clear" w:pos="7609"/>
              <w:tab w:val="right" w:pos="9026" w:leader="dot"/>
            </w:tabs>
            <w:rPr/>
          </w:pPr>
          <w:hyperlink w:anchor="__RefHeading___Toc15202932_1280447820">
            <w:r>
              <w:rPr>
                <w:webHidden/>
                <w:rStyle w:val="IndexLink"/>
              </w:rPr>
              <w:t>3</w:t>
            </w:r>
            <w:r>
              <w:rPr>
                <w:rStyle w:val="IndexLink"/>
                <w:rtl w:val="true"/>
              </w:rPr>
              <w:t xml:space="preserve">. </w:t>
            </w:r>
            <w:r>
              <w:rPr>
                <w:rStyle w:val="IndexLink"/>
                <w:rtl w:val="true"/>
              </w:rPr>
              <w:t>مذهب مالكي</w:t>
            </w:r>
            <w:r>
              <w:rPr>
                <w:rStyle w:val="IndexLink"/>
                <w:rtl w:val="true"/>
              </w:rPr>
              <w:tab/>
            </w:r>
            <w:r>
              <w:rPr>
                <w:rStyle w:val="IndexLink"/>
              </w:rPr>
              <w:t>369</w:t>
            </w:r>
          </w:hyperlink>
        </w:p>
        <w:p>
          <w:pPr>
            <w:pStyle w:val="Contents6"/>
            <w:tabs>
              <w:tab w:val="clear" w:pos="7609"/>
              <w:tab w:val="right" w:pos="9026" w:leader="dot"/>
            </w:tabs>
            <w:rPr/>
          </w:pPr>
          <w:hyperlink w:anchor="__RefHeading___Toc15202934_1280447820">
            <w:r>
              <w:rPr>
                <w:webHidden/>
                <w:rStyle w:val="IndexLink"/>
              </w:rPr>
              <w:t>4</w:t>
            </w:r>
            <w:r>
              <w:rPr>
                <w:rStyle w:val="IndexLink"/>
                <w:rtl w:val="true"/>
              </w:rPr>
              <w:t xml:space="preserve">. </w:t>
            </w:r>
            <w:r>
              <w:rPr>
                <w:rStyle w:val="IndexLink"/>
                <w:rtl w:val="true"/>
              </w:rPr>
              <w:t>مذهب شافعی</w:t>
            </w:r>
            <w:r>
              <w:rPr>
                <w:rStyle w:val="IndexLink"/>
                <w:rtl w:val="true"/>
              </w:rPr>
              <w:tab/>
            </w:r>
            <w:r>
              <w:rPr>
                <w:rStyle w:val="IndexLink"/>
              </w:rPr>
              <w:t>370</w:t>
            </w:r>
          </w:hyperlink>
        </w:p>
        <w:p>
          <w:pPr>
            <w:pStyle w:val="Contents4"/>
            <w:tabs>
              <w:tab w:val="clear" w:pos="8176"/>
              <w:tab w:val="right" w:pos="9026" w:leader="dot"/>
            </w:tabs>
            <w:rPr/>
          </w:pPr>
          <w:hyperlink w:anchor="__RefHeading___Toc15202936_1280447820">
            <w:r>
              <w:rPr>
                <w:webHidden/>
                <w:rStyle w:val="IndexLink"/>
                <w:rtl w:val="true"/>
              </w:rPr>
              <w:t>مبحث سوم</w:t>
            </w:r>
            <w:r>
              <w:rPr>
                <w:rStyle w:val="IndexLink"/>
                <w:rtl w:val="true"/>
              </w:rPr>
              <w:t xml:space="preserve">: </w:t>
            </w:r>
            <w:r>
              <w:rPr>
                <w:rStyle w:val="IndexLink"/>
                <w:rtl w:val="true"/>
              </w:rPr>
              <w:t>مکروهات مرتبط با کاربری مسجد</w:t>
            </w:r>
            <w:r>
              <w:rPr>
                <w:rStyle w:val="IndexLink"/>
                <w:rtl w:val="true"/>
              </w:rPr>
              <w:tab/>
            </w:r>
            <w:r>
              <w:rPr>
                <w:rStyle w:val="IndexLink"/>
              </w:rPr>
              <w:t>371</w:t>
            </w:r>
          </w:hyperlink>
        </w:p>
        <w:p>
          <w:pPr>
            <w:pStyle w:val="Contents5"/>
            <w:tabs>
              <w:tab w:val="clear" w:pos="7892"/>
              <w:tab w:val="right" w:pos="9026" w:leader="dot"/>
            </w:tabs>
            <w:rPr/>
          </w:pPr>
          <w:hyperlink w:anchor="__RefHeading___Toc15202938_1280447820">
            <w:r>
              <w:rPr>
                <w:webHidden/>
                <w:rStyle w:val="IndexLink"/>
                <w:rtl w:val="true"/>
              </w:rPr>
              <w:t>گفتار اول</w:t>
            </w:r>
            <w:r>
              <w:rPr>
                <w:rStyle w:val="IndexLink"/>
                <w:rtl w:val="true"/>
              </w:rPr>
              <w:t xml:space="preserve">: </w:t>
            </w:r>
            <w:r>
              <w:rPr>
                <w:rStyle w:val="IndexLink"/>
                <w:rtl w:val="true"/>
              </w:rPr>
              <w:t>اعلام گمشده در مسجد</w:t>
            </w:r>
            <w:r>
              <w:rPr>
                <w:rStyle w:val="IndexLink"/>
                <w:rtl w:val="true"/>
              </w:rPr>
              <w:tab/>
            </w:r>
            <w:r>
              <w:rPr>
                <w:rStyle w:val="IndexLink"/>
              </w:rPr>
              <w:t>371</w:t>
            </w:r>
          </w:hyperlink>
        </w:p>
        <w:p>
          <w:pPr>
            <w:pStyle w:val="Contents6"/>
            <w:tabs>
              <w:tab w:val="clear" w:pos="7609"/>
              <w:tab w:val="right" w:pos="9026" w:leader="dot"/>
            </w:tabs>
            <w:rPr/>
          </w:pPr>
          <w:hyperlink w:anchor="__RefHeading___Toc15202940_1280447820">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15202942_1280447820">
            <w:r>
              <w:rPr>
                <w:webHidden/>
                <w:rStyle w:val="IndexLink"/>
                <w:rtl w:val="true"/>
              </w:rPr>
              <w:t>دیدگاه اهل سنت</w:t>
            </w:r>
            <w:r>
              <w:rPr>
                <w:rStyle w:val="IndexLink"/>
                <w:rtl w:val="true"/>
              </w:rPr>
              <w:tab/>
            </w:r>
            <w:r>
              <w:rPr>
                <w:rStyle w:val="IndexLink"/>
              </w:rPr>
              <w:t>373</w:t>
            </w:r>
          </w:hyperlink>
        </w:p>
        <w:p>
          <w:pPr>
            <w:pStyle w:val="Contents5"/>
            <w:tabs>
              <w:tab w:val="clear" w:pos="7892"/>
              <w:tab w:val="right" w:pos="9026" w:leader="dot"/>
            </w:tabs>
            <w:rPr/>
          </w:pPr>
          <w:hyperlink w:anchor="__RefHeading___Toc15202944_1280447820">
            <w:r>
              <w:rPr>
                <w:webHidden/>
                <w:rStyle w:val="IndexLink"/>
                <w:rtl w:val="true"/>
              </w:rPr>
              <w:t>گفتار دوم</w:t>
            </w:r>
            <w:r>
              <w:rPr>
                <w:rStyle w:val="IndexLink"/>
                <w:rtl w:val="true"/>
              </w:rPr>
              <w:t xml:space="preserve">: </w:t>
            </w:r>
            <w:r>
              <w:rPr>
                <w:rStyle w:val="IndexLink"/>
                <w:rtl w:val="true"/>
              </w:rPr>
              <w:t>خوابیدن در مسجد</w:t>
            </w:r>
            <w:r>
              <w:rPr>
                <w:rStyle w:val="IndexLink"/>
                <w:rtl w:val="true"/>
              </w:rPr>
              <w:tab/>
            </w:r>
            <w:r>
              <w:rPr>
                <w:rStyle w:val="IndexLink"/>
              </w:rPr>
              <w:t>374</w:t>
            </w:r>
          </w:hyperlink>
        </w:p>
        <w:p>
          <w:pPr>
            <w:pStyle w:val="Contents6"/>
            <w:tabs>
              <w:tab w:val="clear" w:pos="7609"/>
              <w:tab w:val="right" w:pos="9026" w:leader="dot"/>
            </w:tabs>
            <w:rPr/>
          </w:pPr>
          <w:hyperlink w:anchor="__RefHeading___Toc15202946_1280447820">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15202948_1280447820">
            <w:r>
              <w:rPr>
                <w:webHidden/>
                <w:rStyle w:val="IndexLink"/>
                <w:rtl w:val="true"/>
              </w:rPr>
              <w:t>الف</w:t>
            </w:r>
            <w:r>
              <w:rPr>
                <w:rStyle w:val="IndexLink"/>
                <w:rtl w:val="true"/>
              </w:rPr>
              <w:t xml:space="preserve">) </w:t>
            </w:r>
            <w:r>
              <w:rPr>
                <w:rStyle w:val="IndexLink"/>
                <w:rtl w:val="true"/>
              </w:rPr>
              <w:t>بررسی جواز خوابیدن در مسجد</w:t>
            </w:r>
            <w:r>
              <w:rPr>
                <w:rStyle w:val="IndexLink"/>
                <w:rtl w:val="true"/>
              </w:rPr>
              <w:tab/>
            </w:r>
            <w:r>
              <w:rPr>
                <w:rStyle w:val="IndexLink"/>
              </w:rPr>
              <w:t>374</w:t>
            </w:r>
          </w:hyperlink>
        </w:p>
        <w:p>
          <w:pPr>
            <w:pStyle w:val="Contents6"/>
            <w:tabs>
              <w:tab w:val="clear" w:pos="7609"/>
              <w:tab w:val="right" w:pos="9026" w:leader="dot"/>
            </w:tabs>
            <w:rPr/>
          </w:pPr>
          <w:hyperlink w:anchor="__RefHeading___Toc15202950_1280447820">
            <w:r>
              <w:rPr>
                <w:webHidden/>
                <w:rStyle w:val="IndexLink"/>
                <w:rtl w:val="true"/>
              </w:rPr>
              <w:t>ج</w:t>
            </w:r>
            <w:r>
              <w:rPr>
                <w:rStyle w:val="IndexLink"/>
                <w:rtl w:val="true"/>
              </w:rPr>
              <w:t xml:space="preserve">. </w:t>
            </w:r>
            <w:r>
              <w:rPr>
                <w:rStyle w:val="IndexLink"/>
                <w:rtl w:val="true"/>
              </w:rPr>
              <w:t>دیدگاه اهل سنت</w:t>
            </w:r>
            <w:r>
              <w:rPr>
                <w:rStyle w:val="IndexLink"/>
                <w:rtl w:val="true"/>
              </w:rPr>
              <w:tab/>
            </w:r>
            <w:r>
              <w:rPr>
                <w:rStyle w:val="IndexLink"/>
              </w:rPr>
              <w:t>380</w:t>
            </w:r>
          </w:hyperlink>
        </w:p>
        <w:p>
          <w:pPr>
            <w:pStyle w:val="Contents6"/>
            <w:tabs>
              <w:tab w:val="clear" w:pos="7609"/>
              <w:tab w:val="right" w:pos="9026" w:leader="dot"/>
            </w:tabs>
            <w:rPr/>
          </w:pPr>
          <w:hyperlink w:anchor="__RefHeading___Toc15202952_1280447820">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15202954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380</w:t>
            </w:r>
          </w:hyperlink>
        </w:p>
        <w:p>
          <w:pPr>
            <w:pStyle w:val="Contents6"/>
            <w:tabs>
              <w:tab w:val="clear" w:pos="7609"/>
              <w:tab w:val="right" w:pos="9026" w:leader="dot"/>
            </w:tabs>
            <w:rPr/>
          </w:pPr>
          <w:hyperlink w:anchor="__RefHeading___Toc15202956_1280447820">
            <w:r>
              <w:rPr>
                <w:webHidden/>
                <w:rStyle w:val="IndexLink"/>
              </w:rPr>
              <w:t>2</w:t>
            </w:r>
            <w:r>
              <w:rPr>
                <w:rStyle w:val="IndexLink"/>
                <w:rtl w:val="true"/>
              </w:rPr>
              <w:t xml:space="preserve">. </w:t>
            </w:r>
            <w:r>
              <w:rPr>
                <w:rStyle w:val="IndexLink"/>
                <w:rtl w:val="true"/>
              </w:rPr>
              <w:t>مذهب شافعی</w:t>
            </w:r>
            <w:r>
              <w:rPr>
                <w:rStyle w:val="IndexLink"/>
                <w:rtl w:val="true"/>
              </w:rPr>
              <w:tab/>
            </w:r>
            <w:r>
              <w:rPr>
                <w:rStyle w:val="IndexLink"/>
              </w:rPr>
              <w:t>380</w:t>
            </w:r>
          </w:hyperlink>
        </w:p>
        <w:p>
          <w:pPr>
            <w:pStyle w:val="Contents6"/>
            <w:tabs>
              <w:tab w:val="clear" w:pos="7609"/>
              <w:tab w:val="right" w:pos="9026" w:leader="dot"/>
            </w:tabs>
            <w:rPr/>
          </w:pPr>
          <w:hyperlink w:anchor="__RefHeading___Toc15202958_1280447820">
            <w:r>
              <w:rPr>
                <w:webHidden/>
                <w:rStyle w:val="IndexLink"/>
              </w:rPr>
              <w:t>3</w:t>
            </w:r>
            <w:r>
              <w:rPr>
                <w:rStyle w:val="IndexLink"/>
                <w:rtl w:val="true"/>
              </w:rPr>
              <w:t xml:space="preserve">. </w:t>
            </w:r>
            <w:r>
              <w:rPr>
                <w:rStyle w:val="IndexLink"/>
                <w:rtl w:val="true"/>
              </w:rPr>
              <w:t>مذهب حنبلی</w:t>
            </w:r>
            <w:r>
              <w:rPr>
                <w:rStyle w:val="IndexLink"/>
                <w:rtl w:val="true"/>
              </w:rPr>
              <w:tab/>
            </w:r>
            <w:r>
              <w:rPr>
                <w:rStyle w:val="IndexLink"/>
              </w:rPr>
              <w:t>380</w:t>
            </w:r>
          </w:hyperlink>
        </w:p>
        <w:p>
          <w:pPr>
            <w:pStyle w:val="Contents6"/>
            <w:tabs>
              <w:tab w:val="clear" w:pos="7609"/>
              <w:tab w:val="right" w:pos="9026" w:leader="dot"/>
            </w:tabs>
            <w:rPr/>
          </w:pPr>
          <w:hyperlink w:anchor="__RefHeading___Toc15202960_1280447820">
            <w:r>
              <w:rPr>
                <w:webHidden/>
                <w:rStyle w:val="IndexLink"/>
              </w:rPr>
              <w:t>4</w:t>
            </w:r>
            <w:r>
              <w:rPr>
                <w:rStyle w:val="IndexLink"/>
                <w:rtl w:val="true"/>
              </w:rPr>
              <w:t xml:space="preserve">. </w:t>
            </w:r>
            <w:r>
              <w:rPr>
                <w:rStyle w:val="IndexLink"/>
                <w:rtl w:val="true"/>
              </w:rPr>
              <w:t>مذهب مالکی</w:t>
            </w:r>
            <w:r>
              <w:rPr>
                <w:rStyle w:val="IndexLink"/>
                <w:rtl w:val="true"/>
              </w:rPr>
              <w:tab/>
            </w:r>
            <w:r>
              <w:rPr>
                <w:rStyle w:val="IndexLink"/>
              </w:rPr>
              <w:t>380</w:t>
            </w:r>
          </w:hyperlink>
        </w:p>
        <w:p>
          <w:pPr>
            <w:pStyle w:val="Contents5"/>
            <w:tabs>
              <w:tab w:val="clear" w:pos="7892"/>
              <w:tab w:val="right" w:pos="9026" w:leader="dot"/>
            </w:tabs>
            <w:rPr/>
          </w:pPr>
          <w:hyperlink w:anchor="__RefHeading___Toc15202962_1280447820">
            <w:r>
              <w:rPr>
                <w:webHidden/>
                <w:rStyle w:val="IndexLink"/>
                <w:rtl w:val="true"/>
              </w:rPr>
              <w:t>گفتار سوم</w:t>
            </w:r>
            <w:r>
              <w:rPr>
                <w:rStyle w:val="IndexLink"/>
                <w:rtl w:val="true"/>
              </w:rPr>
              <w:t xml:space="preserve">: </w:t>
            </w:r>
            <w:r>
              <w:rPr>
                <w:rStyle w:val="IndexLink"/>
                <w:rtl w:val="true"/>
              </w:rPr>
              <w:t>خرید و فروش در مساجد</w:t>
            </w:r>
            <w:r>
              <w:rPr>
                <w:rStyle w:val="IndexLink"/>
                <w:rtl w:val="true"/>
              </w:rPr>
              <w:tab/>
            </w:r>
            <w:r>
              <w:rPr>
                <w:rStyle w:val="IndexLink"/>
              </w:rPr>
              <w:t>381</w:t>
            </w:r>
          </w:hyperlink>
        </w:p>
        <w:p>
          <w:pPr>
            <w:pStyle w:val="Contents6"/>
            <w:tabs>
              <w:tab w:val="clear" w:pos="7609"/>
              <w:tab w:val="right" w:pos="9026" w:leader="dot"/>
            </w:tabs>
            <w:rPr/>
          </w:pPr>
          <w:hyperlink w:anchor="__RefHeading___Toc15202964_1280447820">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15202966_1280447820">
            <w:r>
              <w:rPr>
                <w:webHidden/>
                <w:rStyle w:val="IndexLink"/>
                <w:rtl w:val="true"/>
              </w:rPr>
              <w:t>دیدگاه اهل سنت</w:t>
            </w:r>
            <w:r>
              <w:rPr>
                <w:rStyle w:val="IndexLink"/>
                <w:rtl w:val="true"/>
              </w:rPr>
              <w:tab/>
            </w:r>
            <w:r>
              <w:rPr>
                <w:rStyle w:val="IndexLink"/>
              </w:rPr>
              <w:t>383</w:t>
            </w:r>
          </w:hyperlink>
        </w:p>
        <w:p>
          <w:pPr>
            <w:pStyle w:val="Contents6"/>
            <w:tabs>
              <w:tab w:val="clear" w:pos="7609"/>
              <w:tab w:val="right" w:pos="9026" w:leader="dot"/>
            </w:tabs>
            <w:rPr/>
          </w:pPr>
          <w:hyperlink w:anchor="__RefHeading___Toc15202968_1280447820">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15202970_1280447820">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مذهب حنفی و حنبلی</w:t>
            </w:r>
            <w:r>
              <w:rPr>
                <w:rStyle w:val="IndexLink"/>
                <w:rtl w:val="true"/>
              </w:rPr>
              <w:tab/>
            </w:r>
            <w:r>
              <w:rPr>
                <w:rStyle w:val="IndexLink"/>
              </w:rPr>
              <w:t>383</w:t>
            </w:r>
          </w:hyperlink>
        </w:p>
        <w:p>
          <w:pPr>
            <w:pStyle w:val="Contents6"/>
            <w:tabs>
              <w:tab w:val="clear" w:pos="7609"/>
              <w:tab w:val="right" w:pos="9026" w:leader="dot"/>
            </w:tabs>
            <w:rPr/>
          </w:pPr>
          <w:hyperlink w:anchor="__RefHeading___Toc15202972_1280447820">
            <w:r>
              <w:rPr>
                <w:webHidden/>
                <w:rStyle w:val="IndexLink"/>
              </w:rPr>
              <w:t>3</w:t>
            </w:r>
            <w:r>
              <w:rPr>
                <w:rStyle w:val="IndexLink"/>
                <w:rtl w:val="true"/>
              </w:rPr>
              <w:t xml:space="preserve">. </w:t>
            </w:r>
            <w:r>
              <w:rPr>
                <w:rStyle w:val="IndexLink"/>
                <w:rtl w:val="true"/>
              </w:rPr>
              <w:t>مذهب مالکی</w:t>
            </w:r>
            <w:r>
              <w:rPr>
                <w:rStyle w:val="IndexLink"/>
                <w:rtl w:val="true"/>
              </w:rPr>
              <w:tab/>
            </w:r>
            <w:r>
              <w:rPr>
                <w:rStyle w:val="IndexLink"/>
              </w:rPr>
              <w:t>384</w:t>
            </w:r>
          </w:hyperlink>
        </w:p>
        <w:p>
          <w:pPr>
            <w:pStyle w:val="Contents6"/>
            <w:tabs>
              <w:tab w:val="clear" w:pos="7609"/>
              <w:tab w:val="right" w:pos="9026" w:leader="dot"/>
            </w:tabs>
            <w:rPr/>
          </w:pPr>
          <w:hyperlink w:anchor="__RefHeading___Toc15202974_1280447820">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15202976_1280447820">
            <w:r>
              <w:rPr>
                <w:webHidden/>
                <w:rStyle w:val="IndexLink"/>
              </w:rPr>
              <w:t>4</w:t>
            </w:r>
            <w:r>
              <w:rPr>
                <w:rStyle w:val="IndexLink"/>
                <w:rtl w:val="true"/>
              </w:rPr>
              <w:t xml:space="preserve">. </w:t>
            </w:r>
            <w:r>
              <w:rPr>
                <w:rStyle w:val="IndexLink"/>
                <w:rtl w:val="true"/>
              </w:rPr>
              <w:t>مذهب شافعی</w:t>
            </w:r>
            <w:r>
              <w:rPr>
                <w:rStyle w:val="IndexLink"/>
                <w:rtl w:val="true"/>
              </w:rPr>
              <w:tab/>
            </w:r>
            <w:r>
              <w:rPr>
                <w:rStyle w:val="IndexLink"/>
              </w:rPr>
              <w:t>384</w:t>
            </w:r>
          </w:hyperlink>
        </w:p>
        <w:p>
          <w:pPr>
            <w:pStyle w:val="Contents5"/>
            <w:tabs>
              <w:tab w:val="clear" w:pos="7892"/>
              <w:tab w:val="right" w:pos="9026" w:leader="dot"/>
            </w:tabs>
            <w:rPr/>
          </w:pPr>
          <w:hyperlink w:anchor="__RefHeading___Toc15202978_1280447820">
            <w:r>
              <w:rPr>
                <w:webHidden/>
                <w:rStyle w:val="IndexLink"/>
                <w:rtl w:val="true"/>
              </w:rPr>
              <w:t>گفتار چهارم</w:t>
            </w:r>
            <w:r>
              <w:rPr>
                <w:rStyle w:val="IndexLink"/>
                <w:rtl w:val="true"/>
              </w:rPr>
              <w:t xml:space="preserve">: </w:t>
            </w:r>
            <w:r>
              <w:rPr>
                <w:rStyle w:val="IndexLink"/>
                <w:rtl w:val="true"/>
              </w:rPr>
              <w:t>صنعت گری در مساجد</w:t>
            </w:r>
            <w:r>
              <w:rPr>
                <w:rStyle w:val="IndexLink"/>
                <w:rtl w:val="true"/>
              </w:rPr>
              <w:tab/>
            </w:r>
            <w:r>
              <w:rPr>
                <w:rStyle w:val="IndexLink"/>
              </w:rPr>
              <w:t>385</w:t>
            </w:r>
          </w:hyperlink>
        </w:p>
        <w:p>
          <w:pPr>
            <w:pStyle w:val="Contents6"/>
            <w:tabs>
              <w:tab w:val="clear" w:pos="7609"/>
              <w:tab w:val="right" w:pos="9026" w:leader="dot"/>
            </w:tabs>
            <w:rPr/>
          </w:pPr>
          <w:hyperlink w:anchor="__RefHeading___Toc15202980_1280447820">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15202982_1280447820">
            <w:r>
              <w:rPr>
                <w:webHidden/>
                <w:rStyle w:val="IndexLink"/>
                <w:rtl w:val="true"/>
              </w:rPr>
              <w:t>ادله قول به کراهت</w:t>
            </w:r>
            <w:r>
              <w:rPr>
                <w:rStyle w:val="IndexLink"/>
                <w:rtl w:val="true"/>
              </w:rPr>
              <w:tab/>
            </w:r>
            <w:r>
              <w:rPr>
                <w:rStyle w:val="IndexLink"/>
              </w:rPr>
              <w:t>386</w:t>
            </w:r>
          </w:hyperlink>
        </w:p>
        <w:p>
          <w:pPr>
            <w:pStyle w:val="Contents6"/>
            <w:tabs>
              <w:tab w:val="clear" w:pos="7609"/>
              <w:tab w:val="right" w:pos="9026" w:leader="dot"/>
            </w:tabs>
            <w:rPr/>
          </w:pPr>
          <w:hyperlink w:anchor="__RefHeading___Toc15202984_1280447820">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15202986_1280447820">
            <w:r>
              <w:rPr>
                <w:webHidden/>
                <w:rStyle w:val="IndexLink"/>
                <w:rtl w:val="true"/>
              </w:rPr>
              <w:t>دیدگاه اهل سنت</w:t>
            </w:r>
            <w:r>
              <w:rPr>
                <w:rStyle w:val="IndexLink"/>
                <w:rtl w:val="true"/>
              </w:rPr>
              <w:tab/>
            </w:r>
            <w:r>
              <w:rPr>
                <w:rStyle w:val="IndexLink"/>
              </w:rPr>
              <w:t>387</w:t>
            </w:r>
          </w:hyperlink>
        </w:p>
        <w:p>
          <w:pPr>
            <w:pStyle w:val="Contents6"/>
            <w:tabs>
              <w:tab w:val="clear" w:pos="7609"/>
              <w:tab w:val="right" w:pos="9026" w:leader="dot"/>
            </w:tabs>
            <w:rPr/>
          </w:pPr>
          <w:hyperlink w:anchor="__RefHeading___Toc15202988_1280447820">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15202990_1280447820">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مذهب مالکی و شافعی</w:t>
            </w:r>
            <w:r>
              <w:rPr>
                <w:rStyle w:val="IndexLink"/>
                <w:rtl w:val="true"/>
              </w:rPr>
              <w:tab/>
            </w:r>
            <w:r>
              <w:rPr>
                <w:rStyle w:val="IndexLink"/>
              </w:rPr>
              <w:t>387</w:t>
            </w:r>
          </w:hyperlink>
        </w:p>
        <w:p>
          <w:pPr>
            <w:pStyle w:val="Contents6"/>
            <w:tabs>
              <w:tab w:val="clear" w:pos="7609"/>
              <w:tab w:val="right" w:pos="9026" w:leader="dot"/>
            </w:tabs>
            <w:rPr/>
          </w:pPr>
          <w:hyperlink w:anchor="__RefHeading___Toc15202992_1280447820">
            <w:r>
              <w:rPr>
                <w:webHidden/>
                <w:rStyle w:val="IndexLink"/>
              </w:rPr>
              <w:t>3</w:t>
            </w:r>
            <w:r>
              <w:rPr>
                <w:rStyle w:val="IndexLink"/>
                <w:rtl w:val="true"/>
              </w:rPr>
              <w:t xml:space="preserve">. </w:t>
            </w:r>
            <w:r>
              <w:rPr>
                <w:rStyle w:val="IndexLink"/>
                <w:rtl w:val="true"/>
              </w:rPr>
              <w:t>مذهب حنفی</w:t>
            </w:r>
            <w:r>
              <w:rPr>
                <w:rStyle w:val="IndexLink"/>
                <w:rtl w:val="true"/>
              </w:rPr>
              <w:tab/>
            </w:r>
            <w:r>
              <w:rPr>
                <w:rStyle w:val="IndexLink"/>
              </w:rPr>
              <w:t>388</w:t>
            </w:r>
          </w:hyperlink>
        </w:p>
        <w:p>
          <w:pPr>
            <w:pStyle w:val="Contents6"/>
            <w:tabs>
              <w:tab w:val="clear" w:pos="7609"/>
              <w:tab w:val="right" w:pos="9026" w:leader="dot"/>
            </w:tabs>
            <w:rPr/>
          </w:pPr>
          <w:hyperlink w:anchor="__RefHeading___Toc15202994_1280447820">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5202996_1280447820">
            <w:r>
              <w:rPr>
                <w:webHidden/>
                <w:rStyle w:val="IndexLink"/>
              </w:rPr>
              <w:t>4</w:t>
            </w:r>
            <w:r>
              <w:rPr>
                <w:rStyle w:val="IndexLink"/>
                <w:rtl w:val="true"/>
              </w:rPr>
              <w:t xml:space="preserve">. </w:t>
            </w:r>
            <w:r>
              <w:rPr>
                <w:rStyle w:val="IndexLink"/>
                <w:rtl w:val="true"/>
              </w:rPr>
              <w:t>مذهب حنبلی</w:t>
            </w:r>
            <w:r>
              <w:rPr>
                <w:rStyle w:val="IndexLink"/>
                <w:rtl w:val="true"/>
              </w:rPr>
              <w:tab/>
            </w:r>
            <w:r>
              <w:rPr>
                <w:rStyle w:val="IndexLink"/>
              </w:rPr>
              <w:t>388</w:t>
            </w:r>
          </w:hyperlink>
        </w:p>
        <w:p>
          <w:pPr>
            <w:pStyle w:val="Contents5"/>
            <w:tabs>
              <w:tab w:val="clear" w:pos="7892"/>
              <w:tab w:val="right" w:pos="9026" w:leader="dot"/>
            </w:tabs>
            <w:rPr/>
          </w:pPr>
          <w:hyperlink w:anchor="__RefHeading___Toc15202998_1280447820">
            <w:r>
              <w:rPr>
                <w:webHidden/>
                <w:rStyle w:val="IndexLink"/>
                <w:rtl w:val="true"/>
              </w:rPr>
              <w:t>گفتار پنجم</w:t>
            </w:r>
            <w:r>
              <w:rPr>
                <w:rStyle w:val="IndexLink"/>
                <w:rtl w:val="true"/>
              </w:rPr>
              <w:t xml:space="preserve">: </w:t>
            </w:r>
            <w:r>
              <w:rPr>
                <w:rStyle w:val="IndexLink"/>
                <w:rtl w:val="true"/>
              </w:rPr>
              <w:t>عبور و مرور از مسجد</w:t>
            </w:r>
            <w:r>
              <w:rPr>
                <w:rStyle w:val="IndexLink"/>
                <w:rtl w:val="true"/>
              </w:rPr>
              <w:tab/>
            </w:r>
            <w:r>
              <w:rPr>
                <w:rStyle w:val="IndexLink"/>
              </w:rPr>
              <w:t>388</w:t>
            </w:r>
          </w:hyperlink>
        </w:p>
        <w:p>
          <w:pPr>
            <w:pStyle w:val="Contents6"/>
            <w:tabs>
              <w:tab w:val="clear" w:pos="7609"/>
              <w:tab w:val="right" w:pos="9026" w:leader="dot"/>
            </w:tabs>
            <w:rPr/>
          </w:pPr>
          <w:hyperlink w:anchor="__RefHeading___Toc15203000_1280447820">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5203002_1280447820">
            <w:r>
              <w:rPr>
                <w:webHidden/>
                <w:rStyle w:val="IndexLink"/>
                <w:rtl w:val="true"/>
              </w:rPr>
              <w:t>الف</w:t>
            </w:r>
            <w:r>
              <w:rPr>
                <w:rStyle w:val="IndexLink"/>
                <w:rtl w:val="true"/>
              </w:rPr>
              <w:t xml:space="preserve">) </w:t>
            </w:r>
            <w:r>
              <w:rPr>
                <w:rStyle w:val="IndexLink"/>
                <w:rtl w:val="true"/>
              </w:rPr>
              <w:t>دیدگاه فقیهان امامیه</w:t>
            </w:r>
            <w:r>
              <w:rPr>
                <w:rStyle w:val="IndexLink"/>
                <w:rtl w:val="true"/>
              </w:rPr>
              <w:tab/>
            </w:r>
            <w:r>
              <w:rPr>
                <w:rStyle w:val="IndexLink"/>
              </w:rPr>
              <w:t>390</w:t>
            </w:r>
          </w:hyperlink>
        </w:p>
        <w:p>
          <w:pPr>
            <w:pStyle w:val="Contents6"/>
            <w:tabs>
              <w:tab w:val="clear" w:pos="7609"/>
              <w:tab w:val="right" w:pos="9026" w:leader="dot"/>
            </w:tabs>
            <w:rPr/>
          </w:pPr>
          <w:hyperlink w:anchor="__RefHeading___Toc15203004_1280447820">
            <w:r>
              <w:rPr>
                <w:webHidden/>
                <w:rStyle w:val="IndexLink"/>
                <w:rtl w:val="true"/>
              </w:rPr>
              <w:t>ب</w:t>
            </w:r>
            <w:r>
              <w:rPr>
                <w:rStyle w:val="IndexLink"/>
                <w:rtl w:val="true"/>
              </w:rPr>
              <w:t xml:space="preserve">) </w:t>
            </w:r>
            <w:r>
              <w:rPr>
                <w:rStyle w:val="IndexLink"/>
                <w:rtl w:val="true"/>
              </w:rPr>
              <w:t>دیدگاه اهل سنّت</w:t>
            </w:r>
            <w:r>
              <w:rPr>
                <w:rStyle w:val="IndexLink"/>
                <w:rtl w:val="true"/>
              </w:rPr>
              <w:tab/>
            </w:r>
            <w:r>
              <w:rPr>
                <w:rStyle w:val="IndexLink"/>
              </w:rPr>
              <w:t>392</w:t>
            </w:r>
          </w:hyperlink>
        </w:p>
        <w:p>
          <w:pPr>
            <w:pStyle w:val="Contents6"/>
            <w:tabs>
              <w:tab w:val="clear" w:pos="7609"/>
              <w:tab w:val="right" w:pos="9026" w:leader="dot"/>
            </w:tabs>
            <w:rPr/>
          </w:pPr>
          <w:hyperlink w:anchor="__RefHeading___Toc15203006_1280447820">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15203008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392</w:t>
            </w:r>
          </w:hyperlink>
        </w:p>
        <w:p>
          <w:pPr>
            <w:pStyle w:val="Contents6"/>
            <w:tabs>
              <w:tab w:val="clear" w:pos="7609"/>
              <w:tab w:val="right" w:pos="9026" w:leader="dot"/>
            </w:tabs>
            <w:rPr/>
          </w:pPr>
          <w:hyperlink w:anchor="__RefHeading___Toc15203010_1280447820">
            <w:r>
              <w:rPr>
                <w:webHidden/>
                <w:rStyle w:val="IndexLink"/>
              </w:rPr>
              <w:t>2</w:t>
            </w:r>
            <w:r>
              <w:rPr>
                <w:rStyle w:val="IndexLink"/>
                <w:rtl w:val="true"/>
              </w:rPr>
              <w:t xml:space="preserve">. </w:t>
            </w:r>
            <w:r>
              <w:rPr>
                <w:rStyle w:val="IndexLink"/>
                <w:rtl w:val="true"/>
              </w:rPr>
              <w:t>مذهب مالکی</w:t>
            </w:r>
            <w:r>
              <w:rPr>
                <w:rStyle w:val="IndexLink"/>
                <w:rtl w:val="true"/>
              </w:rPr>
              <w:tab/>
            </w:r>
            <w:r>
              <w:rPr>
                <w:rStyle w:val="IndexLink"/>
              </w:rPr>
              <w:t>392</w:t>
            </w:r>
          </w:hyperlink>
        </w:p>
        <w:p>
          <w:pPr>
            <w:pStyle w:val="Contents6"/>
            <w:tabs>
              <w:tab w:val="clear" w:pos="7609"/>
              <w:tab w:val="right" w:pos="9026" w:leader="dot"/>
            </w:tabs>
            <w:rPr/>
          </w:pPr>
          <w:hyperlink w:anchor="__RefHeading___Toc15203012_1280447820">
            <w:r>
              <w:rPr>
                <w:webHidden/>
                <w:rStyle w:val="IndexLink"/>
              </w:rPr>
              <w:t>3</w:t>
            </w:r>
            <w:r>
              <w:rPr>
                <w:rStyle w:val="IndexLink"/>
                <w:rtl w:val="true"/>
              </w:rPr>
              <w:t xml:space="preserve">. </w:t>
            </w:r>
            <w:r>
              <w:rPr>
                <w:rStyle w:val="IndexLink"/>
                <w:rtl w:val="true"/>
              </w:rPr>
              <w:t>مذهب شافعی</w:t>
            </w:r>
            <w:r>
              <w:rPr>
                <w:rStyle w:val="IndexLink"/>
                <w:rtl w:val="true"/>
              </w:rPr>
              <w:tab/>
            </w:r>
            <w:r>
              <w:rPr>
                <w:rStyle w:val="IndexLink"/>
              </w:rPr>
              <w:t>393</w:t>
            </w:r>
          </w:hyperlink>
        </w:p>
        <w:p>
          <w:pPr>
            <w:pStyle w:val="Contents6"/>
            <w:tabs>
              <w:tab w:val="clear" w:pos="7609"/>
              <w:tab w:val="right" w:pos="9026" w:leader="dot"/>
            </w:tabs>
            <w:rPr/>
          </w:pPr>
          <w:hyperlink w:anchor="__RefHeading___Toc15203014_1280447820">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15203016_1280447820">
            <w:r>
              <w:rPr>
                <w:webHidden/>
                <w:rStyle w:val="IndexLink"/>
              </w:rPr>
              <w:t>4</w:t>
            </w:r>
            <w:r>
              <w:rPr>
                <w:rStyle w:val="IndexLink"/>
                <w:rtl w:val="true"/>
              </w:rPr>
              <w:t xml:space="preserve">. </w:t>
            </w:r>
            <w:r>
              <w:rPr>
                <w:rStyle w:val="IndexLink"/>
                <w:rtl w:val="true"/>
              </w:rPr>
              <w:t>مذهب حنبلی</w:t>
            </w:r>
            <w:r>
              <w:rPr>
                <w:rStyle w:val="IndexLink"/>
                <w:rtl w:val="true"/>
              </w:rPr>
              <w:tab/>
            </w:r>
            <w:r>
              <w:rPr>
                <w:rStyle w:val="IndexLink"/>
              </w:rPr>
              <w:t>393</w:t>
            </w:r>
          </w:hyperlink>
        </w:p>
        <w:p>
          <w:pPr>
            <w:pStyle w:val="Contents2"/>
            <w:tabs>
              <w:tab w:val="clear" w:pos="8743"/>
              <w:tab w:val="right" w:pos="9026" w:leader="dot"/>
            </w:tabs>
            <w:rPr/>
          </w:pPr>
          <w:hyperlink w:anchor="__RefHeading___Toc15203018_1280447820">
            <w:r>
              <w:rPr>
                <w:webHidden/>
                <w:rStyle w:val="IndexLink"/>
                <w:rtl w:val="true"/>
              </w:rPr>
              <w:t>بخش چهارم</w:t>
            </w:r>
            <w:r>
              <w:rPr>
                <w:rStyle w:val="IndexLink"/>
                <w:rtl w:val="true"/>
              </w:rPr>
              <w:t xml:space="preserve">: </w:t>
            </w:r>
            <w:r>
              <w:rPr>
                <w:rStyle w:val="IndexLink"/>
                <w:rtl w:val="true"/>
              </w:rPr>
              <w:t>احکام مرتبط با کاربران</w:t>
            </w:r>
            <w:r>
              <w:rPr>
                <w:rStyle w:val="IndexLink"/>
                <w:rtl w:val="true"/>
              </w:rPr>
              <w:tab/>
            </w:r>
            <w:r>
              <w:rPr>
                <w:rStyle w:val="IndexLink"/>
              </w:rPr>
              <w:t>395</w:t>
            </w:r>
          </w:hyperlink>
        </w:p>
        <w:p>
          <w:pPr>
            <w:pStyle w:val="Contents3"/>
            <w:tabs>
              <w:tab w:val="clear" w:pos="8459"/>
              <w:tab w:val="right" w:pos="9026" w:leader="dot"/>
            </w:tabs>
            <w:rPr/>
          </w:pPr>
          <w:hyperlink w:anchor="__RefHeading___Toc15203020_1280447820">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15203022_1280447820">
            <w:r>
              <w:rPr>
                <w:webHidden/>
                <w:rStyle w:val="IndexLink"/>
                <w:rtl w:val="true"/>
              </w:rPr>
              <w:t>فصل اول</w:t>
            </w:r>
            <w:r>
              <w:rPr>
                <w:rStyle w:val="IndexLink"/>
                <w:rtl w:val="true"/>
              </w:rPr>
              <w:t xml:space="preserve">: </w:t>
            </w:r>
            <w:r>
              <w:rPr>
                <w:rStyle w:val="IndexLink"/>
                <w:rtl w:val="true"/>
              </w:rPr>
              <w:t>آداب و وظایف کاربران</w:t>
            </w:r>
            <w:r>
              <w:rPr>
                <w:rStyle w:val="IndexLink"/>
                <w:rtl w:val="true"/>
              </w:rPr>
              <w:tab/>
            </w:r>
            <w:r>
              <w:rPr>
                <w:rStyle w:val="IndexLink"/>
              </w:rPr>
              <w:t>397</w:t>
            </w:r>
          </w:hyperlink>
        </w:p>
        <w:p>
          <w:pPr>
            <w:pStyle w:val="Contents4"/>
            <w:tabs>
              <w:tab w:val="clear" w:pos="8176"/>
              <w:tab w:val="right" w:pos="9026" w:leader="dot"/>
            </w:tabs>
            <w:rPr/>
          </w:pPr>
          <w:hyperlink w:anchor="__RefHeading___Toc15203024_1280447820">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5203026_1280447820">
            <w:r>
              <w:rPr>
                <w:webHidden/>
                <w:rStyle w:val="IndexLink"/>
                <w:rtl w:val="true"/>
              </w:rPr>
              <w:t>گفتار اول استحباب رفتن به مسجد</w:t>
            </w:r>
            <w:r>
              <w:rPr>
                <w:rStyle w:val="IndexLink"/>
                <w:rtl w:val="true"/>
              </w:rPr>
              <w:tab/>
            </w:r>
            <w:r>
              <w:rPr>
                <w:rStyle w:val="IndexLink"/>
              </w:rPr>
              <w:t>399</w:t>
            </w:r>
          </w:hyperlink>
        </w:p>
        <w:p>
          <w:pPr>
            <w:pStyle w:val="Contents5"/>
            <w:tabs>
              <w:tab w:val="clear" w:pos="7892"/>
              <w:tab w:val="right" w:pos="9026" w:leader="dot"/>
            </w:tabs>
            <w:rPr/>
          </w:pPr>
          <w:hyperlink w:anchor="__RefHeading___Toc15203028_1280447820">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5203030_1280447820">
            <w:r>
              <w:rPr>
                <w:webHidden/>
                <w:rStyle w:val="IndexLink"/>
                <w:rtl w:val="true"/>
              </w:rPr>
              <w:t>الف</w:t>
            </w:r>
            <w:r>
              <w:rPr>
                <w:rStyle w:val="IndexLink"/>
                <w:rtl w:val="true"/>
              </w:rPr>
              <w:t xml:space="preserve">) </w:t>
            </w:r>
            <w:r>
              <w:rPr>
                <w:rStyle w:val="IndexLink"/>
                <w:rtl w:val="true"/>
              </w:rPr>
              <w:t>ادله استحباب رفتن به مسجد و تعظیم آن</w:t>
            </w:r>
            <w:r>
              <w:rPr>
                <w:rStyle w:val="IndexLink"/>
                <w:rtl w:val="true"/>
              </w:rPr>
              <w:tab/>
            </w:r>
            <w:r>
              <w:rPr>
                <w:rStyle w:val="IndexLink"/>
              </w:rPr>
              <w:t>400</w:t>
            </w:r>
          </w:hyperlink>
        </w:p>
        <w:p>
          <w:pPr>
            <w:pStyle w:val="Contents5"/>
            <w:tabs>
              <w:tab w:val="clear" w:pos="7892"/>
              <w:tab w:val="right" w:pos="9026" w:leader="dot"/>
            </w:tabs>
            <w:rPr/>
          </w:pPr>
          <w:hyperlink w:anchor="__RefHeading___Toc15203032_1280447820">
            <w:r>
              <w:rPr>
                <w:webHidden/>
                <w:rStyle w:val="IndexLink"/>
                <w:rtl w:val="true"/>
              </w:rPr>
              <w:t>ب</w:t>
            </w:r>
            <w:r>
              <w:rPr>
                <w:rStyle w:val="IndexLink"/>
                <w:rtl w:val="true"/>
              </w:rPr>
              <w:t xml:space="preserve">) </w:t>
            </w:r>
            <w:r>
              <w:rPr>
                <w:rStyle w:val="IndexLink"/>
                <w:rtl w:val="true"/>
              </w:rPr>
              <w:t>دعای هنگام رفتن به مسجد</w:t>
            </w:r>
            <w:r>
              <w:rPr>
                <w:rStyle w:val="IndexLink"/>
                <w:rtl w:val="true"/>
              </w:rPr>
              <w:tab/>
            </w:r>
            <w:r>
              <w:rPr>
                <w:rStyle w:val="IndexLink"/>
              </w:rPr>
              <w:t>401</w:t>
            </w:r>
          </w:hyperlink>
        </w:p>
        <w:p>
          <w:pPr>
            <w:pStyle w:val="Contents4"/>
            <w:tabs>
              <w:tab w:val="clear" w:pos="8176"/>
              <w:tab w:val="right" w:pos="9026" w:leader="dot"/>
            </w:tabs>
            <w:rPr/>
          </w:pPr>
          <w:hyperlink w:anchor="__RefHeading___Toc15203034_1280447820">
            <w:r>
              <w:rPr>
                <w:webHidden/>
                <w:rStyle w:val="IndexLink"/>
                <w:rtl w:val="true"/>
              </w:rPr>
              <w:t>گفتار دوم</w:t>
            </w:r>
            <w:r>
              <w:rPr>
                <w:rStyle w:val="IndexLink"/>
                <w:rtl w:val="true"/>
              </w:rPr>
              <w:t xml:space="preserve">: </w:t>
            </w:r>
            <w:r>
              <w:rPr>
                <w:rStyle w:val="IndexLink"/>
                <w:rtl w:val="true"/>
              </w:rPr>
              <w:t>آداب ورود به مسجد</w:t>
            </w:r>
            <w:r>
              <w:rPr>
                <w:rStyle w:val="IndexLink"/>
                <w:rtl w:val="true"/>
              </w:rPr>
              <w:tab/>
            </w:r>
            <w:r>
              <w:rPr>
                <w:rStyle w:val="IndexLink"/>
              </w:rPr>
              <w:t>402</w:t>
            </w:r>
          </w:hyperlink>
        </w:p>
        <w:p>
          <w:pPr>
            <w:pStyle w:val="Contents5"/>
            <w:tabs>
              <w:tab w:val="clear" w:pos="7892"/>
              <w:tab w:val="right" w:pos="9026" w:leader="dot"/>
            </w:tabs>
            <w:rPr/>
          </w:pPr>
          <w:hyperlink w:anchor="__RefHeading___Toc15203036_1280447820">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5203038_1280447820">
            <w:r>
              <w:rPr>
                <w:webHidden/>
                <w:rStyle w:val="IndexLink"/>
                <w:rtl w:val="true"/>
              </w:rPr>
              <w:t>الف</w:t>
            </w:r>
            <w:r>
              <w:rPr>
                <w:rStyle w:val="IndexLink"/>
                <w:rtl w:val="true"/>
              </w:rPr>
              <w:t xml:space="preserve">) </w:t>
            </w:r>
            <w:r>
              <w:rPr>
                <w:rStyle w:val="IndexLink"/>
                <w:rtl w:val="true"/>
              </w:rPr>
              <w:t>وضو داشتن</w:t>
            </w:r>
            <w:r>
              <w:rPr>
                <w:rStyle w:val="IndexLink"/>
                <w:rtl w:val="true"/>
              </w:rPr>
              <w:tab/>
            </w:r>
            <w:r>
              <w:rPr>
                <w:rStyle w:val="IndexLink"/>
              </w:rPr>
              <w:t>403</w:t>
            </w:r>
          </w:hyperlink>
        </w:p>
        <w:p>
          <w:pPr>
            <w:pStyle w:val="Contents6"/>
            <w:tabs>
              <w:tab w:val="clear" w:pos="7609"/>
              <w:tab w:val="right" w:pos="9026" w:leader="dot"/>
            </w:tabs>
            <w:rPr/>
          </w:pPr>
          <w:hyperlink w:anchor="__RefHeading___Toc15203040_1280447820">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15203042_1280447820">
            <w:r>
              <w:rPr>
                <w:webHidden/>
                <w:rStyle w:val="IndexLink"/>
                <w:rtl w:val="true"/>
              </w:rPr>
              <w:t>ادله استحباب وضو</w:t>
            </w:r>
            <w:r>
              <w:rPr>
                <w:rStyle w:val="IndexLink"/>
                <w:rtl w:val="true"/>
              </w:rPr>
              <w:tab/>
            </w:r>
            <w:r>
              <w:rPr>
                <w:rStyle w:val="IndexLink"/>
              </w:rPr>
              <w:t>403</w:t>
            </w:r>
          </w:hyperlink>
        </w:p>
        <w:p>
          <w:pPr>
            <w:pStyle w:val="Contents5"/>
            <w:tabs>
              <w:tab w:val="clear" w:pos="7892"/>
              <w:tab w:val="right" w:pos="9026" w:leader="dot"/>
            </w:tabs>
            <w:rPr/>
          </w:pPr>
          <w:hyperlink w:anchor="__RefHeading___Toc15203044_1280447820">
            <w:r>
              <w:rPr>
                <w:webHidden/>
                <w:rStyle w:val="IndexLink"/>
                <w:rtl w:val="true"/>
              </w:rPr>
              <w:t>ب</w:t>
            </w:r>
            <w:r>
              <w:rPr>
                <w:rStyle w:val="IndexLink"/>
                <w:rtl w:val="true"/>
              </w:rPr>
              <w:t xml:space="preserve">) </w:t>
            </w:r>
            <w:r>
              <w:rPr>
                <w:rStyle w:val="IndexLink"/>
                <w:rtl w:val="true"/>
              </w:rPr>
              <w:t>پوشیدن بهترین و زیباترین لباسها و خوشبو کردن خود</w:t>
            </w:r>
            <w:r>
              <w:rPr>
                <w:rStyle w:val="IndexLink"/>
                <w:rtl w:val="true"/>
              </w:rPr>
              <w:tab/>
            </w:r>
            <w:r>
              <w:rPr>
                <w:rStyle w:val="IndexLink"/>
              </w:rPr>
              <w:t>404</w:t>
            </w:r>
          </w:hyperlink>
        </w:p>
        <w:p>
          <w:pPr>
            <w:pStyle w:val="Contents5"/>
            <w:tabs>
              <w:tab w:val="clear" w:pos="7892"/>
              <w:tab w:val="right" w:pos="9026" w:leader="dot"/>
            </w:tabs>
            <w:rPr/>
          </w:pPr>
          <w:hyperlink w:anchor="__RefHeading___Toc15203046_1280447820">
            <w:r>
              <w:rPr>
                <w:webHidden/>
                <w:rStyle w:val="IndexLink"/>
                <w:rtl w:val="true"/>
              </w:rPr>
              <w:t>ج</w:t>
            </w:r>
            <w:r>
              <w:rPr>
                <w:rStyle w:val="IndexLink"/>
                <w:rtl w:val="true"/>
              </w:rPr>
              <w:t xml:space="preserve">) </w:t>
            </w:r>
            <w:r>
              <w:rPr>
                <w:rStyle w:val="IndexLink"/>
                <w:rtl w:val="true"/>
              </w:rPr>
              <w:t>وارسی نظافت کفشها هنگام ورود به مسجد</w:t>
            </w:r>
            <w:r>
              <w:rPr>
                <w:rStyle w:val="IndexLink"/>
                <w:rtl w:val="true"/>
              </w:rPr>
              <w:tab/>
            </w:r>
            <w:r>
              <w:rPr>
                <w:rStyle w:val="IndexLink"/>
              </w:rPr>
              <w:t>405</w:t>
            </w:r>
          </w:hyperlink>
        </w:p>
        <w:p>
          <w:pPr>
            <w:pStyle w:val="Contents5"/>
            <w:tabs>
              <w:tab w:val="clear" w:pos="7892"/>
              <w:tab w:val="right" w:pos="9026" w:leader="dot"/>
            </w:tabs>
            <w:rPr/>
          </w:pPr>
          <w:hyperlink w:anchor="__RefHeading___Toc15203048_1280447820">
            <w:r>
              <w:rPr>
                <w:webHidden/>
                <w:rStyle w:val="IndexLink"/>
                <w:rtl w:val="true"/>
              </w:rPr>
              <w:t>د</w:t>
            </w:r>
            <w:r>
              <w:rPr>
                <w:rStyle w:val="IndexLink"/>
                <w:rtl w:val="true"/>
              </w:rPr>
              <w:t xml:space="preserve">) </w:t>
            </w:r>
            <w:r>
              <w:rPr>
                <w:rStyle w:val="IndexLink"/>
                <w:rtl w:val="true"/>
              </w:rPr>
              <w:t>كيفيت ورود به مسجد</w:t>
            </w:r>
            <w:r>
              <w:rPr>
                <w:rStyle w:val="IndexLink"/>
                <w:rtl w:val="true"/>
              </w:rPr>
              <w:tab/>
            </w:r>
            <w:r>
              <w:rPr>
                <w:rStyle w:val="IndexLink"/>
              </w:rPr>
              <w:t>405</w:t>
            </w:r>
          </w:hyperlink>
        </w:p>
        <w:p>
          <w:pPr>
            <w:pStyle w:val="Contents6"/>
            <w:tabs>
              <w:tab w:val="clear" w:pos="7609"/>
              <w:tab w:val="right" w:pos="9026" w:leader="dot"/>
            </w:tabs>
            <w:rPr/>
          </w:pPr>
          <w:hyperlink w:anchor="__RefHeading___Toc15203050_1280447820">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15203052_1280447820">
            <w:r>
              <w:rPr>
                <w:webHidden/>
                <w:rStyle w:val="IndexLink"/>
                <w:rtl w:val="true"/>
              </w:rPr>
              <w:t>ادله استحباب تقدیم پای راست هنگام ورود به مسجد</w:t>
            </w:r>
            <w:r>
              <w:rPr>
                <w:rStyle w:val="IndexLink"/>
                <w:rtl w:val="true"/>
              </w:rPr>
              <w:tab/>
            </w:r>
            <w:r>
              <w:rPr>
                <w:rStyle w:val="IndexLink"/>
              </w:rPr>
              <w:t>406</w:t>
            </w:r>
          </w:hyperlink>
        </w:p>
        <w:p>
          <w:pPr>
            <w:pStyle w:val="Contents5"/>
            <w:tabs>
              <w:tab w:val="clear" w:pos="7892"/>
              <w:tab w:val="right" w:pos="9026" w:leader="dot"/>
            </w:tabs>
            <w:rPr/>
          </w:pPr>
          <w:hyperlink w:anchor="__RefHeading___Toc15203054_1280447820">
            <w:r>
              <w:rPr>
                <w:webHidden/>
                <w:rStyle w:val="IndexLink"/>
                <w:rtl w:val="true"/>
              </w:rPr>
              <w:t>ه</w:t>
            </w:r>
            <w:r>
              <w:rPr>
                <w:rStyle w:val="IndexLink"/>
                <w:rtl w:val="true"/>
              </w:rPr>
              <w:t xml:space="preserve">-) </w:t>
            </w:r>
            <w:r>
              <w:rPr>
                <w:rStyle w:val="IndexLink"/>
                <w:rtl w:val="true"/>
              </w:rPr>
              <w:t>دعا هنگام ورود به مسجد و خروج از آن</w:t>
            </w:r>
            <w:r>
              <w:rPr>
                <w:rStyle w:val="IndexLink"/>
                <w:rtl w:val="true"/>
              </w:rPr>
              <w:tab/>
            </w:r>
            <w:r>
              <w:rPr>
                <w:rStyle w:val="IndexLink"/>
              </w:rPr>
              <w:t>407</w:t>
            </w:r>
          </w:hyperlink>
        </w:p>
        <w:p>
          <w:pPr>
            <w:pStyle w:val="Contents5"/>
            <w:tabs>
              <w:tab w:val="clear" w:pos="7892"/>
              <w:tab w:val="right" w:pos="9026" w:leader="dot"/>
            </w:tabs>
            <w:rPr/>
          </w:pPr>
          <w:hyperlink w:anchor="__RefHeading___Toc15203056_1280447820">
            <w:r>
              <w:rPr>
                <w:webHidden/>
                <w:rStyle w:val="IndexLink"/>
                <w:rtl w:val="true"/>
              </w:rPr>
              <w:t>و</w:t>
            </w:r>
            <w:r>
              <w:rPr>
                <w:rStyle w:val="IndexLink"/>
                <w:rtl w:val="true"/>
              </w:rPr>
              <w:t xml:space="preserve">) </w:t>
            </w:r>
            <w:r>
              <w:rPr>
                <w:rStyle w:val="IndexLink"/>
                <w:rtl w:val="true"/>
              </w:rPr>
              <w:t>خواندن نماز تحیت</w:t>
            </w:r>
            <w:r>
              <w:rPr>
                <w:rStyle w:val="IndexLink"/>
                <w:rtl w:val="true"/>
              </w:rPr>
              <w:tab/>
            </w:r>
            <w:r>
              <w:rPr>
                <w:rStyle w:val="IndexLink"/>
              </w:rPr>
              <w:t>409</w:t>
            </w:r>
          </w:hyperlink>
        </w:p>
        <w:p>
          <w:pPr>
            <w:pStyle w:val="Contents6"/>
            <w:tabs>
              <w:tab w:val="clear" w:pos="7609"/>
              <w:tab w:val="right" w:pos="9026" w:leader="dot"/>
            </w:tabs>
            <w:rPr/>
          </w:pPr>
          <w:hyperlink w:anchor="__RefHeading___Toc15203058_128044782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15203060_1280447820">
            <w:r>
              <w:rPr>
                <w:webHidden/>
                <w:rStyle w:val="IndexLink"/>
                <w:rtl w:val="true"/>
              </w:rPr>
              <w:t>ادله استحباب نماز تحیت</w:t>
            </w:r>
            <w:r>
              <w:rPr>
                <w:rStyle w:val="IndexLink"/>
                <w:rtl w:val="true"/>
              </w:rPr>
              <w:tab/>
            </w:r>
            <w:r>
              <w:rPr>
                <w:rStyle w:val="IndexLink"/>
              </w:rPr>
              <w:t>410</w:t>
            </w:r>
          </w:hyperlink>
        </w:p>
        <w:p>
          <w:pPr>
            <w:pStyle w:val="Contents6"/>
            <w:tabs>
              <w:tab w:val="clear" w:pos="7609"/>
              <w:tab w:val="right" w:pos="9026" w:leader="dot"/>
            </w:tabs>
            <w:rPr/>
          </w:pPr>
          <w:hyperlink w:anchor="__RefHeading___Toc15203062_1280447820">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15203064_1280447820">
            <w:r>
              <w:rPr>
                <w:webHidden/>
                <w:rStyle w:val="IndexLink"/>
                <w:rtl w:val="true"/>
              </w:rPr>
              <w:t>نتیجه بحث</w:t>
            </w:r>
            <w:r>
              <w:rPr>
                <w:rStyle w:val="IndexLink"/>
                <w:rtl w:val="true"/>
              </w:rPr>
              <w:tab/>
            </w:r>
            <w:r>
              <w:rPr>
                <w:rStyle w:val="IndexLink"/>
              </w:rPr>
              <w:t>411</w:t>
            </w:r>
          </w:hyperlink>
        </w:p>
        <w:p>
          <w:pPr>
            <w:pStyle w:val="Contents4"/>
            <w:tabs>
              <w:tab w:val="clear" w:pos="8176"/>
              <w:tab w:val="right" w:pos="9026" w:leader="dot"/>
            </w:tabs>
            <w:rPr/>
          </w:pPr>
          <w:hyperlink w:anchor="__RefHeading___Toc15203066_1280447820">
            <w:r>
              <w:rPr>
                <w:webHidden/>
                <w:rStyle w:val="IndexLink"/>
                <w:rtl w:val="true"/>
              </w:rPr>
              <w:t>گفتار سوم</w:t>
            </w:r>
            <w:r>
              <w:rPr>
                <w:rStyle w:val="IndexLink"/>
                <w:rtl w:val="true"/>
              </w:rPr>
              <w:t xml:space="preserve">: </w:t>
            </w:r>
            <w:r>
              <w:rPr>
                <w:rStyle w:val="IndexLink"/>
                <w:rtl w:val="true"/>
              </w:rPr>
              <w:t>طولانی نمودن اقامت در مسجد</w:t>
            </w:r>
            <w:r>
              <w:rPr>
                <w:rStyle w:val="IndexLink"/>
                <w:rtl w:val="true"/>
              </w:rPr>
              <w:tab/>
            </w:r>
            <w:r>
              <w:rPr>
                <w:rStyle w:val="IndexLink"/>
              </w:rPr>
              <w:t>412</w:t>
            </w:r>
          </w:hyperlink>
        </w:p>
        <w:p>
          <w:pPr>
            <w:pStyle w:val="Contents4"/>
            <w:tabs>
              <w:tab w:val="clear" w:pos="8176"/>
              <w:tab w:val="right" w:pos="9026" w:leader="dot"/>
            </w:tabs>
            <w:rPr/>
          </w:pPr>
          <w:hyperlink w:anchor="__RefHeading___Toc15203068_1280447820">
            <w:r>
              <w:rPr>
                <w:webHidden/>
                <w:rStyle w:val="IndexLink"/>
                <w:rtl w:val="true"/>
              </w:rPr>
              <w:t>مبحث دوم</w:t>
            </w:r>
            <w:r>
              <w:rPr>
                <w:rStyle w:val="IndexLink"/>
                <w:rtl w:val="true"/>
              </w:rPr>
              <w:t xml:space="preserve">: </w:t>
            </w:r>
            <w:r>
              <w:rPr>
                <w:rStyle w:val="IndexLink"/>
                <w:rtl w:val="true"/>
              </w:rPr>
              <w:t>رعایت زینت ظاهری و معنوی</w:t>
            </w:r>
            <w:r>
              <w:rPr>
                <w:rStyle w:val="IndexLink"/>
                <w:rtl w:val="true"/>
              </w:rPr>
              <w:tab/>
            </w:r>
            <w:r>
              <w:rPr>
                <w:rStyle w:val="IndexLink"/>
              </w:rPr>
              <w:t>416</w:t>
            </w:r>
          </w:hyperlink>
        </w:p>
        <w:p>
          <w:pPr>
            <w:pStyle w:val="Contents5"/>
            <w:tabs>
              <w:tab w:val="clear" w:pos="7892"/>
              <w:tab w:val="right" w:pos="9026" w:leader="dot"/>
            </w:tabs>
            <w:rPr/>
          </w:pPr>
          <w:hyperlink w:anchor="__RefHeading___Toc15203070_1280447820">
            <w:r>
              <w:rPr>
                <w:webHidden/>
                <w:rStyle w:val="IndexLink"/>
                <w:rtl w:val="true"/>
              </w:rPr>
              <w:t>الف</w:t>
            </w:r>
            <w:r>
              <w:rPr>
                <w:rStyle w:val="IndexLink"/>
                <w:rtl w:val="true"/>
              </w:rPr>
              <w:t xml:space="preserve">) </w:t>
            </w:r>
            <w:r>
              <w:rPr>
                <w:rStyle w:val="IndexLink"/>
                <w:rtl w:val="true"/>
              </w:rPr>
              <w:t>معنای زینت</w:t>
            </w:r>
            <w:r>
              <w:rPr>
                <w:rStyle w:val="IndexLink"/>
                <w:rtl w:val="true"/>
              </w:rPr>
              <w:tab/>
            </w:r>
            <w:r>
              <w:rPr>
                <w:rStyle w:val="IndexLink"/>
              </w:rPr>
              <w:t>416</w:t>
            </w:r>
          </w:hyperlink>
        </w:p>
        <w:p>
          <w:pPr>
            <w:pStyle w:val="Contents5"/>
            <w:tabs>
              <w:tab w:val="clear" w:pos="7892"/>
              <w:tab w:val="right" w:pos="9026" w:leader="dot"/>
            </w:tabs>
            <w:rPr/>
          </w:pPr>
          <w:hyperlink w:anchor="__RefHeading___Toc15203072_1280447820">
            <w:r>
              <w:rPr>
                <w:webHidden/>
                <w:rStyle w:val="IndexLink"/>
                <w:rtl w:val="true"/>
              </w:rPr>
              <w:t>ب</w:t>
            </w:r>
            <w:r>
              <w:rPr>
                <w:rStyle w:val="IndexLink"/>
                <w:rtl w:val="true"/>
              </w:rPr>
              <w:t xml:space="preserve">) </w:t>
            </w:r>
            <w:r>
              <w:rPr>
                <w:rStyle w:val="IndexLink"/>
                <w:rtl w:val="true"/>
              </w:rPr>
              <w:t>زینت ظاهری</w:t>
            </w:r>
            <w:r>
              <w:rPr>
                <w:rStyle w:val="IndexLink"/>
                <w:rtl w:val="true"/>
              </w:rPr>
              <w:tab/>
            </w:r>
            <w:r>
              <w:rPr>
                <w:rStyle w:val="IndexLink"/>
              </w:rPr>
              <w:t>416</w:t>
            </w:r>
          </w:hyperlink>
        </w:p>
        <w:p>
          <w:pPr>
            <w:pStyle w:val="Contents5"/>
            <w:tabs>
              <w:tab w:val="clear" w:pos="7892"/>
              <w:tab w:val="right" w:pos="9026" w:leader="dot"/>
            </w:tabs>
            <w:rPr/>
          </w:pPr>
          <w:hyperlink w:anchor="__RefHeading___Toc15203074_1280447820">
            <w:r>
              <w:rPr>
                <w:webHidden/>
                <w:rStyle w:val="IndexLink"/>
                <w:rtl w:val="true"/>
              </w:rPr>
              <w:t>ج</w:t>
            </w:r>
            <w:r>
              <w:rPr>
                <w:rStyle w:val="IndexLink"/>
                <w:rtl w:val="true"/>
              </w:rPr>
              <w:t xml:space="preserve">) </w:t>
            </w:r>
            <w:r>
              <w:rPr>
                <w:rStyle w:val="IndexLink"/>
                <w:rtl w:val="true"/>
              </w:rPr>
              <w:t>زینت معنوی هنگام ورود به مسجد</w:t>
            </w:r>
            <w:r>
              <w:rPr>
                <w:rStyle w:val="IndexLink"/>
                <w:rtl w:val="true"/>
              </w:rPr>
              <w:tab/>
            </w:r>
            <w:r>
              <w:rPr>
                <w:rStyle w:val="IndexLink"/>
              </w:rPr>
              <w:t>419</w:t>
            </w:r>
          </w:hyperlink>
        </w:p>
        <w:p>
          <w:pPr>
            <w:pStyle w:val="Contents5"/>
            <w:tabs>
              <w:tab w:val="clear" w:pos="7892"/>
              <w:tab w:val="right" w:pos="9026" w:leader="dot"/>
            </w:tabs>
            <w:rPr/>
          </w:pPr>
          <w:hyperlink w:anchor="__RefHeading___Toc15203076_1280447820">
            <w:r>
              <w:rPr>
                <w:webHidden/>
                <w:rStyle w:val="IndexLink"/>
                <w:rtl w:val="true"/>
              </w:rPr>
              <w:t>د</w:t>
            </w:r>
            <w:r>
              <w:rPr>
                <w:rStyle w:val="IndexLink"/>
                <w:rtl w:val="true"/>
              </w:rPr>
              <w:t xml:space="preserve">) </w:t>
            </w:r>
            <w:r>
              <w:rPr>
                <w:rStyle w:val="IndexLink"/>
                <w:rtl w:val="true"/>
              </w:rPr>
              <w:t>مفاد روایات</w:t>
            </w:r>
            <w:r>
              <w:rPr>
                <w:rStyle w:val="IndexLink"/>
                <w:rtl w:val="true"/>
              </w:rPr>
              <w:tab/>
            </w:r>
            <w:r>
              <w:rPr>
                <w:rStyle w:val="IndexLink"/>
              </w:rPr>
              <w:t>421</w:t>
            </w:r>
          </w:hyperlink>
        </w:p>
        <w:p>
          <w:pPr>
            <w:pStyle w:val="Contents3"/>
            <w:tabs>
              <w:tab w:val="clear" w:pos="8459"/>
              <w:tab w:val="right" w:pos="9026" w:leader="dot"/>
            </w:tabs>
            <w:rPr/>
          </w:pPr>
          <w:hyperlink w:anchor="__RefHeading___Toc15203078_1280447820">
            <w:r>
              <w:rPr>
                <w:webHidden/>
                <w:rStyle w:val="IndexLink"/>
                <w:rtl w:val="true"/>
              </w:rPr>
              <w:t>فصل دوم</w:t>
            </w:r>
            <w:r>
              <w:rPr>
                <w:rStyle w:val="IndexLink"/>
                <w:rtl w:val="true"/>
              </w:rPr>
              <w:t xml:space="preserve">: </w:t>
            </w:r>
            <w:r>
              <w:rPr>
                <w:rStyle w:val="IndexLink"/>
                <w:rtl w:val="true"/>
              </w:rPr>
              <w:t>وجوب تطهیر مسجد</w:t>
            </w:r>
            <w:r>
              <w:rPr>
                <w:rStyle w:val="IndexLink"/>
                <w:rtl w:val="true"/>
              </w:rPr>
              <w:tab/>
            </w:r>
            <w:r>
              <w:rPr>
                <w:rStyle w:val="IndexLink"/>
              </w:rPr>
              <w:t>423</w:t>
            </w:r>
          </w:hyperlink>
        </w:p>
        <w:p>
          <w:pPr>
            <w:pStyle w:val="Contents4"/>
            <w:tabs>
              <w:tab w:val="clear" w:pos="8176"/>
              <w:tab w:val="right" w:pos="9026" w:leader="dot"/>
            </w:tabs>
            <w:rPr/>
          </w:pPr>
          <w:hyperlink w:anchor="__RefHeading___Toc15203080_128044782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5203082_1280447820">
            <w:r>
              <w:rPr>
                <w:webHidden/>
                <w:rStyle w:val="IndexLink"/>
                <w:rtl w:val="true"/>
              </w:rPr>
              <w:t>مبحث اول</w:t>
            </w:r>
            <w:r>
              <w:rPr>
                <w:rStyle w:val="IndexLink"/>
                <w:rtl w:val="true"/>
              </w:rPr>
              <w:t xml:space="preserve">: </w:t>
            </w:r>
            <w:r>
              <w:rPr>
                <w:rStyle w:val="IndexLink"/>
                <w:rtl w:val="true"/>
              </w:rPr>
              <w:t>وجوب ازاله نجاست از مسجد و تطهیر آن</w:t>
            </w:r>
            <w:r>
              <w:rPr>
                <w:rStyle w:val="IndexLink"/>
                <w:rtl w:val="true"/>
              </w:rPr>
              <w:tab/>
            </w:r>
            <w:r>
              <w:rPr>
                <w:rStyle w:val="IndexLink"/>
              </w:rPr>
              <w:t>425</w:t>
            </w:r>
          </w:hyperlink>
        </w:p>
        <w:p>
          <w:pPr>
            <w:pStyle w:val="Contents5"/>
            <w:tabs>
              <w:tab w:val="clear" w:pos="7892"/>
              <w:tab w:val="right" w:pos="9026" w:leader="dot"/>
            </w:tabs>
            <w:rPr/>
          </w:pPr>
          <w:hyperlink w:anchor="__RefHeading___Toc15203084_1280447820">
            <w:r>
              <w:rPr>
                <w:webHidden/>
                <w:rStyle w:val="IndexLink"/>
                <w:rtl w:val="true"/>
              </w:rPr>
              <w:t>گفتار اول</w:t>
            </w:r>
            <w:r>
              <w:rPr>
                <w:rStyle w:val="IndexLink"/>
                <w:rtl w:val="true"/>
              </w:rPr>
              <w:t xml:space="preserve">: </w:t>
            </w:r>
            <w:r>
              <w:rPr>
                <w:rStyle w:val="IndexLink"/>
                <w:rtl w:val="true"/>
              </w:rPr>
              <w:t>وجوب کفایی تطهیر و ازاله نجاست</w:t>
            </w:r>
            <w:r>
              <w:rPr>
                <w:rStyle w:val="IndexLink"/>
                <w:rtl w:val="true"/>
              </w:rPr>
              <w:tab/>
            </w:r>
            <w:r>
              <w:rPr>
                <w:rStyle w:val="IndexLink"/>
              </w:rPr>
              <w:t>425</w:t>
            </w:r>
          </w:hyperlink>
        </w:p>
        <w:p>
          <w:pPr>
            <w:pStyle w:val="Contents6"/>
            <w:tabs>
              <w:tab w:val="clear" w:pos="7609"/>
              <w:tab w:val="right" w:pos="9026" w:leader="dot"/>
            </w:tabs>
            <w:rPr/>
          </w:pPr>
          <w:hyperlink w:anchor="__RefHeading___Toc15203086_1280447820">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15203088_1280447820">
            <w:r>
              <w:rPr>
                <w:webHidden/>
                <w:rStyle w:val="IndexLink"/>
                <w:rtl w:val="true"/>
              </w:rPr>
              <w:t>ادله وجوب تطهير مساجد</w:t>
            </w:r>
            <w:r>
              <w:rPr>
                <w:rStyle w:val="IndexLink"/>
                <w:rtl w:val="true"/>
              </w:rPr>
              <w:tab/>
            </w:r>
            <w:r>
              <w:rPr>
                <w:rStyle w:val="IndexLink"/>
              </w:rPr>
              <w:t>427</w:t>
            </w:r>
          </w:hyperlink>
        </w:p>
        <w:p>
          <w:pPr>
            <w:pStyle w:val="Contents5"/>
            <w:tabs>
              <w:tab w:val="clear" w:pos="7892"/>
              <w:tab w:val="right" w:pos="9026" w:leader="dot"/>
            </w:tabs>
            <w:rPr/>
          </w:pPr>
          <w:hyperlink w:anchor="__RefHeading___Toc15203090_1280447820">
            <w:r>
              <w:rPr>
                <w:webHidden/>
                <w:rStyle w:val="IndexLink"/>
                <w:rtl w:val="true"/>
              </w:rPr>
              <w:t>گفتار دوم</w:t>
            </w:r>
            <w:r>
              <w:rPr>
                <w:rStyle w:val="IndexLink"/>
                <w:rtl w:val="true"/>
              </w:rPr>
              <w:t xml:space="preserve">: </w:t>
            </w:r>
            <w:r>
              <w:rPr>
                <w:rStyle w:val="IndexLink"/>
                <w:rtl w:val="true"/>
              </w:rPr>
              <w:t>وجوب فوری ازاله نجاست</w:t>
            </w:r>
            <w:r>
              <w:rPr>
                <w:rStyle w:val="IndexLink"/>
                <w:rtl w:val="true"/>
              </w:rPr>
              <w:tab/>
            </w:r>
            <w:r>
              <w:rPr>
                <w:rStyle w:val="IndexLink"/>
              </w:rPr>
              <w:t>429</w:t>
            </w:r>
          </w:hyperlink>
        </w:p>
        <w:p>
          <w:pPr>
            <w:pStyle w:val="Contents6"/>
            <w:tabs>
              <w:tab w:val="clear" w:pos="7609"/>
              <w:tab w:val="right" w:pos="9026" w:leader="dot"/>
            </w:tabs>
            <w:rPr/>
          </w:pPr>
          <w:hyperlink w:anchor="__RefHeading___Toc15203092_1280447820">
            <w:r>
              <w:rPr>
                <w:webHidden/>
                <w:rStyle w:val="IndexLink"/>
                <w:rtl w:val="true"/>
              </w:rPr>
              <w:t>اشاره</w:t>
            </w:r>
            <w:r>
              <w:rPr>
                <w:rStyle w:val="IndexLink"/>
                <w:rtl w:val="true"/>
              </w:rPr>
              <w:tab/>
            </w:r>
            <w:r>
              <w:rPr>
                <w:rStyle w:val="IndexLink"/>
              </w:rPr>
              <w:t>429</w:t>
            </w:r>
          </w:hyperlink>
        </w:p>
        <w:p>
          <w:pPr>
            <w:pStyle w:val="Contents6"/>
            <w:tabs>
              <w:tab w:val="clear" w:pos="7609"/>
              <w:tab w:val="right" w:pos="9026" w:leader="dot"/>
            </w:tabs>
            <w:rPr/>
          </w:pPr>
          <w:hyperlink w:anchor="__RefHeading___Toc15203094_1280447820">
            <w:r>
              <w:rPr>
                <w:webHidden/>
                <w:rStyle w:val="IndexLink"/>
                <w:rtl w:val="true"/>
              </w:rPr>
              <w:t>دليل وجوب فوری ازاله</w:t>
            </w:r>
            <w:r>
              <w:rPr>
                <w:rStyle w:val="IndexLink"/>
                <w:rtl w:val="true"/>
              </w:rPr>
              <w:tab/>
            </w:r>
            <w:r>
              <w:rPr>
                <w:rStyle w:val="IndexLink"/>
              </w:rPr>
              <w:t>430</w:t>
            </w:r>
          </w:hyperlink>
        </w:p>
        <w:p>
          <w:pPr>
            <w:pStyle w:val="Contents5"/>
            <w:tabs>
              <w:tab w:val="clear" w:pos="7892"/>
              <w:tab w:val="right" w:pos="9026" w:leader="dot"/>
            </w:tabs>
            <w:rPr/>
          </w:pPr>
          <w:hyperlink w:anchor="__RefHeading___Toc15203096_1280447820">
            <w:r>
              <w:rPr>
                <w:webHidden/>
                <w:rStyle w:val="IndexLink"/>
                <w:rtl w:val="true"/>
              </w:rPr>
              <w:t>گفتار سوم</w:t>
            </w:r>
            <w:r>
              <w:rPr>
                <w:rStyle w:val="IndexLink"/>
                <w:rtl w:val="true"/>
              </w:rPr>
              <w:t xml:space="preserve">: </w:t>
            </w:r>
            <w:r>
              <w:rPr>
                <w:rStyle w:val="IndexLink"/>
                <w:rtl w:val="true"/>
              </w:rPr>
              <w:t>وجوب تقدیم ازاله بر نماز</w:t>
            </w:r>
            <w:r>
              <w:rPr>
                <w:rStyle w:val="IndexLink"/>
                <w:rtl w:val="true"/>
              </w:rPr>
              <w:tab/>
            </w:r>
            <w:r>
              <w:rPr>
                <w:rStyle w:val="IndexLink"/>
              </w:rPr>
              <w:t>430</w:t>
            </w:r>
          </w:hyperlink>
        </w:p>
        <w:p>
          <w:pPr>
            <w:pStyle w:val="Contents5"/>
            <w:tabs>
              <w:tab w:val="clear" w:pos="7892"/>
              <w:tab w:val="right" w:pos="9026" w:leader="dot"/>
            </w:tabs>
            <w:rPr/>
          </w:pPr>
          <w:hyperlink w:anchor="__RefHeading___Toc15203098_1280447820">
            <w:r>
              <w:rPr>
                <w:webHidden/>
                <w:rStyle w:val="IndexLink"/>
                <w:rtl w:val="true"/>
              </w:rPr>
              <w:t>گفتار چهارم</w:t>
            </w:r>
            <w:r>
              <w:rPr>
                <w:rStyle w:val="IndexLink"/>
                <w:rtl w:val="true"/>
              </w:rPr>
              <w:t xml:space="preserve">: </w:t>
            </w:r>
            <w:r>
              <w:rPr>
                <w:rStyle w:val="IndexLink"/>
                <w:rtl w:val="true"/>
              </w:rPr>
              <w:t>مبادرت دیگری به ازاله</w:t>
            </w:r>
            <w:r>
              <w:rPr>
                <w:rStyle w:val="IndexLink"/>
                <w:rtl w:val="true"/>
              </w:rPr>
              <w:tab/>
            </w:r>
            <w:r>
              <w:rPr>
                <w:rStyle w:val="IndexLink"/>
              </w:rPr>
              <w:t>431</w:t>
            </w:r>
          </w:hyperlink>
        </w:p>
        <w:p>
          <w:pPr>
            <w:pStyle w:val="Contents5"/>
            <w:tabs>
              <w:tab w:val="clear" w:pos="7892"/>
              <w:tab w:val="right" w:pos="9026" w:leader="dot"/>
            </w:tabs>
            <w:rPr/>
          </w:pPr>
          <w:hyperlink w:anchor="__RefHeading___Toc15203100_1280447820">
            <w:r>
              <w:rPr>
                <w:webHidden/>
                <w:rStyle w:val="IndexLink"/>
                <w:rtl w:val="true"/>
              </w:rPr>
              <w:t>گفتار پنجم</w:t>
            </w:r>
            <w:r>
              <w:rPr>
                <w:rStyle w:val="IndexLink"/>
                <w:rtl w:val="true"/>
              </w:rPr>
              <w:t xml:space="preserve">: </w:t>
            </w:r>
            <w:r>
              <w:rPr>
                <w:rStyle w:val="IndexLink"/>
                <w:rtl w:val="true"/>
              </w:rPr>
              <w:t>وجوب تطهیر حصیر مسجد</w:t>
            </w:r>
            <w:r>
              <w:rPr>
                <w:rStyle w:val="IndexLink"/>
                <w:rtl w:val="true"/>
              </w:rPr>
              <w:tab/>
            </w:r>
            <w:r>
              <w:rPr>
                <w:rStyle w:val="IndexLink"/>
              </w:rPr>
              <w:t>432</w:t>
            </w:r>
          </w:hyperlink>
        </w:p>
        <w:p>
          <w:pPr>
            <w:pStyle w:val="Contents6"/>
            <w:tabs>
              <w:tab w:val="clear" w:pos="7609"/>
              <w:tab w:val="right" w:pos="9026" w:leader="dot"/>
            </w:tabs>
            <w:rPr/>
          </w:pPr>
          <w:hyperlink w:anchor="__RefHeading___Toc15203102_128044782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5203104_1280447820">
            <w:r>
              <w:rPr>
                <w:webHidden/>
                <w:rStyle w:val="IndexLink"/>
                <w:rtl w:val="true"/>
              </w:rPr>
              <w:t>دليل وجوب تطهير حصير مسجد</w:t>
            </w:r>
            <w:r>
              <w:rPr>
                <w:rStyle w:val="IndexLink"/>
                <w:rtl w:val="true"/>
              </w:rPr>
              <w:tab/>
            </w:r>
            <w:r>
              <w:rPr>
                <w:rStyle w:val="IndexLink"/>
              </w:rPr>
              <w:t>433</w:t>
            </w:r>
          </w:hyperlink>
        </w:p>
        <w:p>
          <w:pPr>
            <w:pStyle w:val="Contents4"/>
            <w:tabs>
              <w:tab w:val="clear" w:pos="8176"/>
              <w:tab w:val="right" w:pos="9026" w:leader="dot"/>
            </w:tabs>
            <w:rPr/>
          </w:pPr>
          <w:hyperlink w:anchor="__RefHeading___Toc15203106_1280447820">
            <w:r>
              <w:rPr>
                <w:webHidden/>
                <w:rStyle w:val="IndexLink"/>
                <w:rtl w:val="true"/>
              </w:rPr>
              <w:t>مبحث دوم</w:t>
            </w:r>
            <w:r>
              <w:rPr>
                <w:rStyle w:val="IndexLink"/>
                <w:rtl w:val="true"/>
              </w:rPr>
              <w:t xml:space="preserve">: </w:t>
            </w:r>
            <w:r>
              <w:rPr>
                <w:rStyle w:val="IndexLink"/>
                <w:rtl w:val="true"/>
              </w:rPr>
              <w:t>توقف تطهیر بر تخریب و حفاری مسجد</w:t>
            </w:r>
            <w:r>
              <w:rPr>
                <w:rStyle w:val="IndexLink"/>
                <w:rtl w:val="true"/>
              </w:rPr>
              <w:tab/>
            </w:r>
            <w:r>
              <w:rPr>
                <w:rStyle w:val="IndexLink"/>
              </w:rPr>
              <w:t>436</w:t>
            </w:r>
          </w:hyperlink>
        </w:p>
        <w:p>
          <w:pPr>
            <w:pStyle w:val="Contents5"/>
            <w:tabs>
              <w:tab w:val="clear" w:pos="7892"/>
              <w:tab w:val="right" w:pos="9026" w:leader="dot"/>
            </w:tabs>
            <w:rPr/>
          </w:pPr>
          <w:hyperlink w:anchor="__RefHeading___Toc15203108_1280447820">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15203110_1280447820">
            <w:r>
              <w:rPr>
                <w:webHidden/>
                <w:rStyle w:val="IndexLink"/>
                <w:rtl w:val="true"/>
              </w:rPr>
              <w:t>گفتار اول</w:t>
            </w:r>
            <w:r>
              <w:rPr>
                <w:rStyle w:val="IndexLink"/>
                <w:rtl w:val="true"/>
              </w:rPr>
              <w:t xml:space="preserve">: </w:t>
            </w:r>
            <w:r>
              <w:rPr>
                <w:rStyle w:val="IndexLink"/>
                <w:rtl w:val="true"/>
              </w:rPr>
              <w:t>دلیل جواز یا وجوب حفاری و تخریب مساجد</w:t>
            </w:r>
            <w:r>
              <w:rPr>
                <w:rStyle w:val="IndexLink"/>
                <w:rtl w:val="true"/>
              </w:rPr>
              <w:tab/>
            </w:r>
            <w:r>
              <w:rPr>
                <w:rStyle w:val="IndexLink"/>
              </w:rPr>
              <w:t>436</w:t>
            </w:r>
          </w:hyperlink>
        </w:p>
        <w:p>
          <w:pPr>
            <w:pStyle w:val="Contents5"/>
            <w:tabs>
              <w:tab w:val="clear" w:pos="7892"/>
              <w:tab w:val="right" w:pos="9026" w:leader="dot"/>
            </w:tabs>
            <w:rPr/>
          </w:pPr>
          <w:hyperlink w:anchor="__RefHeading___Toc15203112_1280447820">
            <w:r>
              <w:rPr>
                <w:webHidden/>
                <w:rStyle w:val="IndexLink"/>
                <w:rtl w:val="true"/>
              </w:rPr>
              <w:t>گفتار دوم</w:t>
            </w:r>
            <w:r>
              <w:rPr>
                <w:rStyle w:val="IndexLink"/>
                <w:rtl w:val="true"/>
              </w:rPr>
              <w:t xml:space="preserve">: </w:t>
            </w:r>
            <w:r>
              <w:rPr>
                <w:rStyle w:val="IndexLink"/>
                <w:rtl w:val="true"/>
              </w:rPr>
              <w:t>دلیل عدم وجوب تعمیر و پر کردن حفره</w:t>
            </w:r>
            <w:r>
              <w:rPr>
                <w:rStyle w:val="IndexLink"/>
                <w:rtl w:val="true"/>
              </w:rPr>
              <w:tab/>
            </w:r>
            <w:r>
              <w:rPr>
                <w:rStyle w:val="IndexLink"/>
              </w:rPr>
              <w:t>437</w:t>
            </w:r>
          </w:hyperlink>
        </w:p>
        <w:p>
          <w:pPr>
            <w:pStyle w:val="Contents5"/>
            <w:tabs>
              <w:tab w:val="clear" w:pos="7892"/>
              <w:tab w:val="right" w:pos="9026" w:leader="dot"/>
            </w:tabs>
            <w:rPr/>
          </w:pPr>
          <w:hyperlink w:anchor="__RefHeading___Toc15203114_1280447820">
            <w:r>
              <w:rPr>
                <w:webHidden/>
                <w:rStyle w:val="IndexLink"/>
                <w:rtl w:val="true"/>
              </w:rPr>
              <w:t>گفتار سوم</w:t>
            </w:r>
            <w:r>
              <w:rPr>
                <w:rStyle w:val="IndexLink"/>
                <w:rtl w:val="true"/>
              </w:rPr>
              <w:t xml:space="preserve">: </w:t>
            </w:r>
            <w:r>
              <w:rPr>
                <w:rStyle w:val="IndexLink"/>
                <w:rtl w:val="true"/>
              </w:rPr>
              <w:t>دلیل وجوب بازگرداندن مصالح ساختمانی به مسجد محقق</w:t>
            </w:r>
            <w:r>
              <w:rPr>
                <w:rStyle w:val="IndexLink"/>
                <w:rtl w:val="true"/>
              </w:rPr>
              <w:tab/>
            </w:r>
            <w:r>
              <w:rPr>
                <w:rStyle w:val="IndexLink"/>
              </w:rPr>
              <w:t>439</w:t>
            </w:r>
          </w:hyperlink>
        </w:p>
        <w:p>
          <w:pPr>
            <w:pStyle w:val="Contents5"/>
            <w:tabs>
              <w:tab w:val="clear" w:pos="7892"/>
              <w:tab w:val="right" w:pos="9026" w:leader="dot"/>
            </w:tabs>
            <w:rPr/>
          </w:pPr>
          <w:hyperlink w:anchor="__RefHeading___Toc15203116_1280447820">
            <w:r>
              <w:rPr>
                <w:webHidden/>
                <w:rStyle w:val="IndexLink"/>
                <w:rtl w:val="true"/>
              </w:rPr>
              <w:t>گفتار چهارم</w:t>
            </w:r>
            <w:r>
              <w:rPr>
                <w:rStyle w:val="IndexLink"/>
                <w:rtl w:val="true"/>
              </w:rPr>
              <w:t xml:space="preserve">: </w:t>
            </w:r>
            <w:r>
              <w:rPr>
                <w:rStyle w:val="IndexLink"/>
                <w:rtl w:val="true"/>
              </w:rPr>
              <w:t>توقف تطهیر مسجد بر تخریب تمامی مسجد</w:t>
            </w:r>
            <w:r>
              <w:rPr>
                <w:rStyle w:val="IndexLink"/>
                <w:rtl w:val="true"/>
              </w:rPr>
              <w:tab/>
            </w:r>
            <w:r>
              <w:rPr>
                <w:rStyle w:val="IndexLink"/>
              </w:rPr>
              <w:t>440</w:t>
            </w:r>
          </w:hyperlink>
        </w:p>
        <w:p>
          <w:pPr>
            <w:pStyle w:val="Contents6"/>
            <w:tabs>
              <w:tab w:val="clear" w:pos="7609"/>
              <w:tab w:val="right" w:pos="9026" w:leader="dot"/>
            </w:tabs>
            <w:rPr/>
          </w:pPr>
          <w:hyperlink w:anchor="__RefHeading___Toc15203118_1280447820">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15203120_1280447820">
            <w:r>
              <w:rPr>
                <w:webHidden/>
                <w:rStyle w:val="IndexLink"/>
                <w:rtl w:val="true"/>
              </w:rPr>
              <w:t>دلیل جواز تخریب تمامی مسجد به جهت تطهیر</w:t>
            </w:r>
            <w:r>
              <w:rPr>
                <w:rStyle w:val="IndexLink"/>
                <w:rtl w:val="true"/>
              </w:rPr>
              <w:tab/>
            </w:r>
            <w:r>
              <w:rPr>
                <w:rStyle w:val="IndexLink"/>
              </w:rPr>
              <w:t>440</w:t>
            </w:r>
          </w:hyperlink>
        </w:p>
        <w:p>
          <w:pPr>
            <w:pStyle w:val="Contents5"/>
            <w:tabs>
              <w:tab w:val="clear" w:pos="7892"/>
              <w:tab w:val="right" w:pos="9026" w:leader="dot"/>
            </w:tabs>
            <w:rPr/>
          </w:pPr>
          <w:hyperlink w:anchor="__RefHeading___Toc15203122_1280447820">
            <w:r>
              <w:rPr>
                <w:webHidden/>
                <w:rStyle w:val="IndexLink"/>
                <w:rtl w:val="true"/>
              </w:rPr>
              <w:t>گفتار پنجم</w:t>
            </w:r>
            <w:r>
              <w:rPr>
                <w:rStyle w:val="IndexLink"/>
                <w:rtl w:val="true"/>
              </w:rPr>
              <w:t xml:space="preserve">: </w:t>
            </w:r>
            <w:r>
              <w:rPr>
                <w:rStyle w:val="IndexLink"/>
                <w:rtl w:val="true"/>
              </w:rPr>
              <w:t>تطهیر مسجد ویران شده</w:t>
            </w:r>
            <w:r>
              <w:rPr>
                <w:rStyle w:val="IndexLink"/>
                <w:rtl w:val="true"/>
              </w:rPr>
              <w:tab/>
            </w:r>
            <w:r>
              <w:rPr>
                <w:rStyle w:val="IndexLink"/>
              </w:rPr>
              <w:t>441</w:t>
            </w:r>
          </w:hyperlink>
        </w:p>
        <w:p>
          <w:pPr>
            <w:pStyle w:val="Contents6"/>
            <w:tabs>
              <w:tab w:val="clear" w:pos="7609"/>
              <w:tab w:val="right" w:pos="9026" w:leader="dot"/>
            </w:tabs>
            <w:rPr/>
          </w:pPr>
          <w:hyperlink w:anchor="__RefHeading___Toc15203124_1280447820">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15203126_1280447820">
            <w:r>
              <w:rPr>
                <w:webHidden/>
                <w:rStyle w:val="IndexLink"/>
                <w:rtl w:val="true"/>
              </w:rPr>
              <w:t>دليل تطهير مسجد مخروبه</w:t>
            </w:r>
            <w:r>
              <w:rPr>
                <w:rStyle w:val="IndexLink"/>
                <w:rtl w:val="true"/>
              </w:rPr>
              <w:tab/>
            </w:r>
            <w:r>
              <w:rPr>
                <w:rStyle w:val="IndexLink"/>
              </w:rPr>
              <w:t>441</w:t>
            </w:r>
          </w:hyperlink>
        </w:p>
        <w:p>
          <w:pPr>
            <w:pStyle w:val="Contents4"/>
            <w:tabs>
              <w:tab w:val="clear" w:pos="8176"/>
              <w:tab w:val="right" w:pos="9026" w:leader="dot"/>
            </w:tabs>
            <w:rPr/>
          </w:pPr>
          <w:hyperlink w:anchor="__RefHeading___Toc15203128_1280447820">
            <w:r>
              <w:rPr>
                <w:webHidden/>
                <w:rStyle w:val="IndexLink"/>
                <w:rtl w:val="true"/>
              </w:rPr>
              <w:t>مبحث سوم</w:t>
            </w:r>
            <w:r>
              <w:rPr>
                <w:rStyle w:val="IndexLink"/>
                <w:rtl w:val="true"/>
              </w:rPr>
              <w:t xml:space="preserve">: </w:t>
            </w:r>
            <w:r>
              <w:rPr>
                <w:rStyle w:val="IndexLink"/>
                <w:rtl w:val="true"/>
              </w:rPr>
              <w:t>توقف تطهیر مسجد بر بذل مال</w:t>
            </w:r>
            <w:r>
              <w:rPr>
                <w:rStyle w:val="IndexLink"/>
                <w:rtl w:val="true"/>
              </w:rPr>
              <w:tab/>
            </w:r>
            <w:r>
              <w:rPr>
                <w:rStyle w:val="IndexLink"/>
              </w:rPr>
              <w:t>442</w:t>
            </w:r>
          </w:hyperlink>
        </w:p>
        <w:p>
          <w:pPr>
            <w:pStyle w:val="Contents5"/>
            <w:tabs>
              <w:tab w:val="clear" w:pos="7892"/>
              <w:tab w:val="right" w:pos="9026" w:leader="dot"/>
            </w:tabs>
            <w:rPr/>
          </w:pPr>
          <w:hyperlink w:anchor="__RefHeading___Toc15203130_1280447820">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15203132_1280447820">
            <w:r>
              <w:rPr>
                <w:webHidden/>
                <w:rStyle w:val="IndexLink"/>
                <w:rtl w:val="true"/>
              </w:rPr>
              <w:t>گفتار اول</w:t>
            </w:r>
            <w:r>
              <w:rPr>
                <w:rStyle w:val="IndexLink"/>
                <w:rtl w:val="true"/>
              </w:rPr>
              <w:t xml:space="preserve">: </w:t>
            </w:r>
            <w:r>
              <w:rPr>
                <w:rStyle w:val="IndexLink"/>
                <w:rtl w:val="true"/>
              </w:rPr>
              <w:t>ادله وجوب بذل مال</w:t>
            </w:r>
            <w:r>
              <w:rPr>
                <w:rStyle w:val="IndexLink"/>
                <w:rtl w:val="true"/>
              </w:rPr>
              <w:tab/>
            </w:r>
            <w:r>
              <w:rPr>
                <w:rStyle w:val="IndexLink"/>
              </w:rPr>
              <w:t>442</w:t>
            </w:r>
          </w:hyperlink>
        </w:p>
        <w:p>
          <w:pPr>
            <w:pStyle w:val="Contents5"/>
            <w:tabs>
              <w:tab w:val="clear" w:pos="7892"/>
              <w:tab w:val="right" w:pos="9026" w:leader="dot"/>
            </w:tabs>
            <w:rPr/>
          </w:pPr>
          <w:hyperlink w:anchor="__RefHeading___Toc15203134_1280447820">
            <w:r>
              <w:rPr>
                <w:webHidden/>
                <w:rStyle w:val="IndexLink"/>
                <w:rtl w:val="true"/>
              </w:rPr>
              <w:t>گفتار دوم</w:t>
            </w:r>
            <w:r>
              <w:rPr>
                <w:rStyle w:val="IndexLink"/>
                <w:rtl w:val="true"/>
              </w:rPr>
              <w:t xml:space="preserve">: </w:t>
            </w:r>
            <w:r>
              <w:rPr>
                <w:rStyle w:val="IndexLink"/>
                <w:rtl w:val="true"/>
              </w:rPr>
              <w:t>ضمان هزینه تطهیر مسجد</w:t>
            </w:r>
            <w:r>
              <w:rPr>
                <w:rStyle w:val="IndexLink"/>
                <w:rtl w:val="true"/>
              </w:rPr>
              <w:tab/>
            </w:r>
            <w:r>
              <w:rPr>
                <w:rStyle w:val="IndexLink"/>
              </w:rPr>
              <w:t>443</w:t>
            </w:r>
          </w:hyperlink>
        </w:p>
        <w:p>
          <w:pPr>
            <w:pStyle w:val="Contents3"/>
            <w:tabs>
              <w:tab w:val="clear" w:pos="8459"/>
              <w:tab w:val="right" w:pos="9026" w:leader="dot"/>
            </w:tabs>
            <w:rPr/>
          </w:pPr>
          <w:hyperlink w:anchor="__RefHeading___Toc15203136_1280447820">
            <w:r>
              <w:rPr>
                <w:webHidden/>
                <w:rStyle w:val="IndexLink"/>
                <w:rtl w:val="true"/>
              </w:rPr>
              <w:t>فصل سوم</w:t>
            </w:r>
            <w:r>
              <w:rPr>
                <w:rStyle w:val="IndexLink"/>
                <w:rtl w:val="true"/>
              </w:rPr>
              <w:t xml:space="preserve">: </w:t>
            </w:r>
            <w:r>
              <w:rPr>
                <w:rStyle w:val="IndexLink"/>
                <w:rtl w:val="true"/>
              </w:rPr>
              <w:t>بررسی ورود گروههای خاص به مسجد</w:t>
            </w:r>
            <w:r>
              <w:rPr>
                <w:rStyle w:val="IndexLink"/>
                <w:rtl w:val="true"/>
              </w:rPr>
              <w:tab/>
            </w:r>
            <w:r>
              <w:rPr>
                <w:rStyle w:val="IndexLink"/>
              </w:rPr>
              <w:t>445</w:t>
            </w:r>
          </w:hyperlink>
        </w:p>
        <w:p>
          <w:pPr>
            <w:pStyle w:val="Contents4"/>
            <w:tabs>
              <w:tab w:val="clear" w:pos="8176"/>
              <w:tab w:val="right" w:pos="9026" w:leader="dot"/>
            </w:tabs>
            <w:rPr/>
          </w:pPr>
          <w:hyperlink w:anchor="__RefHeading___Toc15203138_1280447820">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15203140_1280447820">
            <w:r>
              <w:rPr>
                <w:webHidden/>
                <w:rStyle w:val="IndexLink"/>
                <w:rtl w:val="true"/>
              </w:rPr>
              <w:t>مبحث اول</w:t>
            </w:r>
            <w:r>
              <w:rPr>
                <w:rStyle w:val="IndexLink"/>
                <w:rtl w:val="true"/>
              </w:rPr>
              <w:t xml:space="preserve">: </w:t>
            </w:r>
            <w:r>
              <w:rPr>
                <w:rStyle w:val="IndexLink"/>
                <w:rtl w:val="true"/>
              </w:rPr>
              <w:t>حضور زنان در مسجد</w:t>
            </w:r>
            <w:r>
              <w:rPr>
                <w:rStyle w:val="IndexLink"/>
                <w:rtl w:val="true"/>
              </w:rPr>
              <w:tab/>
            </w:r>
            <w:r>
              <w:rPr>
                <w:rStyle w:val="IndexLink"/>
              </w:rPr>
              <w:t>447</w:t>
            </w:r>
          </w:hyperlink>
        </w:p>
        <w:p>
          <w:pPr>
            <w:pStyle w:val="Contents5"/>
            <w:tabs>
              <w:tab w:val="clear" w:pos="7892"/>
              <w:tab w:val="right" w:pos="9026" w:leader="dot"/>
            </w:tabs>
            <w:rPr/>
          </w:pPr>
          <w:hyperlink w:anchor="__RefHeading___Toc15203142_1280447820">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5203144_1280447820">
            <w:r>
              <w:rPr>
                <w:webHidden/>
                <w:rStyle w:val="IndexLink"/>
                <w:rtl w:val="true"/>
              </w:rPr>
              <w:t>گفتار اول</w:t>
            </w:r>
            <w:r>
              <w:rPr>
                <w:rStyle w:val="IndexLink"/>
                <w:rtl w:val="true"/>
              </w:rPr>
              <w:t xml:space="preserve">: </w:t>
            </w:r>
            <w:r>
              <w:rPr>
                <w:rStyle w:val="IndexLink"/>
                <w:rtl w:val="true"/>
              </w:rPr>
              <w:t>ادله دیدگاه نخست؛ عدم استحباب</w:t>
            </w:r>
            <w:r>
              <w:rPr>
                <w:rStyle w:val="IndexLink"/>
                <w:rtl w:val="true"/>
              </w:rPr>
              <w:tab/>
            </w:r>
            <w:r>
              <w:rPr>
                <w:rStyle w:val="IndexLink"/>
              </w:rPr>
              <w:t>447</w:t>
            </w:r>
          </w:hyperlink>
        </w:p>
        <w:p>
          <w:pPr>
            <w:pStyle w:val="Contents5"/>
            <w:tabs>
              <w:tab w:val="clear" w:pos="7892"/>
              <w:tab w:val="right" w:pos="9026" w:leader="dot"/>
            </w:tabs>
            <w:rPr/>
          </w:pPr>
          <w:hyperlink w:anchor="__RefHeading___Toc15203146_1280447820">
            <w:r>
              <w:rPr>
                <w:webHidden/>
                <w:rStyle w:val="IndexLink"/>
                <w:rtl w:val="true"/>
              </w:rPr>
              <w:t>گفتار دوم</w:t>
            </w:r>
            <w:r>
              <w:rPr>
                <w:rStyle w:val="IndexLink"/>
                <w:rtl w:val="true"/>
              </w:rPr>
              <w:t xml:space="preserve">: </w:t>
            </w:r>
            <w:r>
              <w:rPr>
                <w:rStyle w:val="IndexLink"/>
                <w:rtl w:val="true"/>
              </w:rPr>
              <w:t>ادله دیدگاه دوم</w:t>
            </w:r>
            <w:r>
              <w:rPr>
                <w:rStyle w:val="IndexLink"/>
                <w:rtl w:val="true"/>
              </w:rPr>
              <w:t xml:space="preserve">: </w:t>
            </w:r>
            <w:r>
              <w:rPr>
                <w:rStyle w:val="IndexLink"/>
                <w:rtl w:val="true"/>
              </w:rPr>
              <w:t>استحباب</w:t>
            </w:r>
            <w:r>
              <w:rPr>
                <w:rStyle w:val="IndexLink"/>
                <w:rtl w:val="true"/>
              </w:rPr>
              <w:tab/>
            </w:r>
            <w:r>
              <w:rPr>
                <w:rStyle w:val="IndexLink"/>
              </w:rPr>
              <w:t>450</w:t>
            </w:r>
          </w:hyperlink>
        </w:p>
        <w:p>
          <w:pPr>
            <w:pStyle w:val="Contents6"/>
            <w:tabs>
              <w:tab w:val="clear" w:pos="7609"/>
              <w:tab w:val="right" w:pos="9026" w:leader="dot"/>
            </w:tabs>
            <w:rPr/>
          </w:pPr>
          <w:hyperlink w:anchor="__RefHeading___Toc15203148_1280447820">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15203150_1280447820">
            <w:r>
              <w:rPr>
                <w:webHidden/>
                <w:rStyle w:val="IndexLink"/>
                <w:rtl w:val="true"/>
              </w:rPr>
              <w:t>ادله جواز رفتن زنان به مسجد در منابع اهل سنّت</w:t>
            </w:r>
            <w:r>
              <w:rPr>
                <w:rStyle w:val="IndexLink"/>
                <w:rtl w:val="true"/>
              </w:rPr>
              <w:tab/>
            </w:r>
            <w:r>
              <w:rPr>
                <w:rStyle w:val="IndexLink"/>
              </w:rPr>
              <w:t>452</w:t>
            </w:r>
          </w:hyperlink>
        </w:p>
        <w:p>
          <w:pPr>
            <w:pStyle w:val="Contents4"/>
            <w:tabs>
              <w:tab w:val="clear" w:pos="8176"/>
              <w:tab w:val="right" w:pos="9026" w:leader="dot"/>
            </w:tabs>
            <w:rPr/>
          </w:pPr>
          <w:hyperlink w:anchor="__RefHeading___Toc15203152_1280447820">
            <w:r>
              <w:rPr>
                <w:webHidden/>
                <w:rStyle w:val="IndexLink"/>
                <w:rtl w:val="true"/>
              </w:rPr>
              <w:t>مبحث دوم</w:t>
            </w:r>
            <w:r>
              <w:rPr>
                <w:rStyle w:val="IndexLink"/>
                <w:rtl w:val="true"/>
              </w:rPr>
              <w:t xml:space="preserve">: </w:t>
            </w:r>
            <w:r>
              <w:rPr>
                <w:rStyle w:val="IndexLink"/>
                <w:rtl w:val="true"/>
              </w:rPr>
              <w:t>راه دادن کودکان و دیوانگان به مسجد</w:t>
            </w:r>
            <w:r>
              <w:rPr>
                <w:rStyle w:val="IndexLink"/>
                <w:rtl w:val="true"/>
              </w:rPr>
              <w:tab/>
            </w:r>
            <w:r>
              <w:rPr>
                <w:rStyle w:val="IndexLink"/>
              </w:rPr>
              <w:t>454</w:t>
            </w:r>
          </w:hyperlink>
        </w:p>
        <w:p>
          <w:pPr>
            <w:pStyle w:val="Contents5"/>
            <w:tabs>
              <w:tab w:val="clear" w:pos="7892"/>
              <w:tab w:val="right" w:pos="9026" w:leader="dot"/>
            </w:tabs>
            <w:rPr/>
          </w:pPr>
          <w:hyperlink w:anchor="__RefHeading___Toc15203154_1280447820">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15203156_1280447820">
            <w:r>
              <w:rPr>
                <w:webHidden/>
                <w:rStyle w:val="IndexLink"/>
                <w:rtl w:val="true"/>
              </w:rPr>
              <w:t>الف</w:t>
            </w:r>
            <w:r>
              <w:rPr>
                <w:rStyle w:val="IndexLink"/>
                <w:rtl w:val="true"/>
              </w:rPr>
              <w:t xml:space="preserve">) </w:t>
            </w:r>
            <w:r>
              <w:rPr>
                <w:rStyle w:val="IndexLink"/>
                <w:rtl w:val="true"/>
              </w:rPr>
              <w:t>دیدگاه نخست</w:t>
            </w:r>
            <w:r>
              <w:rPr>
                <w:rStyle w:val="IndexLink"/>
                <w:rtl w:val="true"/>
              </w:rPr>
              <w:t xml:space="preserve">: </w:t>
            </w:r>
            <w:r>
              <w:rPr>
                <w:rStyle w:val="IndexLink"/>
                <w:rtl w:val="true"/>
              </w:rPr>
              <w:t>کراهت</w:t>
            </w:r>
            <w:r>
              <w:rPr>
                <w:rStyle w:val="IndexLink"/>
                <w:rtl w:val="true"/>
              </w:rPr>
              <w:tab/>
            </w:r>
            <w:r>
              <w:rPr>
                <w:rStyle w:val="IndexLink"/>
              </w:rPr>
              <w:t>455</w:t>
            </w:r>
          </w:hyperlink>
        </w:p>
        <w:p>
          <w:pPr>
            <w:pStyle w:val="Contents6"/>
            <w:tabs>
              <w:tab w:val="clear" w:pos="7609"/>
              <w:tab w:val="right" w:pos="9026" w:leader="dot"/>
            </w:tabs>
            <w:rPr/>
          </w:pPr>
          <w:hyperlink w:anchor="__RefHeading___Toc15203158_1280447820">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15203160_1280447820">
            <w:r>
              <w:rPr>
                <w:webHidden/>
                <w:rStyle w:val="IndexLink"/>
                <w:rtl w:val="true"/>
              </w:rPr>
              <w:t>ادله کراهت</w:t>
            </w:r>
            <w:r>
              <w:rPr>
                <w:rStyle w:val="IndexLink"/>
                <w:rtl w:val="true"/>
              </w:rPr>
              <w:tab/>
            </w:r>
            <w:r>
              <w:rPr>
                <w:rStyle w:val="IndexLink"/>
              </w:rPr>
              <w:t>455</w:t>
            </w:r>
          </w:hyperlink>
        </w:p>
        <w:p>
          <w:pPr>
            <w:pStyle w:val="Contents5"/>
            <w:tabs>
              <w:tab w:val="clear" w:pos="7892"/>
              <w:tab w:val="right" w:pos="9026" w:leader="dot"/>
            </w:tabs>
            <w:rPr/>
          </w:pPr>
          <w:hyperlink w:anchor="__RefHeading___Toc15203162_1280447820">
            <w:r>
              <w:rPr>
                <w:webHidden/>
                <w:rStyle w:val="IndexLink"/>
                <w:rtl w:val="true"/>
              </w:rPr>
              <w:t>ب</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اباحه</w:t>
            </w:r>
            <w:r>
              <w:rPr>
                <w:rStyle w:val="IndexLink"/>
                <w:rtl w:val="true"/>
              </w:rPr>
              <w:tab/>
            </w:r>
            <w:r>
              <w:rPr>
                <w:rStyle w:val="IndexLink"/>
              </w:rPr>
              <w:t>457</w:t>
            </w:r>
          </w:hyperlink>
        </w:p>
        <w:p>
          <w:pPr>
            <w:pStyle w:val="Contents5"/>
            <w:tabs>
              <w:tab w:val="clear" w:pos="7892"/>
              <w:tab w:val="right" w:pos="9026" w:leader="dot"/>
            </w:tabs>
            <w:rPr/>
          </w:pPr>
          <w:hyperlink w:anchor="__RefHeading___Toc15203164_1280447820">
            <w:r>
              <w:rPr>
                <w:webHidden/>
                <w:rStyle w:val="IndexLink"/>
                <w:rtl w:val="true"/>
              </w:rPr>
              <w:t>ج</w:t>
            </w:r>
            <w:r>
              <w:rPr>
                <w:rStyle w:val="IndexLink"/>
                <w:rtl w:val="true"/>
              </w:rPr>
              <w:t xml:space="preserve">) </w:t>
            </w:r>
            <w:r>
              <w:rPr>
                <w:rStyle w:val="IndexLink"/>
                <w:rtl w:val="true"/>
              </w:rPr>
              <w:t>دیدگاه سوم</w:t>
            </w:r>
            <w:r>
              <w:rPr>
                <w:rStyle w:val="IndexLink"/>
                <w:rtl w:val="true"/>
              </w:rPr>
              <w:t xml:space="preserve">: </w:t>
            </w:r>
            <w:r>
              <w:rPr>
                <w:rStyle w:val="IndexLink"/>
                <w:rtl w:val="true"/>
              </w:rPr>
              <w:t>تفصیل</w:t>
            </w:r>
            <w:r>
              <w:rPr>
                <w:rStyle w:val="IndexLink"/>
                <w:rtl w:val="true"/>
              </w:rPr>
              <w:tab/>
            </w:r>
            <w:r>
              <w:rPr>
                <w:rStyle w:val="IndexLink"/>
              </w:rPr>
              <w:t>457</w:t>
            </w:r>
          </w:hyperlink>
        </w:p>
        <w:p>
          <w:pPr>
            <w:pStyle w:val="Contents5"/>
            <w:tabs>
              <w:tab w:val="clear" w:pos="7892"/>
              <w:tab w:val="right" w:pos="9026" w:leader="dot"/>
            </w:tabs>
            <w:rPr/>
          </w:pPr>
          <w:hyperlink w:anchor="__RefHeading___Toc15203166_1280447820">
            <w:r>
              <w:rPr>
                <w:webHidden/>
                <w:rStyle w:val="IndexLink"/>
                <w:rtl w:val="true"/>
              </w:rPr>
              <w:t>د</w:t>
            </w:r>
            <w:r>
              <w:rPr>
                <w:rStyle w:val="IndexLink"/>
                <w:rtl w:val="true"/>
              </w:rPr>
              <w:t xml:space="preserve">) </w:t>
            </w:r>
            <w:r>
              <w:rPr>
                <w:rStyle w:val="IndexLink"/>
                <w:rtl w:val="true"/>
              </w:rPr>
              <w:t>دیدگاه اهل سنت</w:t>
            </w:r>
            <w:r>
              <w:rPr>
                <w:rStyle w:val="IndexLink"/>
                <w:rtl w:val="true"/>
              </w:rPr>
              <w:tab/>
            </w:r>
            <w:r>
              <w:rPr>
                <w:rStyle w:val="IndexLink"/>
              </w:rPr>
              <w:t>459</w:t>
            </w:r>
          </w:hyperlink>
        </w:p>
        <w:p>
          <w:pPr>
            <w:pStyle w:val="Contents6"/>
            <w:tabs>
              <w:tab w:val="clear" w:pos="7609"/>
              <w:tab w:val="right" w:pos="9026" w:leader="dot"/>
            </w:tabs>
            <w:rPr/>
          </w:pPr>
          <w:hyperlink w:anchor="__RefHeading___Toc15203168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459</w:t>
            </w:r>
          </w:hyperlink>
        </w:p>
        <w:p>
          <w:pPr>
            <w:pStyle w:val="Contents6"/>
            <w:tabs>
              <w:tab w:val="clear" w:pos="7609"/>
              <w:tab w:val="right" w:pos="9026" w:leader="dot"/>
            </w:tabs>
            <w:rPr/>
          </w:pPr>
          <w:hyperlink w:anchor="__RefHeading___Toc15203170_1280447820">
            <w:r>
              <w:rPr>
                <w:webHidden/>
                <w:rStyle w:val="IndexLink"/>
              </w:rPr>
              <w:t>2</w:t>
            </w:r>
            <w:r>
              <w:rPr>
                <w:rStyle w:val="IndexLink"/>
                <w:rtl w:val="true"/>
              </w:rPr>
              <w:t xml:space="preserve">. </w:t>
            </w:r>
            <w:r>
              <w:rPr>
                <w:rStyle w:val="IndexLink"/>
                <w:rtl w:val="true"/>
              </w:rPr>
              <w:t>مذهب مالكي</w:t>
            </w:r>
            <w:r>
              <w:rPr>
                <w:rStyle w:val="IndexLink"/>
                <w:rtl w:val="true"/>
              </w:rPr>
              <w:tab/>
            </w:r>
            <w:r>
              <w:rPr>
                <w:rStyle w:val="IndexLink"/>
              </w:rPr>
              <w:t>459</w:t>
            </w:r>
          </w:hyperlink>
        </w:p>
        <w:p>
          <w:pPr>
            <w:pStyle w:val="Contents6"/>
            <w:tabs>
              <w:tab w:val="clear" w:pos="7609"/>
              <w:tab w:val="right" w:pos="9026" w:leader="dot"/>
            </w:tabs>
            <w:rPr/>
          </w:pPr>
          <w:hyperlink w:anchor="__RefHeading___Toc15203172_1280447820">
            <w:r>
              <w:rPr>
                <w:webHidden/>
                <w:rStyle w:val="IndexLink"/>
              </w:rPr>
              <w:t>3</w:t>
            </w:r>
            <w:r>
              <w:rPr>
                <w:rStyle w:val="IndexLink"/>
                <w:rtl w:val="true"/>
              </w:rPr>
              <w:t xml:space="preserve">. </w:t>
            </w:r>
            <w:r>
              <w:rPr>
                <w:rStyle w:val="IndexLink"/>
                <w:rtl w:val="true"/>
              </w:rPr>
              <w:t>مذهب شافعی</w:t>
            </w:r>
            <w:r>
              <w:rPr>
                <w:rStyle w:val="IndexLink"/>
                <w:rtl w:val="true"/>
              </w:rPr>
              <w:tab/>
            </w:r>
            <w:r>
              <w:rPr>
                <w:rStyle w:val="IndexLink"/>
              </w:rPr>
              <w:t>459</w:t>
            </w:r>
          </w:hyperlink>
        </w:p>
        <w:p>
          <w:pPr>
            <w:pStyle w:val="Contents6"/>
            <w:tabs>
              <w:tab w:val="clear" w:pos="7609"/>
              <w:tab w:val="right" w:pos="9026" w:leader="dot"/>
            </w:tabs>
            <w:rPr/>
          </w:pPr>
          <w:hyperlink w:anchor="__RefHeading___Toc15203174_1280447820">
            <w:r>
              <w:rPr>
                <w:webHidden/>
                <w:rStyle w:val="IndexLink"/>
              </w:rPr>
              <w:t>4</w:t>
            </w:r>
            <w:r>
              <w:rPr>
                <w:rStyle w:val="IndexLink"/>
                <w:rtl w:val="true"/>
              </w:rPr>
              <w:t xml:space="preserve">. </w:t>
            </w:r>
            <w:r>
              <w:rPr>
                <w:rStyle w:val="IndexLink"/>
                <w:rtl w:val="true"/>
              </w:rPr>
              <w:t>مذهب حنبلی</w:t>
            </w:r>
            <w:r>
              <w:rPr>
                <w:rStyle w:val="IndexLink"/>
                <w:rtl w:val="true"/>
              </w:rPr>
              <w:tab/>
            </w:r>
            <w:r>
              <w:rPr>
                <w:rStyle w:val="IndexLink"/>
              </w:rPr>
              <w:t>459</w:t>
            </w:r>
          </w:hyperlink>
        </w:p>
        <w:p>
          <w:pPr>
            <w:pStyle w:val="Contents4"/>
            <w:tabs>
              <w:tab w:val="clear" w:pos="8176"/>
              <w:tab w:val="right" w:pos="9026" w:leader="dot"/>
            </w:tabs>
            <w:rPr/>
          </w:pPr>
          <w:hyperlink w:anchor="__RefHeading___Toc15203176_1280447820">
            <w:r>
              <w:rPr>
                <w:webHidden/>
                <w:rStyle w:val="IndexLink"/>
                <w:rtl w:val="true"/>
              </w:rPr>
              <w:t>مبحث سوم داخل شدن کفار به مسجد</w:t>
            </w:r>
            <w:r>
              <w:rPr>
                <w:rStyle w:val="IndexLink"/>
                <w:rtl w:val="true"/>
              </w:rPr>
              <w:tab/>
            </w:r>
            <w:r>
              <w:rPr>
                <w:rStyle w:val="IndexLink"/>
              </w:rPr>
              <w:t>460</w:t>
            </w:r>
          </w:hyperlink>
        </w:p>
        <w:p>
          <w:pPr>
            <w:pStyle w:val="Contents5"/>
            <w:tabs>
              <w:tab w:val="clear" w:pos="7892"/>
              <w:tab w:val="right" w:pos="9026" w:leader="dot"/>
            </w:tabs>
            <w:rPr/>
          </w:pPr>
          <w:hyperlink w:anchor="__RefHeading___Toc15203178_1280447820">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15203180_1280447820">
            <w:r>
              <w:rPr>
                <w:webHidden/>
                <w:rStyle w:val="IndexLink"/>
                <w:rtl w:val="true"/>
              </w:rPr>
              <w:t>گفتار اول</w:t>
            </w:r>
            <w:r>
              <w:rPr>
                <w:rStyle w:val="IndexLink"/>
                <w:rtl w:val="true"/>
              </w:rPr>
              <w:t xml:space="preserve">: </w:t>
            </w:r>
            <w:r>
              <w:rPr>
                <w:rStyle w:val="IndexLink"/>
                <w:rtl w:val="true"/>
              </w:rPr>
              <w:t>دیدگاه فقیهان امامیه</w:t>
            </w:r>
            <w:r>
              <w:rPr>
                <w:rStyle w:val="IndexLink"/>
                <w:rtl w:val="true"/>
              </w:rPr>
              <w:tab/>
            </w:r>
            <w:r>
              <w:rPr>
                <w:rStyle w:val="IndexLink"/>
              </w:rPr>
              <w:t>460</w:t>
            </w:r>
          </w:hyperlink>
        </w:p>
        <w:p>
          <w:pPr>
            <w:pStyle w:val="Contents6"/>
            <w:tabs>
              <w:tab w:val="clear" w:pos="7609"/>
              <w:tab w:val="right" w:pos="9026" w:leader="dot"/>
            </w:tabs>
            <w:rPr/>
          </w:pPr>
          <w:hyperlink w:anchor="__RefHeading___Toc15203182_1280447820">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15203184_1280447820">
            <w:r>
              <w:rPr>
                <w:webHidden/>
                <w:rStyle w:val="IndexLink"/>
                <w:rtl w:val="true"/>
              </w:rPr>
              <w:t>الف</w:t>
            </w:r>
            <w:r>
              <w:rPr>
                <w:rStyle w:val="IndexLink"/>
                <w:rtl w:val="true"/>
              </w:rPr>
              <w:t xml:space="preserve">) </w:t>
            </w:r>
            <w:r>
              <w:rPr>
                <w:rStyle w:val="IndexLink"/>
                <w:rtl w:val="true"/>
              </w:rPr>
              <w:t>دیدگاه اول</w:t>
            </w:r>
            <w:r>
              <w:rPr>
                <w:rStyle w:val="IndexLink"/>
                <w:rtl w:val="true"/>
              </w:rPr>
              <w:t xml:space="preserve">: </w:t>
            </w:r>
            <w:r>
              <w:rPr>
                <w:rStyle w:val="IndexLink"/>
                <w:rtl w:val="true"/>
              </w:rPr>
              <w:t>حرمت مطلقا</w:t>
            </w:r>
            <w:r>
              <w:rPr>
                <w:rStyle w:val="IndexLink"/>
                <w:rtl w:val="true"/>
              </w:rPr>
              <w:tab/>
            </w:r>
            <w:r>
              <w:rPr>
                <w:rStyle w:val="IndexLink"/>
              </w:rPr>
              <w:t>460</w:t>
            </w:r>
          </w:hyperlink>
        </w:p>
        <w:p>
          <w:pPr>
            <w:pStyle w:val="Contents6"/>
            <w:tabs>
              <w:tab w:val="clear" w:pos="7609"/>
              <w:tab w:val="right" w:pos="9026" w:leader="dot"/>
            </w:tabs>
            <w:rPr/>
          </w:pPr>
          <w:hyperlink w:anchor="__RefHeading___Toc15203186_1280447820">
            <w:r>
              <w:rPr>
                <w:webHidden/>
                <w:rStyle w:val="IndexLink"/>
                <w:rtl w:val="true"/>
              </w:rPr>
              <w:t>ب</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حرمت در صورت هتک حرمت</w:t>
            </w:r>
            <w:r>
              <w:rPr>
                <w:rStyle w:val="IndexLink"/>
                <w:rtl w:val="true"/>
              </w:rPr>
              <w:tab/>
            </w:r>
            <w:r>
              <w:rPr>
                <w:rStyle w:val="IndexLink"/>
              </w:rPr>
              <w:t>462</w:t>
            </w:r>
          </w:hyperlink>
        </w:p>
        <w:p>
          <w:pPr>
            <w:pStyle w:val="Contents5"/>
            <w:tabs>
              <w:tab w:val="clear" w:pos="7892"/>
              <w:tab w:val="right" w:pos="9026" w:leader="dot"/>
            </w:tabs>
            <w:rPr/>
          </w:pPr>
          <w:hyperlink w:anchor="__RefHeading___Toc15203188_1280447820">
            <w:r>
              <w:rPr>
                <w:webHidden/>
                <w:rStyle w:val="IndexLink"/>
                <w:rtl w:val="true"/>
              </w:rPr>
              <w:t>گفتار دوم</w:t>
            </w:r>
            <w:r>
              <w:rPr>
                <w:rStyle w:val="IndexLink"/>
                <w:rtl w:val="true"/>
              </w:rPr>
              <w:t xml:space="preserve">: </w:t>
            </w:r>
            <w:r>
              <w:rPr>
                <w:rStyle w:val="IndexLink"/>
                <w:rtl w:val="true"/>
              </w:rPr>
              <w:t>دیدگاه اهل سنّت</w:t>
            </w:r>
            <w:r>
              <w:rPr>
                <w:rStyle w:val="IndexLink"/>
                <w:rtl w:val="true"/>
              </w:rPr>
              <w:tab/>
            </w:r>
            <w:r>
              <w:rPr>
                <w:rStyle w:val="IndexLink"/>
              </w:rPr>
              <w:t>462</w:t>
            </w:r>
          </w:hyperlink>
        </w:p>
        <w:p>
          <w:pPr>
            <w:pStyle w:val="Contents6"/>
            <w:tabs>
              <w:tab w:val="clear" w:pos="7609"/>
              <w:tab w:val="right" w:pos="9026" w:leader="dot"/>
            </w:tabs>
            <w:rPr/>
          </w:pPr>
          <w:hyperlink w:anchor="__RefHeading___Toc15203190_1280447820">
            <w:r>
              <w:rPr>
                <w:webHidden/>
                <w:rStyle w:val="IndexLink"/>
              </w:rPr>
              <w:t>1</w:t>
            </w:r>
            <w:r>
              <w:rPr>
                <w:rStyle w:val="IndexLink"/>
                <w:rtl w:val="true"/>
              </w:rPr>
              <w:t xml:space="preserve">. </w:t>
            </w:r>
            <w:r>
              <w:rPr>
                <w:rStyle w:val="IndexLink"/>
                <w:rtl w:val="true"/>
              </w:rPr>
              <w:t>مذهب مالكي</w:t>
            </w:r>
            <w:r>
              <w:rPr>
                <w:rStyle w:val="IndexLink"/>
                <w:rtl w:val="true"/>
              </w:rPr>
              <w:tab/>
            </w:r>
            <w:r>
              <w:rPr>
                <w:rStyle w:val="IndexLink"/>
              </w:rPr>
              <w:t>462</w:t>
            </w:r>
          </w:hyperlink>
        </w:p>
        <w:p>
          <w:pPr>
            <w:pStyle w:val="Contents6"/>
            <w:tabs>
              <w:tab w:val="clear" w:pos="7609"/>
              <w:tab w:val="right" w:pos="9026" w:leader="dot"/>
            </w:tabs>
            <w:rPr/>
          </w:pPr>
          <w:hyperlink w:anchor="__RefHeading___Toc15203192_1280447820">
            <w:r>
              <w:rPr>
                <w:webHidden/>
                <w:rStyle w:val="IndexLink"/>
              </w:rPr>
              <w:t>2</w:t>
            </w:r>
            <w:r>
              <w:rPr>
                <w:rStyle w:val="IndexLink"/>
                <w:rtl w:val="true"/>
              </w:rPr>
              <w:t xml:space="preserve">. </w:t>
            </w:r>
            <w:r>
              <w:rPr>
                <w:rStyle w:val="IndexLink"/>
                <w:rtl w:val="true"/>
              </w:rPr>
              <w:t>مذهب شافعی</w:t>
            </w:r>
            <w:r>
              <w:rPr>
                <w:rStyle w:val="IndexLink"/>
                <w:rtl w:val="true"/>
              </w:rPr>
              <w:tab/>
            </w:r>
            <w:r>
              <w:rPr>
                <w:rStyle w:val="IndexLink"/>
              </w:rPr>
              <w:t>462</w:t>
            </w:r>
          </w:hyperlink>
        </w:p>
        <w:p>
          <w:pPr>
            <w:pStyle w:val="Contents6"/>
            <w:tabs>
              <w:tab w:val="clear" w:pos="7609"/>
              <w:tab w:val="right" w:pos="9026" w:leader="dot"/>
            </w:tabs>
            <w:rPr/>
          </w:pPr>
          <w:hyperlink w:anchor="__RefHeading___Toc15203194_1280447820">
            <w:r>
              <w:rPr>
                <w:webHidden/>
                <w:rStyle w:val="IndexLink"/>
              </w:rPr>
              <w:t>3</w:t>
            </w:r>
            <w:r>
              <w:rPr>
                <w:rStyle w:val="IndexLink"/>
                <w:rtl w:val="true"/>
              </w:rPr>
              <w:t xml:space="preserve">. </w:t>
            </w:r>
            <w:r>
              <w:rPr>
                <w:rStyle w:val="IndexLink"/>
                <w:rtl w:val="true"/>
              </w:rPr>
              <w:t>مذهب حنفی</w:t>
            </w:r>
            <w:r>
              <w:rPr>
                <w:rStyle w:val="IndexLink"/>
                <w:rtl w:val="true"/>
              </w:rPr>
              <w:tab/>
            </w:r>
            <w:r>
              <w:rPr>
                <w:rStyle w:val="IndexLink"/>
              </w:rPr>
              <w:t>462</w:t>
            </w:r>
          </w:hyperlink>
        </w:p>
        <w:p>
          <w:pPr>
            <w:pStyle w:val="Contents3"/>
            <w:tabs>
              <w:tab w:val="clear" w:pos="8459"/>
              <w:tab w:val="right" w:pos="9026" w:leader="dot"/>
            </w:tabs>
            <w:rPr/>
          </w:pPr>
          <w:hyperlink w:anchor="__RefHeading___Toc15203196_1280447820">
            <w:r>
              <w:rPr>
                <w:webHidden/>
                <w:rStyle w:val="IndexLink"/>
                <w:rtl w:val="true"/>
              </w:rPr>
              <w:t>فصل چهارم</w:t>
            </w:r>
            <w:r>
              <w:rPr>
                <w:rStyle w:val="IndexLink"/>
                <w:rtl w:val="true"/>
              </w:rPr>
              <w:t xml:space="preserve">: </w:t>
            </w:r>
            <w:r>
              <w:rPr>
                <w:rStyle w:val="IndexLink"/>
                <w:rtl w:val="true"/>
              </w:rPr>
              <w:t>برخی از مکروهات مرتبط با کاربران مسجد</w:t>
            </w:r>
            <w:r>
              <w:rPr>
                <w:rStyle w:val="IndexLink"/>
                <w:rtl w:val="true"/>
              </w:rPr>
              <w:tab/>
            </w:r>
            <w:r>
              <w:rPr>
                <w:rStyle w:val="IndexLink"/>
              </w:rPr>
              <w:t>463</w:t>
            </w:r>
          </w:hyperlink>
        </w:p>
        <w:p>
          <w:pPr>
            <w:pStyle w:val="Contents4"/>
            <w:tabs>
              <w:tab w:val="clear" w:pos="8176"/>
              <w:tab w:val="right" w:pos="9026" w:leader="dot"/>
            </w:tabs>
            <w:rPr/>
          </w:pPr>
          <w:hyperlink w:anchor="__RefHeading___Toc15203198_1280447820">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5203200_1280447820">
            <w:r>
              <w:rPr>
                <w:webHidden/>
                <w:rStyle w:val="IndexLink"/>
                <w:rtl w:val="true"/>
              </w:rPr>
              <w:t>مبحث اول</w:t>
            </w:r>
            <w:r>
              <w:rPr>
                <w:rStyle w:val="IndexLink"/>
                <w:rtl w:val="true"/>
              </w:rPr>
              <w:t xml:space="preserve">: </w:t>
            </w:r>
            <w:r>
              <w:rPr>
                <w:rStyle w:val="IndexLink"/>
                <w:rtl w:val="true"/>
              </w:rPr>
              <w:t>مکروهات گفتاری</w:t>
            </w:r>
            <w:r>
              <w:rPr>
                <w:rStyle w:val="IndexLink"/>
                <w:rtl w:val="true"/>
              </w:rPr>
              <w:tab/>
            </w:r>
            <w:r>
              <w:rPr>
                <w:rStyle w:val="IndexLink"/>
              </w:rPr>
              <w:t>465</w:t>
            </w:r>
          </w:hyperlink>
        </w:p>
        <w:p>
          <w:pPr>
            <w:pStyle w:val="Contents5"/>
            <w:tabs>
              <w:tab w:val="clear" w:pos="7892"/>
              <w:tab w:val="right" w:pos="9026" w:leader="dot"/>
            </w:tabs>
            <w:rPr/>
          </w:pPr>
          <w:hyperlink w:anchor="__RefHeading___Toc15203202_1280447820">
            <w:r>
              <w:rPr>
                <w:webHidden/>
                <w:rStyle w:val="IndexLink"/>
                <w:rtl w:val="true"/>
              </w:rPr>
              <w:t>گفتار اول</w:t>
            </w:r>
            <w:r>
              <w:rPr>
                <w:rStyle w:val="IndexLink"/>
                <w:rtl w:val="true"/>
              </w:rPr>
              <w:t xml:space="preserve">: </w:t>
            </w:r>
            <w:r>
              <w:rPr>
                <w:rStyle w:val="IndexLink"/>
                <w:rtl w:val="true"/>
              </w:rPr>
              <w:t>صحبت کردن پیرامون امور دنیوی</w:t>
            </w:r>
            <w:r>
              <w:rPr>
                <w:rStyle w:val="IndexLink"/>
                <w:rtl w:val="true"/>
              </w:rPr>
              <w:tab/>
            </w:r>
            <w:r>
              <w:rPr>
                <w:rStyle w:val="IndexLink"/>
              </w:rPr>
              <w:t>465</w:t>
            </w:r>
          </w:hyperlink>
        </w:p>
        <w:p>
          <w:pPr>
            <w:pStyle w:val="Contents6"/>
            <w:tabs>
              <w:tab w:val="clear" w:pos="7609"/>
              <w:tab w:val="right" w:pos="9026" w:leader="dot"/>
            </w:tabs>
            <w:rPr/>
          </w:pPr>
          <w:hyperlink w:anchor="__RefHeading___Toc15203204_1280447820">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15203206_1280447820">
            <w:r>
              <w:rPr>
                <w:webHidden/>
                <w:rStyle w:val="IndexLink"/>
                <w:rtl w:val="true"/>
              </w:rPr>
              <w:t>دیدگاه اهل سنّت</w:t>
            </w:r>
            <w:r>
              <w:rPr>
                <w:rStyle w:val="IndexLink"/>
                <w:rtl w:val="true"/>
              </w:rPr>
              <w:tab/>
            </w:r>
            <w:r>
              <w:rPr>
                <w:rStyle w:val="IndexLink"/>
              </w:rPr>
              <w:t>466</w:t>
            </w:r>
          </w:hyperlink>
        </w:p>
        <w:p>
          <w:pPr>
            <w:pStyle w:val="Contents6"/>
            <w:tabs>
              <w:tab w:val="clear" w:pos="7609"/>
              <w:tab w:val="right" w:pos="9026" w:leader="dot"/>
            </w:tabs>
            <w:rPr/>
          </w:pPr>
          <w:hyperlink w:anchor="__RefHeading___Toc15203208_1280447820">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15203210_1280447820">
            <w:r>
              <w:rPr>
                <w:webHidden/>
                <w:rStyle w:val="IndexLink"/>
              </w:rPr>
              <w:t>1</w:t>
            </w:r>
            <w:r>
              <w:rPr>
                <w:rStyle w:val="IndexLink"/>
                <w:rtl w:val="true"/>
              </w:rPr>
              <w:t>و</w:t>
            </w:r>
            <w:r>
              <w:rPr>
                <w:rStyle w:val="IndexLink"/>
              </w:rPr>
              <w:t>2</w:t>
            </w:r>
            <w:r>
              <w:rPr>
                <w:rStyle w:val="IndexLink"/>
                <w:rtl w:val="true"/>
              </w:rPr>
              <w:t>و</w:t>
            </w:r>
            <w:r>
              <w:rPr>
                <w:rStyle w:val="IndexLink"/>
              </w:rPr>
              <w:t>3</w:t>
            </w:r>
            <w:r>
              <w:rPr>
                <w:rStyle w:val="IndexLink"/>
                <w:rtl w:val="true"/>
              </w:rPr>
              <w:t xml:space="preserve">. </w:t>
            </w:r>
            <w:r>
              <w:rPr>
                <w:rStyle w:val="IndexLink"/>
                <w:rtl w:val="true"/>
              </w:rPr>
              <w:t>مذهب حنفی، مالکی و حنبلی</w:t>
            </w:r>
            <w:r>
              <w:rPr>
                <w:rStyle w:val="IndexLink"/>
                <w:rtl w:val="true"/>
              </w:rPr>
              <w:tab/>
            </w:r>
            <w:r>
              <w:rPr>
                <w:rStyle w:val="IndexLink"/>
              </w:rPr>
              <w:t>466</w:t>
            </w:r>
          </w:hyperlink>
        </w:p>
        <w:p>
          <w:pPr>
            <w:pStyle w:val="Contents6"/>
            <w:tabs>
              <w:tab w:val="clear" w:pos="7609"/>
              <w:tab w:val="right" w:pos="9026" w:leader="dot"/>
            </w:tabs>
            <w:rPr/>
          </w:pPr>
          <w:hyperlink w:anchor="__RefHeading___Toc15203212_1280447820">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15203214_1280447820">
            <w:r>
              <w:rPr>
                <w:webHidden/>
                <w:rStyle w:val="IndexLink"/>
              </w:rPr>
              <w:t>4</w:t>
            </w:r>
            <w:r>
              <w:rPr>
                <w:rStyle w:val="IndexLink"/>
                <w:rtl w:val="true"/>
              </w:rPr>
              <w:t xml:space="preserve">. </w:t>
            </w:r>
            <w:r>
              <w:rPr>
                <w:rStyle w:val="IndexLink"/>
                <w:rtl w:val="true"/>
              </w:rPr>
              <w:t>مذهب شافعی</w:t>
            </w:r>
            <w:r>
              <w:rPr>
                <w:rStyle w:val="IndexLink"/>
                <w:rtl w:val="true"/>
              </w:rPr>
              <w:tab/>
            </w:r>
            <w:r>
              <w:rPr>
                <w:rStyle w:val="IndexLink"/>
              </w:rPr>
              <w:t>467</w:t>
            </w:r>
          </w:hyperlink>
        </w:p>
        <w:p>
          <w:pPr>
            <w:pStyle w:val="Contents5"/>
            <w:tabs>
              <w:tab w:val="clear" w:pos="7892"/>
              <w:tab w:val="right" w:pos="9026" w:leader="dot"/>
            </w:tabs>
            <w:rPr/>
          </w:pPr>
          <w:hyperlink w:anchor="__RefHeading___Toc15203216_1280447820">
            <w:r>
              <w:rPr>
                <w:webHidden/>
                <w:rStyle w:val="IndexLink"/>
                <w:rtl w:val="true"/>
              </w:rPr>
              <w:t>گفتار دوم</w:t>
            </w:r>
            <w:r>
              <w:rPr>
                <w:rStyle w:val="IndexLink"/>
                <w:rtl w:val="true"/>
              </w:rPr>
              <w:t xml:space="preserve">: </w:t>
            </w:r>
            <w:r>
              <w:rPr>
                <w:rStyle w:val="IndexLink"/>
                <w:rtl w:val="true"/>
              </w:rPr>
              <w:t>بالا بردن صدا در مسجد</w:t>
            </w:r>
            <w:r>
              <w:rPr>
                <w:rStyle w:val="IndexLink"/>
                <w:rtl w:val="true"/>
              </w:rPr>
              <w:tab/>
            </w:r>
            <w:r>
              <w:rPr>
                <w:rStyle w:val="IndexLink"/>
              </w:rPr>
              <w:t>467</w:t>
            </w:r>
          </w:hyperlink>
        </w:p>
        <w:p>
          <w:pPr>
            <w:pStyle w:val="Contents6"/>
            <w:tabs>
              <w:tab w:val="clear" w:pos="7609"/>
              <w:tab w:val="right" w:pos="9026" w:leader="dot"/>
            </w:tabs>
            <w:rPr/>
          </w:pPr>
          <w:hyperlink w:anchor="__RefHeading___Toc15203218_1280447820">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15203220_1280447820">
            <w:r>
              <w:rPr>
                <w:webHidden/>
                <w:rStyle w:val="IndexLink"/>
                <w:rtl w:val="true"/>
              </w:rPr>
              <w:t>الف</w:t>
            </w:r>
            <w:r>
              <w:rPr>
                <w:rStyle w:val="IndexLink"/>
                <w:rtl w:val="true"/>
              </w:rPr>
              <w:t xml:space="preserve">) </w:t>
            </w:r>
            <w:r>
              <w:rPr>
                <w:rStyle w:val="IndexLink"/>
                <w:rtl w:val="true"/>
              </w:rPr>
              <w:t>ادله کراهت بالا بردن صدا در مسجد</w:t>
            </w:r>
            <w:r>
              <w:rPr>
                <w:rStyle w:val="IndexLink"/>
                <w:rtl w:val="true"/>
              </w:rPr>
              <w:tab/>
            </w:r>
            <w:r>
              <w:rPr>
                <w:rStyle w:val="IndexLink"/>
              </w:rPr>
              <w:t>468</w:t>
            </w:r>
          </w:hyperlink>
        </w:p>
        <w:p>
          <w:pPr>
            <w:pStyle w:val="Contents6"/>
            <w:tabs>
              <w:tab w:val="clear" w:pos="7609"/>
              <w:tab w:val="right" w:pos="9026" w:leader="dot"/>
            </w:tabs>
            <w:rPr/>
          </w:pPr>
          <w:hyperlink w:anchor="__RefHeading___Toc15203222_1280447820">
            <w:r>
              <w:rPr>
                <w:webHidden/>
                <w:rStyle w:val="IndexLink"/>
                <w:rtl w:val="true"/>
              </w:rPr>
              <w:t>ب</w:t>
            </w:r>
            <w:r>
              <w:rPr>
                <w:rStyle w:val="IndexLink"/>
                <w:rtl w:val="true"/>
              </w:rPr>
              <w:t xml:space="preserve">) </w:t>
            </w:r>
            <w:r>
              <w:rPr>
                <w:rStyle w:val="IndexLink"/>
                <w:rtl w:val="true"/>
              </w:rPr>
              <w:t>دیدگاه فقیهان امامیه</w:t>
            </w:r>
            <w:r>
              <w:rPr>
                <w:rStyle w:val="IndexLink"/>
                <w:rtl w:val="true"/>
              </w:rPr>
              <w:tab/>
            </w:r>
            <w:r>
              <w:rPr>
                <w:rStyle w:val="IndexLink"/>
              </w:rPr>
              <w:t>469</w:t>
            </w:r>
          </w:hyperlink>
        </w:p>
        <w:p>
          <w:pPr>
            <w:pStyle w:val="Contents6"/>
            <w:tabs>
              <w:tab w:val="clear" w:pos="7609"/>
              <w:tab w:val="right" w:pos="9026" w:leader="dot"/>
            </w:tabs>
            <w:rPr/>
          </w:pPr>
          <w:hyperlink w:anchor="__RefHeading___Toc15203224_1280447820">
            <w:r>
              <w:rPr>
                <w:webHidden/>
                <w:rStyle w:val="IndexLink"/>
                <w:rtl w:val="true"/>
              </w:rPr>
              <w:t>ج</w:t>
            </w:r>
            <w:r>
              <w:rPr>
                <w:rStyle w:val="IndexLink"/>
                <w:rtl w:val="true"/>
              </w:rPr>
              <w:t xml:space="preserve">) </w:t>
            </w:r>
            <w:r>
              <w:rPr>
                <w:rStyle w:val="IndexLink"/>
                <w:rtl w:val="true"/>
              </w:rPr>
              <w:t>دیدگاه فقیهان اهل سنّت</w:t>
            </w:r>
            <w:r>
              <w:rPr>
                <w:rStyle w:val="IndexLink"/>
                <w:rtl w:val="true"/>
              </w:rPr>
              <w:tab/>
            </w:r>
            <w:r>
              <w:rPr>
                <w:rStyle w:val="IndexLink"/>
              </w:rPr>
              <w:t>471</w:t>
            </w:r>
          </w:hyperlink>
        </w:p>
        <w:p>
          <w:pPr>
            <w:pStyle w:val="Contents6"/>
            <w:tabs>
              <w:tab w:val="clear" w:pos="7609"/>
              <w:tab w:val="right" w:pos="9026" w:leader="dot"/>
            </w:tabs>
            <w:rPr/>
          </w:pPr>
          <w:hyperlink w:anchor="__RefHeading___Toc15203226_1280447820">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15203228_12804478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مذهب حنفی و شافعی</w:t>
            </w:r>
            <w:r>
              <w:rPr>
                <w:rStyle w:val="IndexLink"/>
                <w:rtl w:val="true"/>
              </w:rPr>
              <w:tab/>
            </w:r>
            <w:r>
              <w:rPr>
                <w:rStyle w:val="IndexLink"/>
              </w:rPr>
              <w:t>471</w:t>
            </w:r>
          </w:hyperlink>
        </w:p>
        <w:p>
          <w:pPr>
            <w:pStyle w:val="Contents6"/>
            <w:tabs>
              <w:tab w:val="clear" w:pos="7609"/>
              <w:tab w:val="right" w:pos="9026" w:leader="dot"/>
            </w:tabs>
            <w:rPr/>
          </w:pPr>
          <w:hyperlink w:anchor="__RefHeading___Toc15203230_1280447820">
            <w:r>
              <w:rPr>
                <w:webHidden/>
                <w:rStyle w:val="IndexLink"/>
              </w:rPr>
              <w:t>3</w:t>
            </w:r>
            <w:r>
              <w:rPr>
                <w:rStyle w:val="IndexLink"/>
                <w:rtl w:val="true"/>
              </w:rPr>
              <w:t xml:space="preserve">. </w:t>
            </w:r>
            <w:r>
              <w:rPr>
                <w:rStyle w:val="IndexLink"/>
                <w:rtl w:val="true"/>
              </w:rPr>
              <w:t>مذهب مالکی</w:t>
            </w:r>
            <w:r>
              <w:rPr>
                <w:rStyle w:val="IndexLink"/>
                <w:rtl w:val="true"/>
              </w:rPr>
              <w:tab/>
            </w:r>
            <w:r>
              <w:rPr>
                <w:rStyle w:val="IndexLink"/>
              </w:rPr>
              <w:t>472</w:t>
            </w:r>
          </w:hyperlink>
        </w:p>
        <w:p>
          <w:pPr>
            <w:pStyle w:val="Contents6"/>
            <w:tabs>
              <w:tab w:val="clear" w:pos="7609"/>
              <w:tab w:val="right" w:pos="9026" w:leader="dot"/>
            </w:tabs>
            <w:rPr/>
          </w:pPr>
          <w:hyperlink w:anchor="__RefHeading___Toc15203232_1280447820">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15203234_1280447820">
            <w:r>
              <w:rPr>
                <w:webHidden/>
                <w:rStyle w:val="IndexLink"/>
              </w:rPr>
              <w:t>4</w:t>
            </w:r>
            <w:r>
              <w:rPr>
                <w:rStyle w:val="IndexLink"/>
                <w:rtl w:val="true"/>
              </w:rPr>
              <w:t xml:space="preserve">. </w:t>
            </w:r>
            <w:r>
              <w:rPr>
                <w:rStyle w:val="IndexLink"/>
                <w:rtl w:val="true"/>
              </w:rPr>
              <w:t>مذهب حنبلی</w:t>
            </w:r>
            <w:r>
              <w:rPr>
                <w:rStyle w:val="IndexLink"/>
                <w:rtl w:val="true"/>
              </w:rPr>
              <w:tab/>
            </w:r>
            <w:r>
              <w:rPr>
                <w:rStyle w:val="IndexLink"/>
              </w:rPr>
              <w:t>472</w:t>
            </w:r>
          </w:hyperlink>
        </w:p>
        <w:p>
          <w:pPr>
            <w:pStyle w:val="Contents5"/>
            <w:tabs>
              <w:tab w:val="clear" w:pos="7892"/>
              <w:tab w:val="right" w:pos="9026" w:leader="dot"/>
            </w:tabs>
            <w:rPr/>
          </w:pPr>
          <w:hyperlink w:anchor="__RefHeading___Toc15203236_1280447820">
            <w:r>
              <w:rPr>
                <w:webHidden/>
                <w:rStyle w:val="IndexLink"/>
                <w:rtl w:val="true"/>
              </w:rPr>
              <w:t>گفتار سوم</w:t>
            </w:r>
            <w:r>
              <w:rPr>
                <w:rStyle w:val="IndexLink"/>
                <w:rtl w:val="true"/>
              </w:rPr>
              <w:t xml:space="preserve">: </w:t>
            </w:r>
            <w:r>
              <w:rPr>
                <w:rStyle w:val="IndexLink"/>
                <w:rtl w:val="true"/>
              </w:rPr>
              <w:t>سخن گفتن به غیر عربی</w:t>
            </w:r>
            <w:r>
              <w:rPr>
                <w:rStyle w:val="IndexLink"/>
                <w:rtl w:val="true"/>
              </w:rPr>
              <w:tab/>
            </w:r>
            <w:r>
              <w:rPr>
                <w:rStyle w:val="IndexLink"/>
              </w:rPr>
              <w:t>472</w:t>
            </w:r>
          </w:hyperlink>
        </w:p>
        <w:p>
          <w:pPr>
            <w:pStyle w:val="Contents6"/>
            <w:tabs>
              <w:tab w:val="clear" w:pos="7609"/>
              <w:tab w:val="right" w:pos="9026" w:leader="dot"/>
            </w:tabs>
            <w:rPr/>
          </w:pPr>
          <w:hyperlink w:anchor="__RefHeading___Toc15203238_1280447820">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15203240_1280447820">
            <w:r>
              <w:rPr>
                <w:webHidden/>
                <w:rStyle w:val="IndexLink"/>
                <w:rtl w:val="true"/>
              </w:rPr>
              <w:t>الف</w:t>
            </w:r>
            <w:r>
              <w:rPr>
                <w:rStyle w:val="IndexLink"/>
                <w:rtl w:val="true"/>
              </w:rPr>
              <w:t xml:space="preserve">) </w:t>
            </w:r>
            <w:r>
              <w:rPr>
                <w:rStyle w:val="IndexLink"/>
                <w:rtl w:val="true"/>
              </w:rPr>
              <w:t>ادله فقیهان و ارزیابی آن</w:t>
            </w:r>
            <w:r>
              <w:rPr>
                <w:rStyle w:val="IndexLink"/>
                <w:rtl w:val="true"/>
              </w:rPr>
              <w:tab/>
            </w:r>
            <w:r>
              <w:rPr>
                <w:rStyle w:val="IndexLink"/>
              </w:rPr>
              <w:t>473</w:t>
            </w:r>
          </w:hyperlink>
        </w:p>
        <w:p>
          <w:pPr>
            <w:pStyle w:val="Contents4"/>
            <w:tabs>
              <w:tab w:val="clear" w:pos="8176"/>
              <w:tab w:val="right" w:pos="9026" w:leader="dot"/>
            </w:tabs>
            <w:rPr/>
          </w:pPr>
          <w:hyperlink w:anchor="__RefHeading___Toc15203242_1280447820">
            <w:r>
              <w:rPr>
                <w:webHidden/>
                <w:rStyle w:val="IndexLink"/>
                <w:rtl w:val="true"/>
              </w:rPr>
              <w:t>مبحث دوم</w:t>
            </w:r>
            <w:r>
              <w:rPr>
                <w:rStyle w:val="IndexLink"/>
                <w:rtl w:val="true"/>
              </w:rPr>
              <w:t xml:space="preserve">: </w:t>
            </w:r>
            <w:r>
              <w:rPr>
                <w:rStyle w:val="IndexLink"/>
                <w:rtl w:val="true"/>
              </w:rPr>
              <w:t>مکروهات رفتاری</w:t>
            </w:r>
            <w:r>
              <w:rPr>
                <w:rStyle w:val="IndexLink"/>
                <w:rtl w:val="true"/>
              </w:rPr>
              <w:tab/>
            </w:r>
            <w:r>
              <w:rPr>
                <w:rStyle w:val="IndexLink"/>
              </w:rPr>
              <w:t>476</w:t>
            </w:r>
          </w:hyperlink>
        </w:p>
        <w:p>
          <w:pPr>
            <w:pStyle w:val="Contents5"/>
            <w:tabs>
              <w:tab w:val="clear" w:pos="7892"/>
              <w:tab w:val="right" w:pos="9026" w:leader="dot"/>
            </w:tabs>
            <w:rPr/>
          </w:pPr>
          <w:hyperlink w:anchor="__RefHeading___Toc15203244_1280447820">
            <w:r>
              <w:rPr>
                <w:webHidden/>
                <w:rStyle w:val="IndexLink"/>
                <w:rtl w:val="true"/>
              </w:rPr>
              <w:t>گفتار اول</w:t>
            </w:r>
            <w:r>
              <w:rPr>
                <w:rStyle w:val="IndexLink"/>
                <w:rtl w:val="true"/>
              </w:rPr>
              <w:t xml:space="preserve">: </w:t>
            </w:r>
            <w:r>
              <w:rPr>
                <w:rStyle w:val="IndexLink"/>
                <w:rtl w:val="true"/>
              </w:rPr>
              <w:t>ورود به مسجد با بوی نامطبوع دهان</w:t>
            </w:r>
            <w:r>
              <w:rPr>
                <w:rStyle w:val="IndexLink"/>
                <w:rtl w:val="true"/>
              </w:rPr>
              <w:tab/>
            </w:r>
            <w:r>
              <w:rPr>
                <w:rStyle w:val="IndexLink"/>
              </w:rPr>
              <w:t>476</w:t>
            </w:r>
          </w:hyperlink>
        </w:p>
        <w:p>
          <w:pPr>
            <w:pStyle w:val="Contents5"/>
            <w:tabs>
              <w:tab w:val="clear" w:pos="7892"/>
              <w:tab w:val="right" w:pos="9026" w:leader="dot"/>
            </w:tabs>
            <w:rPr/>
          </w:pPr>
          <w:hyperlink w:anchor="__RefHeading___Toc15203246_1280447820">
            <w:r>
              <w:rPr>
                <w:webHidden/>
                <w:rStyle w:val="IndexLink"/>
                <w:rtl w:val="true"/>
              </w:rPr>
              <w:t>گفتار دوم</w:t>
            </w:r>
            <w:r>
              <w:rPr>
                <w:rStyle w:val="IndexLink"/>
                <w:rtl w:val="true"/>
              </w:rPr>
              <w:t xml:space="preserve">: </w:t>
            </w:r>
            <w:r>
              <w:rPr>
                <w:rStyle w:val="IndexLink"/>
                <w:rtl w:val="true"/>
              </w:rPr>
              <w:t>انداختن آب دهان و اخلاط سینه در مسجد</w:t>
            </w:r>
            <w:r>
              <w:rPr>
                <w:rStyle w:val="IndexLink"/>
                <w:rtl w:val="true"/>
              </w:rPr>
              <w:tab/>
            </w:r>
            <w:r>
              <w:rPr>
                <w:rStyle w:val="IndexLink"/>
              </w:rPr>
              <w:t>479</w:t>
            </w:r>
          </w:hyperlink>
        </w:p>
        <w:p>
          <w:pPr>
            <w:pStyle w:val="Contents6"/>
            <w:tabs>
              <w:tab w:val="clear" w:pos="7609"/>
              <w:tab w:val="right" w:pos="9026" w:leader="dot"/>
            </w:tabs>
            <w:rPr/>
          </w:pPr>
          <w:hyperlink w:anchor="__RefHeading___Toc15203248_1280447820">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15203250_1280447820">
            <w:r>
              <w:rPr>
                <w:webHidden/>
                <w:rStyle w:val="IndexLink"/>
                <w:rtl w:val="true"/>
              </w:rPr>
              <w:t>دیدگاه اهل سنت</w:t>
            </w:r>
            <w:r>
              <w:rPr>
                <w:rStyle w:val="IndexLink"/>
                <w:rtl w:val="true"/>
              </w:rPr>
              <w:tab/>
            </w:r>
            <w:r>
              <w:rPr>
                <w:rStyle w:val="IndexLink"/>
              </w:rPr>
              <w:t>482</w:t>
            </w:r>
          </w:hyperlink>
        </w:p>
        <w:p>
          <w:pPr>
            <w:pStyle w:val="Contents6"/>
            <w:tabs>
              <w:tab w:val="clear" w:pos="7609"/>
              <w:tab w:val="right" w:pos="9026" w:leader="dot"/>
            </w:tabs>
            <w:rPr/>
          </w:pPr>
          <w:hyperlink w:anchor="__RefHeading___Toc15203252_1280447820">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15203254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483</w:t>
            </w:r>
          </w:hyperlink>
        </w:p>
        <w:p>
          <w:pPr>
            <w:pStyle w:val="Contents6"/>
            <w:tabs>
              <w:tab w:val="clear" w:pos="7609"/>
              <w:tab w:val="right" w:pos="9026" w:leader="dot"/>
            </w:tabs>
            <w:rPr/>
          </w:pPr>
          <w:hyperlink w:anchor="__RefHeading___Toc15203256_1280447820">
            <w:r>
              <w:rPr>
                <w:webHidden/>
                <w:rStyle w:val="IndexLink"/>
              </w:rPr>
              <w:t>2</w:t>
            </w:r>
            <w:r>
              <w:rPr>
                <w:rStyle w:val="IndexLink"/>
                <w:rtl w:val="true"/>
              </w:rPr>
              <w:t xml:space="preserve">. </w:t>
            </w:r>
            <w:r>
              <w:rPr>
                <w:rStyle w:val="IndexLink"/>
                <w:rtl w:val="true"/>
              </w:rPr>
              <w:t>مذهب شافعی</w:t>
            </w:r>
            <w:r>
              <w:rPr>
                <w:rStyle w:val="IndexLink"/>
                <w:rtl w:val="true"/>
              </w:rPr>
              <w:tab/>
            </w:r>
            <w:r>
              <w:rPr>
                <w:rStyle w:val="IndexLink"/>
              </w:rPr>
              <w:t>483</w:t>
            </w:r>
          </w:hyperlink>
        </w:p>
        <w:p>
          <w:pPr>
            <w:pStyle w:val="Contents6"/>
            <w:tabs>
              <w:tab w:val="clear" w:pos="7609"/>
              <w:tab w:val="right" w:pos="9026" w:leader="dot"/>
            </w:tabs>
            <w:rPr/>
          </w:pPr>
          <w:hyperlink w:anchor="__RefHeading___Toc15203258_1280447820">
            <w:r>
              <w:rPr>
                <w:webHidden/>
                <w:rStyle w:val="IndexLink"/>
              </w:rPr>
              <w:t>3</w:t>
            </w:r>
            <w:r>
              <w:rPr>
                <w:rStyle w:val="IndexLink"/>
                <w:rtl w:val="true"/>
              </w:rPr>
              <w:t xml:space="preserve">. </w:t>
            </w:r>
            <w:r>
              <w:rPr>
                <w:rStyle w:val="IndexLink"/>
                <w:rtl w:val="true"/>
              </w:rPr>
              <w:t>مذهب حنبلی</w:t>
            </w:r>
            <w:r>
              <w:rPr>
                <w:rStyle w:val="IndexLink"/>
                <w:rtl w:val="true"/>
              </w:rPr>
              <w:tab/>
            </w:r>
            <w:r>
              <w:rPr>
                <w:rStyle w:val="IndexLink"/>
              </w:rPr>
              <w:t>483</w:t>
            </w:r>
          </w:hyperlink>
        </w:p>
        <w:p>
          <w:pPr>
            <w:pStyle w:val="Contents6"/>
            <w:tabs>
              <w:tab w:val="clear" w:pos="7609"/>
              <w:tab w:val="right" w:pos="9026" w:leader="dot"/>
            </w:tabs>
            <w:rPr/>
          </w:pPr>
          <w:hyperlink w:anchor="__RefHeading___Toc15203260_1280447820">
            <w:r>
              <w:rPr>
                <w:webHidden/>
                <w:rStyle w:val="IndexLink"/>
                <w:rtl w:val="true"/>
              </w:rPr>
              <w:t>اشاره</w:t>
            </w:r>
            <w:r>
              <w:rPr>
                <w:rStyle w:val="IndexLink"/>
                <w:rtl w:val="true"/>
              </w:rPr>
              <w:tab/>
            </w:r>
            <w:r>
              <w:rPr>
                <w:rStyle w:val="IndexLink"/>
              </w:rPr>
              <w:t>483</w:t>
            </w:r>
          </w:hyperlink>
        </w:p>
        <w:p>
          <w:pPr>
            <w:pStyle w:val="Contents6"/>
            <w:tabs>
              <w:tab w:val="clear" w:pos="7609"/>
              <w:tab w:val="right" w:pos="9026" w:leader="dot"/>
            </w:tabs>
            <w:rPr/>
          </w:pPr>
          <w:hyperlink w:anchor="__RefHeading___Toc15203262_1280447820">
            <w:r>
              <w:rPr>
                <w:webHidden/>
                <w:rStyle w:val="IndexLink"/>
              </w:rPr>
              <w:t>4</w:t>
            </w:r>
            <w:r>
              <w:rPr>
                <w:rStyle w:val="IndexLink"/>
                <w:rtl w:val="true"/>
              </w:rPr>
              <w:t xml:space="preserve">. </w:t>
            </w:r>
            <w:r>
              <w:rPr>
                <w:rStyle w:val="IndexLink"/>
                <w:rtl w:val="true"/>
              </w:rPr>
              <w:t>مذهب مالکی</w:t>
            </w:r>
            <w:r>
              <w:rPr>
                <w:rStyle w:val="IndexLink"/>
                <w:rtl w:val="true"/>
              </w:rPr>
              <w:tab/>
            </w:r>
            <w:r>
              <w:rPr>
                <w:rStyle w:val="IndexLink"/>
              </w:rPr>
              <w:t>484</w:t>
            </w:r>
          </w:hyperlink>
        </w:p>
        <w:p>
          <w:pPr>
            <w:pStyle w:val="Contents5"/>
            <w:tabs>
              <w:tab w:val="clear" w:pos="7892"/>
              <w:tab w:val="right" w:pos="9026" w:leader="dot"/>
            </w:tabs>
            <w:rPr/>
          </w:pPr>
          <w:hyperlink w:anchor="__RefHeading___Toc15203264_1280447820">
            <w:r>
              <w:rPr>
                <w:webHidden/>
                <w:rStyle w:val="IndexLink"/>
                <w:rtl w:val="true"/>
              </w:rPr>
              <w:t>گفتار سوم</w:t>
            </w:r>
            <w:r>
              <w:rPr>
                <w:rStyle w:val="IndexLink"/>
                <w:rtl w:val="true"/>
              </w:rPr>
              <w:t xml:space="preserve">: </w:t>
            </w:r>
            <w:r>
              <w:rPr>
                <w:rStyle w:val="IndexLink"/>
                <w:rtl w:val="true"/>
              </w:rPr>
              <w:t>پرتاب کردن سنگ ریزه</w:t>
            </w:r>
            <w:r>
              <w:rPr>
                <w:rStyle w:val="IndexLink"/>
                <w:rtl w:val="true"/>
              </w:rPr>
              <w:tab/>
            </w:r>
            <w:r>
              <w:rPr>
                <w:rStyle w:val="IndexLink"/>
              </w:rPr>
              <w:t>484</w:t>
            </w:r>
          </w:hyperlink>
        </w:p>
        <w:p>
          <w:pPr>
            <w:pStyle w:val="Contents5"/>
            <w:tabs>
              <w:tab w:val="clear" w:pos="7892"/>
              <w:tab w:val="right" w:pos="9026" w:leader="dot"/>
            </w:tabs>
            <w:rPr/>
          </w:pPr>
          <w:hyperlink w:anchor="__RefHeading___Toc15203266_1280447820">
            <w:r>
              <w:rPr>
                <w:webHidden/>
                <w:rStyle w:val="IndexLink"/>
                <w:rtl w:val="true"/>
              </w:rPr>
              <w:t>گفتار چهارم</w:t>
            </w:r>
            <w:r>
              <w:rPr>
                <w:rStyle w:val="IndexLink"/>
                <w:rtl w:val="true"/>
              </w:rPr>
              <w:t xml:space="preserve">: </w:t>
            </w:r>
            <w:r>
              <w:rPr>
                <w:rStyle w:val="IndexLink"/>
                <w:rtl w:val="true"/>
              </w:rPr>
              <w:t>کشف عورت در مسجد</w:t>
            </w:r>
            <w:r>
              <w:rPr>
                <w:rStyle w:val="IndexLink"/>
                <w:rtl w:val="true"/>
              </w:rPr>
              <w:tab/>
            </w:r>
            <w:r>
              <w:rPr>
                <w:rStyle w:val="IndexLink"/>
              </w:rPr>
              <w:t>487</w:t>
            </w:r>
          </w:hyperlink>
        </w:p>
        <w:p>
          <w:pPr>
            <w:pStyle w:val="Contents6"/>
            <w:tabs>
              <w:tab w:val="clear" w:pos="7609"/>
              <w:tab w:val="right" w:pos="9026" w:leader="dot"/>
            </w:tabs>
            <w:rPr/>
          </w:pPr>
          <w:hyperlink w:anchor="__RefHeading___Toc15203268_1280447820">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15203270_1280447820">
            <w:r>
              <w:rPr>
                <w:webHidden/>
                <w:rStyle w:val="IndexLink"/>
                <w:rtl w:val="true"/>
              </w:rPr>
              <w:t>الف</w:t>
            </w:r>
            <w:r>
              <w:rPr>
                <w:rStyle w:val="IndexLink"/>
                <w:rtl w:val="true"/>
              </w:rPr>
              <w:t xml:space="preserve">) </w:t>
            </w:r>
            <w:r>
              <w:rPr>
                <w:rStyle w:val="IndexLink"/>
                <w:rtl w:val="true"/>
              </w:rPr>
              <w:t>ادله قول به کراهت</w:t>
            </w:r>
            <w:r>
              <w:rPr>
                <w:rStyle w:val="IndexLink"/>
                <w:rtl w:val="true"/>
              </w:rPr>
              <w:tab/>
            </w:r>
            <w:r>
              <w:rPr>
                <w:rStyle w:val="IndexLink"/>
              </w:rPr>
              <w:t>488</w:t>
            </w:r>
          </w:hyperlink>
        </w:p>
        <w:p>
          <w:pPr>
            <w:pStyle w:val="Contents6"/>
            <w:tabs>
              <w:tab w:val="clear" w:pos="7609"/>
              <w:tab w:val="right" w:pos="9026" w:leader="dot"/>
            </w:tabs>
            <w:rPr/>
          </w:pPr>
          <w:hyperlink w:anchor="__RefHeading___Toc15203272_1280447820">
            <w:r>
              <w:rPr>
                <w:webHidden/>
                <w:rStyle w:val="IndexLink"/>
                <w:rtl w:val="true"/>
              </w:rPr>
              <w:t>ب</w:t>
            </w:r>
            <w:r>
              <w:rPr>
                <w:rStyle w:val="IndexLink"/>
                <w:rtl w:val="true"/>
              </w:rPr>
              <w:t xml:space="preserve">) </w:t>
            </w:r>
            <w:r>
              <w:rPr>
                <w:rStyle w:val="IndexLink"/>
                <w:rtl w:val="true"/>
              </w:rPr>
              <w:t>ادله قول به تحریم</w:t>
            </w:r>
            <w:r>
              <w:rPr>
                <w:rStyle w:val="IndexLink"/>
                <w:rtl w:val="true"/>
              </w:rPr>
              <w:tab/>
            </w:r>
            <w:r>
              <w:rPr>
                <w:rStyle w:val="IndexLink"/>
              </w:rPr>
              <w:t>489</w:t>
            </w:r>
          </w:hyperlink>
        </w:p>
        <w:p>
          <w:pPr>
            <w:pStyle w:val="Contents2"/>
            <w:tabs>
              <w:tab w:val="clear" w:pos="8743"/>
              <w:tab w:val="right" w:pos="9026" w:leader="dot"/>
            </w:tabs>
            <w:rPr/>
          </w:pPr>
          <w:hyperlink w:anchor="__RefHeading___Toc15203274_1280447820">
            <w:r>
              <w:rPr>
                <w:webHidden/>
                <w:rStyle w:val="IndexLink"/>
                <w:rtl w:val="true"/>
              </w:rPr>
              <w:t>بخش پنجم</w:t>
            </w:r>
            <w:r>
              <w:rPr>
                <w:rStyle w:val="IndexLink"/>
                <w:rtl w:val="true"/>
              </w:rPr>
              <w:t xml:space="preserve">: </w:t>
            </w:r>
            <w:r>
              <w:rPr>
                <w:rStyle w:val="IndexLink"/>
                <w:rtl w:val="true"/>
              </w:rPr>
              <w:t>دست اندرکاران و کارگزاران مسجد</w:t>
            </w:r>
            <w:r>
              <w:rPr>
                <w:rStyle w:val="IndexLink"/>
                <w:rtl w:val="true"/>
              </w:rPr>
              <w:tab/>
            </w:r>
            <w:r>
              <w:rPr>
                <w:rStyle w:val="IndexLink"/>
              </w:rPr>
              <w:t>491</w:t>
            </w:r>
          </w:hyperlink>
        </w:p>
        <w:p>
          <w:pPr>
            <w:pStyle w:val="Contents3"/>
            <w:tabs>
              <w:tab w:val="clear" w:pos="8459"/>
              <w:tab w:val="right" w:pos="9026" w:leader="dot"/>
            </w:tabs>
            <w:rPr/>
          </w:pPr>
          <w:hyperlink w:anchor="__RefHeading___Toc15203276_1280447820">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15203278_1280447820">
            <w:r>
              <w:rPr>
                <w:webHidden/>
                <w:rStyle w:val="IndexLink"/>
                <w:rtl w:val="true"/>
              </w:rPr>
              <w:t>فصل اول</w:t>
            </w:r>
            <w:r>
              <w:rPr>
                <w:rStyle w:val="IndexLink"/>
                <w:rtl w:val="true"/>
              </w:rPr>
              <w:t xml:space="preserve">: </w:t>
            </w:r>
            <w:r>
              <w:rPr>
                <w:rStyle w:val="IndexLink"/>
                <w:rtl w:val="true"/>
              </w:rPr>
              <w:t>واقف و متولی امور مسجد</w:t>
            </w:r>
            <w:r>
              <w:rPr>
                <w:rStyle w:val="IndexLink"/>
                <w:rtl w:val="true"/>
              </w:rPr>
              <w:tab/>
            </w:r>
            <w:r>
              <w:rPr>
                <w:rStyle w:val="IndexLink"/>
              </w:rPr>
              <w:t>493</w:t>
            </w:r>
          </w:hyperlink>
        </w:p>
        <w:p>
          <w:pPr>
            <w:pStyle w:val="Contents4"/>
            <w:tabs>
              <w:tab w:val="clear" w:pos="8176"/>
              <w:tab w:val="right" w:pos="9026" w:leader="dot"/>
            </w:tabs>
            <w:rPr/>
          </w:pPr>
          <w:hyperlink w:anchor="__RefHeading___Toc15203280_1280447820">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15203282_1280447820">
            <w:r>
              <w:rPr>
                <w:webHidden/>
                <w:rStyle w:val="IndexLink"/>
                <w:rtl w:val="true"/>
              </w:rPr>
              <w:t>مقدمه</w:t>
            </w:r>
            <w:r>
              <w:rPr>
                <w:rStyle w:val="IndexLink"/>
                <w:rtl w:val="true"/>
              </w:rPr>
              <w:tab/>
            </w:r>
            <w:r>
              <w:rPr>
                <w:rStyle w:val="IndexLink"/>
              </w:rPr>
              <w:t>495</w:t>
            </w:r>
          </w:hyperlink>
        </w:p>
        <w:p>
          <w:pPr>
            <w:pStyle w:val="Contents5"/>
            <w:tabs>
              <w:tab w:val="clear" w:pos="7892"/>
              <w:tab w:val="right" w:pos="9026" w:leader="dot"/>
            </w:tabs>
            <w:rPr/>
          </w:pPr>
          <w:hyperlink w:anchor="__RefHeading___Toc15203284_1280447820">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15203286_1280447820">
            <w:r>
              <w:rPr>
                <w:webHidden/>
                <w:rStyle w:val="IndexLink"/>
                <w:rtl w:val="true"/>
              </w:rPr>
              <w:t>ب</w:t>
            </w:r>
            <w:r>
              <w:rPr>
                <w:rStyle w:val="IndexLink"/>
                <w:rtl w:val="true"/>
              </w:rPr>
              <w:t xml:space="preserve">. </w:t>
            </w:r>
            <w:r>
              <w:rPr>
                <w:rStyle w:val="IndexLink"/>
                <w:rtl w:val="true"/>
              </w:rPr>
              <w:t>اقامه نماز</w:t>
            </w:r>
            <w:r>
              <w:rPr>
                <w:rStyle w:val="IndexLink"/>
                <w:rtl w:val="true"/>
              </w:rPr>
              <w:tab/>
            </w:r>
            <w:r>
              <w:rPr>
                <w:rStyle w:val="IndexLink"/>
              </w:rPr>
              <w:t>496</w:t>
            </w:r>
          </w:hyperlink>
        </w:p>
        <w:p>
          <w:pPr>
            <w:pStyle w:val="Contents5"/>
            <w:tabs>
              <w:tab w:val="clear" w:pos="7892"/>
              <w:tab w:val="right" w:pos="9026" w:leader="dot"/>
            </w:tabs>
            <w:rPr/>
          </w:pPr>
          <w:hyperlink w:anchor="__RefHeading___Toc15203288_1280447820">
            <w:r>
              <w:rPr>
                <w:webHidden/>
                <w:rStyle w:val="IndexLink"/>
                <w:rtl w:val="true"/>
              </w:rPr>
              <w:t>ج</w:t>
            </w:r>
            <w:r>
              <w:rPr>
                <w:rStyle w:val="IndexLink"/>
                <w:rtl w:val="true"/>
              </w:rPr>
              <w:t xml:space="preserve">. </w:t>
            </w:r>
            <w:r>
              <w:rPr>
                <w:rStyle w:val="IndexLink"/>
                <w:rtl w:val="true"/>
              </w:rPr>
              <w:t>پرداخت زکات</w:t>
            </w:r>
            <w:r>
              <w:rPr>
                <w:rStyle w:val="IndexLink"/>
                <w:rtl w:val="true"/>
              </w:rPr>
              <w:tab/>
            </w:r>
            <w:r>
              <w:rPr>
                <w:rStyle w:val="IndexLink"/>
              </w:rPr>
              <w:t>497</w:t>
            </w:r>
          </w:hyperlink>
        </w:p>
        <w:p>
          <w:pPr>
            <w:pStyle w:val="Contents5"/>
            <w:tabs>
              <w:tab w:val="clear" w:pos="7892"/>
              <w:tab w:val="right" w:pos="9026" w:leader="dot"/>
            </w:tabs>
            <w:rPr/>
          </w:pPr>
          <w:hyperlink w:anchor="__RefHeading___Toc15203290_1280447820">
            <w:r>
              <w:rPr>
                <w:webHidden/>
                <w:rStyle w:val="IndexLink"/>
                <w:rtl w:val="true"/>
              </w:rPr>
              <w:t>د</w:t>
            </w:r>
            <w:r>
              <w:rPr>
                <w:rStyle w:val="IndexLink"/>
                <w:rtl w:val="true"/>
              </w:rPr>
              <w:t xml:space="preserve">. </w:t>
            </w:r>
            <w:r>
              <w:rPr>
                <w:rStyle w:val="IndexLink"/>
                <w:rtl w:val="true"/>
              </w:rPr>
              <w:t>ترس از خداوند</w:t>
            </w:r>
            <w:r>
              <w:rPr>
                <w:rStyle w:val="IndexLink"/>
                <w:rtl w:val="true"/>
              </w:rPr>
              <w:tab/>
            </w:r>
            <w:r>
              <w:rPr>
                <w:rStyle w:val="IndexLink"/>
              </w:rPr>
              <w:t>497</w:t>
            </w:r>
          </w:hyperlink>
        </w:p>
        <w:p>
          <w:pPr>
            <w:pStyle w:val="Contents4"/>
            <w:tabs>
              <w:tab w:val="clear" w:pos="8176"/>
              <w:tab w:val="right" w:pos="9026" w:leader="dot"/>
            </w:tabs>
            <w:rPr/>
          </w:pPr>
          <w:hyperlink w:anchor="__RefHeading___Toc15203292_1280447820">
            <w:r>
              <w:rPr>
                <w:webHidden/>
                <w:rStyle w:val="IndexLink"/>
                <w:rtl w:val="true"/>
              </w:rPr>
              <w:t>مبحث اول</w:t>
            </w:r>
            <w:r>
              <w:rPr>
                <w:rStyle w:val="IndexLink"/>
                <w:rtl w:val="true"/>
              </w:rPr>
              <w:t xml:space="preserve">: </w:t>
            </w:r>
            <w:r>
              <w:rPr>
                <w:rStyle w:val="IndexLink"/>
                <w:rtl w:val="true"/>
              </w:rPr>
              <w:t>شرایط واقف</w:t>
            </w:r>
            <w:r>
              <w:rPr>
                <w:rStyle w:val="IndexLink"/>
                <w:rtl w:val="true"/>
              </w:rPr>
              <w:tab/>
            </w:r>
            <w:r>
              <w:rPr>
                <w:rStyle w:val="IndexLink"/>
              </w:rPr>
              <w:t>499</w:t>
            </w:r>
          </w:hyperlink>
        </w:p>
        <w:p>
          <w:pPr>
            <w:pStyle w:val="Contents4"/>
            <w:tabs>
              <w:tab w:val="clear" w:pos="8176"/>
              <w:tab w:val="right" w:pos="9026" w:leader="dot"/>
            </w:tabs>
            <w:rPr/>
          </w:pPr>
          <w:hyperlink w:anchor="__RefHeading___Toc15203294_1280447820">
            <w:r>
              <w:rPr>
                <w:webHidden/>
                <w:rStyle w:val="IndexLink"/>
                <w:rtl w:val="true"/>
              </w:rPr>
              <w:t>مبحث دوم</w:t>
            </w:r>
            <w:r>
              <w:rPr>
                <w:rStyle w:val="IndexLink"/>
                <w:rtl w:val="true"/>
              </w:rPr>
              <w:t xml:space="preserve">: </w:t>
            </w:r>
            <w:r>
              <w:rPr>
                <w:rStyle w:val="IndexLink"/>
                <w:rtl w:val="true"/>
              </w:rPr>
              <w:t>ناظر و متولی وقف</w:t>
            </w:r>
            <w:r>
              <w:rPr>
                <w:rStyle w:val="IndexLink"/>
                <w:rtl w:val="true"/>
              </w:rPr>
              <w:tab/>
            </w:r>
            <w:r>
              <w:rPr>
                <w:rStyle w:val="IndexLink"/>
              </w:rPr>
              <w:t>501</w:t>
            </w:r>
          </w:hyperlink>
        </w:p>
        <w:p>
          <w:pPr>
            <w:pStyle w:val="Contents5"/>
            <w:tabs>
              <w:tab w:val="clear" w:pos="7892"/>
              <w:tab w:val="right" w:pos="9026" w:leader="dot"/>
            </w:tabs>
            <w:rPr/>
          </w:pPr>
          <w:hyperlink w:anchor="__RefHeading___Toc15203296_1280447820">
            <w:r>
              <w:rPr>
                <w:webHidden/>
                <w:rStyle w:val="IndexLink"/>
                <w:rtl w:val="true"/>
              </w:rPr>
              <w:t>گفتار اول</w:t>
            </w:r>
            <w:r>
              <w:rPr>
                <w:rStyle w:val="IndexLink"/>
                <w:rtl w:val="true"/>
              </w:rPr>
              <w:t xml:space="preserve">: </w:t>
            </w:r>
            <w:r>
              <w:rPr>
                <w:rStyle w:val="IndexLink"/>
                <w:rtl w:val="true"/>
              </w:rPr>
              <w:t>نکات آغازین</w:t>
            </w:r>
            <w:r>
              <w:rPr>
                <w:rStyle w:val="IndexLink"/>
                <w:rtl w:val="true"/>
              </w:rPr>
              <w:tab/>
            </w:r>
            <w:r>
              <w:rPr>
                <w:rStyle w:val="IndexLink"/>
              </w:rPr>
              <w:t>501</w:t>
            </w:r>
          </w:hyperlink>
        </w:p>
        <w:p>
          <w:pPr>
            <w:pStyle w:val="Contents6"/>
            <w:tabs>
              <w:tab w:val="clear" w:pos="7609"/>
              <w:tab w:val="right" w:pos="9026" w:leader="dot"/>
            </w:tabs>
            <w:rPr/>
          </w:pPr>
          <w:hyperlink w:anchor="__RefHeading___Toc15203298_1280447820">
            <w:r>
              <w:rPr>
                <w:webHidden/>
                <w:rStyle w:val="IndexLink"/>
                <w:rtl w:val="true"/>
              </w:rPr>
              <w:t>الف</w:t>
            </w:r>
            <w:r>
              <w:rPr>
                <w:rStyle w:val="IndexLink"/>
                <w:rtl w:val="true"/>
              </w:rPr>
              <w:t xml:space="preserve">) </w:t>
            </w:r>
            <w:r>
              <w:rPr>
                <w:rStyle w:val="IndexLink"/>
                <w:rtl w:val="true"/>
              </w:rPr>
              <w:t xml:space="preserve">تعريف </w:t>
            </w:r>
            <w:r>
              <w:rPr>
                <w:rStyle w:val="IndexLink"/>
                <w:rtl w:val="true"/>
              </w:rPr>
              <w:t>«</w:t>
            </w:r>
            <w:r>
              <w:rPr>
                <w:rStyle w:val="IndexLink"/>
                <w:rtl w:val="true"/>
              </w:rPr>
              <w:t>ناظر</w:t>
            </w:r>
            <w:r>
              <w:rPr>
                <w:rStyle w:val="IndexLink"/>
                <w:rtl w:val="true"/>
              </w:rPr>
              <w:t>»</w:t>
              <w:tab/>
            </w:r>
            <w:r>
              <w:rPr>
                <w:rStyle w:val="IndexLink"/>
              </w:rPr>
              <w:t>501</w:t>
            </w:r>
          </w:hyperlink>
        </w:p>
        <w:p>
          <w:pPr>
            <w:pStyle w:val="Contents6"/>
            <w:tabs>
              <w:tab w:val="clear" w:pos="7609"/>
              <w:tab w:val="right" w:pos="9026" w:leader="dot"/>
            </w:tabs>
            <w:rPr/>
          </w:pPr>
          <w:hyperlink w:anchor="__RefHeading___Toc15203300_1280447820">
            <w:r>
              <w:rPr>
                <w:webHidden/>
                <w:rStyle w:val="IndexLink"/>
                <w:rtl w:val="true"/>
              </w:rPr>
              <w:t>ب</w:t>
            </w:r>
            <w:r>
              <w:rPr>
                <w:rStyle w:val="IndexLink"/>
                <w:rtl w:val="true"/>
              </w:rPr>
              <w:t xml:space="preserve">) </w:t>
            </w:r>
            <w:r>
              <w:rPr>
                <w:rStyle w:val="IndexLink"/>
                <w:rtl w:val="true"/>
              </w:rPr>
              <w:t>شرایط ناظر و متولی</w:t>
            </w:r>
            <w:r>
              <w:rPr>
                <w:rStyle w:val="IndexLink"/>
                <w:rtl w:val="true"/>
              </w:rPr>
              <w:tab/>
            </w:r>
            <w:r>
              <w:rPr>
                <w:rStyle w:val="IndexLink"/>
              </w:rPr>
              <w:t>502</w:t>
            </w:r>
          </w:hyperlink>
        </w:p>
        <w:p>
          <w:pPr>
            <w:pStyle w:val="Contents6"/>
            <w:tabs>
              <w:tab w:val="clear" w:pos="7609"/>
              <w:tab w:val="right" w:pos="9026" w:leader="dot"/>
            </w:tabs>
            <w:rPr/>
          </w:pPr>
          <w:hyperlink w:anchor="__RefHeading___Toc15203302_1280447820">
            <w:r>
              <w:rPr>
                <w:webHidden/>
                <w:rStyle w:val="IndexLink"/>
                <w:rtl w:val="true"/>
              </w:rPr>
              <w:t>ج</w:t>
            </w:r>
            <w:r>
              <w:rPr>
                <w:rStyle w:val="IndexLink"/>
                <w:rtl w:val="true"/>
              </w:rPr>
              <w:t xml:space="preserve">) </w:t>
            </w:r>
            <w:r>
              <w:rPr>
                <w:rStyle w:val="IndexLink"/>
                <w:rtl w:val="true"/>
              </w:rPr>
              <w:t>بررسی اشتراط عدالت در ناظر</w:t>
            </w:r>
            <w:r>
              <w:rPr>
                <w:rStyle w:val="IndexLink"/>
                <w:rtl w:val="true"/>
              </w:rPr>
              <w:tab/>
            </w:r>
            <w:r>
              <w:rPr>
                <w:rStyle w:val="IndexLink"/>
              </w:rPr>
              <w:t>503</w:t>
            </w:r>
          </w:hyperlink>
        </w:p>
        <w:p>
          <w:pPr>
            <w:pStyle w:val="Contents6"/>
            <w:tabs>
              <w:tab w:val="clear" w:pos="7609"/>
              <w:tab w:val="right" w:pos="9026" w:leader="dot"/>
            </w:tabs>
            <w:rPr/>
          </w:pPr>
          <w:hyperlink w:anchor="__RefHeading___Toc15203304_1280447820">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15203306_1280447820">
            <w:r>
              <w:rPr>
                <w:webHidden/>
                <w:rStyle w:val="IndexLink"/>
              </w:rPr>
              <w:t>1</w:t>
            </w:r>
            <w:r>
              <w:rPr>
                <w:rStyle w:val="IndexLink"/>
                <w:rtl w:val="true"/>
              </w:rPr>
              <w:t xml:space="preserve">. </w:t>
            </w:r>
            <w:r>
              <w:rPr>
                <w:rStyle w:val="IndexLink"/>
                <w:rtl w:val="true"/>
              </w:rPr>
              <w:t>صورت اول</w:t>
            </w:r>
            <w:r>
              <w:rPr>
                <w:rStyle w:val="IndexLink"/>
                <w:rtl w:val="true"/>
              </w:rPr>
              <w:tab/>
            </w:r>
            <w:r>
              <w:rPr>
                <w:rStyle w:val="IndexLink"/>
              </w:rPr>
              <w:t>503</w:t>
            </w:r>
          </w:hyperlink>
        </w:p>
        <w:p>
          <w:pPr>
            <w:pStyle w:val="Contents6"/>
            <w:tabs>
              <w:tab w:val="clear" w:pos="7609"/>
              <w:tab w:val="right" w:pos="9026" w:leader="dot"/>
            </w:tabs>
            <w:rPr/>
          </w:pPr>
          <w:hyperlink w:anchor="__RefHeading___Toc15203308_1280447820">
            <w:r>
              <w:rPr>
                <w:webHidden/>
                <w:rStyle w:val="IndexLink"/>
              </w:rPr>
              <w:t>2</w:t>
            </w:r>
            <w:r>
              <w:rPr>
                <w:rStyle w:val="IndexLink"/>
                <w:rtl w:val="true"/>
              </w:rPr>
              <w:t xml:space="preserve">. </w:t>
            </w:r>
            <w:r>
              <w:rPr>
                <w:rStyle w:val="IndexLink"/>
                <w:rtl w:val="true"/>
              </w:rPr>
              <w:t>صورت دوم</w:t>
            </w:r>
            <w:r>
              <w:rPr>
                <w:rStyle w:val="IndexLink"/>
                <w:rtl w:val="true"/>
              </w:rPr>
              <w:tab/>
            </w:r>
            <w:r>
              <w:rPr>
                <w:rStyle w:val="IndexLink"/>
              </w:rPr>
              <w:t>505</w:t>
            </w:r>
          </w:hyperlink>
        </w:p>
        <w:p>
          <w:pPr>
            <w:pStyle w:val="Contents6"/>
            <w:tabs>
              <w:tab w:val="clear" w:pos="7609"/>
              <w:tab w:val="right" w:pos="9026" w:leader="dot"/>
            </w:tabs>
            <w:rPr/>
          </w:pPr>
          <w:hyperlink w:anchor="__RefHeading___Toc15203310_1280447820">
            <w:r>
              <w:rPr>
                <w:webHidden/>
                <w:rStyle w:val="IndexLink"/>
              </w:rPr>
              <w:t>3</w:t>
            </w:r>
            <w:r>
              <w:rPr>
                <w:rStyle w:val="IndexLink"/>
                <w:rtl w:val="true"/>
              </w:rPr>
              <w:t xml:space="preserve">. </w:t>
            </w:r>
            <w:r>
              <w:rPr>
                <w:rStyle w:val="IndexLink"/>
                <w:rtl w:val="true"/>
              </w:rPr>
              <w:t>صورت سوم</w:t>
            </w:r>
            <w:r>
              <w:rPr>
                <w:rStyle w:val="IndexLink"/>
                <w:rtl w:val="true"/>
              </w:rPr>
              <w:tab/>
            </w:r>
            <w:r>
              <w:rPr>
                <w:rStyle w:val="IndexLink"/>
              </w:rPr>
              <w:t>508</w:t>
            </w:r>
          </w:hyperlink>
        </w:p>
        <w:p>
          <w:pPr>
            <w:pStyle w:val="Contents6"/>
            <w:tabs>
              <w:tab w:val="clear" w:pos="7609"/>
              <w:tab w:val="right" w:pos="9026" w:leader="dot"/>
            </w:tabs>
            <w:rPr/>
          </w:pPr>
          <w:hyperlink w:anchor="__RefHeading___Toc15203312_1280447820">
            <w:r>
              <w:rPr>
                <w:webHidden/>
                <w:rStyle w:val="IndexLink"/>
                <w:rtl w:val="true"/>
              </w:rPr>
              <w:t>اشاره</w:t>
            </w:r>
            <w:r>
              <w:rPr>
                <w:rStyle w:val="IndexLink"/>
                <w:rtl w:val="true"/>
              </w:rPr>
              <w:tab/>
            </w:r>
            <w:r>
              <w:rPr>
                <w:rStyle w:val="IndexLink"/>
              </w:rPr>
              <w:t>508</w:t>
            </w:r>
          </w:hyperlink>
        </w:p>
        <w:p>
          <w:pPr>
            <w:pStyle w:val="Contents6"/>
            <w:tabs>
              <w:tab w:val="clear" w:pos="7609"/>
              <w:tab w:val="right" w:pos="9026" w:leader="dot"/>
            </w:tabs>
            <w:rPr/>
          </w:pPr>
          <w:hyperlink w:anchor="__RefHeading___Toc15203314_1280447820">
            <w:r>
              <w:rPr>
                <w:webHidden/>
                <w:rStyle w:val="IndexLink"/>
                <w:rtl w:val="true"/>
              </w:rPr>
              <w:t>دیدگاه اهل سنت</w:t>
            </w:r>
            <w:r>
              <w:rPr>
                <w:rStyle w:val="IndexLink"/>
                <w:rtl w:val="true"/>
              </w:rPr>
              <w:tab/>
            </w:r>
            <w:r>
              <w:rPr>
                <w:rStyle w:val="IndexLink"/>
              </w:rPr>
              <w:t>509</w:t>
            </w:r>
          </w:hyperlink>
        </w:p>
        <w:p>
          <w:pPr>
            <w:pStyle w:val="Contents6"/>
            <w:tabs>
              <w:tab w:val="clear" w:pos="7609"/>
              <w:tab w:val="right" w:pos="9026" w:leader="dot"/>
            </w:tabs>
            <w:rPr/>
          </w:pPr>
          <w:hyperlink w:anchor="__RefHeading___Toc15203316_1280447820">
            <w:r>
              <w:rPr>
                <w:webHidden/>
                <w:rStyle w:val="IndexLink"/>
                <w:rtl w:val="true"/>
              </w:rPr>
              <w:t>د</w:t>
            </w:r>
            <w:r>
              <w:rPr>
                <w:rStyle w:val="IndexLink"/>
                <w:rtl w:val="true"/>
              </w:rPr>
              <w:t xml:space="preserve">) </w:t>
            </w:r>
            <w:r>
              <w:rPr>
                <w:rStyle w:val="IndexLink"/>
                <w:rtl w:val="true"/>
              </w:rPr>
              <w:t>اقسام ناظر و متولی وقف</w:t>
            </w:r>
            <w:r>
              <w:rPr>
                <w:rStyle w:val="IndexLink"/>
                <w:rtl w:val="true"/>
              </w:rPr>
              <w:tab/>
            </w:r>
            <w:r>
              <w:rPr>
                <w:rStyle w:val="IndexLink"/>
              </w:rPr>
              <w:t>509</w:t>
            </w:r>
          </w:hyperlink>
        </w:p>
        <w:p>
          <w:pPr>
            <w:pStyle w:val="Contents5"/>
            <w:tabs>
              <w:tab w:val="clear" w:pos="7892"/>
              <w:tab w:val="right" w:pos="9026" w:leader="dot"/>
            </w:tabs>
            <w:rPr/>
          </w:pPr>
          <w:hyperlink w:anchor="__RefHeading___Toc15203318_1280447820">
            <w:r>
              <w:rPr>
                <w:webHidden/>
                <w:rStyle w:val="IndexLink"/>
                <w:rtl w:val="true"/>
              </w:rPr>
              <w:t>گفتار دوم</w:t>
            </w:r>
            <w:r>
              <w:rPr>
                <w:rStyle w:val="IndexLink"/>
                <w:rtl w:val="true"/>
              </w:rPr>
              <w:t xml:space="preserve">: </w:t>
            </w:r>
            <w:r>
              <w:rPr>
                <w:rStyle w:val="IndexLink"/>
                <w:rtl w:val="true"/>
              </w:rPr>
              <w:t>بررسی جواز تعیین ناظر توسط واقف</w:t>
            </w:r>
            <w:r>
              <w:rPr>
                <w:rStyle w:val="IndexLink"/>
                <w:rtl w:val="true"/>
              </w:rPr>
              <w:tab/>
            </w:r>
            <w:r>
              <w:rPr>
                <w:rStyle w:val="IndexLink"/>
              </w:rPr>
              <w:t>510</w:t>
            </w:r>
          </w:hyperlink>
        </w:p>
        <w:p>
          <w:pPr>
            <w:pStyle w:val="Contents5"/>
            <w:tabs>
              <w:tab w:val="clear" w:pos="7892"/>
              <w:tab w:val="right" w:pos="9026" w:leader="dot"/>
            </w:tabs>
            <w:rPr/>
          </w:pPr>
          <w:hyperlink w:anchor="__RefHeading___Toc15203320_1280447820">
            <w:r>
              <w:rPr>
                <w:webHidden/>
                <w:rStyle w:val="IndexLink"/>
                <w:rtl w:val="true"/>
              </w:rPr>
              <w:t>گفتار سوم</w:t>
            </w:r>
            <w:r>
              <w:rPr>
                <w:rStyle w:val="IndexLink"/>
                <w:rtl w:val="true"/>
              </w:rPr>
              <w:t xml:space="preserve">: </w:t>
            </w:r>
            <w:r>
              <w:rPr>
                <w:rStyle w:val="IndexLink"/>
                <w:rtl w:val="true"/>
              </w:rPr>
              <w:t>تعیین ناظر در صورت عدم تعیین واقف</w:t>
            </w:r>
            <w:r>
              <w:rPr>
                <w:rStyle w:val="IndexLink"/>
                <w:rtl w:val="true"/>
              </w:rPr>
              <w:tab/>
            </w:r>
            <w:r>
              <w:rPr>
                <w:rStyle w:val="IndexLink"/>
              </w:rPr>
              <w:t>513</w:t>
            </w:r>
          </w:hyperlink>
        </w:p>
        <w:p>
          <w:pPr>
            <w:pStyle w:val="Contents6"/>
            <w:tabs>
              <w:tab w:val="clear" w:pos="7609"/>
              <w:tab w:val="right" w:pos="9026" w:leader="dot"/>
            </w:tabs>
            <w:rPr/>
          </w:pPr>
          <w:hyperlink w:anchor="__RefHeading___Toc15203322_1280447820">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15203324_1280447820">
            <w:r>
              <w:rPr>
                <w:webHidden/>
                <w:rStyle w:val="IndexLink"/>
                <w:rtl w:val="true"/>
              </w:rPr>
              <w:t>دیدگاه اهل سنت</w:t>
            </w:r>
            <w:r>
              <w:rPr>
                <w:rStyle w:val="IndexLink"/>
                <w:rtl w:val="true"/>
              </w:rPr>
              <w:tab/>
            </w:r>
            <w:r>
              <w:rPr>
                <w:rStyle w:val="IndexLink"/>
              </w:rPr>
              <w:t>516</w:t>
            </w:r>
          </w:hyperlink>
        </w:p>
        <w:p>
          <w:pPr>
            <w:pStyle w:val="Contents6"/>
            <w:tabs>
              <w:tab w:val="clear" w:pos="7609"/>
              <w:tab w:val="right" w:pos="9026" w:leader="dot"/>
            </w:tabs>
            <w:rPr/>
          </w:pPr>
          <w:hyperlink w:anchor="__RefHeading___Toc15203326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516</w:t>
            </w:r>
          </w:hyperlink>
        </w:p>
        <w:p>
          <w:pPr>
            <w:pStyle w:val="Contents6"/>
            <w:tabs>
              <w:tab w:val="clear" w:pos="7609"/>
              <w:tab w:val="right" w:pos="9026" w:leader="dot"/>
            </w:tabs>
            <w:rPr/>
          </w:pPr>
          <w:hyperlink w:anchor="__RefHeading___Toc15203328_1280447820">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15203330_1280447820">
            <w:r>
              <w:rPr>
                <w:webHidden/>
                <w:rStyle w:val="IndexLink"/>
              </w:rPr>
              <w:t>2</w:t>
            </w:r>
            <w:r>
              <w:rPr>
                <w:rStyle w:val="IndexLink"/>
                <w:rtl w:val="true"/>
              </w:rPr>
              <w:t xml:space="preserve">و </w:t>
            </w:r>
            <w:r>
              <w:rPr>
                <w:rStyle w:val="IndexLink"/>
              </w:rPr>
              <w:t>3</w:t>
            </w:r>
            <w:r>
              <w:rPr>
                <w:rStyle w:val="IndexLink"/>
                <w:rtl w:val="true"/>
              </w:rPr>
              <w:t xml:space="preserve">. </w:t>
            </w:r>
            <w:r>
              <w:rPr>
                <w:rStyle w:val="IndexLink"/>
                <w:rtl w:val="true"/>
              </w:rPr>
              <w:t>مذهب مالکی و حنبلی</w:t>
            </w:r>
            <w:r>
              <w:rPr>
                <w:rStyle w:val="IndexLink"/>
                <w:rtl w:val="true"/>
              </w:rPr>
              <w:tab/>
            </w:r>
            <w:r>
              <w:rPr>
                <w:rStyle w:val="IndexLink"/>
              </w:rPr>
              <w:t>516</w:t>
            </w:r>
          </w:hyperlink>
        </w:p>
        <w:p>
          <w:pPr>
            <w:pStyle w:val="Contents6"/>
            <w:tabs>
              <w:tab w:val="clear" w:pos="7609"/>
              <w:tab w:val="right" w:pos="9026" w:leader="dot"/>
            </w:tabs>
            <w:rPr/>
          </w:pPr>
          <w:hyperlink w:anchor="__RefHeading___Toc15203332_1280447820">
            <w:r>
              <w:rPr>
                <w:webHidden/>
                <w:rStyle w:val="IndexLink"/>
              </w:rPr>
              <w:t>4</w:t>
            </w:r>
            <w:r>
              <w:rPr>
                <w:rStyle w:val="IndexLink"/>
                <w:rtl w:val="true"/>
              </w:rPr>
              <w:t xml:space="preserve">. </w:t>
            </w:r>
            <w:r>
              <w:rPr>
                <w:rStyle w:val="IndexLink"/>
                <w:rtl w:val="true"/>
              </w:rPr>
              <w:t>مذهب شافعی</w:t>
            </w:r>
            <w:r>
              <w:rPr>
                <w:rStyle w:val="IndexLink"/>
                <w:rtl w:val="true"/>
              </w:rPr>
              <w:tab/>
            </w:r>
            <w:r>
              <w:rPr>
                <w:rStyle w:val="IndexLink"/>
              </w:rPr>
              <w:t>516</w:t>
            </w:r>
          </w:hyperlink>
        </w:p>
        <w:p>
          <w:pPr>
            <w:pStyle w:val="Contents5"/>
            <w:tabs>
              <w:tab w:val="clear" w:pos="7892"/>
              <w:tab w:val="right" w:pos="9026" w:leader="dot"/>
            </w:tabs>
            <w:rPr/>
          </w:pPr>
          <w:hyperlink w:anchor="__RefHeading___Toc15203334_1280447820">
            <w:r>
              <w:rPr>
                <w:webHidden/>
                <w:rStyle w:val="IndexLink"/>
                <w:rtl w:val="true"/>
              </w:rPr>
              <w:t>گفتار چهارم</w:t>
            </w:r>
            <w:r>
              <w:rPr>
                <w:rStyle w:val="IndexLink"/>
                <w:rtl w:val="true"/>
              </w:rPr>
              <w:t xml:space="preserve">: </w:t>
            </w:r>
            <w:r>
              <w:rPr>
                <w:rStyle w:val="IndexLink"/>
                <w:rtl w:val="true"/>
              </w:rPr>
              <w:t>عدم وجوب قبول نظارت بر وقف</w:t>
            </w:r>
            <w:r>
              <w:rPr>
                <w:rStyle w:val="IndexLink"/>
                <w:rtl w:val="true"/>
              </w:rPr>
              <w:tab/>
            </w:r>
            <w:r>
              <w:rPr>
                <w:rStyle w:val="IndexLink"/>
              </w:rPr>
              <w:t>516</w:t>
            </w:r>
          </w:hyperlink>
        </w:p>
        <w:p>
          <w:pPr>
            <w:pStyle w:val="Contents5"/>
            <w:tabs>
              <w:tab w:val="clear" w:pos="7892"/>
              <w:tab w:val="right" w:pos="9026" w:leader="dot"/>
            </w:tabs>
            <w:rPr/>
          </w:pPr>
          <w:hyperlink w:anchor="__RefHeading___Toc15203336_1280447820">
            <w:r>
              <w:rPr>
                <w:webHidden/>
                <w:rStyle w:val="IndexLink"/>
                <w:rtl w:val="true"/>
              </w:rPr>
              <w:t>گفتار پنجم</w:t>
            </w:r>
            <w:r>
              <w:rPr>
                <w:rStyle w:val="IndexLink"/>
                <w:rtl w:val="true"/>
              </w:rPr>
              <w:t xml:space="preserve">: </w:t>
            </w:r>
            <w:r>
              <w:rPr>
                <w:rStyle w:val="IndexLink"/>
                <w:rtl w:val="true"/>
              </w:rPr>
              <w:t>وظیفه ناظر</w:t>
            </w:r>
            <w:r>
              <w:rPr>
                <w:rStyle w:val="IndexLink"/>
                <w:rtl w:val="true"/>
              </w:rPr>
              <w:tab/>
            </w:r>
            <w:r>
              <w:rPr>
                <w:rStyle w:val="IndexLink"/>
              </w:rPr>
              <w:t>517</w:t>
            </w:r>
          </w:hyperlink>
        </w:p>
        <w:p>
          <w:pPr>
            <w:pStyle w:val="Contents5"/>
            <w:tabs>
              <w:tab w:val="clear" w:pos="7892"/>
              <w:tab w:val="right" w:pos="9026" w:leader="dot"/>
            </w:tabs>
            <w:rPr/>
          </w:pPr>
          <w:hyperlink w:anchor="__RefHeading___Toc15203338_1280447820">
            <w:r>
              <w:rPr>
                <w:webHidden/>
                <w:rStyle w:val="IndexLink"/>
                <w:rtl w:val="true"/>
              </w:rPr>
              <w:t>گفتار ششم</w:t>
            </w:r>
            <w:r>
              <w:rPr>
                <w:rStyle w:val="IndexLink"/>
                <w:rtl w:val="true"/>
              </w:rPr>
              <w:t xml:space="preserve">: </w:t>
            </w:r>
            <w:r>
              <w:rPr>
                <w:rStyle w:val="IndexLink"/>
                <w:rtl w:val="true"/>
              </w:rPr>
              <w:t>نظارت حاکم بر وقف</w:t>
            </w:r>
            <w:r>
              <w:rPr>
                <w:rStyle w:val="IndexLink"/>
                <w:rtl w:val="true"/>
              </w:rPr>
              <w:tab/>
            </w:r>
            <w:r>
              <w:rPr>
                <w:rStyle w:val="IndexLink"/>
              </w:rPr>
              <w:t>518</w:t>
            </w:r>
          </w:hyperlink>
        </w:p>
        <w:p>
          <w:pPr>
            <w:pStyle w:val="Contents4"/>
            <w:tabs>
              <w:tab w:val="clear" w:pos="8176"/>
              <w:tab w:val="right" w:pos="9026" w:leader="dot"/>
            </w:tabs>
            <w:rPr/>
          </w:pPr>
          <w:hyperlink w:anchor="__RefHeading___Toc15203340_1280447820">
            <w:r>
              <w:rPr>
                <w:webHidden/>
                <w:rStyle w:val="IndexLink"/>
                <w:rtl w:val="true"/>
              </w:rPr>
              <w:t>مبحث سوم</w:t>
            </w:r>
            <w:r>
              <w:rPr>
                <w:rStyle w:val="IndexLink"/>
                <w:rtl w:val="true"/>
              </w:rPr>
              <w:t xml:space="preserve">: </w:t>
            </w:r>
            <w:r>
              <w:rPr>
                <w:rStyle w:val="IndexLink"/>
                <w:rtl w:val="true"/>
              </w:rPr>
              <w:t>بنا کردن مسجد توسط کفّار</w:t>
            </w:r>
            <w:r>
              <w:rPr>
                <w:rStyle w:val="IndexLink"/>
                <w:rtl w:val="true"/>
              </w:rPr>
              <w:tab/>
            </w:r>
            <w:r>
              <w:rPr>
                <w:rStyle w:val="IndexLink"/>
              </w:rPr>
              <w:t>520</w:t>
            </w:r>
          </w:hyperlink>
        </w:p>
        <w:p>
          <w:pPr>
            <w:pStyle w:val="Contents5"/>
            <w:tabs>
              <w:tab w:val="clear" w:pos="7892"/>
              <w:tab w:val="right" w:pos="9026" w:leader="dot"/>
            </w:tabs>
            <w:rPr/>
          </w:pPr>
          <w:hyperlink w:anchor="__RefHeading___Toc15203342_1280447820">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5203344_1280447820">
            <w:r>
              <w:rPr>
                <w:webHidden/>
                <w:rStyle w:val="IndexLink"/>
                <w:rtl w:val="true"/>
              </w:rPr>
              <w:t>خاتمه</w:t>
            </w:r>
            <w:r>
              <w:rPr>
                <w:rStyle w:val="IndexLink"/>
                <w:rtl w:val="true"/>
              </w:rPr>
              <w:tab/>
            </w:r>
            <w:r>
              <w:rPr>
                <w:rStyle w:val="IndexLink"/>
              </w:rPr>
              <w:t>525</w:t>
            </w:r>
          </w:hyperlink>
        </w:p>
        <w:p>
          <w:pPr>
            <w:pStyle w:val="Contents3"/>
            <w:tabs>
              <w:tab w:val="clear" w:pos="8459"/>
              <w:tab w:val="right" w:pos="9026" w:leader="dot"/>
            </w:tabs>
            <w:rPr/>
          </w:pPr>
          <w:hyperlink w:anchor="__RefHeading___Toc15203346_1280447820">
            <w:r>
              <w:rPr>
                <w:webHidden/>
                <w:rStyle w:val="IndexLink"/>
                <w:rtl w:val="true"/>
              </w:rPr>
              <w:t>فصل دوم</w:t>
            </w:r>
            <w:r>
              <w:rPr>
                <w:rStyle w:val="IndexLink"/>
                <w:rtl w:val="true"/>
              </w:rPr>
              <w:t xml:space="preserve">: </w:t>
            </w:r>
            <w:r>
              <w:rPr>
                <w:rStyle w:val="IndexLink"/>
                <w:rtl w:val="true"/>
              </w:rPr>
              <w:t>امام جماعت</w:t>
            </w:r>
            <w:r>
              <w:rPr>
                <w:rStyle w:val="IndexLink"/>
                <w:rtl w:val="true"/>
              </w:rPr>
              <w:tab/>
            </w:r>
            <w:r>
              <w:rPr>
                <w:rStyle w:val="IndexLink"/>
              </w:rPr>
              <w:t>527</w:t>
            </w:r>
          </w:hyperlink>
        </w:p>
        <w:p>
          <w:pPr>
            <w:pStyle w:val="Contents4"/>
            <w:tabs>
              <w:tab w:val="clear" w:pos="8176"/>
              <w:tab w:val="right" w:pos="9026" w:leader="dot"/>
            </w:tabs>
            <w:rPr/>
          </w:pPr>
          <w:hyperlink w:anchor="__RefHeading___Toc15203348_1280447820">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5203350_1280447820">
            <w:r>
              <w:rPr>
                <w:webHidden/>
                <w:rStyle w:val="IndexLink"/>
                <w:rtl w:val="true"/>
              </w:rPr>
              <w:t>مقدمه</w:t>
            </w:r>
            <w:r>
              <w:rPr>
                <w:rStyle w:val="IndexLink"/>
                <w:rtl w:val="true"/>
              </w:rPr>
              <w:tab/>
            </w:r>
            <w:r>
              <w:rPr>
                <w:rStyle w:val="IndexLink"/>
              </w:rPr>
              <w:t>529</w:t>
            </w:r>
          </w:hyperlink>
        </w:p>
        <w:p>
          <w:pPr>
            <w:pStyle w:val="Contents4"/>
            <w:tabs>
              <w:tab w:val="clear" w:pos="8176"/>
              <w:tab w:val="right" w:pos="9026" w:leader="dot"/>
            </w:tabs>
            <w:rPr/>
          </w:pPr>
          <w:hyperlink w:anchor="__RefHeading___Toc15203352_1280447820">
            <w:r>
              <w:rPr>
                <w:webHidden/>
                <w:rStyle w:val="IndexLink"/>
                <w:rtl w:val="true"/>
              </w:rPr>
              <w:t>مبحث اول</w:t>
            </w:r>
            <w:r>
              <w:rPr>
                <w:rStyle w:val="IndexLink"/>
                <w:rtl w:val="true"/>
              </w:rPr>
              <w:t xml:space="preserve">: </w:t>
            </w:r>
            <w:r>
              <w:rPr>
                <w:rStyle w:val="IndexLink"/>
                <w:rtl w:val="true"/>
              </w:rPr>
              <w:t>شرایط امام جماعت</w:t>
            </w:r>
            <w:r>
              <w:rPr>
                <w:rStyle w:val="IndexLink"/>
                <w:rtl w:val="true"/>
              </w:rPr>
              <w:tab/>
            </w:r>
            <w:r>
              <w:rPr>
                <w:rStyle w:val="IndexLink"/>
              </w:rPr>
              <w:t>529</w:t>
            </w:r>
          </w:hyperlink>
        </w:p>
        <w:p>
          <w:pPr>
            <w:pStyle w:val="Contents5"/>
            <w:tabs>
              <w:tab w:val="clear" w:pos="7892"/>
              <w:tab w:val="right" w:pos="9026" w:leader="dot"/>
            </w:tabs>
            <w:rPr/>
          </w:pPr>
          <w:hyperlink w:anchor="__RefHeading___Toc15203354_1280447820">
            <w:r>
              <w:rPr>
                <w:webHidden/>
                <w:rStyle w:val="IndexLink"/>
                <w:rtl w:val="true"/>
              </w:rPr>
              <w:t>گفتار اول</w:t>
            </w:r>
            <w:r>
              <w:rPr>
                <w:rStyle w:val="IndexLink"/>
                <w:rtl w:val="true"/>
              </w:rPr>
              <w:t xml:space="preserve">: </w:t>
            </w:r>
            <w:r>
              <w:rPr>
                <w:rStyle w:val="IndexLink"/>
                <w:rtl w:val="true"/>
              </w:rPr>
              <w:t>عاقل بودن</w:t>
            </w:r>
            <w:r>
              <w:rPr>
                <w:rStyle w:val="IndexLink"/>
                <w:rtl w:val="true"/>
              </w:rPr>
              <w:tab/>
            </w:r>
            <w:r>
              <w:rPr>
                <w:rStyle w:val="IndexLink"/>
              </w:rPr>
              <w:t>529</w:t>
            </w:r>
          </w:hyperlink>
        </w:p>
        <w:p>
          <w:pPr>
            <w:pStyle w:val="Contents5"/>
            <w:tabs>
              <w:tab w:val="clear" w:pos="7892"/>
              <w:tab w:val="right" w:pos="9026" w:leader="dot"/>
            </w:tabs>
            <w:rPr/>
          </w:pPr>
          <w:hyperlink w:anchor="__RefHeading___Toc15203356_1280447820">
            <w:r>
              <w:rPr>
                <w:webHidden/>
                <w:rStyle w:val="IndexLink"/>
                <w:rtl w:val="true"/>
              </w:rPr>
              <w:t>گفتار دوم</w:t>
            </w:r>
            <w:r>
              <w:rPr>
                <w:rStyle w:val="IndexLink"/>
                <w:rtl w:val="true"/>
              </w:rPr>
              <w:t xml:space="preserve">: </w:t>
            </w:r>
            <w:r>
              <w:rPr>
                <w:rStyle w:val="IndexLink"/>
                <w:rtl w:val="true"/>
              </w:rPr>
              <w:t>بالغ بودن</w:t>
            </w:r>
            <w:r>
              <w:rPr>
                <w:rStyle w:val="IndexLink"/>
                <w:rtl w:val="true"/>
              </w:rPr>
              <w:tab/>
            </w:r>
            <w:r>
              <w:rPr>
                <w:rStyle w:val="IndexLink"/>
              </w:rPr>
              <w:t>532</w:t>
            </w:r>
          </w:hyperlink>
        </w:p>
        <w:p>
          <w:pPr>
            <w:pStyle w:val="Contents6"/>
            <w:tabs>
              <w:tab w:val="clear" w:pos="7609"/>
              <w:tab w:val="right" w:pos="9026" w:leader="dot"/>
            </w:tabs>
            <w:rPr/>
          </w:pPr>
          <w:hyperlink w:anchor="__RefHeading___Toc15203358_1280447820">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15203360_1280447820">
            <w:r>
              <w:rPr>
                <w:webHidden/>
                <w:rStyle w:val="IndexLink"/>
                <w:rtl w:val="true"/>
              </w:rPr>
              <w:t>الف</w:t>
            </w:r>
            <w:r>
              <w:rPr>
                <w:rStyle w:val="IndexLink"/>
                <w:rtl w:val="true"/>
              </w:rPr>
              <w:t xml:space="preserve">) </w:t>
            </w:r>
            <w:r>
              <w:rPr>
                <w:rStyle w:val="IndexLink"/>
                <w:rtl w:val="true"/>
              </w:rPr>
              <w:t>دیدگاه نخست</w:t>
            </w:r>
            <w:r>
              <w:rPr>
                <w:rStyle w:val="IndexLink"/>
                <w:rtl w:val="true"/>
              </w:rPr>
              <w:t xml:space="preserve">: </w:t>
            </w:r>
            <w:r>
              <w:rPr>
                <w:rStyle w:val="IndexLink"/>
                <w:rtl w:val="true"/>
              </w:rPr>
              <w:t>شرط بودن بلوغ</w:t>
            </w:r>
            <w:r>
              <w:rPr>
                <w:rStyle w:val="IndexLink"/>
                <w:rtl w:val="true"/>
              </w:rPr>
              <w:tab/>
            </w:r>
            <w:r>
              <w:rPr>
                <w:rStyle w:val="IndexLink"/>
              </w:rPr>
              <w:t>532</w:t>
            </w:r>
          </w:hyperlink>
        </w:p>
        <w:p>
          <w:pPr>
            <w:pStyle w:val="Contents6"/>
            <w:tabs>
              <w:tab w:val="clear" w:pos="7609"/>
              <w:tab w:val="right" w:pos="9026" w:leader="dot"/>
            </w:tabs>
            <w:rPr/>
          </w:pPr>
          <w:hyperlink w:anchor="__RefHeading___Toc15203362_1280447820">
            <w:r>
              <w:rPr>
                <w:webHidden/>
                <w:rStyle w:val="IndexLink"/>
                <w:rtl w:val="true"/>
              </w:rPr>
              <w:t>ب</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صحت امامت صبي مميّز</w:t>
            </w:r>
            <w:r>
              <w:rPr>
                <w:rStyle w:val="IndexLink"/>
                <w:rtl w:val="true"/>
              </w:rPr>
              <w:tab/>
            </w:r>
            <w:r>
              <w:rPr>
                <w:rStyle w:val="IndexLink"/>
              </w:rPr>
              <w:t>533</w:t>
            </w:r>
          </w:hyperlink>
        </w:p>
        <w:p>
          <w:pPr>
            <w:pStyle w:val="Contents6"/>
            <w:tabs>
              <w:tab w:val="clear" w:pos="7609"/>
              <w:tab w:val="right" w:pos="9026" w:leader="dot"/>
            </w:tabs>
            <w:rPr/>
          </w:pPr>
          <w:hyperlink w:anchor="__RefHeading___Toc15203364_1280447820">
            <w:r>
              <w:rPr>
                <w:webHidden/>
                <w:rStyle w:val="IndexLink"/>
                <w:rtl w:val="true"/>
              </w:rPr>
              <w:t>اشاره</w:t>
            </w:r>
            <w:r>
              <w:rPr>
                <w:rStyle w:val="IndexLink"/>
                <w:rtl w:val="true"/>
              </w:rPr>
              <w:tab/>
            </w:r>
            <w:r>
              <w:rPr>
                <w:rStyle w:val="IndexLink"/>
              </w:rPr>
              <w:t>533</w:t>
            </w:r>
          </w:hyperlink>
        </w:p>
        <w:p>
          <w:pPr>
            <w:pStyle w:val="Contents6"/>
            <w:tabs>
              <w:tab w:val="clear" w:pos="7609"/>
              <w:tab w:val="right" w:pos="9026" w:leader="dot"/>
            </w:tabs>
            <w:rPr/>
          </w:pPr>
          <w:hyperlink w:anchor="__RefHeading___Toc15203366_1280447820">
            <w:r>
              <w:rPr>
                <w:webHidden/>
                <w:rStyle w:val="IndexLink"/>
                <w:rtl w:val="true"/>
              </w:rPr>
              <w:t>ادله دیدگاه دوم</w:t>
            </w:r>
            <w:r>
              <w:rPr>
                <w:rStyle w:val="IndexLink"/>
                <w:rtl w:val="true"/>
              </w:rPr>
              <w:tab/>
            </w:r>
            <w:r>
              <w:rPr>
                <w:rStyle w:val="IndexLink"/>
              </w:rPr>
              <w:t>533</w:t>
            </w:r>
          </w:hyperlink>
        </w:p>
        <w:p>
          <w:pPr>
            <w:pStyle w:val="Contents6"/>
            <w:tabs>
              <w:tab w:val="clear" w:pos="7609"/>
              <w:tab w:val="right" w:pos="9026" w:leader="dot"/>
            </w:tabs>
            <w:rPr/>
          </w:pPr>
          <w:hyperlink w:anchor="__RefHeading___Toc15203368_1280447820">
            <w:r>
              <w:rPr>
                <w:webHidden/>
                <w:rStyle w:val="IndexLink"/>
                <w:rtl w:val="true"/>
              </w:rPr>
              <w:t>ج</w:t>
            </w:r>
            <w:r>
              <w:rPr>
                <w:rStyle w:val="IndexLink"/>
                <w:rtl w:val="true"/>
              </w:rPr>
              <w:t xml:space="preserve">) </w:t>
            </w:r>
            <w:r>
              <w:rPr>
                <w:rStyle w:val="IndexLink"/>
                <w:rtl w:val="true"/>
              </w:rPr>
              <w:t>دیدگاه اهل سنت</w:t>
            </w:r>
            <w:r>
              <w:rPr>
                <w:rStyle w:val="IndexLink"/>
                <w:rtl w:val="true"/>
              </w:rPr>
              <w:tab/>
            </w:r>
            <w:r>
              <w:rPr>
                <w:rStyle w:val="IndexLink"/>
              </w:rPr>
              <w:t>536</w:t>
            </w:r>
          </w:hyperlink>
        </w:p>
        <w:p>
          <w:pPr>
            <w:pStyle w:val="Contents6"/>
            <w:tabs>
              <w:tab w:val="clear" w:pos="7609"/>
              <w:tab w:val="right" w:pos="9026" w:leader="dot"/>
            </w:tabs>
            <w:rPr/>
          </w:pPr>
          <w:hyperlink w:anchor="__RefHeading___Toc15203370_1280447820">
            <w:r>
              <w:rPr>
                <w:webHidden/>
                <w:rStyle w:val="IndexLink"/>
                <w:rtl w:val="true"/>
              </w:rPr>
              <w:t>اشاره</w:t>
            </w:r>
            <w:r>
              <w:rPr>
                <w:rStyle w:val="IndexLink"/>
                <w:rtl w:val="true"/>
              </w:rPr>
              <w:tab/>
            </w:r>
            <w:r>
              <w:rPr>
                <w:rStyle w:val="IndexLink"/>
              </w:rPr>
              <w:t>536</w:t>
            </w:r>
          </w:hyperlink>
        </w:p>
        <w:p>
          <w:pPr>
            <w:pStyle w:val="Contents6"/>
            <w:tabs>
              <w:tab w:val="clear" w:pos="7609"/>
              <w:tab w:val="right" w:pos="9026" w:leader="dot"/>
            </w:tabs>
            <w:rPr/>
          </w:pPr>
          <w:hyperlink w:anchor="__RefHeading___Toc15203372_1280447820">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مذهب حنبلی و مالکی</w:t>
            </w:r>
            <w:r>
              <w:rPr>
                <w:rStyle w:val="IndexLink"/>
                <w:rtl w:val="true"/>
              </w:rPr>
              <w:tab/>
            </w:r>
            <w:r>
              <w:rPr>
                <w:rStyle w:val="IndexLink"/>
              </w:rPr>
              <w:t>536</w:t>
            </w:r>
          </w:hyperlink>
        </w:p>
        <w:p>
          <w:pPr>
            <w:pStyle w:val="Contents6"/>
            <w:tabs>
              <w:tab w:val="clear" w:pos="7609"/>
              <w:tab w:val="right" w:pos="9026" w:leader="dot"/>
            </w:tabs>
            <w:rPr/>
          </w:pPr>
          <w:hyperlink w:anchor="__RefHeading___Toc15203374_1280447820">
            <w:r>
              <w:rPr>
                <w:webHidden/>
                <w:rStyle w:val="IndexLink"/>
                <w:rtl w:val="true"/>
              </w:rPr>
              <w:t>دیدگاه اهل سنت</w:t>
            </w:r>
            <w:r>
              <w:rPr>
                <w:rStyle w:val="IndexLink"/>
                <w:rtl w:val="true"/>
              </w:rPr>
              <w:tab/>
            </w:r>
            <w:r>
              <w:rPr>
                <w:rStyle w:val="IndexLink"/>
              </w:rPr>
              <w:t>540</w:t>
            </w:r>
          </w:hyperlink>
        </w:p>
        <w:p>
          <w:pPr>
            <w:pStyle w:val="Contents6"/>
            <w:tabs>
              <w:tab w:val="clear" w:pos="7609"/>
              <w:tab w:val="right" w:pos="9026" w:leader="dot"/>
            </w:tabs>
            <w:rPr/>
          </w:pPr>
          <w:hyperlink w:anchor="__RefHeading___Toc15203376_1280447820">
            <w:r>
              <w:rPr>
                <w:webHidden/>
                <w:rStyle w:val="IndexLink"/>
                <w:rtl w:val="true"/>
              </w:rPr>
              <w:t>اشاره</w:t>
            </w:r>
            <w:r>
              <w:rPr>
                <w:rStyle w:val="IndexLink"/>
                <w:rtl w:val="true"/>
              </w:rPr>
              <w:tab/>
            </w:r>
            <w:r>
              <w:rPr>
                <w:rStyle w:val="IndexLink"/>
              </w:rPr>
              <w:t>540</w:t>
            </w:r>
          </w:hyperlink>
        </w:p>
        <w:p>
          <w:pPr>
            <w:pStyle w:val="Contents6"/>
            <w:tabs>
              <w:tab w:val="clear" w:pos="7609"/>
              <w:tab w:val="right" w:pos="9026" w:leader="dot"/>
            </w:tabs>
            <w:rPr/>
          </w:pPr>
          <w:hyperlink w:anchor="__RefHeading___Toc15203378_1280447820">
            <w:r>
              <w:rPr>
                <w:webHidden/>
                <w:rStyle w:val="IndexLink"/>
              </w:rPr>
              <w:t>1</w:t>
            </w:r>
            <w:r>
              <w:rPr>
                <w:rStyle w:val="IndexLink"/>
                <w:rtl w:val="true"/>
              </w:rPr>
              <w:t xml:space="preserve">. </w:t>
            </w:r>
            <w:r>
              <w:rPr>
                <w:rStyle w:val="IndexLink"/>
                <w:rtl w:val="true"/>
              </w:rPr>
              <w:t>مذهب شافعی</w:t>
            </w:r>
            <w:r>
              <w:rPr>
                <w:rStyle w:val="IndexLink"/>
                <w:rtl w:val="true"/>
              </w:rPr>
              <w:tab/>
            </w:r>
            <w:r>
              <w:rPr>
                <w:rStyle w:val="IndexLink"/>
              </w:rPr>
              <w:t>540</w:t>
            </w:r>
          </w:hyperlink>
        </w:p>
        <w:p>
          <w:pPr>
            <w:pStyle w:val="Contents6"/>
            <w:tabs>
              <w:tab w:val="clear" w:pos="7609"/>
              <w:tab w:val="right" w:pos="9026" w:leader="dot"/>
            </w:tabs>
            <w:rPr/>
          </w:pPr>
          <w:hyperlink w:anchor="__RefHeading___Toc15203380_1280447820">
            <w:r>
              <w:rPr>
                <w:webHidden/>
                <w:rStyle w:val="IndexLink"/>
              </w:rPr>
              <w:t>2</w:t>
            </w:r>
            <w:r>
              <w:rPr>
                <w:rStyle w:val="IndexLink"/>
                <w:rtl w:val="true"/>
              </w:rPr>
              <w:t xml:space="preserve">. </w:t>
            </w:r>
            <w:r>
              <w:rPr>
                <w:rStyle w:val="IndexLink"/>
                <w:rtl w:val="true"/>
              </w:rPr>
              <w:t>مذهب مالکی</w:t>
            </w:r>
            <w:r>
              <w:rPr>
                <w:rStyle w:val="IndexLink"/>
                <w:rtl w:val="true"/>
              </w:rPr>
              <w:tab/>
            </w:r>
            <w:r>
              <w:rPr>
                <w:rStyle w:val="IndexLink"/>
              </w:rPr>
              <w:t>540</w:t>
            </w:r>
          </w:hyperlink>
        </w:p>
        <w:p>
          <w:pPr>
            <w:pStyle w:val="Contents6"/>
            <w:tabs>
              <w:tab w:val="clear" w:pos="7609"/>
              <w:tab w:val="right" w:pos="9026" w:leader="dot"/>
            </w:tabs>
            <w:rPr/>
          </w:pPr>
          <w:hyperlink w:anchor="__RefHeading___Toc15203382_1280447820">
            <w:r>
              <w:rPr>
                <w:webHidden/>
                <w:rStyle w:val="IndexLink"/>
              </w:rPr>
              <w:t>3</w:t>
            </w:r>
            <w:r>
              <w:rPr>
                <w:rStyle w:val="IndexLink"/>
                <w:rtl w:val="true"/>
              </w:rPr>
              <w:t xml:space="preserve">. </w:t>
            </w:r>
            <w:r>
              <w:rPr>
                <w:rStyle w:val="IndexLink"/>
                <w:rtl w:val="true"/>
              </w:rPr>
              <w:t>مذهب حنبلی</w:t>
            </w:r>
            <w:r>
              <w:rPr>
                <w:rStyle w:val="IndexLink"/>
                <w:rtl w:val="true"/>
              </w:rPr>
              <w:tab/>
            </w:r>
            <w:r>
              <w:rPr>
                <w:rStyle w:val="IndexLink"/>
              </w:rPr>
              <w:t>541</w:t>
            </w:r>
          </w:hyperlink>
        </w:p>
        <w:p>
          <w:pPr>
            <w:pStyle w:val="Contents6"/>
            <w:tabs>
              <w:tab w:val="clear" w:pos="7609"/>
              <w:tab w:val="right" w:pos="9026" w:leader="dot"/>
            </w:tabs>
            <w:rPr/>
          </w:pPr>
          <w:hyperlink w:anchor="__RefHeading___Toc15203384_1280447820">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5203386_1280447820">
            <w:r>
              <w:rPr>
                <w:webHidden/>
                <w:rStyle w:val="IndexLink"/>
                <w:rtl w:val="true"/>
              </w:rPr>
              <w:t>گفتار چهارم</w:t>
            </w:r>
            <w:r>
              <w:rPr>
                <w:rStyle w:val="IndexLink"/>
                <w:rtl w:val="true"/>
              </w:rPr>
              <w:t xml:space="preserve">: </w:t>
            </w:r>
            <w:r>
              <w:rPr>
                <w:rStyle w:val="IndexLink"/>
                <w:rtl w:val="true"/>
              </w:rPr>
              <w:t>ایمان</w:t>
            </w:r>
            <w:r>
              <w:rPr>
                <w:rStyle w:val="IndexLink"/>
                <w:rtl w:val="true"/>
              </w:rPr>
              <w:tab/>
            </w:r>
            <w:r>
              <w:rPr>
                <w:rStyle w:val="IndexLink"/>
              </w:rPr>
              <w:t>541</w:t>
            </w:r>
          </w:hyperlink>
        </w:p>
        <w:p>
          <w:pPr>
            <w:pStyle w:val="Contents5"/>
            <w:tabs>
              <w:tab w:val="clear" w:pos="7892"/>
              <w:tab w:val="right" w:pos="9026" w:leader="dot"/>
            </w:tabs>
            <w:rPr/>
          </w:pPr>
          <w:hyperlink w:anchor="__RefHeading___Toc15203388_1280447820">
            <w:r>
              <w:rPr>
                <w:webHidden/>
                <w:rStyle w:val="IndexLink"/>
                <w:rtl w:val="true"/>
              </w:rPr>
              <w:t>گفتار پنجم</w:t>
            </w:r>
            <w:r>
              <w:rPr>
                <w:rStyle w:val="IndexLink"/>
                <w:rtl w:val="true"/>
              </w:rPr>
              <w:t xml:space="preserve">: </w:t>
            </w:r>
            <w:r>
              <w:rPr>
                <w:rStyle w:val="IndexLink"/>
                <w:rtl w:val="true"/>
              </w:rPr>
              <w:t>مرد بودن</w:t>
            </w:r>
            <w:r>
              <w:rPr>
                <w:rStyle w:val="IndexLink"/>
                <w:rtl w:val="true"/>
              </w:rPr>
              <w:tab/>
            </w:r>
            <w:r>
              <w:rPr>
                <w:rStyle w:val="IndexLink"/>
              </w:rPr>
              <w:t>543</w:t>
            </w:r>
          </w:hyperlink>
        </w:p>
        <w:p>
          <w:pPr>
            <w:pStyle w:val="Contents6"/>
            <w:tabs>
              <w:tab w:val="clear" w:pos="7609"/>
              <w:tab w:val="right" w:pos="9026" w:leader="dot"/>
            </w:tabs>
            <w:rPr/>
          </w:pPr>
          <w:hyperlink w:anchor="__RefHeading___Toc15203390_1280447820">
            <w:r>
              <w:rPr>
                <w:webHidden/>
                <w:rStyle w:val="IndexLink"/>
                <w:rtl w:val="true"/>
              </w:rPr>
              <w:t>اشاره</w:t>
            </w:r>
            <w:r>
              <w:rPr>
                <w:rStyle w:val="IndexLink"/>
                <w:rtl w:val="true"/>
              </w:rPr>
              <w:tab/>
            </w:r>
            <w:r>
              <w:rPr>
                <w:rStyle w:val="IndexLink"/>
              </w:rPr>
              <w:t>543</w:t>
            </w:r>
          </w:hyperlink>
        </w:p>
        <w:p>
          <w:pPr>
            <w:pStyle w:val="Contents6"/>
            <w:tabs>
              <w:tab w:val="clear" w:pos="7609"/>
              <w:tab w:val="right" w:pos="9026" w:leader="dot"/>
            </w:tabs>
            <w:rPr/>
          </w:pPr>
          <w:hyperlink w:anchor="__RefHeading___Toc15203392_1280447820">
            <w:r>
              <w:rPr>
                <w:webHidden/>
                <w:rStyle w:val="IndexLink"/>
                <w:rtl w:val="true"/>
              </w:rPr>
              <w:t>الف</w:t>
            </w:r>
            <w:r>
              <w:rPr>
                <w:rStyle w:val="IndexLink"/>
                <w:rtl w:val="true"/>
              </w:rPr>
              <w:t xml:space="preserve">) </w:t>
            </w:r>
            <w:r>
              <w:rPr>
                <w:rStyle w:val="IndexLink"/>
                <w:rtl w:val="true"/>
              </w:rPr>
              <w:t>ادله شرط بودن رجولیت</w:t>
            </w:r>
            <w:r>
              <w:rPr>
                <w:rStyle w:val="IndexLink"/>
                <w:rtl w:val="true"/>
              </w:rPr>
              <w:tab/>
            </w:r>
            <w:r>
              <w:rPr>
                <w:rStyle w:val="IndexLink"/>
              </w:rPr>
              <w:t>543</w:t>
            </w:r>
          </w:hyperlink>
        </w:p>
        <w:p>
          <w:pPr>
            <w:pStyle w:val="Contents6"/>
            <w:tabs>
              <w:tab w:val="clear" w:pos="7609"/>
              <w:tab w:val="right" w:pos="9026" w:leader="dot"/>
            </w:tabs>
            <w:rPr/>
          </w:pPr>
          <w:hyperlink w:anchor="__RefHeading___Toc15203394_1280447820">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543</w:t>
            </w:r>
          </w:hyperlink>
        </w:p>
        <w:p>
          <w:pPr>
            <w:pStyle w:val="Contents6"/>
            <w:tabs>
              <w:tab w:val="clear" w:pos="7609"/>
              <w:tab w:val="right" w:pos="9026" w:leader="dot"/>
            </w:tabs>
            <w:rPr/>
          </w:pPr>
          <w:hyperlink w:anchor="__RefHeading___Toc15203396_1280447820">
            <w:r>
              <w:rPr>
                <w:webHidden/>
                <w:rStyle w:val="IndexLink"/>
              </w:rPr>
              <w:t>2</w:t>
            </w:r>
            <w:r>
              <w:rPr>
                <w:rStyle w:val="IndexLink"/>
                <w:rtl w:val="true"/>
              </w:rPr>
              <w:t xml:space="preserve">. </w:t>
            </w:r>
            <w:r>
              <w:rPr>
                <w:rStyle w:val="IndexLink"/>
                <w:rtl w:val="true"/>
              </w:rPr>
              <w:t>روایات و سایر ادله</w:t>
            </w:r>
            <w:r>
              <w:rPr>
                <w:rStyle w:val="IndexLink"/>
                <w:rtl w:val="true"/>
              </w:rPr>
              <w:tab/>
            </w:r>
            <w:r>
              <w:rPr>
                <w:rStyle w:val="IndexLink"/>
              </w:rPr>
              <w:t>543</w:t>
            </w:r>
          </w:hyperlink>
        </w:p>
        <w:p>
          <w:pPr>
            <w:pStyle w:val="Contents6"/>
            <w:tabs>
              <w:tab w:val="clear" w:pos="7609"/>
              <w:tab w:val="right" w:pos="9026" w:leader="dot"/>
            </w:tabs>
            <w:rPr/>
          </w:pPr>
          <w:hyperlink w:anchor="__RefHeading___Toc15203398_1280447820">
            <w:r>
              <w:rPr>
                <w:webHidden/>
                <w:rStyle w:val="IndexLink"/>
                <w:rtl w:val="true"/>
              </w:rPr>
              <w:t>ب</w:t>
            </w:r>
            <w:r>
              <w:rPr>
                <w:rStyle w:val="IndexLink"/>
                <w:rtl w:val="true"/>
              </w:rPr>
              <w:t xml:space="preserve">) </w:t>
            </w:r>
            <w:r>
              <w:rPr>
                <w:rStyle w:val="IndexLink"/>
                <w:rtl w:val="true"/>
              </w:rPr>
              <w:t>امامت زن برای زنان</w:t>
            </w:r>
            <w:r>
              <w:rPr>
                <w:rStyle w:val="IndexLink"/>
                <w:rtl w:val="true"/>
              </w:rPr>
              <w:tab/>
            </w:r>
            <w:r>
              <w:rPr>
                <w:rStyle w:val="IndexLink"/>
              </w:rPr>
              <w:t>545</w:t>
            </w:r>
          </w:hyperlink>
        </w:p>
        <w:p>
          <w:pPr>
            <w:pStyle w:val="Contents6"/>
            <w:tabs>
              <w:tab w:val="clear" w:pos="7609"/>
              <w:tab w:val="right" w:pos="9026" w:leader="dot"/>
            </w:tabs>
            <w:rPr/>
          </w:pPr>
          <w:hyperlink w:anchor="__RefHeading___Toc15203400_1280447820">
            <w:r>
              <w:rPr>
                <w:webHidden/>
                <w:rStyle w:val="IndexLink"/>
                <w:rtl w:val="true"/>
              </w:rPr>
              <w:t>اشاره</w:t>
            </w:r>
            <w:r>
              <w:rPr>
                <w:rStyle w:val="IndexLink"/>
                <w:rtl w:val="true"/>
              </w:rPr>
              <w:tab/>
            </w:r>
            <w:r>
              <w:rPr>
                <w:rStyle w:val="IndexLink"/>
              </w:rPr>
              <w:t>545</w:t>
            </w:r>
          </w:hyperlink>
        </w:p>
        <w:p>
          <w:pPr>
            <w:pStyle w:val="Contents6"/>
            <w:tabs>
              <w:tab w:val="clear" w:pos="7609"/>
              <w:tab w:val="right" w:pos="9026" w:leader="dot"/>
            </w:tabs>
            <w:rPr/>
          </w:pPr>
          <w:hyperlink w:anchor="__RefHeading___Toc15203402_1280447820">
            <w:r>
              <w:rPr>
                <w:webHidden/>
                <w:rStyle w:val="IndexLink"/>
              </w:rPr>
              <w:t>1</w:t>
            </w:r>
            <w:r>
              <w:rPr>
                <w:rStyle w:val="IndexLink"/>
                <w:rtl w:val="true"/>
              </w:rPr>
              <w:t xml:space="preserve">. </w:t>
            </w:r>
            <w:r>
              <w:rPr>
                <w:rStyle w:val="IndexLink"/>
                <w:rtl w:val="true"/>
              </w:rPr>
              <w:t>دیدگاه نخست</w:t>
            </w:r>
            <w:r>
              <w:rPr>
                <w:rStyle w:val="IndexLink"/>
                <w:rtl w:val="true"/>
              </w:rPr>
              <w:t xml:space="preserve">: </w:t>
            </w:r>
            <w:r>
              <w:rPr>
                <w:rStyle w:val="IndexLink"/>
                <w:rtl w:val="true"/>
              </w:rPr>
              <w:t>جواز مطلقا</w:t>
            </w:r>
            <w:r>
              <w:rPr>
                <w:rStyle w:val="IndexLink"/>
                <w:rtl w:val="true"/>
              </w:rPr>
              <w:tab/>
            </w:r>
            <w:r>
              <w:rPr>
                <w:rStyle w:val="IndexLink"/>
              </w:rPr>
              <w:t>545</w:t>
            </w:r>
          </w:hyperlink>
        </w:p>
        <w:p>
          <w:pPr>
            <w:pStyle w:val="Contents6"/>
            <w:tabs>
              <w:tab w:val="clear" w:pos="7609"/>
              <w:tab w:val="right" w:pos="9026" w:leader="dot"/>
            </w:tabs>
            <w:rPr/>
          </w:pPr>
          <w:hyperlink w:anchor="__RefHeading___Toc15203404_1280447820">
            <w:r>
              <w:rPr>
                <w:webHidden/>
                <w:rStyle w:val="IndexLink"/>
                <w:rtl w:val="true"/>
              </w:rPr>
              <w:t>اشاره</w:t>
            </w:r>
            <w:r>
              <w:rPr>
                <w:rStyle w:val="IndexLink"/>
                <w:rtl w:val="true"/>
              </w:rPr>
              <w:tab/>
            </w:r>
            <w:r>
              <w:rPr>
                <w:rStyle w:val="IndexLink"/>
              </w:rPr>
              <w:t>545</w:t>
            </w:r>
          </w:hyperlink>
        </w:p>
        <w:p>
          <w:pPr>
            <w:pStyle w:val="Contents6"/>
            <w:tabs>
              <w:tab w:val="clear" w:pos="7609"/>
              <w:tab w:val="right" w:pos="9026" w:leader="dot"/>
            </w:tabs>
            <w:rPr/>
          </w:pPr>
          <w:hyperlink w:anchor="__RefHeading___Toc15203406_1280447820">
            <w:r>
              <w:rPr>
                <w:webHidden/>
                <w:rStyle w:val="IndexLink"/>
                <w:rtl w:val="true"/>
              </w:rPr>
              <w:t>ادله دیدگاه نخست</w:t>
            </w:r>
            <w:r>
              <w:rPr>
                <w:rStyle w:val="IndexLink"/>
                <w:rtl w:val="true"/>
              </w:rPr>
              <w:tab/>
            </w:r>
            <w:r>
              <w:rPr>
                <w:rStyle w:val="IndexLink"/>
              </w:rPr>
              <w:t>546</w:t>
            </w:r>
          </w:hyperlink>
        </w:p>
        <w:p>
          <w:pPr>
            <w:pStyle w:val="Contents6"/>
            <w:tabs>
              <w:tab w:val="clear" w:pos="7609"/>
              <w:tab w:val="right" w:pos="9026" w:leader="dot"/>
            </w:tabs>
            <w:rPr/>
          </w:pPr>
          <w:hyperlink w:anchor="__RefHeading___Toc15203408_1280447820">
            <w:r>
              <w:rPr>
                <w:webHidden/>
                <w:rStyle w:val="IndexLink"/>
                <w:rtl w:val="true"/>
              </w:rPr>
              <w:t>اجماع و شهرت</w:t>
            </w:r>
            <w:r>
              <w:rPr>
                <w:rStyle w:val="IndexLink"/>
                <w:rtl w:val="true"/>
              </w:rPr>
              <w:tab/>
            </w:r>
            <w:r>
              <w:rPr>
                <w:rStyle w:val="IndexLink"/>
              </w:rPr>
              <w:t>546</w:t>
            </w:r>
          </w:hyperlink>
        </w:p>
        <w:p>
          <w:pPr>
            <w:pStyle w:val="Contents6"/>
            <w:tabs>
              <w:tab w:val="clear" w:pos="7609"/>
              <w:tab w:val="right" w:pos="9026" w:leader="dot"/>
            </w:tabs>
            <w:rPr/>
          </w:pPr>
          <w:hyperlink w:anchor="__RefHeading___Toc15203410_1280447820">
            <w:r>
              <w:rPr>
                <w:webHidden/>
                <w:rStyle w:val="IndexLink"/>
                <w:rtl w:val="true"/>
              </w:rPr>
              <w:t>روایات</w:t>
            </w:r>
            <w:r>
              <w:rPr>
                <w:rStyle w:val="IndexLink"/>
                <w:rtl w:val="true"/>
              </w:rPr>
              <w:tab/>
            </w:r>
            <w:r>
              <w:rPr>
                <w:rStyle w:val="IndexLink"/>
              </w:rPr>
              <w:t>547</w:t>
            </w:r>
          </w:hyperlink>
        </w:p>
        <w:p>
          <w:pPr>
            <w:pStyle w:val="Contents6"/>
            <w:tabs>
              <w:tab w:val="clear" w:pos="7609"/>
              <w:tab w:val="right" w:pos="9026" w:leader="dot"/>
            </w:tabs>
            <w:rPr/>
          </w:pPr>
          <w:hyperlink w:anchor="__RefHeading___Toc15203412_1280447820">
            <w:r>
              <w:rPr>
                <w:webHidden/>
                <w:rStyle w:val="IndexLink"/>
              </w:rPr>
              <w:t>2</w:t>
            </w:r>
            <w:r>
              <w:rPr>
                <w:rStyle w:val="IndexLink"/>
                <w:rtl w:val="true"/>
              </w:rPr>
              <w:t xml:space="preserve">. </w:t>
            </w:r>
            <w:r>
              <w:rPr>
                <w:rStyle w:val="IndexLink"/>
                <w:rtl w:val="true"/>
              </w:rPr>
              <w:t>دیدگاه دوم</w:t>
            </w:r>
            <w:r>
              <w:rPr>
                <w:rStyle w:val="IndexLink"/>
                <w:rtl w:val="true"/>
              </w:rPr>
              <w:t xml:space="preserve">: </w:t>
            </w:r>
            <w:r>
              <w:rPr>
                <w:rStyle w:val="IndexLink"/>
                <w:rtl w:val="true"/>
              </w:rPr>
              <w:t>تفصیل</w:t>
            </w:r>
            <w:r>
              <w:rPr>
                <w:rStyle w:val="IndexLink"/>
                <w:rtl w:val="true"/>
              </w:rPr>
              <w:tab/>
            </w:r>
            <w:r>
              <w:rPr>
                <w:rStyle w:val="IndexLink"/>
              </w:rPr>
              <w:t>548</w:t>
            </w:r>
          </w:hyperlink>
        </w:p>
        <w:p>
          <w:pPr>
            <w:pStyle w:val="Contents6"/>
            <w:tabs>
              <w:tab w:val="clear" w:pos="7609"/>
              <w:tab w:val="right" w:pos="9026" w:leader="dot"/>
            </w:tabs>
            <w:rPr/>
          </w:pPr>
          <w:hyperlink w:anchor="__RefHeading___Toc15203414_1280447820">
            <w:r>
              <w:rPr>
                <w:webHidden/>
                <w:rStyle w:val="IndexLink"/>
                <w:rtl w:val="true"/>
              </w:rPr>
              <w:t>اشاره</w:t>
            </w:r>
            <w:r>
              <w:rPr>
                <w:rStyle w:val="IndexLink"/>
                <w:rtl w:val="true"/>
              </w:rPr>
              <w:tab/>
            </w:r>
            <w:r>
              <w:rPr>
                <w:rStyle w:val="IndexLink"/>
              </w:rPr>
              <w:t>548</w:t>
            </w:r>
          </w:hyperlink>
        </w:p>
        <w:p>
          <w:pPr>
            <w:pStyle w:val="Contents6"/>
            <w:tabs>
              <w:tab w:val="clear" w:pos="7609"/>
              <w:tab w:val="right" w:pos="9026" w:leader="dot"/>
            </w:tabs>
            <w:rPr/>
          </w:pPr>
          <w:hyperlink w:anchor="__RefHeading___Toc15203416_1280447820">
            <w:r>
              <w:rPr>
                <w:webHidden/>
                <w:rStyle w:val="IndexLink"/>
                <w:rtl w:val="true"/>
              </w:rPr>
              <w:t>ادله دیدگاه دوم</w:t>
            </w:r>
            <w:r>
              <w:rPr>
                <w:rStyle w:val="IndexLink"/>
                <w:rtl w:val="true"/>
              </w:rPr>
              <w:tab/>
            </w:r>
            <w:r>
              <w:rPr>
                <w:rStyle w:val="IndexLink"/>
              </w:rPr>
              <w:t>548</w:t>
            </w:r>
          </w:hyperlink>
        </w:p>
        <w:p>
          <w:pPr>
            <w:pStyle w:val="Contents6"/>
            <w:tabs>
              <w:tab w:val="clear" w:pos="7609"/>
              <w:tab w:val="right" w:pos="9026" w:leader="dot"/>
            </w:tabs>
            <w:rPr/>
          </w:pPr>
          <w:hyperlink w:anchor="__RefHeading___Toc15203418_1280447820">
            <w:r>
              <w:rPr>
                <w:webHidden/>
                <w:rStyle w:val="IndexLink"/>
                <w:rtl w:val="true"/>
              </w:rPr>
              <w:t>ج</w:t>
            </w:r>
            <w:r>
              <w:rPr>
                <w:rStyle w:val="IndexLink"/>
                <w:rtl w:val="true"/>
              </w:rPr>
              <w:t xml:space="preserve">) </w:t>
            </w:r>
            <w:r>
              <w:rPr>
                <w:rStyle w:val="IndexLink"/>
                <w:rtl w:val="true"/>
              </w:rPr>
              <w:t>دیدگاه اهل سنت پیرامون امامت زن</w:t>
            </w:r>
            <w:r>
              <w:rPr>
                <w:rStyle w:val="IndexLink"/>
                <w:rtl w:val="true"/>
              </w:rPr>
              <w:tab/>
            </w:r>
            <w:r>
              <w:rPr>
                <w:rStyle w:val="IndexLink"/>
              </w:rPr>
              <w:t>550</w:t>
            </w:r>
          </w:hyperlink>
        </w:p>
        <w:p>
          <w:pPr>
            <w:pStyle w:val="Contents5"/>
            <w:tabs>
              <w:tab w:val="clear" w:pos="7892"/>
              <w:tab w:val="right" w:pos="9026" w:leader="dot"/>
            </w:tabs>
            <w:rPr/>
          </w:pPr>
          <w:hyperlink w:anchor="__RefHeading___Toc15203420_1280447820">
            <w:r>
              <w:rPr>
                <w:webHidden/>
                <w:rStyle w:val="IndexLink"/>
                <w:rtl w:val="true"/>
              </w:rPr>
              <w:t>گفتار ششم</w:t>
            </w:r>
            <w:r>
              <w:rPr>
                <w:rStyle w:val="IndexLink"/>
                <w:rtl w:val="true"/>
              </w:rPr>
              <w:t xml:space="preserve">: </w:t>
            </w:r>
            <w:r>
              <w:rPr>
                <w:rStyle w:val="IndexLink"/>
                <w:rtl w:val="true"/>
              </w:rPr>
              <w:t>صحت قرائت</w:t>
            </w:r>
            <w:r>
              <w:rPr>
                <w:rStyle w:val="IndexLink"/>
                <w:rtl w:val="true"/>
              </w:rPr>
              <w:tab/>
            </w:r>
            <w:r>
              <w:rPr>
                <w:rStyle w:val="IndexLink"/>
              </w:rPr>
              <w:t>551</w:t>
            </w:r>
          </w:hyperlink>
        </w:p>
        <w:p>
          <w:pPr>
            <w:pStyle w:val="Contents5"/>
            <w:tabs>
              <w:tab w:val="clear" w:pos="7892"/>
              <w:tab w:val="right" w:pos="9026" w:leader="dot"/>
            </w:tabs>
            <w:rPr/>
          </w:pPr>
          <w:hyperlink w:anchor="__RefHeading___Toc15203422_1280447820">
            <w:r>
              <w:rPr>
                <w:webHidden/>
                <w:rStyle w:val="IndexLink"/>
                <w:rtl w:val="true"/>
              </w:rPr>
              <w:t>گفتار هفتم</w:t>
            </w:r>
            <w:r>
              <w:rPr>
                <w:rStyle w:val="IndexLink"/>
                <w:rtl w:val="true"/>
              </w:rPr>
              <w:t xml:space="preserve">: </w:t>
            </w:r>
            <w:r>
              <w:rPr>
                <w:rStyle w:val="IndexLink"/>
                <w:rtl w:val="true"/>
              </w:rPr>
              <w:t>عدالت</w:t>
            </w:r>
            <w:r>
              <w:rPr>
                <w:rStyle w:val="IndexLink"/>
                <w:rtl w:val="true"/>
              </w:rPr>
              <w:tab/>
            </w:r>
            <w:r>
              <w:rPr>
                <w:rStyle w:val="IndexLink"/>
              </w:rPr>
              <w:t>551</w:t>
            </w:r>
          </w:hyperlink>
        </w:p>
        <w:p>
          <w:pPr>
            <w:pStyle w:val="Contents6"/>
            <w:tabs>
              <w:tab w:val="clear" w:pos="7609"/>
              <w:tab w:val="right" w:pos="9026" w:leader="dot"/>
            </w:tabs>
            <w:rPr/>
          </w:pPr>
          <w:hyperlink w:anchor="__RefHeading___Toc15203424_1280447820">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15203426_1280447820">
            <w:r>
              <w:rPr>
                <w:webHidden/>
                <w:rStyle w:val="IndexLink"/>
                <w:rtl w:val="true"/>
              </w:rPr>
              <w:t>الف</w:t>
            </w:r>
            <w:r>
              <w:rPr>
                <w:rStyle w:val="IndexLink"/>
                <w:rtl w:val="true"/>
              </w:rPr>
              <w:t xml:space="preserve">) </w:t>
            </w:r>
            <w:r>
              <w:rPr>
                <w:rStyle w:val="IndexLink"/>
                <w:rtl w:val="true"/>
              </w:rPr>
              <w:t>تعریف عدالت در لغت و اصطلاح</w:t>
            </w:r>
            <w:r>
              <w:rPr>
                <w:rStyle w:val="IndexLink"/>
                <w:rtl w:val="true"/>
              </w:rPr>
              <w:tab/>
            </w:r>
            <w:r>
              <w:rPr>
                <w:rStyle w:val="IndexLink"/>
              </w:rPr>
              <w:t>552</w:t>
            </w:r>
          </w:hyperlink>
        </w:p>
        <w:p>
          <w:pPr>
            <w:pStyle w:val="Contents6"/>
            <w:tabs>
              <w:tab w:val="clear" w:pos="7609"/>
              <w:tab w:val="right" w:pos="9026" w:leader="dot"/>
            </w:tabs>
            <w:rPr/>
          </w:pPr>
          <w:hyperlink w:anchor="__RefHeading___Toc15203428_1280447820">
            <w:r>
              <w:rPr>
                <w:webHidden/>
                <w:rStyle w:val="IndexLink"/>
                <w:rtl w:val="true"/>
              </w:rPr>
              <w:t>ب</w:t>
            </w:r>
            <w:r>
              <w:rPr>
                <w:rStyle w:val="IndexLink"/>
                <w:rtl w:val="true"/>
              </w:rPr>
              <w:t xml:space="preserve">) </w:t>
            </w:r>
            <w:r>
              <w:rPr>
                <w:rStyle w:val="IndexLink"/>
                <w:rtl w:val="true"/>
              </w:rPr>
              <w:t>تقسیم گناهان به كبيره وصغيره</w:t>
            </w:r>
            <w:r>
              <w:rPr>
                <w:rStyle w:val="IndexLink"/>
                <w:rtl w:val="true"/>
              </w:rPr>
              <w:tab/>
            </w:r>
            <w:r>
              <w:rPr>
                <w:rStyle w:val="IndexLink"/>
              </w:rPr>
              <w:t>555</w:t>
            </w:r>
          </w:hyperlink>
        </w:p>
        <w:p>
          <w:pPr>
            <w:pStyle w:val="Contents6"/>
            <w:tabs>
              <w:tab w:val="clear" w:pos="7609"/>
              <w:tab w:val="right" w:pos="9026" w:leader="dot"/>
            </w:tabs>
            <w:rPr/>
          </w:pPr>
          <w:hyperlink w:anchor="__RefHeading___Toc15203430_1280447820">
            <w:r>
              <w:rPr>
                <w:webHidden/>
                <w:rStyle w:val="IndexLink"/>
                <w:rtl w:val="true"/>
              </w:rPr>
              <w:t>اشاره</w:t>
            </w:r>
            <w:r>
              <w:rPr>
                <w:rStyle w:val="IndexLink"/>
                <w:rtl w:val="true"/>
              </w:rPr>
              <w:tab/>
            </w:r>
            <w:r>
              <w:rPr>
                <w:rStyle w:val="IndexLink"/>
              </w:rPr>
              <w:t>555</w:t>
            </w:r>
          </w:hyperlink>
        </w:p>
        <w:p>
          <w:pPr>
            <w:pStyle w:val="Contents6"/>
            <w:tabs>
              <w:tab w:val="clear" w:pos="7609"/>
              <w:tab w:val="right" w:pos="9026" w:leader="dot"/>
            </w:tabs>
            <w:rPr/>
          </w:pPr>
          <w:hyperlink w:anchor="__RefHeading___Toc15203432_1280447820">
            <w:r>
              <w:rPr>
                <w:webHidden/>
                <w:rStyle w:val="IndexLink"/>
              </w:rPr>
              <w:t>1</w:t>
            </w:r>
            <w:r>
              <w:rPr>
                <w:rStyle w:val="IndexLink"/>
                <w:rtl w:val="true"/>
              </w:rPr>
              <w:t xml:space="preserve">. </w:t>
            </w:r>
            <w:r>
              <w:rPr>
                <w:rStyle w:val="IndexLink"/>
                <w:rtl w:val="true"/>
              </w:rPr>
              <w:t>دیدگاه نخست</w:t>
            </w:r>
            <w:r>
              <w:rPr>
                <w:rStyle w:val="IndexLink"/>
                <w:rtl w:val="true"/>
              </w:rPr>
              <w:tab/>
            </w:r>
            <w:r>
              <w:rPr>
                <w:rStyle w:val="IndexLink"/>
              </w:rPr>
              <w:t>556</w:t>
            </w:r>
          </w:hyperlink>
        </w:p>
        <w:p>
          <w:pPr>
            <w:pStyle w:val="Contents6"/>
            <w:tabs>
              <w:tab w:val="clear" w:pos="7609"/>
              <w:tab w:val="right" w:pos="9026" w:leader="dot"/>
            </w:tabs>
            <w:rPr/>
          </w:pPr>
          <w:hyperlink w:anchor="__RefHeading___Toc15203434_1280447820">
            <w:r>
              <w:rPr>
                <w:webHidden/>
                <w:rStyle w:val="IndexLink"/>
              </w:rPr>
              <w:t>2</w:t>
            </w:r>
            <w:r>
              <w:rPr>
                <w:rStyle w:val="IndexLink"/>
                <w:rtl w:val="true"/>
              </w:rPr>
              <w:t xml:space="preserve">. </w:t>
            </w:r>
            <w:r>
              <w:rPr>
                <w:rStyle w:val="IndexLink"/>
                <w:rtl w:val="true"/>
              </w:rPr>
              <w:t>دیدگاه دوم</w:t>
            </w:r>
            <w:r>
              <w:rPr>
                <w:rStyle w:val="IndexLink"/>
                <w:rtl w:val="true"/>
              </w:rPr>
              <w:tab/>
            </w:r>
            <w:r>
              <w:rPr>
                <w:rStyle w:val="IndexLink"/>
              </w:rPr>
              <w:t>556</w:t>
            </w:r>
          </w:hyperlink>
        </w:p>
        <w:p>
          <w:pPr>
            <w:pStyle w:val="Contents6"/>
            <w:tabs>
              <w:tab w:val="clear" w:pos="7609"/>
              <w:tab w:val="right" w:pos="9026" w:leader="dot"/>
            </w:tabs>
            <w:rPr/>
          </w:pPr>
          <w:hyperlink w:anchor="__RefHeading___Toc15203436_1280447820">
            <w:r>
              <w:rPr>
                <w:webHidden/>
                <w:rStyle w:val="IndexLink"/>
                <w:rtl w:val="true"/>
              </w:rPr>
              <w:t>ج</w:t>
            </w:r>
            <w:r>
              <w:rPr>
                <w:rStyle w:val="IndexLink"/>
                <w:rtl w:val="true"/>
              </w:rPr>
              <w:t xml:space="preserve">) </w:t>
            </w:r>
            <w:r>
              <w:rPr>
                <w:rStyle w:val="IndexLink"/>
                <w:rtl w:val="true"/>
              </w:rPr>
              <w:t>تعریف گناهان كبيره و موارد آن</w:t>
            </w:r>
            <w:r>
              <w:rPr>
                <w:rStyle w:val="IndexLink"/>
                <w:rtl w:val="true"/>
              </w:rPr>
              <w:tab/>
            </w:r>
            <w:r>
              <w:rPr>
                <w:rStyle w:val="IndexLink"/>
              </w:rPr>
              <w:t>557</w:t>
            </w:r>
          </w:hyperlink>
        </w:p>
        <w:p>
          <w:pPr>
            <w:pStyle w:val="Contents6"/>
            <w:tabs>
              <w:tab w:val="clear" w:pos="7609"/>
              <w:tab w:val="right" w:pos="9026" w:leader="dot"/>
            </w:tabs>
            <w:rPr/>
          </w:pPr>
          <w:hyperlink w:anchor="__RefHeading___Toc15203438_1280447820">
            <w:r>
              <w:rPr>
                <w:webHidden/>
                <w:rStyle w:val="IndexLink"/>
                <w:rtl w:val="true"/>
              </w:rPr>
              <w:t>د</w:t>
            </w:r>
            <w:r>
              <w:rPr>
                <w:rStyle w:val="IndexLink"/>
                <w:rtl w:val="true"/>
              </w:rPr>
              <w:t xml:space="preserve">) </w:t>
            </w:r>
            <w:r>
              <w:rPr>
                <w:rStyle w:val="IndexLink"/>
                <w:rtl w:val="true"/>
              </w:rPr>
              <w:t>چهار دیدگاه جهت شناخت عدالت</w:t>
            </w:r>
            <w:r>
              <w:rPr>
                <w:rStyle w:val="IndexLink"/>
                <w:rtl w:val="true"/>
              </w:rPr>
              <w:tab/>
            </w:r>
            <w:r>
              <w:rPr>
                <w:rStyle w:val="IndexLink"/>
              </w:rPr>
              <w:t>560</w:t>
            </w:r>
          </w:hyperlink>
        </w:p>
        <w:p>
          <w:pPr>
            <w:pStyle w:val="Contents6"/>
            <w:tabs>
              <w:tab w:val="clear" w:pos="7609"/>
              <w:tab w:val="right" w:pos="9026" w:leader="dot"/>
            </w:tabs>
            <w:rPr/>
          </w:pPr>
          <w:hyperlink w:anchor="__RefHeading___Toc15203440_1280447820">
            <w:r>
              <w:rPr>
                <w:webHidden/>
                <w:rStyle w:val="IndexLink"/>
                <w:rtl w:val="true"/>
              </w:rPr>
              <w:t>ه</w:t>
            </w:r>
            <w:r>
              <w:rPr>
                <w:rStyle w:val="IndexLink"/>
                <w:rtl w:val="true"/>
              </w:rPr>
              <w:t xml:space="preserve">-) </w:t>
            </w:r>
            <w:r>
              <w:rPr>
                <w:rStyle w:val="IndexLink"/>
                <w:rtl w:val="true"/>
              </w:rPr>
              <w:t>دیدگاه اهل سنت</w:t>
            </w:r>
            <w:r>
              <w:rPr>
                <w:rStyle w:val="IndexLink"/>
                <w:rtl w:val="true"/>
              </w:rPr>
              <w:tab/>
            </w:r>
            <w:r>
              <w:rPr>
                <w:rStyle w:val="IndexLink"/>
              </w:rPr>
              <w:t>562</w:t>
            </w:r>
          </w:hyperlink>
        </w:p>
        <w:p>
          <w:pPr>
            <w:pStyle w:val="Contents6"/>
            <w:tabs>
              <w:tab w:val="clear" w:pos="7609"/>
              <w:tab w:val="right" w:pos="9026" w:leader="dot"/>
            </w:tabs>
            <w:rPr/>
          </w:pPr>
          <w:hyperlink w:anchor="__RefHeading___Toc15203442_1280447820">
            <w:r>
              <w:rPr>
                <w:webHidden/>
                <w:rStyle w:val="IndexLink"/>
              </w:rPr>
              <w:t>1</w:t>
            </w:r>
            <w:r>
              <w:rPr>
                <w:rStyle w:val="IndexLink"/>
                <w:rtl w:val="true"/>
              </w:rPr>
              <w:t xml:space="preserve">. </w:t>
            </w:r>
            <w:r>
              <w:rPr>
                <w:rStyle w:val="IndexLink"/>
                <w:rtl w:val="true"/>
              </w:rPr>
              <w:t>مذهب حنبلی</w:t>
            </w:r>
            <w:r>
              <w:rPr>
                <w:rStyle w:val="IndexLink"/>
                <w:rtl w:val="true"/>
              </w:rPr>
              <w:tab/>
            </w:r>
            <w:r>
              <w:rPr>
                <w:rStyle w:val="IndexLink"/>
              </w:rPr>
              <w:t>562</w:t>
            </w:r>
          </w:hyperlink>
        </w:p>
        <w:p>
          <w:pPr>
            <w:pStyle w:val="Contents6"/>
            <w:tabs>
              <w:tab w:val="clear" w:pos="7609"/>
              <w:tab w:val="right" w:pos="9026" w:leader="dot"/>
            </w:tabs>
            <w:rPr/>
          </w:pPr>
          <w:hyperlink w:anchor="__RefHeading___Toc15203444_1280447820">
            <w:r>
              <w:rPr>
                <w:webHidden/>
                <w:rStyle w:val="IndexLink"/>
              </w:rPr>
              <w:t>2</w:t>
            </w:r>
            <w:r>
              <w:rPr>
                <w:rStyle w:val="IndexLink"/>
                <w:rtl w:val="true"/>
              </w:rPr>
              <w:t xml:space="preserve">. </w:t>
            </w:r>
            <w:r>
              <w:rPr>
                <w:rStyle w:val="IndexLink"/>
                <w:rtl w:val="true"/>
              </w:rPr>
              <w:t>مذهب مالکی</w:t>
            </w:r>
            <w:r>
              <w:rPr>
                <w:rStyle w:val="IndexLink"/>
                <w:rtl w:val="true"/>
              </w:rPr>
              <w:tab/>
            </w:r>
            <w:r>
              <w:rPr>
                <w:rStyle w:val="IndexLink"/>
              </w:rPr>
              <w:t>562</w:t>
            </w:r>
          </w:hyperlink>
        </w:p>
        <w:p>
          <w:pPr>
            <w:pStyle w:val="Contents6"/>
            <w:tabs>
              <w:tab w:val="clear" w:pos="7609"/>
              <w:tab w:val="right" w:pos="9026" w:leader="dot"/>
            </w:tabs>
            <w:rPr/>
          </w:pPr>
          <w:hyperlink w:anchor="__RefHeading___Toc15203446_1280447820">
            <w:r>
              <w:rPr>
                <w:webHidden/>
                <w:rStyle w:val="IndexLink"/>
              </w:rPr>
              <w:t>3</w:t>
            </w:r>
            <w:r>
              <w:rPr>
                <w:rStyle w:val="IndexLink"/>
                <w:rtl w:val="true"/>
              </w:rPr>
              <w:t xml:space="preserve">. </w:t>
            </w:r>
            <w:r>
              <w:rPr>
                <w:rStyle w:val="IndexLink"/>
                <w:rtl w:val="true"/>
              </w:rPr>
              <w:t>مذهب شافعی</w:t>
            </w:r>
            <w:r>
              <w:rPr>
                <w:rStyle w:val="IndexLink"/>
                <w:rtl w:val="true"/>
              </w:rPr>
              <w:tab/>
            </w:r>
            <w:r>
              <w:rPr>
                <w:rStyle w:val="IndexLink"/>
              </w:rPr>
              <w:t>562</w:t>
            </w:r>
          </w:hyperlink>
        </w:p>
        <w:p>
          <w:pPr>
            <w:pStyle w:val="Contents4"/>
            <w:tabs>
              <w:tab w:val="clear" w:pos="8176"/>
              <w:tab w:val="right" w:pos="9026" w:leader="dot"/>
            </w:tabs>
            <w:rPr/>
          </w:pPr>
          <w:hyperlink w:anchor="__RefHeading___Toc15203448_1280447820">
            <w:r>
              <w:rPr>
                <w:webHidden/>
                <w:rStyle w:val="IndexLink"/>
                <w:rtl w:val="true"/>
              </w:rPr>
              <w:t>مبحث دوم</w:t>
            </w:r>
            <w:r>
              <w:rPr>
                <w:rStyle w:val="IndexLink"/>
                <w:rtl w:val="true"/>
              </w:rPr>
              <w:t xml:space="preserve">: </w:t>
            </w:r>
            <w:r>
              <w:rPr>
                <w:rStyle w:val="IndexLink"/>
                <w:rtl w:val="true"/>
              </w:rPr>
              <w:t>مرجّحات انتخاب امام جماعت</w:t>
            </w:r>
            <w:r>
              <w:rPr>
                <w:rStyle w:val="IndexLink"/>
                <w:rtl w:val="true"/>
              </w:rPr>
              <w:tab/>
            </w:r>
            <w:r>
              <w:rPr>
                <w:rStyle w:val="IndexLink"/>
              </w:rPr>
              <w:t>563</w:t>
            </w:r>
          </w:hyperlink>
        </w:p>
        <w:p>
          <w:pPr>
            <w:pStyle w:val="Contents5"/>
            <w:tabs>
              <w:tab w:val="clear" w:pos="7892"/>
              <w:tab w:val="right" w:pos="9026" w:leader="dot"/>
            </w:tabs>
            <w:rPr/>
          </w:pPr>
          <w:hyperlink w:anchor="__RefHeading___Toc15203450_1280447820">
            <w:r>
              <w:rPr>
                <w:webHidden/>
                <w:rStyle w:val="IndexLink"/>
                <w:rtl w:val="true"/>
              </w:rPr>
              <w:t>اشاره</w:t>
            </w:r>
            <w:r>
              <w:rPr>
                <w:rStyle w:val="IndexLink"/>
                <w:rtl w:val="true"/>
              </w:rPr>
              <w:tab/>
            </w:r>
            <w:r>
              <w:rPr>
                <w:rStyle w:val="IndexLink"/>
              </w:rPr>
              <w:t>563</w:t>
            </w:r>
          </w:hyperlink>
        </w:p>
        <w:p>
          <w:pPr>
            <w:pStyle w:val="Contents5"/>
            <w:tabs>
              <w:tab w:val="clear" w:pos="7892"/>
              <w:tab w:val="right" w:pos="9026" w:leader="dot"/>
            </w:tabs>
            <w:rPr/>
          </w:pPr>
          <w:hyperlink w:anchor="__RefHeading___Toc15203452_1280447820">
            <w:r>
              <w:rPr>
                <w:webHidden/>
                <w:rStyle w:val="IndexLink"/>
                <w:rtl w:val="true"/>
              </w:rPr>
              <w:t>دیدگاه اهل سنّت</w:t>
            </w:r>
            <w:r>
              <w:rPr>
                <w:rStyle w:val="IndexLink"/>
                <w:rtl w:val="true"/>
              </w:rPr>
              <w:tab/>
            </w:r>
            <w:r>
              <w:rPr>
                <w:rStyle w:val="IndexLink"/>
              </w:rPr>
              <w:t>564</w:t>
            </w:r>
          </w:hyperlink>
        </w:p>
        <w:p>
          <w:pPr>
            <w:pStyle w:val="Contents6"/>
            <w:tabs>
              <w:tab w:val="clear" w:pos="7609"/>
              <w:tab w:val="right" w:pos="9026" w:leader="dot"/>
            </w:tabs>
            <w:rPr/>
          </w:pPr>
          <w:hyperlink w:anchor="__RefHeading___Toc15203454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564</w:t>
            </w:r>
          </w:hyperlink>
        </w:p>
        <w:p>
          <w:pPr>
            <w:pStyle w:val="Contents6"/>
            <w:tabs>
              <w:tab w:val="clear" w:pos="7609"/>
              <w:tab w:val="right" w:pos="9026" w:leader="dot"/>
            </w:tabs>
            <w:rPr/>
          </w:pPr>
          <w:hyperlink w:anchor="__RefHeading___Toc15203456_1280447820">
            <w:r>
              <w:rPr>
                <w:webHidden/>
                <w:rStyle w:val="IndexLink"/>
              </w:rPr>
              <w:t>2</w:t>
            </w:r>
            <w:r>
              <w:rPr>
                <w:rStyle w:val="IndexLink"/>
                <w:rtl w:val="true"/>
              </w:rPr>
              <w:t xml:space="preserve">. </w:t>
            </w:r>
            <w:r>
              <w:rPr>
                <w:rStyle w:val="IndexLink"/>
                <w:rtl w:val="true"/>
              </w:rPr>
              <w:t>مذهب شافعی</w:t>
            </w:r>
            <w:r>
              <w:rPr>
                <w:rStyle w:val="IndexLink"/>
                <w:rtl w:val="true"/>
              </w:rPr>
              <w:tab/>
            </w:r>
            <w:r>
              <w:rPr>
                <w:rStyle w:val="IndexLink"/>
              </w:rPr>
              <w:t>565</w:t>
            </w:r>
          </w:hyperlink>
        </w:p>
        <w:p>
          <w:pPr>
            <w:pStyle w:val="Contents6"/>
            <w:tabs>
              <w:tab w:val="clear" w:pos="7609"/>
              <w:tab w:val="right" w:pos="9026" w:leader="dot"/>
            </w:tabs>
            <w:rPr/>
          </w:pPr>
          <w:hyperlink w:anchor="__RefHeading___Toc15203458_1280447820">
            <w:r>
              <w:rPr>
                <w:webHidden/>
                <w:rStyle w:val="IndexLink"/>
              </w:rPr>
              <w:t>3</w:t>
            </w:r>
            <w:r>
              <w:rPr>
                <w:rStyle w:val="IndexLink"/>
                <w:rtl w:val="true"/>
              </w:rPr>
              <w:t xml:space="preserve">. </w:t>
            </w:r>
            <w:r>
              <w:rPr>
                <w:rStyle w:val="IndexLink"/>
                <w:rtl w:val="true"/>
              </w:rPr>
              <w:t>مذهب مالکی</w:t>
            </w:r>
            <w:r>
              <w:rPr>
                <w:rStyle w:val="IndexLink"/>
                <w:rtl w:val="true"/>
              </w:rPr>
              <w:tab/>
            </w:r>
            <w:r>
              <w:rPr>
                <w:rStyle w:val="IndexLink"/>
              </w:rPr>
              <w:t>566</w:t>
            </w:r>
          </w:hyperlink>
        </w:p>
        <w:p>
          <w:pPr>
            <w:pStyle w:val="Contents6"/>
            <w:tabs>
              <w:tab w:val="clear" w:pos="7609"/>
              <w:tab w:val="right" w:pos="9026" w:leader="dot"/>
            </w:tabs>
            <w:rPr/>
          </w:pPr>
          <w:hyperlink w:anchor="__RefHeading___Toc15203460_1280447820">
            <w:r>
              <w:rPr>
                <w:webHidden/>
                <w:rStyle w:val="IndexLink"/>
              </w:rPr>
              <w:t>4</w:t>
            </w:r>
            <w:r>
              <w:rPr>
                <w:rStyle w:val="IndexLink"/>
                <w:rtl w:val="true"/>
              </w:rPr>
              <w:t xml:space="preserve">. </w:t>
            </w:r>
            <w:r>
              <w:rPr>
                <w:rStyle w:val="IndexLink"/>
                <w:rtl w:val="true"/>
              </w:rPr>
              <w:t>مذهب حنبلی</w:t>
            </w:r>
            <w:r>
              <w:rPr>
                <w:rStyle w:val="IndexLink"/>
                <w:rtl w:val="true"/>
              </w:rPr>
              <w:tab/>
            </w:r>
            <w:r>
              <w:rPr>
                <w:rStyle w:val="IndexLink"/>
              </w:rPr>
              <w:t>567</w:t>
            </w:r>
          </w:hyperlink>
        </w:p>
        <w:p>
          <w:pPr>
            <w:pStyle w:val="Contents3"/>
            <w:tabs>
              <w:tab w:val="clear" w:pos="8459"/>
              <w:tab w:val="right" w:pos="9026" w:leader="dot"/>
            </w:tabs>
            <w:rPr/>
          </w:pPr>
          <w:hyperlink w:anchor="__RefHeading___Toc15203462_1280447820">
            <w:r>
              <w:rPr>
                <w:webHidden/>
                <w:rStyle w:val="IndexLink"/>
                <w:rtl w:val="true"/>
              </w:rPr>
              <w:t>فصل سوم</w:t>
            </w:r>
            <w:r>
              <w:rPr>
                <w:rStyle w:val="IndexLink"/>
                <w:rtl w:val="true"/>
              </w:rPr>
              <w:t xml:space="preserve">: </w:t>
            </w:r>
            <w:r>
              <w:rPr>
                <w:rStyle w:val="IndexLink"/>
                <w:rtl w:val="true"/>
              </w:rPr>
              <w:t>مؤذن و خادم مسجد</w:t>
            </w:r>
            <w:r>
              <w:rPr>
                <w:rStyle w:val="IndexLink"/>
                <w:rtl w:val="true"/>
              </w:rPr>
              <w:tab/>
            </w:r>
            <w:r>
              <w:rPr>
                <w:rStyle w:val="IndexLink"/>
              </w:rPr>
              <w:t>569</w:t>
            </w:r>
          </w:hyperlink>
        </w:p>
        <w:p>
          <w:pPr>
            <w:pStyle w:val="Contents4"/>
            <w:tabs>
              <w:tab w:val="clear" w:pos="8176"/>
              <w:tab w:val="right" w:pos="9026" w:leader="dot"/>
            </w:tabs>
            <w:rPr/>
          </w:pPr>
          <w:hyperlink w:anchor="__RefHeading___Toc15203464_1280447820">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15203466_1280447820">
            <w:r>
              <w:rPr>
                <w:webHidden/>
                <w:rStyle w:val="IndexLink"/>
                <w:rtl w:val="true"/>
              </w:rPr>
              <w:t>مبحث اول</w:t>
            </w:r>
            <w:r>
              <w:rPr>
                <w:rStyle w:val="IndexLink"/>
                <w:rtl w:val="true"/>
              </w:rPr>
              <w:t xml:space="preserve">: </w:t>
            </w:r>
            <w:r>
              <w:rPr>
                <w:rStyle w:val="IndexLink"/>
                <w:rtl w:val="true"/>
              </w:rPr>
              <w:t>مؤذن</w:t>
            </w:r>
            <w:r>
              <w:rPr>
                <w:rStyle w:val="IndexLink"/>
                <w:rtl w:val="true"/>
              </w:rPr>
              <w:tab/>
            </w:r>
            <w:r>
              <w:rPr>
                <w:rStyle w:val="IndexLink"/>
              </w:rPr>
              <w:t>571</w:t>
            </w:r>
          </w:hyperlink>
        </w:p>
        <w:p>
          <w:pPr>
            <w:pStyle w:val="Contents5"/>
            <w:tabs>
              <w:tab w:val="clear" w:pos="7892"/>
              <w:tab w:val="right" w:pos="9026" w:leader="dot"/>
            </w:tabs>
            <w:rPr/>
          </w:pPr>
          <w:hyperlink w:anchor="__RefHeading___Toc15203468_1280447820">
            <w:r>
              <w:rPr>
                <w:webHidden/>
                <w:rStyle w:val="IndexLink"/>
                <w:rtl w:val="true"/>
              </w:rPr>
              <w:t>اشاره</w:t>
            </w:r>
            <w:r>
              <w:rPr>
                <w:rStyle w:val="IndexLink"/>
                <w:rtl w:val="true"/>
              </w:rPr>
              <w:tab/>
            </w:r>
            <w:r>
              <w:rPr>
                <w:rStyle w:val="IndexLink"/>
              </w:rPr>
              <w:t>571</w:t>
            </w:r>
          </w:hyperlink>
        </w:p>
        <w:p>
          <w:pPr>
            <w:pStyle w:val="Contents5"/>
            <w:tabs>
              <w:tab w:val="clear" w:pos="7892"/>
              <w:tab w:val="right" w:pos="9026" w:leader="dot"/>
            </w:tabs>
            <w:rPr/>
          </w:pPr>
          <w:hyperlink w:anchor="__RefHeading___Toc15203470_1280447820">
            <w:r>
              <w:rPr>
                <w:webHidden/>
                <w:rStyle w:val="IndexLink"/>
                <w:rtl w:val="true"/>
              </w:rPr>
              <w:t>گفتار اول</w:t>
            </w:r>
            <w:r>
              <w:rPr>
                <w:rStyle w:val="IndexLink"/>
                <w:rtl w:val="true"/>
              </w:rPr>
              <w:t xml:space="preserve">: </w:t>
            </w:r>
            <w:r>
              <w:rPr>
                <w:rStyle w:val="IndexLink"/>
                <w:rtl w:val="true"/>
              </w:rPr>
              <w:t>معنای لغوی و شرعی اذان و جایگاه مؤذن نزد خداوند</w:t>
            </w:r>
            <w:r>
              <w:rPr>
                <w:rStyle w:val="IndexLink"/>
                <w:rtl w:val="true"/>
              </w:rPr>
              <w:tab/>
            </w:r>
            <w:r>
              <w:rPr>
                <w:rStyle w:val="IndexLink"/>
              </w:rPr>
              <w:t>571</w:t>
            </w:r>
          </w:hyperlink>
        </w:p>
        <w:p>
          <w:pPr>
            <w:pStyle w:val="Contents5"/>
            <w:tabs>
              <w:tab w:val="clear" w:pos="7892"/>
              <w:tab w:val="right" w:pos="9026" w:leader="dot"/>
            </w:tabs>
            <w:rPr/>
          </w:pPr>
          <w:hyperlink w:anchor="__RefHeading___Toc15203472_1280447820">
            <w:r>
              <w:rPr>
                <w:webHidden/>
                <w:rStyle w:val="IndexLink"/>
                <w:rtl w:val="true"/>
              </w:rPr>
              <w:t>گفتار دوم</w:t>
            </w:r>
            <w:r>
              <w:rPr>
                <w:rStyle w:val="IndexLink"/>
                <w:rtl w:val="true"/>
              </w:rPr>
              <w:t xml:space="preserve">: </w:t>
            </w:r>
            <w:r>
              <w:rPr>
                <w:rStyle w:val="IndexLink"/>
                <w:rtl w:val="true"/>
              </w:rPr>
              <w:t>شرائط مؤذِّن</w:t>
            </w:r>
            <w:r>
              <w:rPr>
                <w:rStyle w:val="IndexLink"/>
                <w:rtl w:val="true"/>
              </w:rPr>
              <w:tab/>
            </w:r>
            <w:r>
              <w:rPr>
                <w:rStyle w:val="IndexLink"/>
              </w:rPr>
              <w:t>573</w:t>
            </w:r>
          </w:hyperlink>
        </w:p>
        <w:p>
          <w:pPr>
            <w:pStyle w:val="Contents6"/>
            <w:tabs>
              <w:tab w:val="clear" w:pos="7609"/>
              <w:tab w:val="right" w:pos="9026" w:leader="dot"/>
            </w:tabs>
            <w:rPr/>
          </w:pPr>
          <w:hyperlink w:anchor="__RefHeading___Toc15203474_1280447820">
            <w:r>
              <w:rPr>
                <w:webHidden/>
                <w:rStyle w:val="IndexLink"/>
                <w:rtl w:val="true"/>
              </w:rPr>
              <w:t>اشاره</w:t>
            </w:r>
            <w:r>
              <w:rPr>
                <w:rStyle w:val="IndexLink"/>
                <w:rtl w:val="true"/>
              </w:rPr>
              <w:tab/>
            </w:r>
            <w:r>
              <w:rPr>
                <w:rStyle w:val="IndexLink"/>
              </w:rPr>
              <w:t>573</w:t>
            </w:r>
          </w:hyperlink>
        </w:p>
        <w:p>
          <w:pPr>
            <w:pStyle w:val="Contents6"/>
            <w:tabs>
              <w:tab w:val="clear" w:pos="7609"/>
              <w:tab w:val="right" w:pos="9026" w:leader="dot"/>
            </w:tabs>
            <w:rPr/>
          </w:pPr>
          <w:hyperlink w:anchor="__RefHeading___Toc15203476_1280447820">
            <w:r>
              <w:rPr>
                <w:webHidden/>
                <w:rStyle w:val="IndexLink"/>
                <w:rtl w:val="true"/>
              </w:rPr>
              <w:t>الف</w:t>
            </w:r>
            <w:r>
              <w:rPr>
                <w:rStyle w:val="IndexLink"/>
                <w:rtl w:val="true"/>
              </w:rPr>
              <w:t xml:space="preserve">) </w:t>
            </w:r>
            <w:r>
              <w:rPr>
                <w:rStyle w:val="IndexLink"/>
                <w:rtl w:val="true"/>
              </w:rPr>
              <w:t>مستحبات</w:t>
            </w:r>
            <w:r>
              <w:rPr>
                <w:rStyle w:val="IndexLink"/>
                <w:rtl w:val="true"/>
              </w:rPr>
              <w:tab/>
            </w:r>
            <w:r>
              <w:rPr>
                <w:rStyle w:val="IndexLink"/>
              </w:rPr>
              <w:t>573</w:t>
            </w:r>
          </w:hyperlink>
        </w:p>
        <w:p>
          <w:pPr>
            <w:pStyle w:val="Contents6"/>
            <w:tabs>
              <w:tab w:val="clear" w:pos="7609"/>
              <w:tab w:val="right" w:pos="9026" w:leader="dot"/>
            </w:tabs>
            <w:rPr/>
          </w:pPr>
          <w:hyperlink w:anchor="__RefHeading___Toc15203478_1280447820">
            <w:r>
              <w:rPr>
                <w:webHidden/>
                <w:rStyle w:val="IndexLink"/>
                <w:rtl w:val="true"/>
              </w:rPr>
              <w:t>ب</w:t>
            </w:r>
            <w:r>
              <w:rPr>
                <w:rStyle w:val="IndexLink"/>
                <w:rtl w:val="true"/>
              </w:rPr>
              <w:t xml:space="preserve">) </w:t>
            </w:r>
            <w:r>
              <w:rPr>
                <w:rStyle w:val="IndexLink"/>
                <w:rtl w:val="true"/>
              </w:rPr>
              <w:t>مكروهات</w:t>
            </w:r>
            <w:r>
              <w:rPr>
                <w:rStyle w:val="IndexLink"/>
                <w:rtl w:val="true"/>
              </w:rPr>
              <w:tab/>
            </w:r>
            <w:r>
              <w:rPr>
                <w:rStyle w:val="IndexLink"/>
              </w:rPr>
              <w:t>574</w:t>
            </w:r>
          </w:hyperlink>
        </w:p>
        <w:p>
          <w:pPr>
            <w:pStyle w:val="Contents6"/>
            <w:tabs>
              <w:tab w:val="clear" w:pos="7609"/>
              <w:tab w:val="right" w:pos="9026" w:leader="dot"/>
            </w:tabs>
            <w:rPr/>
          </w:pPr>
          <w:hyperlink w:anchor="__RefHeading___Toc15203480_1280447820">
            <w:r>
              <w:rPr>
                <w:webHidden/>
                <w:rStyle w:val="IndexLink"/>
                <w:rtl w:val="true"/>
              </w:rPr>
              <w:t>ج</w:t>
            </w:r>
            <w:r>
              <w:rPr>
                <w:rStyle w:val="IndexLink"/>
                <w:rtl w:val="true"/>
              </w:rPr>
              <w:t xml:space="preserve">) </w:t>
            </w:r>
            <w:r>
              <w:rPr>
                <w:rStyle w:val="IndexLink"/>
                <w:rtl w:val="true"/>
              </w:rPr>
              <w:t>دیدگاه اهل سنت پیرامون شروط مؤذن</w:t>
            </w:r>
            <w:r>
              <w:rPr>
                <w:rStyle w:val="IndexLink"/>
                <w:rtl w:val="true"/>
              </w:rPr>
              <w:tab/>
            </w:r>
            <w:r>
              <w:rPr>
                <w:rStyle w:val="IndexLink"/>
              </w:rPr>
              <w:t>575</w:t>
            </w:r>
          </w:hyperlink>
        </w:p>
        <w:p>
          <w:pPr>
            <w:pStyle w:val="Contents6"/>
            <w:tabs>
              <w:tab w:val="clear" w:pos="7609"/>
              <w:tab w:val="right" w:pos="9026" w:leader="dot"/>
            </w:tabs>
            <w:rPr/>
          </w:pPr>
          <w:hyperlink w:anchor="__RefHeading___Toc15203482_1280447820">
            <w:r>
              <w:rPr>
                <w:webHidden/>
                <w:rStyle w:val="IndexLink"/>
              </w:rPr>
              <w:t>1</w:t>
            </w:r>
            <w:r>
              <w:rPr>
                <w:rStyle w:val="IndexLink"/>
                <w:rtl w:val="true"/>
              </w:rPr>
              <w:t xml:space="preserve">. </w:t>
            </w:r>
            <w:r>
              <w:rPr>
                <w:rStyle w:val="IndexLink"/>
                <w:rtl w:val="true"/>
              </w:rPr>
              <w:t>مذهب حنفی</w:t>
            </w:r>
            <w:r>
              <w:rPr>
                <w:rStyle w:val="IndexLink"/>
                <w:rtl w:val="true"/>
              </w:rPr>
              <w:tab/>
            </w:r>
            <w:r>
              <w:rPr>
                <w:rStyle w:val="IndexLink"/>
              </w:rPr>
              <w:t>575</w:t>
            </w:r>
          </w:hyperlink>
        </w:p>
        <w:p>
          <w:pPr>
            <w:pStyle w:val="Contents6"/>
            <w:tabs>
              <w:tab w:val="clear" w:pos="7609"/>
              <w:tab w:val="right" w:pos="9026" w:leader="dot"/>
            </w:tabs>
            <w:rPr/>
          </w:pPr>
          <w:hyperlink w:anchor="__RefHeading___Toc15203484_1280447820">
            <w:r>
              <w:rPr>
                <w:webHidden/>
                <w:rStyle w:val="IndexLink"/>
              </w:rPr>
              <w:t>2</w:t>
            </w:r>
            <w:r>
              <w:rPr>
                <w:rStyle w:val="IndexLink"/>
                <w:rtl w:val="true"/>
              </w:rPr>
              <w:t xml:space="preserve">. </w:t>
            </w:r>
            <w:r>
              <w:rPr>
                <w:rStyle w:val="IndexLink"/>
                <w:rtl w:val="true"/>
              </w:rPr>
              <w:t>مذهب مالکی</w:t>
            </w:r>
            <w:r>
              <w:rPr>
                <w:rStyle w:val="IndexLink"/>
                <w:rtl w:val="true"/>
              </w:rPr>
              <w:tab/>
            </w:r>
            <w:r>
              <w:rPr>
                <w:rStyle w:val="IndexLink"/>
              </w:rPr>
              <w:t>575</w:t>
            </w:r>
          </w:hyperlink>
        </w:p>
        <w:p>
          <w:pPr>
            <w:pStyle w:val="Contents4"/>
            <w:tabs>
              <w:tab w:val="clear" w:pos="8176"/>
              <w:tab w:val="right" w:pos="9026" w:leader="dot"/>
            </w:tabs>
            <w:rPr/>
          </w:pPr>
          <w:hyperlink w:anchor="__RefHeading___Toc15203486_1280447820">
            <w:r>
              <w:rPr>
                <w:webHidden/>
                <w:rStyle w:val="IndexLink"/>
                <w:rtl w:val="true"/>
              </w:rPr>
              <w:t>مبحث دوم</w:t>
            </w:r>
            <w:r>
              <w:rPr>
                <w:rStyle w:val="IndexLink"/>
                <w:rtl w:val="true"/>
              </w:rPr>
              <w:t xml:space="preserve">: </w:t>
            </w:r>
            <w:r>
              <w:rPr>
                <w:rStyle w:val="IndexLink"/>
                <w:rtl w:val="true"/>
              </w:rPr>
              <w:t>خادم مسجد</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5_195273"/>
      <w:bookmarkStart w:id="1" w:name="pg19115_195273"/>
      <w:bookmarkEnd w:id="1"/>
    </w:p>
    <w:p>
      <w:pPr>
        <w:pStyle w:val="Heading2"/>
        <w:numPr>
          <w:ilvl w:val="1"/>
          <w:numId w:val="1"/>
        </w:numPr>
        <w:rPr/>
      </w:pPr>
      <w:bookmarkStart w:id="2" w:name="pg19115_195273"/>
      <w:bookmarkStart w:id="3" w:name="__RefHeading___Toc1520218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فقه مقارن مسجد</w:t>
      </w:r>
    </w:p>
    <w:p>
      <w:pPr>
        <w:pStyle w:val="BookText"/>
        <w:rPr/>
      </w:pPr>
      <w:r>
        <w:rPr>
          <w:rFonts w:ascii="IRNazanin" w:hAnsi="IRNazanin" w:eastAsia="IRNazanin"/>
          <w:color w:val="111111"/>
          <w:sz w:val="28"/>
          <w:sz w:val="28"/>
          <w:szCs w:val="28"/>
          <w:rtl w:val="true"/>
          <w:lang w:bidi="fa-IR"/>
        </w:rPr>
        <w:t>بررسي احکام مسجد با رویکرد فقه مقارن</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 مسجد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صرامی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32923835</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آدرس و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0218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15_195277"/>
      <w:bookmarkStart w:id="8" w:name="pg19115_195277"/>
      <w:bookmarkEnd w:id="8"/>
    </w:p>
    <w:p>
      <w:pPr>
        <w:pStyle w:val="Heading2"/>
        <w:numPr>
          <w:ilvl w:val="1"/>
          <w:numId w:val="1"/>
        </w:numPr>
        <w:rPr/>
      </w:pPr>
      <w:bookmarkStart w:id="9" w:name="pg19115_195277"/>
      <w:bookmarkStart w:id="10" w:name="__RefHeading___Toc15202184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کلمات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احکام مساجد و ضرورت فقه مقارن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بحث احکام مسجد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 مقارن و تعریف و فوائد آن و تخصصی شدن ابواب فقه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 مقارن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فقه مقارن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و آثار فقه مقارن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به فقه اهل بیت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شدن ابواب فقه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فقه و مسجد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فقه در لغت و اصطلاح</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لغت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اصطلاح</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لغت و اصطلاح</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لغت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اصطلاح</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قرآن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مرتبط به مسجد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کنکاشی در چیستی مسجد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تعظیم مسجد و حفظ حرمت آن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ادلۀ وجوب تعظیم و حفظ حرمت مساجد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روایات تعظیم مساجد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وجوب تعظیم مسجد نزد اهل سنّت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تحقق ماهیت مسجد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جنس تعریف؛ مکان مسجد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فصل تعریف مسجد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برای پرستش و عبادت خداوند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قید سوم؛ لزوم عمومیت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تحقق مسجد در خارج</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وقف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عقد یا ایقاع بودن وقف</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تحقق قبول در وقف</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جریان معاطات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بررسی شرط بودن خواندن صیغه در خصوص مسجد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نبودن خواندن صیغه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بودن خواندن صیغه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جمع بندی مطالب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در چیستی مسجد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مسجد به یک قسمت از ساختمان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مهندسی و معماری ساختمان مسجد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در عصر پیامبر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ساختن مسجد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 در فضیلت ساختن مساجد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حکم استحباب ساختن مسجد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ساختمان مسجد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طول و عرض مسجد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فقهای شیعه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ساختمان مسجد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ارتفاع مساجد از دیدگاه فقهی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فقهای شیعه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ارتفاع ساختمان مسجد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متعارف و متناسب با عرف زمان بودن ارتفاع مسجد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فقهای اهل سنّت</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کنگره برای مسجد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شیعه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کراهت کنگره برای مسجد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لغت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اصطلاح</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آیات قرآن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های مسجد النّبی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 پیرامون ساختن محراب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ساخت محراب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ساختن محراب</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ساختن محراب</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ساخت محراب در داخل فضای مسجد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بندی دیدگاه فقها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در ساختن محراب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 و مالکی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منبر در مسجد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منبر در لغت و اصطلاح</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پیامبر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مقام معنوی منبر پیامبر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تبرک جستن به منبر، نماز خواندن و دعا کردن کنار آن نزد شیعه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یا استحباب بوسیدن منبر پیامبر از دیدگاه اهل سنّت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یمین کنار منبر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اتّخاذ منبر در مسجد</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شیعه پیرامون اتّخاذ منبر و ایراد خطبه بر فراز آن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منبر در مسجد از نگاه اهل سنّت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چند پیرامون منبر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مسجد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در لغت و اصطلاح</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های مسجد النبی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مناره از دیدگاه فقها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شیعه پیرامون ساختن مناره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استحباب اذان بر مناره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از نگاه اهل سنّت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مسجد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درب های مساجد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ویژۀ بانوان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گنبد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گنبد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مسجد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خانه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میضَاًه در لغت و اصطلاح</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میضأه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ميضأة</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استحباب ساخت وضو خانه در خارج از مسجد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خانه از دیدگاه اهل سنّت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 و مالکی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 و حنبلی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ساختن سرویس های بهداشتی مساجد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دلیل حرمت استقبال و استدبار قبله در حال تخلّی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رحبه در لغت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رحبه در اصطلاح فقها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صحن مسجد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اعتکاف در صحن مسجد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رحبه از دیدگاه اهل سنّت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سایز مذاهب</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قبلۀ مسجد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قبله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قبله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بودن قبلۀ مسلمین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قطعیۀ مسلمین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علامات قبله از دیدگاه علمای هیئت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قبله به وسیله ابزار های جدید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مساجد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در لغت و تفسیر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ترمیم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از نگاه مفسران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مرمت، تجدید و توسعه مسجد</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استحباب تعمیر مساجد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مسجد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جواز تخریب مسجد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بنای مسجد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درب، پنجره و دریچه برای مسجد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پیراستگی مسجد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مساجد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حرمت یا کراهت تزیین مساجد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مساجد از نگاه اهل سنت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خوش بو کردن و روشن نگه داشتن مسجد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نگه داشتن مسجد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ادلۀ استحباب تنظيف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نگه داشتن مسجد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ادلۀ استحباب افروختن چراغ در مساجد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 کردن مسجد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مفروش کردن مساجد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پیرامون نظافت چراغانی و خوش بو کردن مسجد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سنگ ریزه از مسجد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ادله حرمت اخراج سنگ ریزه از مسجد و وجوب بر گرداندن آن به مسجد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ها و برنامه های مرتبط با مسجد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کاربری اصلی مسجد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در مسجد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مسجد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استحباب اقامه نماز در مسجد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نماز در مشاهد أئمه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نشستن در مسجد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دعا، ذکر و یاد خداوند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تلاوت قرآن در مسجد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اعتکاف</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لغت و اصطلاح</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لغوى اعتكاف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اعتکاف</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اعتکاف</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اعتکاف در شریعت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در قرآن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برای اعتکاف</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اعتکاف</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اعتکاف</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اعتکاف بانوان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مسجد جامع</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داشتن حضور در مسجد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مجوُزات خروج از مسجد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مصادیق مجوُز خروج از مسجد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های مجوُز خروج از نگاه اهل سنّت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اعتکاف</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استمتاع از همسر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یا لمس کردن همسر</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عقود مختلف در حال اعتکاف</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بطلان اعتکاف به سبب بیع و شراء</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 عطر و گل های خوش بو</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 مجادله کردن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هر آن چه بر روزه دار حرام است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مسجد جهت امور غیر مرتبط با کاربری مسجد</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اجرای حدود در مسجد</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مسجد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كراهت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در مسجد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حرمت</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کراهت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خواندن در مسجد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اهل سنّت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مرتبط با کاربری مسجد</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گم شده در مسجد</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جواز خوابیدن در مسجد</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کراهت خوابیدن در مسجد</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در مساجد</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گری در مساجد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ادله قول به کراهت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از مسجد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مرتبط با کاربران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وظایف کاربران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رفتن به مسجد و خارج شدن از آن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رفتن به مسجد</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استحباب رفتن به مسجد و تعظیم آن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هنگام رفتن به مسجد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ورود به مسجد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داشتن</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بهترین و زیبا ترین لباس ها و خوش بو کردن خود</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نظافت کفش ها هنگام ورود به مسجد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ورود به مسجد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ورود به مسجد و خروج از آن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تحیّت</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نمودن اقامت در مسجد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زینت ظاهری و معنوی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زینت</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معنوی هنگام ورود به مسجد</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مسجد</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ازاله نجاست از مسجد و تطهير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کفایی تطهیر و ازالۀ نجاست</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ادلۀ وجوب تطهير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فوری ازالۀ نجاست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دلیل وجوب فوری ازاله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تقدیم ازاله بر نماز</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دیگری به ازاله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تطهير حصیر مسجد</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دليل وجوب تطهير حصیر مسجد</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تطهیر بر تخریب و حفاری مسجد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یا وجوب حفاری و تخریب مساجد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وجوب تعمیر و پر کردن حفره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باز گرداندن مصالح ساختمانی به مسجد</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تطهیر مسجد بر تخریب تمامی مسجد</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دلیل جواز تخریب تمامی مسجد به جهت تطهیر</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مسجد و ویران شده</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دليل تطهير مسجد مخروبه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تطهیر مسجد بر بذل مال</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بذل مال</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هزینه تطهیر مسجد</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ورود گروه های خاص به مسجد</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مسجد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دیدگاه نخست؛ عدم استحباب</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ادلۀ جواز رفتن زنان به مسجد در منابع اهل سنّت</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کودکان و دیوانگان به مسجد</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کراهت</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ادله کراهت</w:t>
      </w:r>
      <w:r>
        <w:rPr>
          <w:rFonts w:eastAsia="IRNazanin" w:cs="IRNazanin"/>
          <w:color w:val="111111"/>
          <w:sz w:val="28"/>
          <w:szCs w:val="28"/>
          <w:rtl w:val="true"/>
          <w:lang w:bidi="fa-IR"/>
        </w:rPr>
        <w:t>...</w:t>
      </w:r>
      <w:r>
        <w:rPr>
          <w:rFonts w:eastAsia="IRNazanin" w:cs="IRNazanin"/>
          <w:color w:val="111111"/>
          <w:sz w:val="28"/>
          <w:szCs w:val="28"/>
          <w:lang w:bidi="fa-IR"/>
        </w:rPr>
        <w:t>419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کفار به مسجد</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مطلقا</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صورت هتک حرمت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مکروهات مرتبط با کاربران مسجد</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گفتاری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پیرامون امور دنیوی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صدا در مسجد</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کراهت بالا بردن صدا در مسجد</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اهل سنّت</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 غیر عربی</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فقیهان و ارزیابی آن</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اهل سنّت</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رفتاری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مسجد با بوی نا مطبوع دهان</w:t>
      </w:r>
      <w:r>
        <w:rPr>
          <w:rFonts w:eastAsia="IRNazanin" w:cs="IRNazanin"/>
          <w:color w:val="111111"/>
          <w:sz w:val="28"/>
          <w:szCs w:val="28"/>
          <w:rtl w:val="true"/>
          <w:lang w:bidi="fa-IR"/>
        </w:rPr>
        <w:t>...</w:t>
      </w:r>
      <w:r>
        <w:rPr>
          <w:rFonts w:eastAsia="IRNazanin" w:cs="IRNazanin"/>
          <w:color w:val="111111"/>
          <w:sz w:val="28"/>
          <w:szCs w:val="28"/>
          <w:lang w:bidi="fa-IR"/>
        </w:rPr>
        <w:t>440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آب دهان و اخلاط سینه در مسجد</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 سنگ ریزه</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عورت در مسجد</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کراهت</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تحریم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کاران و کار گزاران مسجد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متولی امور مسجد</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واقف</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 متولی وقف</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آغازین</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ناظر و متولی</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اشتراط عدالت در ناظر</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ناظر و متولی وقف</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جواز تعيين ناظر توسط واقف</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ناظر در صورت عدم تعیین واقف</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قبول نظارت بر وقف</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ناظر</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حاکم بر وقف</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 مسجد توسط کفّار</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 جماعت</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بودن بلوغ</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امامت صبّى مميّز</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شرط بودن رجولیّت</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زن برای زنان</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پیرامون امامت زن</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قرائت</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عدالت در لغت و اصطلاح</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گناهان به کبیره و صغیره</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گناهان کبیره و موارد آن</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دیدگاه جهت شناخت عدالت</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انتخاب امام جماعت</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و خادم مسجد</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شرعی اذان و جایگاه مؤذن نزد خداوند</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مؤذِّن</w:t>
      </w:r>
      <w:r>
        <w:rPr>
          <w:rFonts w:eastAsia="IRNazanin" w:cs="IRNazanin"/>
          <w:color w:val="111111"/>
          <w:sz w:val="28"/>
          <w:szCs w:val="28"/>
          <w:rtl w:val="true"/>
          <w:lang w:bidi="fa-IR"/>
        </w:rPr>
        <w:t>...</w:t>
      </w:r>
      <w:r>
        <w:rPr>
          <w:rFonts w:eastAsia="IRNazanin" w:cs="IRNazanin"/>
          <w:color w:val="111111"/>
          <w:sz w:val="28"/>
          <w:szCs w:val="28"/>
          <w:lang w:bidi="fa-IR"/>
        </w:rPr>
        <w:t>537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پیرامون شروط مؤذّن</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bookmarkStart w:id="12" w:name="pg19115_195293"/>
    </w:p>
    <w:p>
      <w:pPr>
        <w:pStyle w:val="Heading2"/>
        <w:numPr>
          <w:ilvl w:val="1"/>
          <w:numId w:val="1"/>
        </w:numPr>
        <w:rPr/>
      </w:pPr>
      <w:bookmarkStart w:id="13" w:name="__RefHeading___Toc15202186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دوره تاسیس و تثبیت نظام اسلامی با گامی به بلندای چهل سال ایستادگی، مقاومت و جهاد، برداشته شد؛ گام دوم انقلاب طبق رهنمود های مقام معظم رهبری بر محور خود سازی، جامعه پردازی و تمدن سازی ترسیم شده است؛ پر واضح است که دست یابی به تمدن نوین اسلامی و اعتلاء معنوی و مادی جامعه بر اساس آموزه های اسلام ناب، به جز از مسیر مسجد و بدون تکیه بر کارکرد ها و ظرفیت های عظیم آن میسور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سازی مقدمه جامعه پردازی است و تا جامعه تر از اسلامی به وجود نیامده، تمدن اسلامی شکل نخواهد گرفت؛ از این رو اهمیت کار مساجد به عنوان یکی از ارکان تمدن اسلامی آشکار می گردد؛ فرمایشات متعدد مقام معظم رهبری در مورد جایگاه مسجد به عنوان مکان خود سازی و جامعه پردازی خود گویای اهمیت آن است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اسلامی، شور و بهجت عبادت خالص با نشاط زندگی پاک و خردمندانه و سالم، در هم می آمیزد و فرد و جامعه را به تراز اسلامی آن نزدیک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اعضا دفاتر نمایندگی رهبری در دانشگاه ها </w:t>
      </w:r>
      <w:r>
        <w:rPr>
          <w:rFonts w:eastAsia="IRNazanin" w:cs="IRNazanin"/>
          <w:color w:val="111111"/>
          <w:sz w:val="28"/>
          <w:szCs w:val="28"/>
          <w:lang w:bidi="fa-IR"/>
        </w:rPr>
        <w:t>89/4/20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مساجد در منظومه فکری امام خمینی رحمة اللّه بسیار رفیع است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نباشد که خیال کنند که حالا دیگر ما پیروز شدیم، دیگر مسجد می خواهیم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برای اداره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رحمة اللّه مساجد را مرکز تامین عقبه فکری و نیروی انسانی حکومت اسلامی می دانستند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مسجد چنین جایگاه رفیعی دارد لازم است تا متصدی اصلی امور آن، یعنی مرکز رسیدگی به امور مساجد، که به فرمایش رهبر فرزانه انقلاب به عنوان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 مرجع مقبول، آگاه و نا فذا لکلمه ای در امر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تمام اهتمام خود را جهت آماده سازی این مکان مقدس، برای ایجاد تمدن اسلامی،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بر آن است تا نیاز های فقهی مساجد را برای مدیریت هر چه بهتر آن آماده سازد؛ در این مسیر جهت ارائه تحقیقی دقیق و استفاده حداکثری از ظرفیت فقهی جهان اسلام این تحقیق به صورت مقارن صورت یافته تا با انعکاس نظريات علمای شیعه در کنار اهل سنت؛ حق مطلب را ادا کرده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مسائل و مطالب مناسب و حتی ضروری در تدوین این کتاب فرو گذار شده است که تذکر آن موارد و ایرادات دیگر توسط اهل فضل موجب مزید امتنان خواهد شد</w:t>
      </w:r>
      <w:r>
        <w:rPr>
          <w:rFonts w:eastAsia="IRNazanin" w:cs="IRNazanin"/>
          <w:color w:val="111111"/>
          <w:sz w:val="28"/>
          <w:szCs w:val="28"/>
          <w:rtl w:val="true"/>
          <w:lang w:bidi="fa-IR"/>
        </w:rPr>
        <w:t xml:space="preserve">. </w:t>
      </w:r>
      <w:bookmarkStart w:id="15" w:name="pg19115_195295"/>
    </w:p>
    <w:p>
      <w:pPr>
        <w:pStyle w:val="Heading2"/>
        <w:numPr>
          <w:ilvl w:val="1"/>
          <w:numId w:val="1"/>
        </w:numPr>
        <w:rPr/>
      </w:pPr>
      <w:bookmarkStart w:id="16" w:name="__RefHeading___Toc15202188_1280447820"/>
      <w:bookmarkStart w:id="17" w:name="_Toc5"/>
      <w:bookmarkEnd w:id="15"/>
      <w:bookmarkEnd w:id="16"/>
      <w:r>
        <w:rPr>
          <w:rtl w:val="true"/>
        </w:rPr>
        <w:t>بخش اول</w:t>
      </w:r>
      <w:r>
        <w:rPr>
          <w:rtl w:val="true"/>
        </w:rPr>
        <w:t xml:space="preserve">: </w:t>
      </w:r>
      <w:r>
        <w:rPr>
          <w:rtl w:val="true"/>
        </w:rPr>
        <w:t>مفاهیم و کلمات</w:t>
      </w:r>
      <w:bookmarkEnd w:id="17"/>
    </w:p>
    <w:p>
      <w:pPr>
        <w:pStyle w:val="Heading3"/>
        <w:numPr>
          <w:ilvl w:val="2"/>
          <w:numId w:val="1"/>
        </w:numPr>
        <w:rPr/>
      </w:pPr>
      <w:bookmarkStart w:id="18" w:name="__RefHeading___Toc15202190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احکام مسجد و ضرورت فقه مقارن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فقه و مسجد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کنکاشی در چیستی مسجد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115_195297"/>
      <w:bookmarkStart w:id="21" w:name="pg19115_195297"/>
      <w:bookmarkEnd w:id="21"/>
    </w:p>
    <w:p>
      <w:pPr>
        <w:pStyle w:val="Heading3"/>
        <w:numPr>
          <w:ilvl w:val="2"/>
          <w:numId w:val="1"/>
        </w:numPr>
        <w:rPr/>
      </w:pPr>
      <w:bookmarkStart w:id="22" w:name="pg19115_195297"/>
      <w:bookmarkStart w:id="23" w:name="__RefHeading___Toc15202192_1280447820"/>
      <w:bookmarkStart w:id="24" w:name="_Toc7"/>
      <w:bookmarkEnd w:id="22"/>
      <w:bookmarkEnd w:id="23"/>
      <w:r>
        <w:rPr>
          <w:rtl w:val="true"/>
        </w:rPr>
        <w:t>فصل اول</w:t>
      </w:r>
      <w:r>
        <w:rPr>
          <w:rtl w:val="true"/>
        </w:rPr>
        <w:t xml:space="preserve">: </w:t>
      </w:r>
      <w:r>
        <w:rPr>
          <w:rtl w:val="true"/>
        </w:rPr>
        <w:t>اهمیت احکام مساجد و ضرورت فقه مقارن</w:t>
      </w:r>
      <w:bookmarkEnd w:id="24"/>
    </w:p>
    <w:p>
      <w:pPr>
        <w:pStyle w:val="Heading4"/>
        <w:numPr>
          <w:ilvl w:val="3"/>
          <w:numId w:val="1"/>
        </w:numPr>
        <w:rPr/>
      </w:pPr>
      <w:bookmarkStart w:id="25" w:name="__RefHeading___Toc15202194_1280447820"/>
      <w:bookmarkStart w:id="26" w:name="_Toc8"/>
      <w:bookmarkEnd w:id="25"/>
      <w:r>
        <w:rPr>
          <w:rtl w:val="true"/>
        </w:rPr>
        <w:t>اشاره</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بحث احکام مسجد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فقه مقارن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9115_195299"/>
      <w:bookmarkStart w:id="28" w:name="pg19115_195299"/>
      <w:bookmarkEnd w:id="28"/>
    </w:p>
    <w:p>
      <w:pPr>
        <w:pStyle w:val="Heading4"/>
        <w:numPr>
          <w:ilvl w:val="3"/>
          <w:numId w:val="1"/>
        </w:numPr>
        <w:rPr/>
      </w:pPr>
      <w:bookmarkStart w:id="29" w:name="pg19115_195299"/>
      <w:bookmarkStart w:id="30" w:name="__RefHeading___Toc15202196_1280447820"/>
      <w:bookmarkStart w:id="31" w:name="_Toc9"/>
      <w:bookmarkEnd w:id="29"/>
      <w:bookmarkEnd w:id="30"/>
      <w:r>
        <w:rPr>
          <w:rtl w:val="true"/>
        </w:rPr>
        <w:t>مبحث اول</w:t>
      </w:r>
      <w:r>
        <w:rPr>
          <w:rtl w:val="true"/>
        </w:rPr>
        <w:t xml:space="preserve">: </w:t>
      </w:r>
      <w:r>
        <w:rPr>
          <w:rtl w:val="true"/>
        </w:rPr>
        <w:t>اهمیت و ضرورت بحث احکام مسجد</w:t>
      </w:r>
      <w:bookmarkEnd w:id="31"/>
    </w:p>
    <w:p>
      <w:pPr>
        <w:pStyle w:val="BookText"/>
        <w:rPr/>
      </w:pPr>
      <w:r>
        <w:rPr>
          <w:rFonts w:ascii="IRNazanin" w:hAnsi="IRNazanin" w:eastAsia="IRNazanin"/>
          <w:color w:val="111111"/>
          <w:sz w:val="28"/>
          <w:sz w:val="28"/>
          <w:szCs w:val="28"/>
          <w:rtl w:val="true"/>
          <w:lang w:bidi="fa-IR"/>
        </w:rPr>
        <w:t>مسجد محل درخشش و تابش نور ایمان، سر چشمه هدایت و رحمت الهی و مرکز تشعشع و پرتو افکنی فرهنگ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اوقات نماز و عبادت و نیز جهت برگزاری مراسم دینی، از کار ها، مشغولیت ها، و خواست های شان دست کشیده و عازم مسجد می شوند تا آن گاه، جان های آنان در فضایی آکنده از معنویت مساجد، آرام و دل های شان آسوده و راحت 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در شریعت اسلامی از اهمیت و موقعیت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 عبادت، ذکر، دعا و نیایش، مکان اصلاح و تزکیه نفس برای تقرّب به خدا و سیر تکاملی انسان و در واقع، خانه فرهنگ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هم چنین در زمان های بعد، مسجد دادگاه و قرار گاه شئون قضا و صدور احکام قضایی، مجلس شورا، میدان آموزش و تعلیم رزم و امور نظامی، بلکه خانۀ مهمان و محل استقبال از هیئت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تنها محل اقامه نماز جماعت و جمعه نیست؛ بلکه مرکز اجتماع مسلمانان و امت اسلامی بوده که در کنار اقامه نماز های جماعت و جمعه، مشکلات امت اسلامی نیز رسیدگی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در اهمیت مساجد این است که وقتی پیامبر خدا صلی اللّه علیه و آله و سلم به شهر يثرب وارد شدند، نخستین امری که به آن قیام کردند، تعیین مکانی برای مسجد و در نظر گرفتن زمینی برای ساخت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مکانی که شترش زانو زد، مسجدی به نام مسجد النبی تأسیس کردند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که شتر پیامبر در آن جا زانو خم کرد، برای دو جوان یتیم به نام سهل و سهیل بود، که ایشان آن را به قیمت ده دینار برای ساخت مسجد خریداری کردند، و پس از آن، همه مسلمانان در ساختن و فراهم کردن وسایل آن شرکت کردند، و حتی خود پیامبر نیز مانند سایر مسلمانان از اطراف سنگ می آوردند، و نقل شده که </w:t>
      </w:r>
    </w:p>
    <w:p>
      <w:pPr>
        <w:pStyle w:val="BookText"/>
        <w:rPr/>
      </w:pPr>
      <w:r>
        <w:rPr>
          <w:rFonts w:ascii="IRNazanin" w:hAnsi="IRNazanin" w:eastAsia="IRNazanin"/>
          <w:color w:val="111111"/>
          <w:sz w:val="28"/>
          <w:sz w:val="28"/>
          <w:szCs w:val="28"/>
          <w:rtl w:val="true"/>
          <w:lang w:bidi="fa-IR"/>
        </w:rPr>
        <w:t>أسيد بن حضیر در این هنگام جلو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مرحمت کنید تا این سنگ را من ببرم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سنگ دیگری بیاور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هر روی، با عنایت به این که یکتا پرستی، عبادت و پرستش خداوند متعال در سر لوحه برنامه پیامبر اسلام صلی اللّه علیه و آله و سلم قرار داشت، ایشان پیش از هر کاری به ساختن مرکزی برای عبادت اقدام کردند تا مسلمانان در اوقات نماز به ذکر خدا، عبادت، بندگی و یاد حق بپردازند؛ حتی نقل شده است که در یک زاویه از مسجد، صفه ای قرار داشت که بینوایان و مهاجران تهی دست، در آن قسمت زندگی می کردند، و عُبادة بن صامت مأمور شده بود که به آنان قرآن، خواندن و نوشتن بیاموزد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جلسات آموزشی در زمان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جذاب بود که نمایندگان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سخت تکان خوردند، و از کوشش مسلمانان در فرا گرفتن احکام و معارف، انگشت تعجّب به دندان گرفتند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سوی دیگر، امور قضایی و فصل خصومات و محکوم ساختن بزهکاران نیز در مسجد انجام می گرفت، و مسجد در آن روز، یک دادگستری به تمام معنا بود که عموم کار های داد خواهی در آن جا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پیامبر اکرم، خطابه های آتشین خود را برای اعزام مردم به جهاد و مبارزه با کفر و شرک، در آن جا ایراد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هیئت هائی که برای دیدن پیامبر می آمدند در مسجد استقبال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تصمیمات جنگ نیز در آن جا صورت می گرفت، و مشکلات فردی و اجتماعی در مسجد رسیدگی می شد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پی بردن به اهمیت مسجد بایستی به یاد سپرد که مساجد، </w:t>
      </w:r>
    </w:p>
    <w:p>
      <w:pPr>
        <w:pStyle w:val="BookText"/>
        <w:rPr/>
      </w:pPr>
      <w:r>
        <w:rPr>
          <w:rFonts w:ascii="IRNazanin" w:hAnsi="IRNazanin" w:eastAsia="IRNazanin"/>
          <w:color w:val="111111"/>
          <w:sz w:val="28"/>
          <w:sz w:val="28"/>
          <w:szCs w:val="28"/>
          <w:rtl w:val="true"/>
          <w:lang w:bidi="fa-IR"/>
        </w:rPr>
        <w:t>کانون های سیاسی، دادگاه های داد رسی، نهاد های آموزشی و فراتر از همه، جایگاه عبادت و دعا و نیایش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 که مسلمانان آن را فتح می کردند، بی درنگ در آن جا مسجدی نیز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تاریخی، نقل شده است که عمر بن خطاب به استانداران خود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نامه ای فرستاد تا هر کدام مسجد جامعی بسازند که مردم در آن شهر برای برگزاری نماز جمعه در آن گرد آیند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مقریزی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سال پانصد و سی و نه، هزار و سی و شش مسجد در مصر وجود داشته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یعقوبی در البلدان ادعا می کند که در سدۀ سوم هجری، سی هزار مسجد در بغداد بر شمرده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بنای شهر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کاخ طلا و نیز مسجد منصور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ساختن آن ها نیز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دینار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مسجد در روزگار هارون الرشید باز سازی شد و در زمان معتضد، گسترش یافت تا تعداد بیش تری از مردم که به آن جا می آمدند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برجسته ترین مدرسه و به عنوان آرمان همه دانش مندان بود و چنان اهمّیتی داشت که خطیب بغدادی در حجّ از آب زمزم نوشید و سه چیز را از خدا خواست که یکی از آن ها این بود که تدریس در این مسجد به او وا گذار شود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منصور، مشغول تدریس بود که دانش جویان حنبلی وی را مورد حمله قرار دادند؛ زیرا فقهای حنبلی در طول پنج سده، مسجد بغداد را به عنوان کانون فعالیت و تدریس و حلقه های درس خود شان اختیار کرده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ابو عکرمه از استادش که مردی از اهل کوفه بود، نقل می کند که در زمان خلافت محمد امین وارد مسجد بغداد شدم و دانشجویانی را دیدم که به سخنان استاد خود، گوش فرا می دادند و استاد، شعر عاطفی می خواند و اشک بر گونه اش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کوفی این را بدید به حلقه ی درس پیوست و آن شعر ها را نوشت و دانست که آن استاد انسان بزرگی بوده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هر روی، مسجد جامع دمشق یکی از عجائب چهار گانه در سده های میانه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 مسجد ولید بن عبد الملک درآمد هفت ساله کشور 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 این مسجد نیز هشت سال به درازا کشید و اسناد و صورت هزینه های ساختمان و گسترش مسجد را هجده شتر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از شگفتی های این مسجد، همین بس است که اگر کسی هر روز حتی به مقدار یک صد سال در آن جا بماند و تفحص کند، چیز تازه و شگفتی می بیند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مسجد یکی از کانون های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تدریس بسیاری در این مسجد وجود داشت و استادان آن، دارای حقوق روزانه مکفی و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مذهب مالکی، که بیش تر آنان از مغرب آمده بودند در گوشه باختری مسجد می نشستند و از استادان به نام مالکی، درس های خود را فرا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درب ورودی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شافعی وجود داشت که در وسط آن، یک حوض آب قرار گرفته بود و آب در آن جریان داشت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درس بسیار بزرگی به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گردا گرد خطیب بغدادی بسته شده و شنوندگان انبوهی به پای درس کشانده شده بودند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جلال الدین 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خليل بن قلاوون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و در مناره مسجد جامع ابن طولون مخفی شد، و سپس، نذر کرد که اگر خداوند او را از این آشوب و فتنه نجات دهد، مسجد ابن طولون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 را نجات داد و به سلطنت رسید، دستور تجدید ساختمان مسجد را صادر، و این مهمّ را به امیر علم الدین سنجر الدواداری، وا 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مسجد را تعمیر و موقوفات بسیاری بر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نیز حلقه های درس تفسیر، احادیث، فقه بر مبنای مذاهب چهار گانه، ستاره شناسی و طب برگزار می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خلاصه آن که مسجد، خانه خدا در زمین، محل دیدار عباد الرحمن و مکان تجمّع خوبان و نیکان از فرزندان آدم علیه السلام می باشد و در آن، عطر ایمان می وزد و بوی خوش صلاح و تقوا در آن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فضیلت مسجد در جوامع حدیثی شیعه و سنی وارد شده است که ذیلا، به برخی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فِی اَلتَّوْرَاهِ مَکْتُوباً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بُیُوتِی فِی اَلْأَرْضِ اَلْمَسَاجِدُ فَطُوبَی لِمَنْ تَطَهَّرَ فِی بَیْتِهِ ثُمَّ زَارَنِی فِی بَیْتِی</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اَلْجَلْسَهُ فِی اَلْجَامِعِ خَیْرٌ لِی مِنَ اَلْجَلْسَهِ فِی اَلْجَنَّهِ لِأَنَّ اَلْجَنَّهَ فِیهَا رِضَی نَفْسِی وَ اَلْجَامِعَ فِیهِ رِضَی رَبِّی</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الْمَسَاجِدُ بُيُوْتُ اللّهِ فِيْ الْأَرْضِ</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أَحَبُّ اَلْبِلاَدِ إِلَی اَللَّهِ مَسَاجِدُهَا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مَجْلِسُهُ مَسْجِدُهُ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أَنْوَارُ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منكدر،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محمد بن علي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بن منکدر قال منكدر، قال رسول اللّه صلی اللّه علیه و آله و سلم </w:t>
      </w:r>
      <w:r>
        <w:rPr>
          <w:rFonts w:ascii="Amiri" w:hAnsi="Amiri" w:eastAsia="Amiri" w:cs="Amiri"/>
          <w:color w:val="111111"/>
          <w:sz w:val="28"/>
          <w:sz w:val="28"/>
          <w:szCs w:val="28"/>
          <w:rtl w:val="true"/>
          <w:lang w:bidi="ar-SA"/>
        </w:rPr>
        <w:t>بَشِّرِ المَشَّائينَ الَي المَسَاجِدِ فِي ظُلَمِ اللَّيلِ بِنُورٍ سَاطِع يَومَالقِيامَةِ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تَوَضَّأَ فَأَحْسَنَ اَلْوُضُوءَ ثُمَّ خَرَجَ إِلَی مَسْجِدِ اَلصَّلاَهِ فَإِنْ مَاتَ فِی وَجْهِهِ کَانَ ضَامِناً عَلَی اَللَّهِ أَنْ یُدْخِلَهُ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مَشی إلَی المَسجِدِ لَم یَضَع رِجلاً عَلی رَطبٍ ولا یابِسٍ إلّا سَبَّحَت لَهُ الأَرضُ إلَی الأَرضِ السّابِعَهِ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العاهاتُ وَالآفاتُ عوفِيَ أهلُ المَساجِدِ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بُیُوتُ اَلْمُتَّقِینَ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مَجَالِسُ اَلْأَنْبِیَاءِ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bookmarkStart w:id="32" w:name="pg19115_195305"/>
    </w:p>
    <w:p>
      <w:pPr>
        <w:pStyle w:val="Heading4"/>
        <w:numPr>
          <w:ilvl w:val="3"/>
          <w:numId w:val="1"/>
        </w:numPr>
        <w:rPr/>
      </w:pPr>
      <w:bookmarkStart w:id="33" w:name="__RefHeading___Toc15202198_1280447820"/>
      <w:bookmarkStart w:id="34" w:name="_Toc10"/>
      <w:bookmarkEnd w:id="32"/>
      <w:bookmarkEnd w:id="33"/>
      <w:r>
        <w:rPr>
          <w:rtl w:val="true"/>
        </w:rPr>
        <w:t>مبحث دوم</w:t>
      </w:r>
      <w:r>
        <w:rPr>
          <w:rtl w:val="true"/>
        </w:rPr>
        <w:t xml:space="preserve">: </w:t>
      </w:r>
      <w:r>
        <w:rPr>
          <w:rtl w:val="true"/>
        </w:rPr>
        <w:t>ضرورت فقه مقارن و تعریف و فوائد آن و تخصصی شدن ابواب فقه</w:t>
      </w:r>
      <w:bookmarkEnd w:id="34"/>
    </w:p>
    <w:p>
      <w:pPr>
        <w:pStyle w:val="Heading5"/>
        <w:numPr>
          <w:ilvl w:val="4"/>
          <w:numId w:val="1"/>
        </w:numPr>
        <w:rPr/>
      </w:pPr>
      <w:bookmarkStart w:id="35" w:name="__RefHeading___Toc15202200_1280447820"/>
      <w:bookmarkStart w:id="36" w:name="_Toc11"/>
      <w:bookmarkEnd w:id="35"/>
      <w:r>
        <w:rPr>
          <w:rtl w:val="true"/>
        </w:rPr>
        <w:t>گفتار اول</w:t>
      </w:r>
      <w:r>
        <w:rPr>
          <w:rtl w:val="true"/>
        </w:rPr>
        <w:t xml:space="preserve">: </w:t>
      </w:r>
      <w:r>
        <w:rPr>
          <w:rtl w:val="true"/>
        </w:rPr>
        <w:t>ضرورت فقه مقارن</w:t>
      </w:r>
      <w:bookmarkEnd w:id="36"/>
    </w:p>
    <w:p>
      <w:pPr>
        <w:pStyle w:val="BookText"/>
        <w:rPr/>
      </w:pPr>
      <w:r>
        <w:rPr>
          <w:rFonts w:ascii="IRNazanin" w:hAnsi="IRNazanin" w:eastAsia="IRNazanin"/>
          <w:color w:val="111111"/>
          <w:sz w:val="28"/>
          <w:sz w:val="28"/>
          <w:szCs w:val="28"/>
          <w:rtl w:val="true"/>
          <w:lang w:bidi="fa-IR"/>
        </w:rPr>
        <w:t>دنیای امروز که عرصه پیشرفت در ابعاد مختلف زندگی بشر است، به لحاظ توسعه تکنولوژی خصوصاً در بخش ارتباطات، چنان تغییرات شگرفی را در زندگی ما به وجود آورده، که یکی از آثار آن نزدیکی بیش از حدّ جوامع بشری به یک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های اقتصادی، اجتماعی، فرهنگی و اعتقادی نسبت به گذشته تغییرات عمده ای پیدا کرده اند، و در اثر گسترش وسایل ارتباط جمعی و رسانه ها، مانند رادیو، تلویزیون، سایت ها و شبکه ماهواره ای، در عرصه های گوناگون حیات اجتماعی امروز، جهانی دیگر پدید آمده است که جوامع بشری به یک دیگر نزدیک می باشند و همین امر، ضرورت آگاهی از آراء و فتاوای دیگر مذهب ها را زیاد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اثر توسعه اقتصادی، رفت و آمد بازرگانان، ارتباط شرکت های مختلف تجاری، ارتباط نزدیکی که فِرّق اسلامی در ایام مراسم بزرگ حج در مکه و مدینه با یک دیگر دارند و نیز داد و ستد های دولتی، آگاهی از آراء و فتاوا و احکام فقهی دیگر مذاهب را ضروری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صنعت جهان گردی از مواردی است که بسیاری از دولت ها اهتمام بلیغ در گسترش آن دارند و این ها عواملی است که میزان ارتباط ملت ها را با یک دیگر افزایش داده است و اطلاعات افراد از فرهنگ و عقاید یک دیگر بسیار مفید و سازنده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ارتباط نزدیک فرق اسلامی با یک دیگر و نشر آثار هر مذهب از طریق </w:t>
      </w:r>
      <w:bookmarkStart w:id="37" w:name="pg19115_195306"/>
    </w:p>
    <w:p>
      <w:pPr>
        <w:pStyle w:val="BookText"/>
        <w:rPr/>
      </w:pPr>
      <w:bookmarkEnd w:id="37"/>
      <w:r>
        <w:rPr>
          <w:rFonts w:ascii="IRNazanin" w:hAnsi="IRNazanin" w:eastAsia="IRNazanin"/>
          <w:color w:val="111111"/>
          <w:sz w:val="28"/>
          <w:sz w:val="28"/>
          <w:szCs w:val="28"/>
          <w:rtl w:val="true"/>
          <w:lang w:bidi="fa-IR"/>
        </w:rPr>
        <w:t>کتب و اخیراً اینترنت و امثال آن، از یک سو و پیوند های تاریخی فقه مذاهب با یک دیگر از سوی دیگر، ایجاب می کند که پیروان هر مذهب از مذاهب اسلامی، فقه خود را در کنار فقه دیگر مذاهب مطالعه کنند و این آگاهی، از یک سو، سبب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بسیاری از پیچیدگی های مسایل فقهی می شود؛ چرا که فقه مقارن کمک شایانی به ریشه یابی مسایل مختلف فقهی و ابهام زدایی می کند و هم چنین این امر، کمک مؤثر در وسعت دید همه کسانی است که دست اندر کار استنباط احکام فقهی می باشند؛ زیرا یکی از اساسی ترین ابزار های دست یابی به روایات و احادیث صحیح، آشنایی با آراء و فتاوای فقهی مذاهب اسلامی است؛ و از سوی دیگر، موجب تقریب و نزدیکی مذاهب اسلامی و علمای آن، به یک دیگر خواهد شد</w:t>
      </w:r>
      <w:r>
        <w:rPr>
          <w:rFonts w:eastAsia="IRNazanin" w:cs="IRNazanin"/>
          <w:color w:val="111111"/>
          <w:sz w:val="28"/>
          <w:szCs w:val="28"/>
          <w:rtl w:val="true"/>
          <w:lang w:bidi="fa-IR"/>
        </w:rPr>
        <w:t>.</w:t>
      </w:r>
    </w:p>
    <w:p>
      <w:pPr>
        <w:pStyle w:val="Heading5"/>
        <w:numPr>
          <w:ilvl w:val="4"/>
          <w:numId w:val="1"/>
        </w:numPr>
        <w:rPr/>
      </w:pPr>
      <w:bookmarkStart w:id="38" w:name="__RefHeading___Toc15202202_1280447820"/>
      <w:bookmarkStart w:id="39" w:name="_Toc12"/>
      <w:bookmarkEnd w:id="38"/>
      <w:r>
        <w:rPr>
          <w:rtl w:val="true"/>
        </w:rPr>
        <w:t>گفتار دوم</w:t>
      </w:r>
      <w:r>
        <w:rPr>
          <w:rtl w:val="true"/>
        </w:rPr>
        <w:t xml:space="preserve">: </w:t>
      </w:r>
      <w:r>
        <w:rPr>
          <w:rtl w:val="true"/>
        </w:rPr>
        <w:t>تعریف فقه مقارن</w:t>
      </w:r>
      <w:bookmarkEnd w:id="39"/>
    </w:p>
    <w:p>
      <w:pPr>
        <w:pStyle w:val="BookText"/>
        <w:rPr/>
      </w:pPr>
      <w:r>
        <w:rPr>
          <w:rFonts w:ascii="IRNazanin" w:hAnsi="IRNazanin" w:eastAsia="IRNazanin"/>
          <w:color w:val="111111"/>
          <w:sz w:val="28"/>
          <w:sz w:val="28"/>
          <w:szCs w:val="28"/>
          <w:rtl w:val="true"/>
          <w:lang w:bidi="fa-IR"/>
        </w:rPr>
        <w:t xml:space="preserve">علامه سید محمد تقی حکیم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تعریف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فقه مقارن این است که در مسائل فقهی آراء و فتاوای فقها در یک سطح بیان شود، بدون این که بین آن ها مقایسه و موازنه ای انجام شود و بدون ذکر مرجحات بعضی از فتاوا بر بعض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 فقهی است که همه آراء و اقوال فقها بیان می شود، و بین آن ها مقایسه و موازنه انجام و مورد ارزیابی قرار می گیرد، و برخی از اقوال بر برخی دیگر ترجیح داده می شود تا دیدگاه برگزیده معیّن گردد</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40" w:name="__RefHeading___Toc15202204_1280447820"/>
      <w:bookmarkStart w:id="41" w:name="_Toc13"/>
      <w:bookmarkEnd w:id="40"/>
      <w:r>
        <w:rPr>
          <w:rtl w:val="true"/>
        </w:rPr>
        <w:t>گفتار سوم</w:t>
      </w:r>
      <w:r>
        <w:rPr>
          <w:rtl w:val="true"/>
        </w:rPr>
        <w:t xml:space="preserve">: </w:t>
      </w:r>
      <w:r>
        <w:rPr>
          <w:rtl w:val="true"/>
        </w:rPr>
        <w:t>فوائد و آثار فقه مقارن</w:t>
      </w:r>
      <w:bookmarkEnd w:id="41"/>
    </w:p>
    <w:p>
      <w:pPr>
        <w:pStyle w:val="BookText"/>
        <w:rPr/>
      </w:pPr>
      <w:r>
        <w:rPr>
          <w:rFonts w:ascii="IRNazanin" w:hAnsi="IRNazanin" w:eastAsia="IRNazanin"/>
          <w:color w:val="111111"/>
          <w:sz w:val="28"/>
          <w:sz w:val="28"/>
          <w:szCs w:val="28"/>
          <w:rtl w:val="true"/>
          <w:lang w:bidi="fa-IR"/>
        </w:rPr>
        <w:t>از مقایسه بین آراء و فتاوای فقهی مذاهب اسلامی مهم ترین فوایدی که بدست می آید به شرح زیر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و سالم ترین راه برای رسیدن به حقیقت فقه اسلامی این است که آراء و فتاوای فقهای اسلامی ارائه و مقایسه ای بین آن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w:t>
      </w:r>
    </w:p>
    <w:p>
      <w:pPr>
        <w:pStyle w:val="BookText"/>
        <w:rPr/>
      </w:pPr>
      <w:r>
        <w:rPr>
          <w:rFonts w:ascii="IRNazanin" w:hAnsi="IRNazanin" w:eastAsia="IRNazanin"/>
          <w:color w:val="111111"/>
          <w:sz w:val="28"/>
          <w:sz w:val="28"/>
          <w:szCs w:val="28"/>
          <w:rtl w:val="true"/>
          <w:lang w:bidi="fa-IR"/>
        </w:rPr>
        <w:t>بدست آوردن حقیقت و واقعیت احکام فقهی عادتاً جز از این راه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تحول و دگرگون کردن بحث های فقهی از راه فقه مقارن بدست می آید؛ و برای تحقّق تحول و پیشرفت مباحث فقهی می توان از پیوند زدن آراء و فتاوای فقهای مذاهب مختلف اسلامی در حدّ وسیع و مقیاس بزرگ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فقه مقارن اشاعه دادن روحیه آرامش، صفا و صمیمیت بین بحث کنندگان و پژوهش گران می باشد و تلاش برای پایان دادن به نزاع های مختلف عاطفی و دور ساختن فضای بحث علمی از این راه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بین فقها، روح بحث علمی دور از هوا ها و تعصّب ها جریان داشته باشد، تا در اثر مقایسه بین آراء و فتاوا و بحث و بررسی عالمانه، نظریه صواب و رأی راجح مورد تصویب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به رجوع از رأی تعبیر می شود؛ یعنی هنگامی که فقیه به رأی افضل و ارجح دست یافت، طبعاً آن را اختیار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فوائد فقه مقارن نزدیک کردن شکاف ها و اختلافاتی است که بین مسلمانان وجود دارد و هم چنین، باز داشتن و خنثی کردن اثرات عوامل تفرقه افکن است، و مهم ترین و قوی ترین آن ها، جهل علماء بعضی مذاهب به اساس، مبانی و اصول دیگر مذاهب می باشد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ضرورت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گذشته، برخی از بزرگان، کتاب های متعدّدی در زمینه فقه مقارن نوشته اند که از آن جمله، شیخ طوسی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حلّی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الفقه الإسلامي طبقاً لمذهب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مؤسسه دایرۀ المعارف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الفقهيّة الميسّرة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علی انصاری، از علماء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است که کتاب اخیر متأسفانه به صورت ناقص است، و نیز موسوعهٔ کويتي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الإسلامي و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وهبه زحیلی از علمای اهل سنّت را می توان نام برد</w:t>
      </w:r>
      <w:r>
        <w:rPr>
          <w:rFonts w:eastAsia="IRNazanin" w:cs="IRNazanin"/>
          <w:color w:val="111111"/>
          <w:sz w:val="28"/>
          <w:szCs w:val="28"/>
          <w:rtl w:val="true"/>
          <w:lang w:bidi="fa-IR"/>
        </w:rPr>
        <w:t xml:space="preserve">. </w:t>
      </w:r>
      <w:bookmarkStart w:id="42" w:name="pg19115_195308"/>
    </w:p>
    <w:p>
      <w:pPr>
        <w:pStyle w:val="Heading5"/>
        <w:numPr>
          <w:ilvl w:val="4"/>
          <w:numId w:val="1"/>
        </w:numPr>
        <w:rPr/>
      </w:pPr>
      <w:bookmarkStart w:id="43" w:name="__RefHeading___Toc15202206_1280447820"/>
      <w:bookmarkStart w:id="44" w:name="_Toc14"/>
      <w:bookmarkEnd w:id="42"/>
      <w:bookmarkEnd w:id="43"/>
      <w:r>
        <w:rPr>
          <w:rtl w:val="true"/>
        </w:rPr>
        <w:t>گفتار چهارم</w:t>
      </w:r>
      <w:r>
        <w:rPr>
          <w:rtl w:val="true"/>
        </w:rPr>
        <w:t xml:space="preserve">: </w:t>
      </w:r>
      <w:r>
        <w:rPr>
          <w:rtl w:val="true"/>
        </w:rPr>
        <w:t>کم توجّهی به فقه اهل بیت علیهم السلام</w:t>
      </w:r>
      <w:bookmarkEnd w:id="44"/>
    </w:p>
    <w:p>
      <w:pPr>
        <w:pStyle w:val="BookText"/>
        <w:rPr/>
      </w:pPr>
      <w:r>
        <w:rPr>
          <w:rFonts w:ascii="IRNazanin" w:hAnsi="IRNazanin" w:eastAsia="IRNazanin"/>
          <w:color w:val="111111"/>
          <w:sz w:val="28"/>
          <w:sz w:val="28"/>
          <w:szCs w:val="28"/>
          <w:rtl w:val="true"/>
          <w:lang w:bidi="fa-IR"/>
        </w:rPr>
        <w:t>متأسفانه در بیش تر کتاب های اهل سنّت، به فقه امامیه توجّهی نشده است و از شگفتی های تاریخ اسلام این است که علی رغم توصیه مؤکّدی که پیغمبر اکرم صلى اللّه عليه و آله و سلم سلم نسبت به پیروی از اهل بیت علیهم السلام در حدیث متّفق عليه ثقلین دارند،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 وَ عِتْرَتِی ما إِنْ تَمَسَّکْتُمْ بِهِما لَنْ تَضِلُّو أَبَدَاَ</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علی رغم این که ایشان فرمودند که قرآن و اهل بیت علیهم السلام هیچ گاه از هم جدا نمی شوند </w:t>
      </w:r>
      <w:r>
        <w:rPr>
          <w:rFonts w:ascii="Amiri" w:hAnsi="Amiri" w:eastAsia="Amiri" w:cs="Amiri"/>
          <w:color w:val="111111"/>
          <w:sz w:val="28"/>
          <w:sz w:val="28"/>
          <w:szCs w:val="28"/>
          <w:rtl w:val="true"/>
          <w:lang w:bidi="ar-SA"/>
        </w:rPr>
        <w:t>و إِنَّهُمَا لَنْ یَفْتَرِقَا حَتَّی یَرِدَا عَلَیَّ اَلْحَوْضَ</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با صراحت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 یَدُورُ مَعَهُ حَیْثَ مادارَ</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ولی بعد از رحلت پیامبر صلی اللّه علیه و آله و سلم به خصوص در عصر بنی امیه چنان اهل بیت علیهم السلام مظلوم واقع شدند که حدّی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مظلومیّتی بالا تر از این که بزرگ ترین شخصیت اهل بیت علیهم السلام یعنی امیر مؤمنان علی علیه السلام که کوه علم و اسوه بزرگ تقوا و بزرگ ترین مدافع اسلام بود، چنان مورد هتک و سبّ و نا سزا قرار گرفت، که بالا تر از آن متصوّر نبود، و دوستانش چنان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فشار و آزار قرار گرفتند که در تاریخ بی سابقه بود تا جایی که هفتاد سال او را بر فراز منابر و مخصوصاً، در خطبه نماز جمعه مورد لعن و سبّ و </w:t>
      </w:r>
      <w:bookmarkStart w:id="45" w:name="pg19115_195309"/>
    </w:p>
    <w:p>
      <w:pPr>
        <w:pStyle w:val="BookText"/>
        <w:rPr/>
      </w:pPr>
      <w:bookmarkEnd w:id="45"/>
      <w:r>
        <w:rPr>
          <w:rFonts w:ascii="IRNazanin" w:hAnsi="IRNazanin" w:eastAsia="IRNazanin"/>
          <w:color w:val="111111"/>
          <w:sz w:val="28"/>
          <w:sz w:val="28"/>
          <w:szCs w:val="28"/>
          <w:rtl w:val="true"/>
          <w:lang w:bidi="fa-IR"/>
        </w:rPr>
        <w:t>نا سزا قرار دادند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معاویه در بخش نامه ای به تمام کار گزارانش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چیزی از فضایل ابو تراب و اهل بیتش را نقل کند، از امان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در تمام نقاط، همه خطبا بر منابر به صورت علنی آن حضرت را سبّ می کردند و از او بیزاری می جستند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سیر أعلام النبلاء آمده است که هر گاه بنی امیه می شنیدند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نوزادی را علی گذارده اند، فوراً او را به قتل می رساندند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عصر بنی عبّاس نیز وضع پیروان مکتب اهل بیت علیهم السلام بهتر از زمان بنی امیه نبود بلکه به عقیده ی بعضی بد تر بود، گر چه بنی عباس با شعار حکومت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آمدند، ولی هرگز حاضر نبودند حکومت علویان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خلفای بنی امیه و بنی عباس کم تر کسی جرأت می کرد از فقه اهل بیت علیهم السلام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آن یخ های نا مهربانی و موضع گیری های نا درست سیاسی آب شده ولی باز هم وقتی به کتابخانه های حوزه های علمیه شیعه نگاه کنیم پر از کتب اهل سنّت و دیگر فرق اسلامی است، در حالی که متأسفانه بسیاری از کتاب خانه های برادران اهل سنّت ما، حتی یک کتاب فقهی، تاریخی و تفسیری شیعه یافت نمی شود؛ با این که شیعه در تمام این زمینه ها کتاب های معتبر و قابل توجّهی دارد</w:t>
      </w:r>
      <w:r>
        <w:rPr>
          <w:rFonts w:eastAsia="IRNazanin" w:cs="IRNazanin"/>
          <w:color w:val="111111"/>
          <w:sz w:val="28"/>
          <w:szCs w:val="28"/>
          <w:rtl w:val="true"/>
          <w:lang w:bidi="fa-IR"/>
        </w:rPr>
        <w:t>.</w:t>
      </w:r>
    </w:p>
    <w:p>
      <w:pPr>
        <w:pStyle w:val="Heading5"/>
        <w:numPr>
          <w:ilvl w:val="4"/>
          <w:numId w:val="1"/>
        </w:numPr>
        <w:rPr/>
      </w:pPr>
      <w:bookmarkStart w:id="46" w:name="__RefHeading___Toc15202208_1280447820"/>
      <w:bookmarkStart w:id="47" w:name="_Toc15"/>
      <w:bookmarkEnd w:id="46"/>
      <w:r>
        <w:rPr>
          <w:rtl w:val="true"/>
        </w:rPr>
        <w:t>گفتار پنجم</w:t>
      </w:r>
      <w:r>
        <w:rPr>
          <w:rtl w:val="true"/>
        </w:rPr>
        <w:t xml:space="preserve">: </w:t>
      </w:r>
      <w:r>
        <w:rPr>
          <w:rtl w:val="true"/>
        </w:rPr>
        <w:t>تخصصّی شدن ابواب فقه</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علوم بشری بسیار محدود بود که همه ی آن در یک کتاب کوچک می گنجید؛ امّا با مرور زمان و به هم پیوستگی افکار دانش مندان و ضمیمه شدن تجربیّات بشری علوم رو به گسترش نهاد و روز به روز این توسعه شتاب گرفت، آن گونه که امروز خود را با جهان بسیار وسیع و متنّوعی از علوم و دانش ها رو به رو </w:t>
      </w:r>
    </w:p>
    <w:p>
      <w:pPr>
        <w:pStyle w:val="BookText"/>
        <w:rPr/>
      </w:pP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این گستردگی، جدا سازی تخصص ها و تقسیم علوم به شاخه های بسیار و هر شاخه به شاخه های فراوان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چنین تصوّر شود که آن چه گفته شد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اما در مورد علوم دینی و الهی چنین تحوّلی رخ نداده است؛ ولی این اشتباه بزرگی است؛ چرا که مرکب شتابان علم و دانش در هیچ رشته، و در هیچ جا متوقّف نشده و نمی شود، علوم اسلامی به موازات علوم دیگر به پیش روی سریع خود ادامه داده است؛ زیرا منابع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و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است که هر قدر بیش تر بر روی آن کار شود به حقایق جدیدی می 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گسترش فقه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گسترش سایر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تخصصّی شدن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علوم دیگر اسلامی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در حوزه های علمیه به شکل تخصصی در آمده است و صد ها پژوهش گاه در مورد این علوم در حوزه های علمیه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علم فقه نیز نشانه های تخصصی شدن ابواب مختلف دیده می شود و بدین جهت عالمان و فقیهان بسیاری دیده می شود که در بخش خاصّی از ابواب فقه تحقیق و بررسی می کنند و کتاب های مستقل در یکی از موضوعات فقه نگاشته اند؛ مانند فقه قضا، فقه حدود فقه قصاص، فقه خانواده، فقه زنان، فقه کودک، فقه سیاسی، فقه جهاد، فقه اقتصاد، فقه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طلیعه ی مبارکی بر تعمیق، ژرف نگری و گسترش پیشرفت علم فقه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جدا سازی تخصّص ها لازمه قطعی و اجتناب نا پذیر گستردگی علم فقه می باشد و از این رو، ضرورت تحقیق و بررسی احکام و مسایل فقهی مساجد به شکل تخصّصی به خوبی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پژوهش و تحقیق در احکام فقهی مساجد به صورت مقارن ترتیب داده شده است، تا آرای همه فقهای اسلام و دلایل آن ها را در بر بگیرد و محقّقان و عالمان دو طرف بتوانند فارغ از مسایل عاطفی و اعتقادی مورد علاقه خود، در مسایل فقهی تصمیم بگیرد</w:t>
      </w:r>
      <w:r>
        <w:rPr>
          <w:rFonts w:eastAsia="IRNazanin" w:cs="IRNazanin"/>
          <w:color w:val="111111"/>
          <w:sz w:val="28"/>
          <w:szCs w:val="28"/>
          <w:rtl w:val="true"/>
          <w:lang w:bidi="fa-IR"/>
        </w:rPr>
        <w:t xml:space="preserve">. </w:t>
      </w:r>
      <w:bookmarkStart w:id="48" w:name="pg19115_195311"/>
    </w:p>
    <w:p>
      <w:pPr>
        <w:pStyle w:val="Heading3"/>
        <w:numPr>
          <w:ilvl w:val="2"/>
          <w:numId w:val="1"/>
        </w:numPr>
        <w:rPr/>
      </w:pPr>
      <w:bookmarkStart w:id="49" w:name="__RefHeading___Toc15202210_1280447820"/>
      <w:bookmarkStart w:id="50" w:name="_Toc16"/>
      <w:bookmarkEnd w:id="48"/>
      <w:bookmarkEnd w:id="49"/>
      <w:r>
        <w:rPr>
          <w:rtl w:val="true"/>
        </w:rPr>
        <w:t>فصل دوم</w:t>
      </w:r>
      <w:r>
        <w:rPr>
          <w:rtl w:val="true"/>
        </w:rPr>
        <w:t xml:space="preserve">: </w:t>
      </w:r>
      <w:r>
        <w:rPr>
          <w:rtl w:val="true"/>
        </w:rPr>
        <w:t>واژه شناسی فقه و مسجد</w:t>
      </w:r>
      <w:bookmarkEnd w:id="50"/>
    </w:p>
    <w:p>
      <w:pPr>
        <w:pStyle w:val="Heading4"/>
        <w:numPr>
          <w:ilvl w:val="3"/>
          <w:numId w:val="1"/>
        </w:numPr>
        <w:rPr/>
      </w:pPr>
      <w:bookmarkStart w:id="51" w:name="__RefHeading___Toc15202212_1280447820"/>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فقه در لغت و اصطلاح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لغت و اصطلاح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9115_195313"/>
      <w:bookmarkStart w:id="54" w:name="pg19115_195313"/>
      <w:bookmarkEnd w:id="54"/>
    </w:p>
    <w:p>
      <w:pPr>
        <w:pStyle w:val="Heading4"/>
        <w:numPr>
          <w:ilvl w:val="3"/>
          <w:numId w:val="1"/>
        </w:numPr>
        <w:rPr/>
      </w:pPr>
      <w:bookmarkStart w:id="55" w:name="pg19115_195313"/>
      <w:bookmarkStart w:id="56" w:name="__RefHeading___Toc15202214_1280447820"/>
      <w:bookmarkStart w:id="57" w:name="_Toc18"/>
      <w:bookmarkEnd w:id="55"/>
      <w:bookmarkEnd w:id="56"/>
      <w:r>
        <w:rPr>
          <w:rtl w:val="true"/>
        </w:rPr>
        <w:t>مبحث اول</w:t>
      </w:r>
      <w:r>
        <w:rPr>
          <w:rtl w:val="true"/>
        </w:rPr>
        <w:t xml:space="preserve">: </w:t>
      </w:r>
      <w:r>
        <w:rPr>
          <w:rtl w:val="true"/>
        </w:rPr>
        <w:t>تعریف فقه در لغت و اصطلاح</w:t>
      </w:r>
      <w:bookmarkEnd w:id="57"/>
    </w:p>
    <w:p>
      <w:pPr>
        <w:pStyle w:val="Heading5"/>
        <w:numPr>
          <w:ilvl w:val="4"/>
          <w:numId w:val="1"/>
        </w:numPr>
        <w:rPr/>
      </w:pPr>
      <w:bookmarkStart w:id="58" w:name="__RefHeading___Toc15202216_1280447820"/>
      <w:bookmarkStart w:id="59" w:name="_Toc19"/>
      <w:bookmarkEnd w:id="58"/>
      <w:r>
        <w:rPr>
          <w:rtl w:val="true"/>
        </w:rPr>
        <w:t>گفتار اول</w:t>
      </w:r>
      <w:r>
        <w:rPr>
          <w:rtl w:val="true"/>
        </w:rPr>
        <w:t xml:space="preserve">: </w:t>
      </w:r>
      <w:r>
        <w:rPr>
          <w:rtl w:val="true"/>
        </w:rPr>
        <w:t>فقه در لغت</w:t>
      </w:r>
      <w:bookmarkEnd w:id="59"/>
    </w:p>
    <w:p>
      <w:pPr>
        <w:pStyle w:val="BookText"/>
        <w:rPr/>
      </w:pPr>
      <w:r>
        <w:rPr>
          <w:rFonts w:ascii="IRNazanin" w:hAnsi="IRNazanin" w:eastAsia="IRNazanin"/>
          <w:color w:val="111111"/>
          <w:sz w:val="28"/>
          <w:sz w:val="28"/>
          <w:szCs w:val="28"/>
          <w:rtl w:val="true"/>
          <w:lang w:bidi="fa-IR"/>
        </w:rPr>
        <w:t xml:space="preserve">فقه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چیزی و فهم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به معنای فهم عمیق و دقیق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نیز از نظر لغوی شخص 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مفردات راغب چنین معنا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التوصّل إلى علم غائب بعلم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فقه آن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انسان با استنتاج از معلومات و قضایائی بالفعل و موجود به مجهول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در اصل به معنای فهم است و از شکافتن و گشودن مشتق شده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ابو هلال عسکری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آن است که انسان با دقّت و تأمّل پی به مقتضای کلام ببرد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بعض تعابیر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بالكسر العلم بالشيء و الفهم له و الفطنة له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فقه به معنای فهم تنها نیست، بلکه به مفهوم فهم دقیق و همراه با موشکافی و ریز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حقیقی فقه، شکافتن و گشودن است و فقیه، کسی است که کلام را می شکافد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شاید بر اساس همین عبارات است که ابو اسحاق مروزی فقه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الشيء الدقيق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bookmarkStart w:id="60" w:name="pg19115_195314"/>
    </w:p>
    <w:p>
      <w:pPr>
        <w:pStyle w:val="BookText"/>
        <w:rPr/>
      </w:pPr>
      <w:bookmarkEnd w:id="60"/>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بنابراین با نگاهی به عبارات لغت شناسان عرب به این نتیجه می رسیم که فقه به معنای مطلق ادراک و فهم نیست، بلکه با نوعی استنتاج، تعمّق و تأمل و شکافتن کلام همراه است که انسان با دقّت و ریز بینی به مقتضای کلام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کریم و احادیث کاربرد گسترده ای دارد که از همه آن ها مفهوم تعمّق و فهم عمیق به دست می آید؛ مانند آیه کریمه </w:t>
      </w:r>
      <w:r>
        <w:rPr>
          <w:rFonts w:ascii="Amiri" w:hAnsi="Amiri" w:eastAsia="Amiri" w:cs="Amiri"/>
          <w:color w:val="111111"/>
          <w:sz w:val="28"/>
          <w:sz w:val="28"/>
          <w:szCs w:val="28"/>
          <w:rtl w:val="true"/>
          <w:lang w:bidi="ar-SA"/>
        </w:rPr>
        <w:t>فَلَوْلَا نَفَرَ مِنْ كُلِّ فِرْقَةٍ مِنْهُمْ طَائِفَةٌ لِيَتَفَقَّهُوا فِي الدَّين</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یعنی چرا از هر گروهی یک دسته کوچ نمی کنند تا در امر دین بصیرت کامل پیدا کنند؟؛ و نیز مانند حدیث نبوی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حَفِظَ عَلَی أُمَّتِی أَرْبَعِینَ حَدِیثاً یَنْتَفِعُونَ بِهَا بَعَثَهُ اَللَّهُ یَوْمَ اَلْقِیَامَهِ فَقِیهاً عَالِماً</w:t>
      </w:r>
      <w:r>
        <w:rPr>
          <w:rStyle w:val="FootnoteAnchor"/>
          <w:rtl w:val="true"/>
        </w:rPr>
        <w:footnoteReference w:id="44"/>
      </w:r>
      <w:r>
        <w:rPr>
          <w:rFonts w:ascii="IRNazanin" w:hAnsi="IRNazanin" w:eastAsia="IRNazanin"/>
          <w:color w:val="111111"/>
          <w:sz w:val="28"/>
          <w:sz w:val="28"/>
          <w:szCs w:val="28"/>
          <w:rtl w:val="true"/>
          <w:lang w:bidi="fa-IR"/>
        </w:rPr>
        <w:t>که برای امتم چهل حدیث را حفظ کند خداوند او را در روز قیامت فقیه و عالم محشور می کند</w:t>
      </w:r>
      <w:r>
        <w:rPr>
          <w:rFonts w:eastAsia="IRNazanin" w:cs="IRNazanin"/>
          <w:color w:val="111111"/>
          <w:sz w:val="28"/>
          <w:szCs w:val="28"/>
          <w:rtl w:val="true"/>
          <w:lang w:bidi="fa-IR"/>
        </w:rPr>
        <w:t>.</w:t>
      </w:r>
    </w:p>
    <w:p>
      <w:pPr>
        <w:pStyle w:val="Heading5"/>
        <w:numPr>
          <w:ilvl w:val="4"/>
          <w:numId w:val="1"/>
        </w:numPr>
        <w:rPr/>
      </w:pPr>
      <w:bookmarkStart w:id="61" w:name="__RefHeading___Toc15202218_1280447820"/>
      <w:bookmarkStart w:id="62" w:name="_Toc20"/>
      <w:bookmarkEnd w:id="61"/>
      <w:r>
        <w:rPr>
          <w:rtl w:val="true"/>
        </w:rPr>
        <w:t>گفتار دوم</w:t>
      </w:r>
      <w:r>
        <w:rPr>
          <w:rtl w:val="true"/>
        </w:rPr>
        <w:t xml:space="preserve">: </w:t>
      </w:r>
      <w:r>
        <w:rPr>
          <w:rtl w:val="true"/>
        </w:rPr>
        <w:t>فقه در اصطلاح</w:t>
      </w:r>
      <w:bookmarkEnd w:id="62"/>
    </w:p>
    <w:p>
      <w:pPr>
        <w:pStyle w:val="BookText"/>
        <w:rPr/>
      </w:pPr>
      <w:r>
        <w:rPr>
          <w:rFonts w:ascii="IRNazanin" w:hAnsi="IRNazanin" w:eastAsia="IRNazanin"/>
          <w:color w:val="111111"/>
          <w:sz w:val="28"/>
          <w:sz w:val="28"/>
          <w:szCs w:val="28"/>
          <w:rtl w:val="true"/>
          <w:lang w:bidi="fa-IR"/>
        </w:rPr>
        <w:t>فقه در اصطلاح فقها، دانشی است که تحصیل آن، سبب دانستن احکام و قوانین فردی و اجتماعی اسلام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اَلْفِقْهُ هُوَ اَلْعِلْمُ بِالاِحْكَامِ اَلشَّرْعِيَّةِ اَلْفَرْعِيَّةِ عَنِ اِدْلَتْهَا اَلتَّفْصِيلِيَّةُ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IRNazanin" w:hAnsi="IRNazanin" w:eastAsia="IRNazanin"/>
          <w:color w:val="111111"/>
          <w:sz w:val="28"/>
          <w:sz w:val="28"/>
          <w:szCs w:val="28"/>
          <w:rtl w:val="true"/>
          <w:lang w:bidi="fa-IR"/>
        </w:rPr>
        <w:t>بنابراین فقه، مطلق دانستن احکام نیست، بلکه دانستن استدلالی احکام مراد است؛ یعنی علم از روی ادله و وسائط اثبات آن 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و علامه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کرده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في عرف الفقهاء هو العلم بالأحكام الشرعية العملية المستدل على أعيانها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فقه در اصطلاح فقها علم به احکام شرعی عملی است که بر آن ها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در عبارت کوتاهی این گونه تعریف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الفقه هو علم استنباط الأحكام الشرعية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علم فقه، دانش استنباط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کلمه استنباط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بعد الخفا است و بدین جهت خارج کردن آب از ژرفای زمین را نبط گویند و به همین لحاظ به استخراج و کشف احکام شرعی از منابع معتبر که محتاج نوعی فکر و نظر و اقامه استدلال است، استنباط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به طور کلی می توان به سه صورت فقه را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اصطلاح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قرآنی فقه و تفقّه معنایی فراتر از فهم عمومی می توان درک کرد، برای نمونه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طُبِعَ عَلَى قُلُوبِهِمْ فَهُمْ لَا يَفْقَهُونَ</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منظور مطلق فهم نیست، بلکه مراد آن است که اینان درک کامل و دقیقی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اصول فقه و علم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استنباط و استخراج احکام الهی از ادله معتبر به شیوه ای که در دانش فقه کاربرد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که شامل مطلق فهم دین می شود</w:t>
      </w:r>
      <w:r>
        <w:rPr>
          <w:rFonts w:eastAsia="IRNazanin" w:cs="IRNazanin"/>
          <w:color w:val="111111"/>
          <w:sz w:val="28"/>
          <w:szCs w:val="28"/>
          <w:rtl w:val="true"/>
          <w:lang w:bidi="fa-IR"/>
        </w:rPr>
        <w:t xml:space="preserve">. </w:t>
      </w:r>
      <w:bookmarkStart w:id="63" w:name="pg19115_195316"/>
    </w:p>
    <w:p>
      <w:pPr>
        <w:pStyle w:val="Heading4"/>
        <w:numPr>
          <w:ilvl w:val="3"/>
          <w:numId w:val="1"/>
        </w:numPr>
        <w:rPr/>
      </w:pPr>
      <w:bookmarkStart w:id="64" w:name="__RefHeading___Toc15202220_1280447820"/>
      <w:bookmarkStart w:id="65" w:name="_Toc21"/>
      <w:bookmarkEnd w:id="63"/>
      <w:bookmarkEnd w:id="64"/>
      <w:r>
        <w:rPr>
          <w:rtl w:val="true"/>
        </w:rPr>
        <w:t>مبحث دوم</w:t>
      </w:r>
      <w:r>
        <w:rPr>
          <w:rtl w:val="true"/>
        </w:rPr>
        <w:t xml:space="preserve">: </w:t>
      </w:r>
      <w:r>
        <w:rPr>
          <w:rtl w:val="true"/>
        </w:rPr>
        <w:t>مسجد در لغت و اصطلاح</w:t>
      </w:r>
      <w:bookmarkEnd w:id="65"/>
    </w:p>
    <w:p>
      <w:pPr>
        <w:pStyle w:val="Heading5"/>
        <w:numPr>
          <w:ilvl w:val="4"/>
          <w:numId w:val="1"/>
        </w:numPr>
        <w:rPr/>
      </w:pPr>
      <w:bookmarkStart w:id="66" w:name="__RefHeading___Toc15202222_1280447820"/>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با توجه به این که الفاظ و مصطلحات در هر علمی، روشن گر حقایق آن علم می باشد و تفهیم و تفهّم به وسیله آن الفاظ و مصطلحات صورت می پذیرد، لازم است پیش از شروع بحث، به بررسی معنای لغوی و اصطلاحی واژه مسجد بپردازیم</w:t>
      </w:r>
      <w:r>
        <w:rPr>
          <w:rFonts w:eastAsia="IRNazanin" w:cs="IRNazanin"/>
          <w:color w:val="111111"/>
          <w:sz w:val="28"/>
          <w:szCs w:val="28"/>
          <w:rtl w:val="true"/>
          <w:lang w:bidi="fa-IR"/>
        </w:rPr>
        <w:t>.</w:t>
      </w:r>
    </w:p>
    <w:p>
      <w:pPr>
        <w:pStyle w:val="Heading5"/>
        <w:numPr>
          <w:ilvl w:val="4"/>
          <w:numId w:val="1"/>
        </w:numPr>
        <w:rPr/>
      </w:pPr>
      <w:bookmarkStart w:id="68" w:name="__RefHeading___Toc15202224_1280447820"/>
      <w:bookmarkStart w:id="69" w:name="_Toc23"/>
      <w:bookmarkEnd w:id="68"/>
      <w:r>
        <w:rPr>
          <w:rtl w:val="true"/>
        </w:rPr>
        <w:t>گفتار اول</w:t>
      </w:r>
      <w:r>
        <w:rPr>
          <w:rtl w:val="true"/>
        </w:rPr>
        <w:t xml:space="preserve">: </w:t>
      </w:r>
      <w:r>
        <w:rPr>
          <w:rtl w:val="true"/>
        </w:rPr>
        <w:t>مسجد در لغت</w:t>
      </w:r>
      <w:bookmarkEnd w:id="69"/>
    </w:p>
    <w:p>
      <w:pPr>
        <w:pStyle w:val="BookText"/>
        <w:rPr/>
      </w:pPr>
      <w:r>
        <w:rPr>
          <w:rFonts w:ascii="IRNazanin" w:hAnsi="IRNazanin" w:eastAsia="IRNazanin"/>
          <w:color w:val="111111"/>
          <w:sz w:val="28"/>
          <w:sz w:val="28"/>
          <w:szCs w:val="28"/>
          <w:rtl w:val="true"/>
          <w:lang w:bidi="fa-IR"/>
        </w:rPr>
        <w:t xml:space="preserve">لغت شناسان عرب برای مسجد معانی متعددی بیان کرده اند مانند خانه نماز و موضع سجده از بدن انسان، که جمع آن مساجد است </w:t>
      </w:r>
      <w:r>
        <w:rPr>
          <w:rStyle w:val="FootnoteAnchor"/>
          <w:rtl w:val="true"/>
        </w:rPr>
        <w:footnoteReference w:id="49"/>
      </w:r>
      <w:r>
        <w:rPr>
          <w:rFonts w:ascii="IRNazanin" w:hAnsi="IRNazanin" w:eastAsia="IRNazanin"/>
          <w:color w:val="111111"/>
          <w:sz w:val="28"/>
          <w:sz w:val="28"/>
          <w:szCs w:val="28"/>
          <w:rtl w:val="true"/>
          <w:lang w:bidi="fa-IR"/>
        </w:rPr>
        <w:t>مساجد از بدن انسان، اعضایی است که بر آن ها سجده می شود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کف دو دست، دو زانو و دو قدم پا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اصل مسجد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سجود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الجبهة علي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قرار دادن پیشانی بر زمین است؛ </w:t>
      </w:r>
      <w:r>
        <w:rPr>
          <w:rStyle w:val="FootnoteAnchor"/>
          <w:rtl w:val="true"/>
        </w:rPr>
        <w:footnoteReference w:id="51"/>
      </w:r>
      <w:r>
        <w:rPr>
          <w:rFonts w:ascii="IRNazanin" w:hAnsi="IRNazanin" w:eastAsia="IRNazanin"/>
          <w:color w:val="111111"/>
          <w:sz w:val="28"/>
          <w:sz w:val="28"/>
          <w:szCs w:val="28"/>
          <w:rtl w:val="true"/>
          <w:lang w:bidi="fa-IR"/>
        </w:rPr>
        <w:t>اما مسجد در عرف مردم اختصاص به مکانی دارد که برای نماز های پنج گانه آماده شده است و مردم برای نماز های عید و مانند آن ها در آن مکان اجتماع می کنند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در اصل، اسم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جایگاه سجده و محل عبادت می باشد و آن، از قاعده معروف مستثنی است؛ زیرا قاعده اسم مکان و زمان از فعل ثلاثی مجرد آن است که اگر عین الفعل مضارع آن، مضموم یا مفتوح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فتح </w:t>
      </w:r>
    </w:p>
    <w:p>
      <w:pPr>
        <w:pStyle w:val="BookText"/>
        <w:rPr/>
      </w:pPr>
      <w:r>
        <w:rPr>
          <w:rFonts w:ascii="IRNazanin" w:hAnsi="IRNazanin" w:eastAsia="IRNazanin"/>
          <w:color w:val="111111"/>
          <w:sz w:val="28"/>
          <w:sz w:val="28"/>
          <w:szCs w:val="28"/>
          <w:rtl w:val="true"/>
          <w:lang w:bidi="fa-IR"/>
        </w:rPr>
        <w:t>عین باشد مانند مشعر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عین الفعل مضارع آن، مکسور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 مانند مجلس و منزل</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تعریف لغوی مسجد در معاجم و فرهنگ های لغت، تعابیر گوناگونی جلب توجه می کند که در واقع تمامی آن ها به یک معنا بازگشت می کند که از آن جمله است گفته زجّاج در تعریف مسجد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مَوضع يُتَعَبَّد فيهِ فهو مَسْجِد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ابن اعرابی در این باره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مَسْجَد بفتح الجيم، مِحْرَابُ البيوتِ و مُصَلَّى الجَماعاتِ</w:t>
      </w:r>
      <w:r>
        <w:rPr>
          <w:rStyle w:val="FootnoteAnchor"/>
          <w:rtl w:val="true"/>
        </w:rPr>
        <w:footnoteReference w:id="55"/>
      </w:r>
      <w:r>
        <w:rPr>
          <w:rFonts w:ascii="IRNazanin" w:hAnsi="IRNazanin" w:eastAsia="IRNazanin"/>
          <w:color w:val="111111"/>
          <w:sz w:val="28"/>
          <w:sz w:val="28"/>
          <w:szCs w:val="28"/>
          <w:rtl w:val="true"/>
          <w:lang w:bidi="fa-IR"/>
        </w:rPr>
        <w:t>و در مفردات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المَسْجِدُ موضع الصلاة اعتبارا بالسجود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به خاک افتادن و خضوع و کرنش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اسم مکان به معنای محل سجده، عبادت و دعاست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مسجد در زبان عربی، اسم مکان و مشتق از ریشه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چرا کلمه مسجد برای مکان عبادت و محل نماز استعمال شده است، گفته اند از آن جا که سجود، شریف ترین و مهم ترین ارکان نماز است و در آن بیش از دیگر افعال، انسان به خداوند نزدیک می شود، به همین دلیل اسم مکان از این فعل را اتخاذ و بر محل عبادت و نماز اطلاق کرده اند</w:t>
      </w:r>
      <w:r>
        <w:rPr>
          <w:rFonts w:eastAsia="IRNazanin" w:cs="IRNazanin"/>
          <w:color w:val="111111"/>
          <w:sz w:val="28"/>
          <w:szCs w:val="28"/>
          <w:rtl w:val="true"/>
          <w:lang w:bidi="fa-IR"/>
        </w:rPr>
        <w:t xml:space="preserve">. </w:t>
      </w:r>
      <w:r>
        <w:rPr>
          <w:rStyle w:val="FootnoteAnchor"/>
          <w:rtl w:val="true"/>
        </w:rPr>
        <w:footnoteReference w:id="57"/>
      </w:r>
      <w:bookmarkStart w:id="70" w:name="pg19115_195318"/>
    </w:p>
    <w:p>
      <w:pPr>
        <w:pStyle w:val="Heading5"/>
        <w:numPr>
          <w:ilvl w:val="4"/>
          <w:numId w:val="1"/>
        </w:numPr>
        <w:rPr/>
      </w:pPr>
      <w:bookmarkStart w:id="71" w:name="__RefHeading___Toc15202226_1280447820"/>
      <w:bookmarkStart w:id="72" w:name="_Toc24"/>
      <w:bookmarkEnd w:id="70"/>
      <w:bookmarkEnd w:id="71"/>
      <w:r>
        <w:rPr>
          <w:rtl w:val="true"/>
        </w:rPr>
        <w:t>گفتار دوّم</w:t>
      </w:r>
      <w:r>
        <w:rPr>
          <w:rtl w:val="true"/>
        </w:rPr>
        <w:t xml:space="preserve">: </w:t>
      </w:r>
      <w:r>
        <w:rPr>
          <w:rtl w:val="true"/>
        </w:rPr>
        <w:t>مسجد در اصطلاح</w:t>
      </w:r>
      <w:bookmarkEnd w:id="72"/>
    </w:p>
    <w:p>
      <w:pPr>
        <w:pStyle w:val="BookText"/>
        <w:rPr/>
      </w:pPr>
      <w:r>
        <w:rPr>
          <w:rFonts w:ascii="IRNazanin" w:hAnsi="IRNazanin" w:eastAsia="IRNazanin"/>
          <w:color w:val="111111"/>
          <w:sz w:val="28"/>
          <w:sz w:val="28"/>
          <w:szCs w:val="28"/>
          <w:rtl w:val="true"/>
          <w:lang w:bidi="fa-IR"/>
        </w:rPr>
        <w:t>مسجد در اصطلاح عرفی، عبادت گاه خاص مسلمانان است اگر چه در قرآن نیز برخی موارد، بر معابد ملل سابق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لفظ مسجد در این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غَلَبُوا عَلَى أَمْرِهِمْ لَنَتَّخِذَتَ عَلَيْهِمْ مَسْجِداً</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معجزه و داستان اصحاب کهف برخوردند گفتند به یادگار آنان، بالای غار شان مسجدی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این قضیه درباره اصحاب کهف و پیش از نزول قرآن است که مراد از مسجد در آیه، کلیسا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قرآن کریم از معبد اهل کتاب به عنوان مسجد 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Style w:val="FootnoteAnchor"/>
          <w:rtl w:val="true"/>
        </w:rPr>
        <w:footnoteReference w:id="59"/>
      </w:r>
      <w:r>
        <w:rPr>
          <w:rFonts w:ascii="IRNazanin" w:hAnsi="IRNazanin" w:eastAsia="IRNazanin"/>
          <w:color w:val="111111"/>
          <w:sz w:val="28"/>
          <w:sz w:val="28"/>
          <w:szCs w:val="28"/>
          <w:rtl w:val="true"/>
          <w:lang w:bidi="fa-IR"/>
        </w:rPr>
        <w:t>بايد توجه داشت که مسجد الاقصی هنگام نزول قرآن، از معابد اهل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مسجد در اصطلاح شرعی، به مکان معین و موقوف برای نماز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رحمة اللّه در تعریف خود از مسجد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حقیقت شرعیه ای است درباره مکانی که برای مسلمانان به جهت نماز خواندن 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تنها اختصاص به برخی از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این وقف کردن، باید در آن نماز نیز خوانده شود یا این که به قبض حاکم شرع برسد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رحمة اللّه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نظر شرعی، مکانی است که برای تمامی مسلمانان به جهت نماز خواندن وقف شده باشد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برای این واژه در اصطلاح فقها و اصولیان تعاریف متعدّد دیگری نیز ارائه شده که در ذیل به برخی از آن تعاریف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است که بر تمامی مسلمانان جهت ادای نماز در آن جا، وقف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عبارت از خانه هایی است که برای اقامه نماز در آن ها بنا شده است و این مکان، مختص باری تعالی و عبادت او می باشد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ابو حبیب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مکانی که در آن عبادت خدا انجام شود مسجد می 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اصطلاح، زمینی است که مالکش آن را مسجد قرار داده است؛ به این گونه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را مسجد قرار دادم و سپس راه آن را مشخّص کند، و به مردم اذن دهد که در آن نماز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چنان چه یک نفر در آن نماز بخواند، ملکیّت مالک از آن سلب و به این ترتیب عنوان مسجد محقّق می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اجماع و اتّفاق دارند بر این که اگر بقعه ای از زمین برای اقامه نماز تعیین شود و مالک آن، به طور صریح این امر را اظهار کند، زمین مزبور از ملک شخصی او خارج و برای تمامی مسلمانان وقف شده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لی الأَرْضُ مَسْجِداً وَ طَهوراً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bookmarkStart w:id="73" w:name="pg19115_195320"/>
    </w:p>
    <w:p>
      <w:pPr>
        <w:pStyle w:val="BookText"/>
        <w:rPr/>
      </w:pPr>
      <w:bookmarkEnd w:id="73"/>
      <w:r>
        <w:rPr>
          <w:rFonts w:ascii="IRNazanin" w:hAnsi="IRNazanin" w:eastAsia="IRNazanin"/>
          <w:color w:val="111111"/>
          <w:sz w:val="28"/>
          <w:sz w:val="28"/>
          <w:szCs w:val="28"/>
          <w:rtl w:val="true"/>
          <w:lang w:bidi="fa-IR"/>
        </w:rPr>
        <w:t>در فصل بعد به صورت مبسوط به تعریف مسجد و چگونگی تحقق آن اشاره خواهد شد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74" w:name="__RefHeading___Toc15202228_1280447820"/>
      <w:bookmarkStart w:id="75" w:name="_Toc25"/>
      <w:bookmarkEnd w:id="74"/>
      <w:r>
        <w:rPr>
          <w:rtl w:val="true"/>
        </w:rPr>
        <w:t>گفتار سوم</w:t>
      </w:r>
      <w:r>
        <w:rPr>
          <w:rtl w:val="true"/>
        </w:rPr>
        <w:t xml:space="preserve">: </w:t>
      </w:r>
      <w:r>
        <w:rPr>
          <w:rtl w:val="true"/>
        </w:rPr>
        <w:t>مسجد در قرآن</w:t>
      </w:r>
      <w:bookmarkEnd w:id="75"/>
    </w:p>
    <w:p>
      <w:pPr>
        <w:pStyle w:val="BookText"/>
        <w:rPr/>
      </w:pPr>
      <w:r>
        <w:rPr>
          <w:rFonts w:ascii="IRNazanin" w:hAnsi="IRNazanin" w:eastAsia="IRNazanin"/>
          <w:color w:val="111111"/>
          <w:sz w:val="28"/>
          <w:sz w:val="28"/>
          <w:szCs w:val="28"/>
          <w:rtl w:val="true"/>
          <w:lang w:bidi="fa-IR"/>
        </w:rPr>
        <w:t xml:space="preserve">واژه مسجد به طور صریح در قرآن کریم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کار برده شده است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صورت مفرد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صورت جمع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کار رفته است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مسجد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در یک مورد تعبی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Style w:val="FootnoteAnchor"/>
          <w:rtl w:val="true"/>
        </w:rPr>
        <w:footnoteReference w:id="70"/>
      </w:r>
      <w:r>
        <w:rPr>
          <w:rFonts w:ascii="IRNazanin" w:hAnsi="IRNazanin" w:eastAsia="IRNazanin"/>
          <w:color w:val="111111"/>
          <w:sz w:val="28"/>
          <w:sz w:val="28"/>
          <w:szCs w:val="28"/>
          <w:rtl w:val="true"/>
          <w:lang w:bidi="fa-IR"/>
        </w:rPr>
        <w:t xml:space="preserve">و تنها در یک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کار برده شده </w:t>
      </w:r>
      <w:r>
        <w:rPr>
          <w:rStyle w:val="FootnoteAnchor"/>
          <w:rtl w:val="true"/>
        </w:rPr>
        <w:footnoteReference w:id="71"/>
      </w:r>
      <w:r>
        <w:rPr>
          <w:rFonts w:ascii="IRNazanin" w:hAnsi="IRNazanin" w:eastAsia="IRNazanin"/>
          <w:color w:val="111111"/>
          <w:sz w:val="28"/>
          <w:sz w:val="28"/>
          <w:szCs w:val="28"/>
          <w:rtl w:val="true"/>
          <w:lang w:bidi="fa-IR"/>
        </w:rPr>
        <w:t>که با توجه به قرائن، مراد همان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مسجد به صورت نکره آمده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چهار مورد به صورت </w:t>
      </w:r>
      <w:bookmarkStart w:id="76" w:name="pg19115_195321"/>
    </w:p>
    <w:p>
      <w:pPr>
        <w:pStyle w:val="BookText"/>
        <w:rPr/>
      </w:pPr>
      <w:bookmarkEnd w:id="76"/>
      <w:r>
        <w:rPr>
          <w:rFonts w:ascii="IRNazanin" w:hAnsi="IRNazanin" w:eastAsia="IRNazanin"/>
          <w:color w:val="111111"/>
          <w:sz w:val="28"/>
          <w:sz w:val="28"/>
          <w:szCs w:val="28"/>
          <w:rtl w:val="true"/>
          <w:lang w:bidi="fa-IR"/>
        </w:rPr>
        <w:t xml:space="preserve">نکره </w:t>
      </w:r>
      <w:r>
        <w:rPr>
          <w:rStyle w:val="FootnoteAnchor"/>
          <w:rtl w:val="true"/>
        </w:rPr>
        <w:footnoteReference w:id="73"/>
      </w:r>
      <w:r>
        <w:rPr>
          <w:rFonts w:ascii="IRNazanin" w:hAnsi="IRNazanin" w:eastAsia="IRNazanin"/>
          <w:color w:val="111111"/>
          <w:sz w:val="28"/>
          <w:sz w:val="28"/>
          <w:szCs w:val="28"/>
          <w:rtl w:val="true"/>
          <w:lang w:bidi="fa-IR"/>
        </w:rPr>
        <w:t xml:space="preserve">و در دو مورد به صورت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77" w:name="__RefHeading___Toc15202230_1280447820"/>
      <w:bookmarkStart w:id="78" w:name="_Toc26"/>
      <w:bookmarkEnd w:id="77"/>
      <w:r>
        <w:rPr>
          <w:rtl w:val="true"/>
        </w:rPr>
        <w:t>گفتار چهارم</w:t>
      </w:r>
      <w:r>
        <w:rPr>
          <w:rtl w:val="true"/>
        </w:rPr>
        <w:t xml:space="preserve">: </w:t>
      </w:r>
      <w:r>
        <w:rPr>
          <w:rtl w:val="true"/>
        </w:rPr>
        <w:t>واژگان مرتبط به مسجد</w:t>
      </w:r>
      <w:bookmarkEnd w:id="78"/>
    </w:p>
    <w:p>
      <w:pPr>
        <w:pStyle w:val="Heading6"/>
        <w:numPr>
          <w:ilvl w:val="5"/>
          <w:numId w:val="1"/>
        </w:numPr>
        <w:rPr/>
      </w:pPr>
      <w:bookmarkStart w:id="79" w:name="__RefHeading___Toc15202232_1280447820"/>
      <w:bookmarkStart w:id="80" w:name="_Toc27"/>
      <w:bookmarkEnd w:id="79"/>
      <w:r>
        <w:rPr/>
        <w:t>1</w:t>
      </w:r>
      <w:r>
        <w:rPr>
          <w:rtl w:val="true"/>
        </w:rPr>
        <w:t xml:space="preserve">- </w:t>
      </w:r>
      <w:r>
        <w:rPr>
          <w:rtl w:val="true"/>
        </w:rPr>
        <w:t>جامع</w:t>
      </w:r>
      <w:bookmarkEnd w:id="80"/>
    </w:p>
    <w:p>
      <w:pPr>
        <w:pStyle w:val="BookText"/>
        <w:rPr/>
      </w:pPr>
      <w:r>
        <w:rPr>
          <w:rFonts w:ascii="IRNazanin" w:hAnsi="IRNazanin" w:eastAsia="IRNazanin"/>
          <w:color w:val="111111"/>
          <w:sz w:val="28"/>
          <w:sz w:val="28"/>
          <w:szCs w:val="28"/>
          <w:rtl w:val="true"/>
          <w:lang w:bidi="fa-IR"/>
        </w:rPr>
        <w:t xml:space="preserve">از نظر لغت شناسان عرب یکی از معانی جامع، مسجدی است که در آن نماز جمعه اقامه می شود، و این مسجد را جامع می گویند؛ </w:t>
      </w:r>
      <w:r>
        <w:rPr>
          <w:rStyle w:val="FootnoteAnchor"/>
          <w:rtl w:val="true"/>
        </w:rPr>
        <w:footnoteReference w:id="75"/>
      </w:r>
      <w:r>
        <w:rPr>
          <w:rFonts w:ascii="IRNazanin" w:hAnsi="IRNazanin" w:eastAsia="IRNazanin"/>
          <w:color w:val="111111"/>
          <w:sz w:val="28"/>
          <w:sz w:val="28"/>
          <w:szCs w:val="28"/>
          <w:rtl w:val="true"/>
          <w:lang w:bidi="fa-IR"/>
        </w:rPr>
        <w:t>زیرا مردم در روز جمعه در آن اجتماع می کنند</w:t>
      </w:r>
      <w:r>
        <w:rPr>
          <w:rFonts w:eastAsia="IRNazanin" w:cs="IRNazanin"/>
          <w:color w:val="111111"/>
          <w:sz w:val="28"/>
          <w:szCs w:val="28"/>
          <w:rtl w:val="true"/>
          <w:lang w:bidi="fa-IR"/>
        </w:rPr>
        <w:t xml:space="preserve">. </w:t>
      </w:r>
      <w:r>
        <w:rPr>
          <w:rStyle w:val="FootnoteAnchor"/>
          <w:rtl w:val="true"/>
        </w:rPr>
        <w:footnoteReference w:id="76"/>
      </w:r>
    </w:p>
    <w:p>
      <w:pPr>
        <w:pStyle w:val="Heading6"/>
        <w:numPr>
          <w:ilvl w:val="5"/>
          <w:numId w:val="1"/>
        </w:numPr>
        <w:rPr/>
      </w:pPr>
      <w:bookmarkStart w:id="81" w:name="__RefHeading___Toc15202234_1280447820"/>
      <w:bookmarkStart w:id="82" w:name="_Toc28"/>
      <w:bookmarkEnd w:id="81"/>
      <w:r>
        <w:rPr/>
        <w:t>2</w:t>
      </w:r>
      <w:r>
        <w:rPr>
          <w:rtl w:val="true"/>
        </w:rPr>
        <w:t xml:space="preserve">- </w:t>
      </w:r>
      <w:r>
        <w:rPr>
          <w:rtl w:val="true"/>
        </w:rPr>
        <w:t>مصلّی</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مصلی در لغت به صورت اسم مفعول، یعنی مکان نماز و دعاء است </w:t>
      </w:r>
      <w:r>
        <w:rPr>
          <w:rStyle w:val="FootnoteAnchor"/>
          <w:rtl w:val="true"/>
        </w:rPr>
        <w:footnoteReference w:id="77"/>
      </w:r>
      <w:r>
        <w:rPr>
          <w:rFonts w:ascii="IRNazanin" w:hAnsi="IRNazanin" w:eastAsia="IRNazanin"/>
          <w:color w:val="111111"/>
          <w:sz w:val="28"/>
          <w:sz w:val="28"/>
          <w:szCs w:val="28"/>
          <w:rtl w:val="true"/>
          <w:lang w:bidi="fa-IR"/>
        </w:rPr>
        <w:t>و در اصطلاح فقها، این واژه به معنای فضا و صحرائی است که محل اجتماع مسلمین برای نماز عید و مانند آن می باشد</w:t>
      </w:r>
      <w:r>
        <w:rPr>
          <w:rFonts w:eastAsia="IRNazanin" w:cs="IRNazanin"/>
          <w:color w:val="111111"/>
          <w:sz w:val="28"/>
          <w:szCs w:val="28"/>
          <w:rtl w:val="true"/>
          <w:lang w:bidi="fa-IR"/>
        </w:rPr>
        <w:t xml:space="preserve">. </w:t>
      </w:r>
      <w:r>
        <w:rPr>
          <w:rStyle w:val="FootnoteAnchor"/>
          <w:rtl w:val="true"/>
        </w:rPr>
        <w:footnoteReference w:id="78"/>
      </w:r>
      <w:bookmarkStart w:id="83" w:name="pg19115_195322"/>
    </w:p>
    <w:p>
      <w:pPr>
        <w:pStyle w:val="Heading6"/>
        <w:numPr>
          <w:ilvl w:val="5"/>
          <w:numId w:val="1"/>
        </w:numPr>
        <w:rPr/>
      </w:pPr>
      <w:bookmarkStart w:id="84" w:name="__RefHeading___Toc15202236_1280447820"/>
      <w:bookmarkStart w:id="85" w:name="_Toc29"/>
      <w:bookmarkEnd w:id="83"/>
      <w:bookmarkEnd w:id="84"/>
      <w:r>
        <w:rPr/>
        <w:t>3</w:t>
      </w:r>
      <w:r>
        <w:rPr>
          <w:rtl w:val="true"/>
        </w:rPr>
        <w:t xml:space="preserve">- </w:t>
      </w:r>
      <w:r>
        <w:rPr>
          <w:rtl w:val="true"/>
        </w:rPr>
        <w:t>زاویه</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زاویه مفرد زوایا است و در لغت، به آن نقطه از خانه گفته می شود که در آن، دو قُطر در آن جمع شده است و نیز زاویه بر مسجدی گفته می شود که جامع نیست و در آن منبری نصب نشده است </w:t>
      </w:r>
      <w:r>
        <w:rPr>
          <w:rStyle w:val="FootnoteAnchor"/>
          <w:rtl w:val="true"/>
        </w:rPr>
        <w:footnoteReference w:id="79"/>
      </w:r>
      <w:r>
        <w:rPr>
          <w:rFonts w:ascii="IRNazanin" w:hAnsi="IRNazanin" w:eastAsia="IRNazanin"/>
          <w:color w:val="111111"/>
          <w:sz w:val="28"/>
          <w:sz w:val="28"/>
          <w:szCs w:val="28"/>
          <w:rtl w:val="true"/>
          <w:lang w:bidi="fa-IR"/>
        </w:rPr>
        <w:t>این واژه در اصطلاح نیز، به همین معنای لغوی به کار می رود</w:t>
      </w:r>
      <w:r>
        <w:rPr>
          <w:rFonts w:eastAsia="IRNazanin" w:cs="IRNazanin"/>
          <w:color w:val="111111"/>
          <w:sz w:val="28"/>
          <w:szCs w:val="28"/>
          <w:rtl w:val="true"/>
          <w:lang w:bidi="fa-IR"/>
        </w:rPr>
        <w:t xml:space="preserve">. </w:t>
      </w:r>
      <w:r>
        <w:rPr>
          <w:rStyle w:val="FootnoteAnchor"/>
          <w:rtl w:val="true"/>
        </w:rPr>
        <w:footnoteReference w:id="80"/>
      </w:r>
      <w:bookmarkStart w:id="86" w:name="pg19115_195323"/>
    </w:p>
    <w:p>
      <w:pPr>
        <w:pStyle w:val="Heading3"/>
        <w:numPr>
          <w:ilvl w:val="2"/>
          <w:numId w:val="1"/>
        </w:numPr>
        <w:rPr/>
      </w:pPr>
      <w:bookmarkStart w:id="87" w:name="__RefHeading___Toc15202238_1280447820"/>
      <w:bookmarkStart w:id="88" w:name="_Toc30"/>
      <w:bookmarkEnd w:id="86"/>
      <w:bookmarkEnd w:id="87"/>
      <w:r>
        <w:rPr>
          <w:rtl w:val="true"/>
        </w:rPr>
        <w:t>فصل سوم</w:t>
      </w:r>
      <w:r>
        <w:rPr>
          <w:rtl w:val="true"/>
        </w:rPr>
        <w:t xml:space="preserve">: </w:t>
      </w:r>
      <w:r>
        <w:rPr>
          <w:rtl w:val="true"/>
        </w:rPr>
        <w:t>کنکاشی در چیستی مسجد</w:t>
      </w:r>
      <w:bookmarkEnd w:id="88"/>
    </w:p>
    <w:p>
      <w:pPr>
        <w:pStyle w:val="Heading4"/>
        <w:numPr>
          <w:ilvl w:val="3"/>
          <w:numId w:val="1"/>
        </w:numPr>
        <w:rPr/>
      </w:pPr>
      <w:bookmarkStart w:id="89" w:name="__RefHeading___Toc15202240_1280447820"/>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تعظیم مسجد</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تحقق ماهیت مسجد</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تحقق مسجد در خارج</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داشتن مسجد به یک قسمت از ساختمان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9115_195325"/>
      <w:bookmarkStart w:id="92" w:name="pg19115_195325"/>
      <w:bookmarkEnd w:id="92"/>
    </w:p>
    <w:p>
      <w:pPr>
        <w:pStyle w:val="BookText"/>
        <w:rPr/>
      </w:pPr>
      <w:bookmarkStart w:id="93" w:name="pg19115_195325"/>
      <w:bookmarkEnd w:id="93"/>
      <w:r>
        <w:rPr>
          <w:rFonts w:ascii="IRNazanin" w:hAnsi="IRNazanin" w:eastAsia="IRNazanin"/>
          <w:color w:val="111111"/>
          <w:sz w:val="28"/>
          <w:sz w:val="28"/>
          <w:szCs w:val="28"/>
          <w:rtl w:val="true"/>
          <w:lang w:bidi="fa-IR"/>
        </w:rPr>
        <w:t xml:space="preserve">همان گونه که در گذشته اشاره شد شش تعریف برای مسجد در اصطلاح فقهی ذکر شد </w:t>
      </w:r>
      <w:r>
        <w:rPr>
          <w:rStyle w:val="FootnoteAnchor"/>
          <w:rtl w:val="true"/>
        </w:rPr>
        <w:footnoteReference w:id="81"/>
      </w:r>
      <w:r>
        <w:rPr>
          <w:rFonts w:ascii="IRNazanin" w:hAnsi="IRNazanin" w:eastAsia="IRNazanin"/>
          <w:color w:val="111111"/>
          <w:sz w:val="28"/>
          <w:sz w:val="28"/>
          <w:szCs w:val="28"/>
          <w:rtl w:val="true"/>
          <w:lang w:bidi="fa-IR"/>
        </w:rPr>
        <w:t>که پیش از واکاوی فقهی تحقق عنوان مسجد ابتدا به بیان وجوب تعظیم مسجد و احترام به این مکان مقدس اشاره کرده و آیات و روایاتی که در این باره می توان استفاده کرد ذکر خواهد شد</w:t>
      </w:r>
      <w:r>
        <w:rPr>
          <w:rFonts w:eastAsia="IRNazanin" w:cs="IRNazanin"/>
          <w:color w:val="111111"/>
          <w:sz w:val="28"/>
          <w:szCs w:val="28"/>
          <w:rtl w:val="true"/>
          <w:lang w:bidi="fa-IR"/>
        </w:rPr>
        <w:t>.</w:t>
      </w:r>
    </w:p>
    <w:p>
      <w:pPr>
        <w:pStyle w:val="Heading4"/>
        <w:numPr>
          <w:ilvl w:val="3"/>
          <w:numId w:val="1"/>
        </w:numPr>
        <w:rPr/>
      </w:pPr>
      <w:bookmarkStart w:id="94" w:name="__RefHeading___Toc15202242_1280447820"/>
      <w:bookmarkStart w:id="95" w:name="_Toc32"/>
      <w:bookmarkEnd w:id="94"/>
      <w:r>
        <w:rPr>
          <w:rtl w:val="true"/>
        </w:rPr>
        <w:t>مقدمه</w:t>
      </w:r>
      <w:r>
        <w:rPr>
          <w:rtl w:val="true"/>
        </w:rPr>
        <w:t xml:space="preserve">: </w:t>
      </w:r>
      <w:r>
        <w:rPr>
          <w:rtl w:val="true"/>
        </w:rPr>
        <w:t>وجوب تعظیم مسجد و حفظ حرمت آن</w:t>
      </w:r>
      <w:bookmarkEnd w:id="95"/>
    </w:p>
    <w:p>
      <w:pPr>
        <w:pStyle w:val="BookText"/>
        <w:rPr/>
      </w:pPr>
      <w:r>
        <w:rPr>
          <w:rFonts w:ascii="IRNazanin" w:hAnsi="IRNazanin" w:eastAsia="IRNazanin"/>
          <w:color w:val="111111"/>
          <w:sz w:val="28"/>
          <w:sz w:val="28"/>
          <w:szCs w:val="28"/>
          <w:rtl w:val="true"/>
          <w:lang w:bidi="fa-IR"/>
        </w:rPr>
        <w:t>هر آنچه در دین دارای احترام است و نزد خداوند متعال شأن و منزلتی دارد حفظ حرمت آن واجب است چون قرآن کریم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وَمَن يُعَظِّمْ حُرُمَاتِ الله</w:t>
      </w:r>
      <w:r>
        <w:rPr>
          <w:rStyle w:val="FootnoteAnchor"/>
          <w:rtl w:val="true"/>
        </w:rPr>
        <w:footnoteReference w:id="82"/>
      </w:r>
      <w:r>
        <w:rPr>
          <w:rFonts w:ascii="IRNazanin" w:hAnsi="IRNazanin" w:eastAsia="IRNazanin"/>
          <w:color w:val="111111"/>
          <w:sz w:val="28"/>
          <w:sz w:val="28"/>
          <w:szCs w:val="28"/>
          <w:rtl w:val="true"/>
          <w:lang w:bidi="fa-IR"/>
        </w:rPr>
        <w:t>حرمت چیزی است که هتک آن جایز نیست و اسم مصدر احترام می باشد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تمامی آنچه را که خداوند به این صفت یاد کرده است حفظ حرمت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می گوید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هر چیزی است که هتک آن جایز نیست و معنای تعظیم عبارت است از این که بدانیم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قیام به احترام آنها واجب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بجنوردی در القواعد الفقهیه می نویسد هر آنچه که دین آن را محترم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کعبه معظمه مسجد الحرام، سایر مساجد، قرآن کریم، پیامبر خدا صلی الله علیه و آله، امامان معصوم علیهم السلام، مراقد شهدا، قبور بندگان صالح خدا، </w:t>
      </w:r>
      <w:bookmarkStart w:id="96" w:name="pg19115_195326"/>
    </w:p>
    <w:p>
      <w:pPr>
        <w:pStyle w:val="BookText"/>
        <w:rPr/>
      </w:pPr>
      <w:bookmarkEnd w:id="96"/>
      <w:r>
        <w:rPr>
          <w:rFonts w:ascii="IRNazanin" w:hAnsi="IRNazanin" w:eastAsia="IRNazanin"/>
          <w:color w:val="111111"/>
          <w:sz w:val="28"/>
          <w:sz w:val="28"/>
          <w:szCs w:val="28"/>
          <w:rtl w:val="true"/>
          <w:lang w:bidi="fa-IR"/>
        </w:rPr>
        <w:t>عالمان و فقیهان چه در حالت حیات باشند یا بعد از مرگشان کتاب های احادیث پیامبر که از طریق اهل بیت علیهم السلامیا از طریق اخیار از صحابه روایت شده اند و غیر آنها هر چیزی که در دین و شریعت سید المرسلین دارای شأن و احترام می باشد از این قبیل است تربت مقدس امام حسین، کتاب های دعا منابری که در مساجد به جهت وعظ و خطبه نماز جمعه نصب شده اند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خلاصه هر 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دین شأن و منزلتی دارد حفظ احترام آن واجب است</w:t>
      </w:r>
      <w:r>
        <w:rPr>
          <w:rFonts w:eastAsia="IRNazanin" w:cs="IRNazanin"/>
          <w:color w:val="111111"/>
          <w:sz w:val="28"/>
          <w:szCs w:val="28"/>
          <w:rtl w:val="true"/>
          <w:lang w:bidi="fa-IR"/>
        </w:rPr>
        <w:t>.</w:t>
      </w:r>
    </w:p>
    <w:p>
      <w:pPr>
        <w:pStyle w:val="Heading4"/>
        <w:numPr>
          <w:ilvl w:val="3"/>
          <w:numId w:val="1"/>
        </w:numPr>
        <w:rPr/>
      </w:pPr>
      <w:bookmarkStart w:id="97" w:name="__RefHeading___Toc15202244_1280447820"/>
      <w:bookmarkStart w:id="98" w:name="_Toc33"/>
      <w:bookmarkEnd w:id="97"/>
      <w:r>
        <w:rPr>
          <w:rtl w:val="true"/>
        </w:rPr>
        <w:t>ادلة وجوب تعظیم و حفظ حرمت مساجد</w:t>
      </w:r>
      <w:bookmarkEnd w:id="98"/>
    </w:p>
    <w:p>
      <w:pPr>
        <w:pStyle w:val="BookText"/>
        <w:rPr/>
      </w:pPr>
      <w:r>
        <w:rPr>
          <w:rFonts w:ascii="IRNazanin" w:hAnsi="IRNazanin" w:eastAsia="IRNazanin"/>
          <w:color w:val="111111"/>
          <w:sz w:val="28"/>
          <w:sz w:val="28"/>
          <w:szCs w:val="28"/>
          <w:rtl w:val="true"/>
          <w:lang w:bidi="fa-IR"/>
        </w:rPr>
        <w:t>فقها برای وجوب احترام مساجد ادله متعددی بیان کرده اند، که مهم ترین آنها تعظيم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شعائر الله است که در سوره حج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وَمَن يُعَظِّمْ حُرُمَاتِ اللَّهِ فَهُوَ خَيْرٌ لَّهُ عِندَ رَبِّهِ</w:t>
      </w:r>
      <w:r>
        <w:rPr>
          <w:rStyle w:val="FootnoteAnchor"/>
          <w:rtl w:val="true"/>
        </w:rPr>
        <w:footnoteReference w:id="86"/>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87"/>
      </w:r>
      <w:r>
        <w:rPr>
          <w:rFonts w:ascii="IRNazanin" w:hAnsi="IRNazanin" w:eastAsia="IRNazanin"/>
          <w:color w:val="111111"/>
          <w:sz w:val="28"/>
          <w:sz w:val="28"/>
          <w:szCs w:val="28"/>
          <w:rtl w:val="true"/>
          <w:lang w:bidi="fa-IR"/>
        </w:rPr>
        <w:t xml:space="preserve">و استدلال به این آیات به این نحوه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گفته شد هر چیزی است که در دین و شریعت سید المرسلین دارای احترام و نزد خداوند متعال شأن و منزلتی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ظاهر ایات این معنا را می رساند که تعظیم هر آنچه در دین محترم می باشد واجب است و اهانت به آن جایز نیست و مساجد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99" w:name="__RefHeading___Toc15202246_1280447820"/>
      <w:bookmarkStart w:id="100" w:name="_Toc34"/>
      <w:bookmarkEnd w:id="99"/>
      <w:r>
        <w:rPr>
          <w:rtl w:val="true"/>
        </w:rPr>
        <w:t>روایات تعظیم مساجد</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تصریح می کنند بر این که تعظیم و احترام مساجد واجب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ممکن است مستند این حکم روایاتی باشد که بر شأن و منزلت رفیع مسجد تأكيد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آخرین باب از ابواب احکام مساجد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وجوب تعظیم مساجد قرار داده است و روایتی را از ابوبصیر نقل می کند که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تعظیم مساجد واجب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مساجد خانه های خدا در زمین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بدین جهت به تعظیم مساجد از طرف خداوند امر شده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يعقوب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مسجد را تعظیم نماید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 این اساس سید یزدی در عروه می گوید مسجدی که خراب شده و آثاری از آن باقی نمانده است با این حال نیز احترامش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کلام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خراباً ولم يبق آثار مسجديته، لا يجوز إدخاله في الملك، ولا في الطريق، فلا يخرج عن المسجدية أبداً، ويبقى الأحكام من حرمة تنجيسه ووجوب احترامه و مخالفتی نیز از هیچ یک از محشین بر آن دیده نمی شود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خویی برای وجوب احترام مساجدی که ویران شده این گونه استدلال می کند بدیهی است که بقای احکام تابع بقای موضوع است به این معنی که اگرچه </w:t>
      </w:r>
      <w:bookmarkStart w:id="101" w:name="pg19115_195328"/>
    </w:p>
    <w:p>
      <w:pPr>
        <w:pStyle w:val="BookText"/>
        <w:rPr/>
      </w:pPr>
      <w:bookmarkEnd w:id="101"/>
      <w:r>
        <w:rPr>
          <w:rFonts w:ascii="IRNazanin" w:hAnsi="IRNazanin" w:eastAsia="IRNazanin"/>
          <w:color w:val="111111"/>
          <w:sz w:val="28"/>
          <w:sz w:val="28"/>
          <w:szCs w:val="28"/>
          <w:rtl w:val="true"/>
          <w:lang w:bidi="fa-IR"/>
        </w:rPr>
        <w:t>ساختمان مسجد خراب شده است ولی عنوان زمین مسجد هنوز باقی است</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02" w:name="__RefHeading___Toc15202248_1280447820"/>
      <w:bookmarkStart w:id="103" w:name="_Toc35"/>
      <w:bookmarkEnd w:id="102"/>
      <w:r>
        <w:rPr>
          <w:rtl w:val="true"/>
        </w:rPr>
        <w:t>وجوب تعظیم مسجد نزد اهل سنّت</w:t>
      </w:r>
      <w:bookmarkEnd w:id="103"/>
    </w:p>
    <w:p>
      <w:pPr>
        <w:pStyle w:val="Heading5"/>
        <w:numPr>
          <w:ilvl w:val="4"/>
          <w:numId w:val="1"/>
        </w:numPr>
        <w:rPr/>
      </w:pPr>
      <w:bookmarkStart w:id="104" w:name="__RefHeading___Toc15202250_1280447820"/>
      <w:bookmarkStart w:id="105" w:name="_Toc36"/>
      <w:bookmarkEnd w:id="104"/>
      <w:r>
        <w:rPr/>
        <w:t>1</w:t>
      </w:r>
      <w:r>
        <w:rPr>
          <w:rtl w:val="true"/>
        </w:rPr>
        <w:t xml:space="preserve">. </w:t>
      </w:r>
      <w:r>
        <w:rPr>
          <w:rtl w:val="true"/>
        </w:rPr>
        <w:t>مذهب شافعی</w:t>
      </w:r>
      <w:bookmarkEnd w:id="105"/>
    </w:p>
    <w:p>
      <w:pPr>
        <w:pStyle w:val="BookText"/>
        <w:rPr/>
      </w:pPr>
      <w:r>
        <w:rPr>
          <w:rFonts w:ascii="IRNazanin" w:hAnsi="IRNazanin" w:eastAsia="IRNazanin"/>
          <w:color w:val="111111"/>
          <w:sz w:val="28"/>
          <w:sz w:val="28"/>
          <w:szCs w:val="28"/>
          <w:rtl w:val="true"/>
          <w:lang w:bidi="fa-IR"/>
        </w:rPr>
        <w:t>نووی در المجموع می نویسد دیوار مسجد از طرف داخل و خارج آن پشت بام و حیاط مسجد حکم خود مسجد را دارد از این رو حفظ حرمت تعظیم آنها واجب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نیز می گوید هرگاه شخصی در مسجد محتلم شود بر او واجب است که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خروج از مسجد امکان ندارد مانند این که در بسته است در این صورت واجب نیست</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06" w:name="__RefHeading___Toc15202252_1280447820"/>
      <w:bookmarkStart w:id="107" w:name="_Toc37"/>
      <w:bookmarkEnd w:id="106"/>
      <w:r>
        <w:rPr/>
        <w:t>2</w:t>
      </w:r>
      <w:r>
        <w:rPr>
          <w:rtl w:val="true"/>
        </w:rPr>
        <w:t xml:space="preserve">. </w:t>
      </w:r>
      <w:r>
        <w:rPr>
          <w:rtl w:val="true"/>
        </w:rPr>
        <w:t>مذهب حنبلی</w:t>
      </w:r>
      <w:bookmarkEnd w:id="1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حفظ احترام مسجد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 جایز که در مسجد توقف کند به دلیل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عابرى سبيل حتى تغلتسوا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یعنی جنب واجب است فورا از مسجد خارج شود البته اگر بر جان و مالش خوف داشته باشد و ممکن نباشد که از مسجد خارج شود تیمم کند و در مسجد اقامه کند </w:t>
      </w:r>
      <w:r>
        <w:rPr>
          <w:rStyle w:val="FootnoteAnchor"/>
          <w:rtl w:val="true"/>
        </w:rPr>
        <w:footnoteReference w:id="97"/>
      </w:r>
      <w:r>
        <w:rPr>
          <w:rFonts w:ascii="IRNazanin" w:hAnsi="IRNazanin" w:eastAsia="IRNazanin"/>
          <w:color w:val="111111"/>
          <w:sz w:val="28"/>
          <w:sz w:val="28"/>
          <w:szCs w:val="28"/>
          <w:rtl w:val="true"/>
          <w:lang w:bidi="fa-IR"/>
        </w:rPr>
        <w:t>بهوتی حنبلی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توقف جنب در مسجد حرام و بیرون از آن واجب است</w:t>
      </w:r>
      <w:r>
        <w:rPr>
          <w:rFonts w:eastAsia="IRNazanin" w:cs="IRNazanin"/>
          <w:color w:val="111111"/>
          <w:sz w:val="28"/>
          <w:szCs w:val="28"/>
          <w:rtl w:val="true"/>
          <w:lang w:bidi="fa-IR"/>
        </w:rPr>
        <w:t xml:space="preserve">. </w:t>
      </w:r>
      <w:r>
        <w:rPr>
          <w:rStyle w:val="FootnoteAnchor"/>
          <w:rtl w:val="true"/>
        </w:rPr>
        <w:footnoteReference w:id="98"/>
      </w:r>
      <w:bookmarkStart w:id="108" w:name="pg19115_195329"/>
    </w:p>
    <w:p>
      <w:pPr>
        <w:pStyle w:val="Heading4"/>
        <w:numPr>
          <w:ilvl w:val="3"/>
          <w:numId w:val="1"/>
        </w:numPr>
        <w:rPr/>
      </w:pPr>
      <w:bookmarkStart w:id="109" w:name="__RefHeading___Toc15202254_1280447820"/>
      <w:bookmarkStart w:id="110" w:name="_Toc38"/>
      <w:bookmarkEnd w:id="108"/>
      <w:bookmarkEnd w:id="109"/>
      <w:r>
        <w:rPr>
          <w:rtl w:val="true"/>
        </w:rPr>
        <w:t>مبحث اول</w:t>
      </w:r>
      <w:r>
        <w:rPr>
          <w:rtl w:val="true"/>
        </w:rPr>
        <w:t xml:space="preserve">: </w:t>
      </w:r>
      <w:r>
        <w:rPr>
          <w:rtl w:val="true"/>
        </w:rPr>
        <w:t>کیفیت تحقق ماهیت مسجد</w:t>
      </w:r>
      <w:bookmarkEnd w:id="110"/>
    </w:p>
    <w:p>
      <w:pPr>
        <w:pStyle w:val="Heading5"/>
        <w:numPr>
          <w:ilvl w:val="4"/>
          <w:numId w:val="1"/>
        </w:numPr>
        <w:rPr/>
      </w:pPr>
      <w:bookmarkStart w:id="111" w:name="__RefHeading___Toc15202256_1280447820"/>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پیش از بیان این مطلب که عنوان مسجد چگونه محقق می شود، باید جنس و فصل تعاریفی که برای تحقق عنوان مسجدیت شده است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جهت بیان شروط لازم برای تحقق این،عنوان باید به این سؤالات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ماهوی مسجد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وقف، عقد است یا ایقاع؟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عقد،است قبول آن چگونه محقق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وقف صیغه لفظی لازم است یا آنکه معاطات و حتی نوشتن نیز کفایت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وقف از عبادیات است یا از توصلیات؟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آیا نیاز به قصد قربت دارد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واقف و مالک حتما باید مؤمن و مسلم باشند یا آنکه کافر کتابی یا غیر کتابی نیز می تواند وقف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مسجد باید وقف عام باشد یا آنکه می تواند وقف خاص نیز بشود؟</w:t>
      </w:r>
    </w:p>
    <w:p>
      <w:pPr>
        <w:pStyle w:val="BookText"/>
        <w:rPr/>
      </w:pPr>
      <w:r>
        <w:rPr>
          <w:rFonts w:ascii="IRNazanin" w:hAnsi="IRNazanin" w:eastAsia="IRNazanin"/>
          <w:color w:val="111111"/>
          <w:sz w:val="28"/>
          <w:sz w:val="28"/>
          <w:szCs w:val="28"/>
          <w:rtl w:val="true"/>
          <w:lang w:bidi="fa-IR"/>
        </w:rPr>
        <w:t>پس از پاسخ به این سؤالات فصل مقوّم مسجد نیز مشخص شده و می توان نتیجه گیری کرد که عنوان مسجد چگونه محقق شده و به چه مکانی مسجد گفته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پاسخ به پرسش های مذکور به بیان خلاصه ای از دیدگاه فقیهان در تحقق عنوان مسجد می پردازیم به طور کلی دو دیدگاه در تحقق عنوان مسجد نزد فقیهان امامیه وجود دارد که مرحوم صاحب جواهر درباره این دو دیدگاه این گونه </w:t>
      </w:r>
    </w:p>
    <w:p>
      <w:pPr>
        <w:pStyle w:val="BookText"/>
        <w:rPr/>
      </w:pP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بلکه دو قول درباره تحقق مسجدیت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عنوان مسجد اولاً؛ صيغه وقف و شبه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مسجدا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ثانیاً؛ واقف اذن بدهد که در آن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نماز در آن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یک نفر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شرع که ولایت عامه برای اوست آن را قبض کند عنوان مسجد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قصد تحقق عنوان مسجد کافی است اگرچه صیغه ای نخواند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برای پاسخ به این پرسش که عنوان مسجد چگونه محقق می شود، باید توجه داشت که میان ماهیت و مفهوم مسجد و شرایط تحقق مصادیق خارجی مسجد تفکیک کرد و در قسمت بعد ابتدا به بررسی مفهوم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پس از آن ریز شرائط تحقق مصادیق خارجی مسجد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تحقق مفهوم مسجد باید به این نکته توجه داشت که مسجد دارای یک تعریف ماهوی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جنس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یک شرایطی برای تحقق مصادیق خارجی خود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و فصل او عبارت است از حیوان ناطق و اجزای ماهوی آن، حیوانیت و ناطقیت است اما چشم داشتن و تکلم کردن و دیگر خصوصیات، از مشخصات و معيّنات مصداق مفهوم و عنوان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مسجد یک حقیقت عرفیه است که شارع مقدس، مفهوم آن را تضییق کرده و با گذاردن شرایطی آن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ماهوی مسجد عبارت است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مکانی است برای پرستش و عبادت خداوند متعال که برای عموم قرار داده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دارای یک جنس است که عبارت است از مکان و محل بودن و فصل آن عبارت است از اتخاذ آن مکان برای پرستش و عبادت کردن خداوند توسط </w:t>
      </w:r>
      <w:bookmarkStart w:id="113" w:name="pg19115_195331"/>
    </w:p>
    <w:p>
      <w:pPr>
        <w:pStyle w:val="BookText"/>
        <w:rPr/>
      </w:pPr>
      <w:bookmarkEnd w:id="113"/>
      <w:r>
        <w:rPr>
          <w:rFonts w:ascii="IRNazanin" w:hAnsi="IRNazanin" w:eastAsia="IRNazanin"/>
          <w:color w:val="111111"/>
          <w:sz w:val="28"/>
          <w:sz w:val="28"/>
          <w:szCs w:val="28"/>
          <w:rtl w:val="true"/>
          <w:lang w:bidi="fa-IR"/>
        </w:rPr>
        <w:t xml:space="preserve">عموم مردم اما ریز شروطی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قبض حاکم نماز خواندن یک نفر با اذن،واقف عمومیت خواندن صیغه قصد قربت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وقف و معينات تحقق عنوان مسجد در خارج است و ارتباطی به ماهیت مسجد و اجزای ماهوی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ادامه به بررسی اجزای ماهوی مسجد یعنی موضوع مسجد و جنس و فصل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پرداخته و پس از آن به بیان شروط تحقق عنوان مسجد یعنی مصداق مسجد در خارج خواهیم پرداخت</w:t>
      </w:r>
      <w:r>
        <w:rPr>
          <w:rFonts w:eastAsia="IRNazanin" w:cs="IRNazanin"/>
          <w:color w:val="111111"/>
          <w:sz w:val="28"/>
          <w:szCs w:val="28"/>
          <w:rtl w:val="true"/>
          <w:lang w:bidi="fa-IR"/>
        </w:rPr>
        <w:t>.</w:t>
      </w:r>
    </w:p>
    <w:p>
      <w:pPr>
        <w:pStyle w:val="Heading5"/>
        <w:numPr>
          <w:ilvl w:val="4"/>
          <w:numId w:val="1"/>
        </w:numPr>
        <w:rPr/>
      </w:pPr>
      <w:bookmarkStart w:id="114" w:name="__RefHeading___Toc15202258_1280447820"/>
      <w:bookmarkStart w:id="115" w:name="_Toc40"/>
      <w:bookmarkEnd w:id="114"/>
      <w:r>
        <w:rPr>
          <w:rtl w:val="true"/>
        </w:rPr>
        <w:t>گفتار اول</w:t>
      </w:r>
      <w:r>
        <w:rPr>
          <w:rtl w:val="true"/>
        </w:rPr>
        <w:t xml:space="preserve">: </w:t>
      </w:r>
      <w:r>
        <w:rPr>
          <w:rtl w:val="true"/>
        </w:rPr>
        <w:t>بررسی جنس تعریف؛ مکان مسجد</w:t>
      </w:r>
      <w:bookmarkEnd w:id="115"/>
    </w:p>
    <w:p>
      <w:pPr>
        <w:pStyle w:val="BookText"/>
        <w:rPr/>
      </w:pPr>
      <w:r>
        <w:rPr>
          <w:rFonts w:ascii="IRNazanin" w:hAnsi="IRNazanin" w:eastAsia="IRNazanin"/>
          <w:color w:val="111111"/>
          <w:sz w:val="28"/>
          <w:sz w:val="28"/>
          <w:szCs w:val="28"/>
          <w:rtl w:val="true"/>
          <w:lang w:bidi="fa-IR"/>
        </w:rPr>
        <w:t>جنس تعریف مسجد آن است که مکان باشد؛ یعنی محل و جایی باشد که بتوان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مکانهایی را که نتوان در آنجا استقرار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آسمان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نتوان در آنجا نماز خواند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بسیار کوچک که به اندازه مثلاً یک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مسجد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کتب فقهی شروطی نیز برای مکان و محلی که مسجد در آن قرار دارد، ذکر شده است از جمله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مباحات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ملک شخص خاص باشد نه آن که ملک برای تمام مسلمین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 های مفتوحة عنوة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فک و تحریر ملک است یا آن که تملیک می باشد که نیاز به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پیرامون شرط سوم سه حالت را برای مکان موقوف تصویر کرده و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وقف تمام،باشد ملکیت واقف از موقوف زائل می شود که این زوال ملکیت، سه حالت پیدا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موقوف مسجد است که در این صورت واقف فک ملک کرده </w:t>
      </w:r>
    </w:p>
    <w:p>
      <w:pPr>
        <w:pStyle w:val="BookText"/>
        <w:rPr/>
      </w:pPr>
      <w:r>
        <w:rPr>
          <w:rFonts w:ascii="IRNazanin" w:hAnsi="IRNazanin" w:eastAsia="IRNazanin"/>
          <w:color w:val="111111"/>
          <w:sz w:val="28"/>
          <w:sz w:val="28"/>
          <w:szCs w:val="28"/>
          <w:rtl w:val="true"/>
          <w:lang w:bidi="fa-IR"/>
        </w:rPr>
        <w:t>است نه تملیک مانند آزاد کردن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فرد یا افراد معینی وقف کرده است که در این صورت آن فرد یا افراد مالک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جهت عامه ای وقف کرده است که موقوف ملک برای خداوند متعال می 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فقیهانی همانند شیخ انصاری رحمه الله، </w:t>
      </w:r>
      <w:r>
        <w:rPr>
          <w:rStyle w:val="FootnoteAnchor"/>
          <w:rtl w:val="true"/>
        </w:rPr>
        <w:footnoteReference w:id="101"/>
      </w:r>
      <w:r>
        <w:rPr>
          <w:rFonts w:ascii="IRNazanin" w:hAnsi="IRNazanin" w:eastAsia="IRNazanin"/>
          <w:color w:val="111111"/>
          <w:sz w:val="28"/>
          <w:sz w:val="28"/>
          <w:szCs w:val="28"/>
          <w:rtl w:val="true"/>
          <w:lang w:bidi="fa-IR"/>
        </w:rPr>
        <w:t>میرزای نائینی رحمه الله،</w:t>
      </w:r>
      <w:r>
        <w:rPr>
          <w:rStyle w:val="FootnoteAnchor"/>
          <w:rtl w:val="true"/>
        </w:rPr>
        <w:footnoteReference w:id="102"/>
      </w:r>
      <w:r>
        <w:rPr>
          <w:rFonts w:ascii="IRNazanin" w:hAnsi="IRNazanin" w:eastAsia="IRNazanin"/>
          <w:color w:val="111111"/>
          <w:sz w:val="28"/>
          <w:sz w:val="28"/>
          <w:szCs w:val="28"/>
          <w:rtl w:val="true"/>
          <w:lang w:bidi="fa-IR"/>
        </w:rPr>
        <w:t xml:space="preserve">میرزا محمد تقی آملی رحمه الله، </w:t>
      </w:r>
      <w:r>
        <w:rPr>
          <w:rStyle w:val="FootnoteAnchor"/>
          <w:rtl w:val="true"/>
        </w:rPr>
        <w:footnoteReference w:id="103"/>
      </w:r>
      <w:r>
        <w:rPr>
          <w:rFonts w:ascii="IRNazanin" w:hAnsi="IRNazanin" w:eastAsia="IRNazanin"/>
          <w:color w:val="111111"/>
          <w:sz w:val="28"/>
          <w:sz w:val="28"/>
          <w:szCs w:val="28"/>
          <w:rtl w:val="true"/>
          <w:lang w:bidi="fa-IR"/>
        </w:rPr>
        <w:t xml:space="preserve">محقق سبزواری رحمه الله </w:t>
      </w:r>
      <w:r>
        <w:rPr>
          <w:rStyle w:val="FootnoteAnchor"/>
          <w:rtl w:val="true"/>
        </w:rPr>
        <w:footnoteReference w:id="104"/>
      </w:r>
      <w:r>
        <w:rPr>
          <w:rFonts w:ascii="IRNazanin" w:hAnsi="IRNazanin" w:eastAsia="IRNazanin"/>
          <w:color w:val="111111"/>
          <w:sz w:val="28"/>
          <w:sz w:val="28"/>
          <w:szCs w:val="28"/>
          <w:rtl w:val="true"/>
          <w:lang w:bidi="fa-IR"/>
        </w:rPr>
        <w:t>و دیگر بزرگان نیز وقف مسجد را تحریر ملک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مانند مرحوم مشکینی </w:t>
      </w:r>
      <w:r>
        <w:rPr>
          <w:rStyle w:val="FootnoteAnchor"/>
          <w:rtl w:val="true"/>
        </w:rPr>
        <w:footnoteReference w:id="105"/>
      </w:r>
      <w:r>
        <w:rPr>
          <w:rFonts w:ascii="IRNazanin" w:hAnsi="IRNazanin" w:eastAsia="IRNazanin"/>
          <w:color w:val="111111"/>
          <w:sz w:val="28"/>
          <w:sz w:val="28"/>
          <w:szCs w:val="28"/>
          <w:rtl w:val="true"/>
          <w:lang w:bidi="fa-IR"/>
        </w:rPr>
        <w:t xml:space="preserve">از وقف مساجد و مشاهد،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که مراد همان تحریر ملک یا فک ملک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نتیجه آن که مکانی که برای مسجد در نظر گرفته می شود، از ملک شخص خارج می شود و تحریر ملک نسبت بدان صورت می گیرد نه آن که تملیک بوده و نیاز به قبول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آن است که هنگام وقف مسجد، نیت مسجد کردن نیز لازم است که البته این قید را می توان هم در ذیل جنس تعریف یعنی اتخاذ مکان قرار داد و هم در ذیل فصل دوم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برای پرستش و عبادت خداوند</w:t>
      </w:r>
      <w:r>
        <w:rPr>
          <w:rFonts w:eastAsia="IRNazanin" w:cs="IRNazanin"/>
          <w:color w:val="111111"/>
          <w:sz w:val="28"/>
          <w:szCs w:val="28"/>
          <w:rtl w:val="true"/>
          <w:lang w:bidi="fa-IR"/>
        </w:rPr>
        <w:t xml:space="preserve">). </w:t>
      </w:r>
      <w:bookmarkStart w:id="116" w:name="pg19115_195333"/>
    </w:p>
    <w:p>
      <w:pPr>
        <w:pStyle w:val="BookText"/>
        <w:rPr/>
      </w:pPr>
      <w:bookmarkEnd w:id="116"/>
      <w:r>
        <w:rPr>
          <w:rFonts w:ascii="IRNazanin" w:hAnsi="IRNazanin" w:eastAsia="IRNazanin"/>
          <w:color w:val="111111"/>
          <w:sz w:val="28"/>
          <w:sz w:val="28"/>
          <w:szCs w:val="28"/>
          <w:rtl w:val="true"/>
          <w:lang w:bidi="fa-IR"/>
        </w:rPr>
        <w:t>بنابراین شخص واقف همین که مکانی را از ملک خود خارج کرده و به نیت مسجد بودن قرار دهد تا پرستش و عبادت خداوند در آن انجام شود، بدان مکان مسجد گفته شده و احکام مسجد نیز بر آن مکان بار می شود</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117" w:name="__RefHeading___Toc15202260_1280447820"/>
      <w:bookmarkStart w:id="118" w:name="_Toc41"/>
      <w:bookmarkEnd w:id="117"/>
      <w:r>
        <w:rPr>
          <w:rtl w:val="true"/>
        </w:rPr>
        <w:t>گفتار دوم بررسی فصل تعریف مسجد</w:t>
      </w:r>
      <w:bookmarkEnd w:id="118"/>
    </w:p>
    <w:p>
      <w:pPr>
        <w:pStyle w:val="Heading6"/>
        <w:numPr>
          <w:ilvl w:val="5"/>
          <w:numId w:val="1"/>
        </w:numPr>
        <w:rPr/>
      </w:pPr>
      <w:bookmarkStart w:id="119" w:name="__RefHeading___Toc15202262_1280447820"/>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فصلی که برای تعریف ماهیت مسجد می توان ذکر کرد عبارت است از؛ اتخاذ به عنوان پرستش و عبادت خداوند متعال برای عموم این فصل دارای سه قید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برای پرستش و عبادت خداوند نه غیر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w:t>
      </w:r>
    </w:p>
    <w:p>
      <w:pPr>
        <w:pStyle w:val="Heading6"/>
        <w:numPr>
          <w:ilvl w:val="5"/>
          <w:numId w:val="1"/>
        </w:numPr>
        <w:rPr/>
      </w:pPr>
      <w:bookmarkStart w:id="121" w:name="__RefHeading___Toc15202264_1280447820"/>
      <w:bookmarkStart w:id="122" w:name="_Toc43"/>
      <w:bookmarkEnd w:id="121"/>
      <w:r>
        <w:rPr>
          <w:rtl w:val="true"/>
        </w:rPr>
        <w:t>الف</w:t>
      </w:r>
      <w:r>
        <w:rPr>
          <w:rtl w:val="true"/>
        </w:rPr>
        <w:t xml:space="preserve">) </w:t>
      </w:r>
      <w:r>
        <w:rPr>
          <w:rtl w:val="true"/>
        </w:rPr>
        <w:t xml:space="preserve">بررسی قید اول؛ </w:t>
      </w:r>
      <w:r>
        <w:rPr>
          <w:rtl w:val="true"/>
        </w:rPr>
        <w:t>«</w:t>
      </w:r>
      <w:r>
        <w:rPr>
          <w:rtl w:val="true"/>
        </w:rPr>
        <w:t>اتخاذ</w:t>
      </w:r>
      <w:r>
        <w:rPr>
          <w:rtl w:val="true"/>
        </w:rPr>
        <w:t>»</w:t>
      </w:r>
      <w:bookmarkEnd w:id="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یکی از قیود فصل تعریف ماهیت مسجد بیان شد به این معناست که صرف نیت کردن شخص برای این که مکانی به عنوان عبادتگاه خداوند قرار گیرد در تحقق ماهیت مسجد نه مصداق خارجی کفایت می کند و در تحقق عنوان مسجدیت نیازی نیست به این که شخص مثلاً صیغه لفظی بخواند یا </w:t>
      </w:r>
    </w:p>
    <w:p>
      <w:pPr>
        <w:pStyle w:val="BookText"/>
        <w:rPr/>
      </w:pPr>
      <w:r>
        <w:rPr>
          <w:rFonts w:ascii="IRNazanin" w:hAnsi="IRNazanin" w:eastAsia="IRNazanin"/>
          <w:color w:val="111111"/>
          <w:sz w:val="28"/>
          <w:sz w:val="28"/>
          <w:szCs w:val="28"/>
          <w:rtl w:val="true"/>
          <w:lang w:bidi="fa-IR"/>
        </w:rPr>
        <w:t>قبول محقق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امام صادق علیه السلام نقل شده نیز، تنها به انتخاب یک مکان و تحجیر و سنگ چین کردن آن اکتفا شده و این مکان به عنوان مسجد شمرده شده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البته برای تحقق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طبیعی است که باید شخص بانی مسجد، نیت عبادت گاه بودن آن مکان را نیز بکند و گرنه اتخاذ معنا پیدا نمی کند و نیت کردن، جزء شروط تحقق ماهیت مسجد به صورت مستقل نیست بلکه جزء تحقق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کلمات برخی از بزرگان همانند شیخ طوسی </w:t>
      </w:r>
      <w:r>
        <w:rPr>
          <w:rStyle w:val="FootnoteAnchor"/>
          <w:rtl w:val="true"/>
        </w:rPr>
        <w:footnoteReference w:id="109"/>
      </w:r>
      <w:r>
        <w:rPr>
          <w:rFonts w:ascii="IRNazanin" w:hAnsi="IRNazanin" w:eastAsia="IRNazanin"/>
          <w:color w:val="111111"/>
          <w:sz w:val="28"/>
          <w:sz w:val="28"/>
          <w:szCs w:val="28"/>
          <w:rtl w:val="true"/>
          <w:lang w:bidi="fa-IR"/>
        </w:rPr>
        <w:t xml:space="preserve">و شهید اول در ذکری </w:t>
      </w:r>
      <w:r>
        <w:rPr>
          <w:rStyle w:val="FootnoteAnchor"/>
          <w:rtl w:val="true"/>
        </w:rPr>
        <w:footnoteReference w:id="110"/>
      </w:r>
      <w:r>
        <w:rPr>
          <w:rFonts w:ascii="IRNazanin" w:hAnsi="IRNazanin" w:eastAsia="IRNazanin"/>
          <w:color w:val="111111"/>
          <w:sz w:val="28"/>
          <w:sz w:val="28"/>
          <w:szCs w:val="28"/>
          <w:rtl w:val="true"/>
          <w:lang w:bidi="fa-IR"/>
        </w:rPr>
        <w:t>نیز به این مطلب اشاره شده است که صرف اتخاذ و نیت برای مسجد بودن در تحقق عنوان مسجدیت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بررسی قید دوم محلی برای پرستش و عبادت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نیز جزء شروط جدا نشدنی از ماهیت مسجد است؛ زیرا اگر مکانی به عنوان عبادتگاه قرار گیرد اما نه برای عبادت خداوند بلکه برای عبادت غیر خدا مانند بتها ماه و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ماهیت مسجد محقق نشده است؛ یعنی به هیچ وجه به آن مکان مسجد گفته نشده و موضوع مسجد محقق نمی شود بعد بحث شود آیا همه احکام مسجد بر آن بار می شود یا خیر؟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تعریفی که برای تحقق ماهیت مسجد بیان شد، هر مکانی که برای پرستش و عبادت خداوند متعال در نظر گرفته شده باشد، مسجد گفته می شود و در همه ادیان توحیدی مسجد وجود داشته است؛ چه در ادیان توحیدی پیش از اسلام و چه در اسلام منتهی به معابد دیگر ادیان توحیدی در اصطلاح مسجد گفته نمی شود بلکه با تعابیری همچون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بیعه، کنیسه، صومعه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تمام معابدی که در ادیان توحیدی گذشته بوده و محل پرستش و عبادت خداوند متعال بوده،است از مصادیق مفهوم مسجد شمرده می شود و حقیقت مسجد با بیع و کنائس یکی است و عنوان مسجد عنوان عامی است که شامل تمام پرستشگاهها و عبادت گاه 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معابدی که پس از اسلام به وجود آمده است دیگر بر آنها، ماهیت مسجد صدق نمی کند؛ زیرا با آمدن اسلام تمام ادیان آسمانی دیگر و احکام آنها نسخ شده و تنها دینی که باید تبعیت،کرد اسلام است و دیگر ادیان پس از ظهور اسلام پذیرفتنی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این مدعا می توان شواهدی بیان کرد که به محل پرستش و عبادت خداوند قبل از اسلام،نیز مسجد گفته می شده است از جمله وجود مساجدی که پیش از اسلام ساخته شده و به نام مسجد از آنها یاد شده است مانند مسجد الاحرام و مسجد الاقصی و مسجد کوفه </w:t>
      </w:r>
      <w:r>
        <w:rPr>
          <w:rStyle w:val="FootnoteAnchor"/>
          <w:rtl w:val="true"/>
        </w:rPr>
        <w:footnoteReference w:id="111"/>
      </w:r>
      <w:r>
        <w:rPr>
          <w:rFonts w:ascii="IRNazanin" w:hAnsi="IRNazanin" w:eastAsia="IRNazanin"/>
          <w:color w:val="111111"/>
          <w:sz w:val="28"/>
          <w:sz w:val="28"/>
          <w:szCs w:val="28"/>
          <w:rtl w:val="true"/>
          <w:lang w:bidi="fa-IR"/>
        </w:rPr>
        <w:t>و در برخی از روایات از نماز خواندن انبیاء</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در برخی از مساجد مانند مسجد سهله </w:t>
      </w:r>
      <w:r>
        <w:rPr>
          <w:rStyle w:val="FootnoteAnchor"/>
          <w:rtl w:val="true"/>
        </w:rPr>
        <w:footnoteReference w:id="112"/>
      </w:r>
      <w:r>
        <w:rPr>
          <w:rFonts w:ascii="IRNazanin" w:hAnsi="IRNazanin" w:eastAsia="IRNazanin"/>
          <w:color w:val="111111"/>
          <w:sz w:val="28"/>
          <w:sz w:val="28"/>
          <w:szCs w:val="28"/>
          <w:rtl w:val="true"/>
          <w:lang w:bidi="fa-IR"/>
        </w:rPr>
        <w:t xml:space="preserve">و مسجد خیف </w:t>
      </w:r>
      <w:r>
        <w:rPr>
          <w:rStyle w:val="FootnoteAnchor"/>
          <w:rtl w:val="true"/>
        </w:rPr>
        <w:footnoteReference w:id="113"/>
      </w:r>
      <w:r>
        <w:rPr>
          <w:rFonts w:ascii="IRNazanin" w:hAnsi="IRNazanin" w:eastAsia="IRNazanin"/>
          <w:color w:val="111111"/>
          <w:sz w:val="28"/>
          <w:sz w:val="28"/>
          <w:szCs w:val="28"/>
          <w:rtl w:val="true"/>
          <w:lang w:bidi="fa-IR"/>
        </w:rPr>
        <w:t>سخن به میان آمده است البته از روایاتی که درباره مسجد سهله و مسجد خیف وارد شده، نمی توان مسجد بودن این دو مکان را پیش از اسلام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بررسی قید سوم؛ لزوم عمومیت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اجزای ماهوی مفهوم مسجد،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این مسأله، ابتدا به بیان شرائط وقف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شود آیا عمومیت جزء این شرائط است یا خیر و در ادامه به بیان دیدگاهها درباره عمومیت وقف در تحقق مفهوم مسجد و ادله هر دیدگاه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رحمه الله در کتاب تبصرة المتعلمین به بیان شروط وقف پرداخته که به صورت اختصار عبارتند از؛ قبول قصد قربت، قبض، تنجیز، دوام، خارج شدن عين مال از ملک واقف و این که عین موقوفه ملک واقف باشد و بتوان از آن انتفاع صحیح شرعی برد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حال پرسش مطرح آن است که آیا عام بودن مسجد در تحقق عنوان مسجدیت شرط است یا آن که می توان مسجد را برای گروه خاصی نیز وقف کرد؟ درباره شرط بودن عمومیت برای تحقق عنوان مسجد دو دیدگاه میان فقیهان شیعه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شرط نیست و بانی می تواند مسجد را برای عده خاصی قرار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دیدگاه مشهور فقهاست آن که عمومیت شرط بوده و اگر برای عده خاصی وقف شود، دیگر مسجد نبوده و احکام مسجد بر آن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رحمه الله را در تذکره کلامی را بیان می کند که اشاره به شرط بودن عمومیت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اگر شخصی در خانه خود مسجدی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مکانی برای خواندن نماز اختصاص داده است می تواند تغییر دهد؛ زیرا این مکان را برای همه و به صورت عام قرار نداده است بلکه به خود و خانوادهاش اختصاص داده است</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صاحب مفتاح الکرامه رحمه الله در ذیل این کلام مرحوم علامه رحمه الله می گوید این کلام علامه، صریح در آن است که در تحقق مسجد،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نداشتن به افراد خاص شرط 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صاحب جواهر پس از تعریف مسجد به بیان قید عمومیت در تحقق مسجدیت پرداخته و معتقد است که تخصیص مسجد به افراد یا گروه خاص موجب بطلان وقف آن می شود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محقق خویی رحمه الله نیز دیدگاه صاحب جواهر رحمه الله را می پذیرد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مقابل این نظریه دیدگاه فقیهانی مانند مرحوم سید یزدی در عروه و صاحب مهذب الاحكام رحمه الله قرار دارد مرحوم سید در عروه اختصاص مسجد به گروه خاص را صحیح می داند </w:t>
      </w:r>
      <w:r>
        <w:rPr>
          <w:rStyle w:val="FootnoteAnchor"/>
          <w:rtl w:val="true"/>
        </w:rPr>
        <w:footnoteReference w:id="119"/>
      </w:r>
      <w:r>
        <w:rPr>
          <w:rFonts w:ascii="IRNazanin" w:hAnsi="IRNazanin" w:eastAsia="IRNazanin"/>
          <w:color w:val="111111"/>
          <w:sz w:val="28"/>
          <w:sz w:val="28"/>
          <w:szCs w:val="28"/>
          <w:rtl w:val="true"/>
          <w:lang w:bidi="fa-IR"/>
        </w:rPr>
        <w:t>و مرحوم سبزواری در مهذب الاحکام چهار دلیل برای کسانی</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تخصیص را موجب بطلان وقف مسجد می دانند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ادله، صاحب جواهر رحمه الله و محقق خویی رحمه الله اشاره کرده اند و هر چهار دلیل را مورد مناقشه قرار داده اند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نظر می رسد که عمومیت در صحت وقف مسجد شرط است؛ زیرا اگرچه در هیچ یک از شروط وقف که در مقدمه بحث بیان شد از عام بودن وقف سخنی به میان نیامده است اما همان گونه که در تعریف ماهوی مسجد بیان شد، مسجد عبارت است از اتخاذ مکانی عمومی برای پرستش و عبادت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این مکان تملیکی نیست بلکه تحریری است و کسی نمی تواند آن را قبول کند و فک ملک است در راه خداوند و اگر برای عده خاصی وقف شود، با این فک ملک بودن منافات دارد؛ زیرا تمام مسلمین در این جهت مساوی بودن هیچ 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عام بودن و اختصاص به طائفه خاصی،نداشتن یکی از شروط تحققماهوی مسجد است که با نبودن این شرط مفهوم مسجد نیز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بحثنتیجه سخن آن که میان ماهیت و مفهوم مسجد با تحقق مصادیق و عنوان مسجد در خارج باید تفکیک کرد به این معنا که مفهوم مسجد یک حقیقت عرفیه ای دارد که عبارت است از اتخاذ مکانی برای پرستش و عبادت خداوند توسط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قبل از اسلام و هم پس از اسلام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پیش از اسلام گاهی تعبیر به مسجد می شده و گاهی تعبیر به بیع و كنائس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اینها جزء مفهوم مسجد بوده و از نظر مفهومی با مسجد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شارع مقدس ضوابطی برای مصادیق خارجی مسجد قرار داده مانند عمومیت قصد قربت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تحقق این،ریز شروط مصداق خارجی مسجد نیز محقق شده و در نتیجه احکامی که در شریعت اسلام برای مسجد قرار داده شده است بر آن مکان بار می شود</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تحقق مسجد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اشارهپس از روشن شدن ماهیت مسجد، باید توجه داشت که در دین اسلام، شارع مقدس برخی از ضوابط و شرایطی را برای تحقق مصادیق خارجی مسجد بیان کرده است تا احکام وارد در شریعت اسلامی نیز بر آن مصادیق بار شود که از جمله این شرایط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وقف مسجد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صیغه برای مسجد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قصد قربت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ادامه به بیان این شروط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بررسی شرط بودن قبول در تحقق مسجد باید بدین نکته توجه داشت که چون مسجد نوعی وقف است ابتدا باید دید که وقف عقد است یا ایقاع؟ آنگاه پس از پذیرش عقد بودن،وقف باید دید قبول آن چگونه محقق می شود و اگر قائل به عقد بودن وقف نشدیم دیگری نیازی به بحث از شرط بودن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عقد یا ایقاع بودن وقف سه دیدگاه وجود دارد؛دیدگاه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عقدی است که نیازمند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ایقاع است که در نتیجه نیاز به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عقد است، اما احتیاج به قبول قولی ندارد، بلکه تصرف موقوف علیهم و گرفتن ایشان، خود قبول فعلی به شمار می آید همانند باب 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که عقد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ایقاع و باب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که عقد است و قبول در آن نیست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برای بررسی این اقوال باید در دو مقام بحث کرد؛ مقام نخست آن که آیا،وقف، عقد است یا ایقاع؟مقام دوم آن که اگر عقد است نیازمند به قبول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بررسی عقد یا ایقاع بودن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کلمات فقیهان در این باره آن است که وقف عقد است، اما در اعتبار قبول در آن اختلاف نظر وجود دارد برخی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محقق حلی رحمه الله تصریح به عقد بودن وقف کرده و در تعریف وقف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عقد يقتضى تحبيس الأصل و إطلاق المنفعة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نظر ما نیز وقف، عقد است؛ زیرا وقف بر عناوین عامه یا خاصه تملیک برای آن عناوین است و ظاهر تملیک و تملک اختیاری آن است که معاهده ای از جانب دو طرف صورت می گیرد به همین دلیل عقد است نه ایقاع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طرفینی است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شهید ثانی رحمه الله نیز ابتدا نیاز داشتن وقف به قبول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سپس همین قول را می پذیرد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برخی از فقها تصریح کرده اند به این که اگر موقوف علیهم رد کنند، وقف باطل می شود که این خود شاهد دیگری بر عقد بودن وقف است و حال آن که اگر وقف ایقاع بود با ردّ طرف مقابل باطل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چگونگی تحقق قبول در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پذیرش این دیدگاه که وقف عقد است نه ايقاع، این پرسش مطرح</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که آیا قبول، در تحقق و صحت وقف شرط است یا خیر و یا این که در این مسأله، تفصیلی وجود دارد؟ در این زمینه چند نظریه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اقسام وقففقیهانی همچون علامه حلی رحمه الله علامه حلی رحمه الله در کتاب تبصرة المتعلمين </w:t>
      </w:r>
      <w:r>
        <w:rPr>
          <w:rStyle w:val="FootnoteAnchor"/>
          <w:rtl w:val="true"/>
        </w:rPr>
        <w:footnoteReference w:id="124"/>
      </w:r>
      <w:r>
        <w:rPr>
          <w:rFonts w:ascii="Amiri" w:hAnsi="Amiri" w:eastAsia="Amiri" w:cs="Amiri"/>
          <w:color w:val="111111"/>
          <w:sz w:val="28"/>
          <w:sz w:val="28"/>
          <w:szCs w:val="28"/>
          <w:rtl w:val="true"/>
          <w:lang w:bidi="ar-SA"/>
        </w:rPr>
        <w:t xml:space="preserve">و قواعد الاحكام، </w:t>
      </w:r>
      <w:r>
        <w:rPr>
          <w:rStyle w:val="FootnoteAnchor"/>
          <w:rtl w:val="true"/>
        </w:rPr>
        <w:footnoteReference w:id="125"/>
      </w:r>
      <w:r>
        <w:rPr>
          <w:rFonts w:ascii="IRNazanin" w:hAnsi="IRNazanin" w:eastAsia="IRNazanin"/>
          <w:color w:val="111111"/>
          <w:sz w:val="28"/>
          <w:sz w:val="28"/>
          <w:szCs w:val="28"/>
          <w:rtl w:val="true"/>
          <w:lang w:bidi="fa-IR"/>
        </w:rPr>
        <w:t xml:space="preserve">فاضل مقداد رحمه الله، در کتاب التنقیح، </w:t>
      </w:r>
      <w:r>
        <w:rPr>
          <w:rStyle w:val="FootnoteAnchor"/>
          <w:rtl w:val="true"/>
        </w:rPr>
        <w:footnoteReference w:id="126"/>
      </w:r>
      <w:r>
        <w:rPr>
          <w:rFonts w:ascii="IRNazanin" w:hAnsi="IRNazanin" w:eastAsia="IRNazanin"/>
          <w:color w:val="111111"/>
          <w:sz w:val="28"/>
          <w:sz w:val="28"/>
          <w:szCs w:val="28"/>
          <w:rtl w:val="true"/>
          <w:lang w:bidi="fa-IR"/>
        </w:rPr>
        <w:t xml:space="preserve">محقق کرکی رحمه الله در کتاب جامع المقاصد، </w:t>
      </w:r>
      <w:r>
        <w:rPr>
          <w:rStyle w:val="FootnoteAnchor"/>
          <w:rtl w:val="true"/>
        </w:rPr>
        <w:footnoteReference w:id="127"/>
      </w:r>
      <w:r>
        <w:rPr>
          <w:rFonts w:ascii="IRNazanin" w:hAnsi="IRNazanin" w:eastAsia="IRNazanin"/>
          <w:color w:val="111111"/>
          <w:sz w:val="28"/>
          <w:sz w:val="28"/>
          <w:szCs w:val="28"/>
          <w:rtl w:val="true"/>
          <w:lang w:bidi="fa-IR"/>
        </w:rPr>
        <w:t xml:space="preserve">سيد على طباطبایی رحمه الله در کتاب ریاض المسائل، </w:t>
      </w:r>
      <w:r>
        <w:rPr>
          <w:rStyle w:val="FootnoteAnchor"/>
          <w:rtl w:val="true"/>
        </w:rPr>
        <w:footnoteReference w:id="128"/>
      </w:r>
      <w:r>
        <w:rPr>
          <w:rFonts w:ascii="IRNazanin" w:hAnsi="IRNazanin" w:eastAsia="IRNazanin"/>
          <w:color w:val="111111"/>
          <w:sz w:val="28"/>
          <w:sz w:val="28"/>
          <w:szCs w:val="28"/>
          <w:rtl w:val="true"/>
          <w:lang w:bidi="fa-IR"/>
        </w:rPr>
        <w:t xml:space="preserve">صاحب جواهر رحمه الله، </w:t>
      </w:r>
      <w:r>
        <w:rPr>
          <w:rStyle w:val="FootnoteAnchor"/>
          <w:rtl w:val="true"/>
        </w:rPr>
        <w:footnoteReference w:id="129"/>
      </w:r>
      <w:r>
        <w:rPr>
          <w:rFonts w:ascii="IRNazanin" w:hAnsi="IRNazanin" w:eastAsia="IRNazanin"/>
          <w:color w:val="111111"/>
          <w:sz w:val="28"/>
          <w:sz w:val="28"/>
          <w:szCs w:val="28"/>
          <w:rtl w:val="true"/>
          <w:lang w:bidi="fa-IR"/>
        </w:rPr>
        <w:t xml:space="preserve">آخوند خراسانی، </w:t>
      </w:r>
      <w:r>
        <w:rPr>
          <w:rStyle w:val="FootnoteAnchor"/>
          <w:rtl w:val="true"/>
        </w:rPr>
        <w:footnoteReference w:id="130"/>
      </w:r>
      <w:r>
        <w:rPr>
          <w:rFonts w:ascii="IRNazanin" w:hAnsi="IRNazanin" w:eastAsia="IRNazanin"/>
          <w:color w:val="111111"/>
          <w:sz w:val="28"/>
          <w:sz w:val="28"/>
          <w:szCs w:val="28"/>
          <w:rtl w:val="true"/>
          <w:lang w:bidi="fa-IR"/>
        </w:rPr>
        <w:t xml:space="preserve">سید محمد مجاهد در کتاب المناهل </w:t>
      </w:r>
      <w:r>
        <w:rPr>
          <w:rStyle w:val="FootnoteAnchor"/>
          <w:rtl w:val="true"/>
        </w:rPr>
        <w:footnoteReference w:id="131"/>
      </w:r>
      <w:r>
        <w:rPr>
          <w:rFonts w:ascii="IRNazanin" w:hAnsi="IRNazanin" w:eastAsia="IRNazanin"/>
          <w:color w:val="111111"/>
          <w:sz w:val="28"/>
          <w:sz w:val="28"/>
          <w:szCs w:val="28"/>
          <w:rtl w:val="true"/>
          <w:lang w:bidi="fa-IR"/>
        </w:rPr>
        <w:t>این دیدگاه را می پذیرند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خاصنظر علامه حلی رحمه الله در کتابهای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فخرالمحققین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است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نبودن قبول در اقسام وقففقیهانی همانند محقق حلی رحمه الله شهید ثانی در مسالک الافهام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صاحب ریاض نقل می کند</w:t>
      </w:r>
      <w:r>
        <w:rPr>
          <w:rStyle w:val="FootnoteAnchor"/>
          <w:rtl w:val="true"/>
        </w:rPr>
        <w:footnoteReference w:id="133"/>
      </w:r>
      <w:r>
        <w:rPr>
          <w:rFonts w:ascii="IRNazanin" w:hAnsi="IRNazanin" w:eastAsia="IRNazanin"/>
          <w:color w:val="111111"/>
          <w:sz w:val="28"/>
          <w:sz w:val="28"/>
          <w:szCs w:val="28"/>
          <w:rtl w:val="true"/>
          <w:lang w:bidi="fa-IR"/>
        </w:rPr>
        <w:t xml:space="preserve">مرحوم کاشف الغطاء </w:t>
      </w:r>
      <w:r>
        <w:rPr>
          <w:rStyle w:val="FootnoteAnchor"/>
          <w:rtl w:val="true"/>
        </w:rPr>
        <w:footnoteReference w:id="134"/>
      </w:r>
      <w:r>
        <w:rPr>
          <w:rFonts w:ascii="IRNazanin" w:hAnsi="IRNazanin" w:eastAsia="IRNazanin"/>
          <w:color w:val="111111"/>
          <w:sz w:val="28"/>
          <w:sz w:val="28"/>
          <w:szCs w:val="28"/>
          <w:rtl w:val="true"/>
          <w:lang w:bidi="fa-IR"/>
        </w:rPr>
        <w:t>پذیرای این</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فقها نیز این دیدگاه را برگزیدند منتهی در ادامه جریان احتیاط در مسأله را نیکو شمرده اند 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آیت الله خویی رحمه الله، </w:t>
      </w:r>
      <w:r>
        <w:rPr>
          <w:rStyle w:val="FootnoteAnchor"/>
          <w:rtl w:val="true"/>
        </w:rPr>
        <w:footnoteReference w:id="137"/>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نتیجه آن که مقتضای اصل اولی در عقد آن است که نیازمند به قبول باشد و اصل عدم ترتب اثر است الا با قبول طرف مقابل مگر آن که گفته شود که از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عرف، قبول در تحقق عنوان وقف دخیل نیست و اگر عنوان وقف محقق شود اطلاق آن شرطیت قبول در صحت وقف را نفی می کند</w:t>
      </w:r>
      <w:r>
        <w:rPr>
          <w:rStyle w:val="FootnoteAnchor"/>
          <w:rtl w:val="true"/>
        </w:rPr>
        <w:footnoteReference w:id="140"/>
      </w:r>
      <w:r>
        <w:rPr>
          <w:rFonts w:ascii="IRNazanin" w:hAnsi="IRNazanin" w:eastAsia="IRNazanin"/>
          <w:color w:val="111111"/>
          <w:sz w:val="28"/>
          <w:sz w:val="28"/>
          <w:szCs w:val="28"/>
          <w:rtl w:val="true"/>
          <w:lang w:bidi="fa-IR"/>
        </w:rPr>
        <w:t>که به نظر می رسد از نظر عرف، قبول در تحقق عنوان وقف دخیل نیست در نتیجه در وقف، نیازی به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دو نکته بنا بر قول به لزوم قبول لازم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قبول، قبض کافی نیست؛ زیرا موقوف علیه مال موقوفه را می گیرد و واقف آن را تحویل می دهد در صورتی که،قبول انجام نشود وقف، تحقق نمی یابد و،واقف مالک عین است و باید به او مسترد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فقها نیز به آن تصریح کردهاند قبول فعلی، مانند قبول لفظی کفایت می کند و اشکالی ندارد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جریان معاطات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اشارهیکی دیگر از شروط تحقق عنوان مسجد که فقها ذکر کرده اند، خواندن صیغه لفظی در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مطرح در اینجا آن است که آیا می توان بدون خواندن صیغه لفظی و به صورت معاطاتی وقف کرد یا این که خواندن صیغه لفظی لازم است و بدون آن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عنوان مسجد در خارج محقق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پاسخ بدین سؤال باید ابتدا دید که آیا،معاطات طبق قاعده است یا خلاف قاعده؟ اگر طبق قاعده،باشد قاعده اولیه این می شود که در وقف نیز معاطات جریان دارد مگر آن که دلیل خارجی بر عدم جریان معاطات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نکاح اما اگر گفتیم معاطات خلاف قاعده است قاعده،اولیه عدم جریان معاطات در وقف است مگر آن که دلیلی یافت شود که دلالت بر جریان معاطات در وقف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دو دیدگاه وجود دارد؛دیدگاه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بر خلاف قاعده است به این معنا که قاعده اولیه در باب عقود و ایقاعات آن است که عقود و ایقاعات باید با لفظ انشا شود، اما در برخی از ابواب فقهی مانند بیع دلیل وجود دارد که اگر با معاطات و بدون لفظ انجام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جریان معاطات در هر بابی مانند اجاره عاریه، مضاربه، قرض 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جریان معاطات در وقف بسیار مهم است بر خلاف قاعده بوده و اگر دلیل خاص بر جریان معاطات وجود داشته باشد می توان بر اساس آن دلیل عمل کرد و در مواردی که دلیل نباشد معاطات جریان ندارد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نظریه نخست است به این معنا که در باب عقود و ایقاعات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معاطات با انشاء لفظی تفاوتی نداشته و معاطات بر اساس قاعده است و اگر در موردی دلیل خاصی بر عدم جریان معاطات باشد بر اساس همان دلیل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نکاح و طلاق اجماع وجود دارد که باید لفظ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انشاء عقود و ایقاعات فرقی بین انشاء فعلی و قولی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که دیدگاه دوم صحیح است؛ زیرا در حقیقت 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 و لفظ یکی از وسائل و طرق برای انشاء است حتی انشاء کتبی نیز مورد پذیرش است؛ یعنی همان گونه که با لفظ انشاء محقق می شود با کتابت 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انشاء لفظی و فعلی هیچ تفاوتی وجود ندارد و لفظ هیچ دخالتی در انشاء ندارد؛ نه در صحت انشاء موضوعیت دارد و نه در لزوم آن، و این عبارت معروف فقها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اللازمة محتاجة الي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بر اساس دیدگاه دوم معاطات در همه عقود و ایقاعات جریان پیدا می کند و در نتیجه اطلاقات و عمومات باب بیع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یا اطلاقاتی که در باب اجاره و هبه و قرض وجود دارد هم شامل اجاره و هبه و قرض به انشاء قولی می شود و هم شامل اجاره و هبه و قرض به انشاء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جریان معاطات در عقود و ایقاعات بر اساس قاعده بوده و برای لزوم لفظ در انشاء، نیاز به دلیل داریم از این رو وقف معاطاتی صحیح می باشد و دلیلی بر بطلان چنین وقفی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شرط بودن خواندن صیغه در خصوص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نبودن خواندن صیغهمرحوم شیخ طوسی در اینباره در کتاب خلاف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مسجدی را بنا کند و به مردم اذن دهد و مردم در آن مکان نماز بخوانند یا این که قبرستانی بسازد و به مردم اذن دفن کردن بدهد و مردم نیز میت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در آن مکان دفن کنند و این شخص نگوید که این مکانها وقف است، از ملکیت این شخص خارج نمی شود شافعی نیز قائل به این دیدگاه است، </w:t>
      </w:r>
      <w:r>
        <w:rPr>
          <w:rStyle w:val="FootnoteAnchor"/>
          <w:rtl w:val="true"/>
        </w:rPr>
        <w:footnoteReference w:id="144"/>
      </w:r>
      <w:r>
        <w:rPr>
          <w:rFonts w:ascii="IRNazanin" w:hAnsi="IRNazanin" w:eastAsia="IRNazanin"/>
          <w:color w:val="111111"/>
          <w:sz w:val="28"/>
          <w:sz w:val="28"/>
          <w:szCs w:val="28"/>
          <w:rtl w:val="true"/>
          <w:lang w:bidi="fa-IR"/>
        </w:rPr>
        <w:t>اما ابوحنیفه می گوید اگر مردم در آن نماز بخوانند یا این که میت خود را دفن کنند، از ملکیت شخص خارج می شود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دلیل ما آن است که اصل بر بقاء ملکیت است و زوال ملکیت نیازمند به دلیل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ابن ادریس </w:t>
      </w:r>
      <w:r>
        <w:rPr>
          <w:rStyle w:val="FootnoteAnchor"/>
          <w:rtl w:val="true"/>
        </w:rPr>
        <w:footnoteReference w:id="147"/>
      </w:r>
      <w:r>
        <w:rPr>
          <w:rFonts w:ascii="IRNazanin" w:hAnsi="IRNazanin" w:eastAsia="IRNazanin"/>
          <w:color w:val="111111"/>
          <w:sz w:val="28"/>
          <w:sz w:val="28"/>
          <w:szCs w:val="28"/>
          <w:rtl w:val="true"/>
          <w:lang w:bidi="fa-IR"/>
        </w:rPr>
        <w:t xml:space="preserve">و شهید اول </w:t>
      </w:r>
      <w:r>
        <w:rPr>
          <w:rStyle w:val="FootnoteAnchor"/>
          <w:rtl w:val="true"/>
        </w:rPr>
        <w:footnoteReference w:id="148"/>
      </w:r>
      <w:r>
        <w:rPr>
          <w:rFonts w:ascii="IRNazanin" w:hAnsi="IRNazanin" w:eastAsia="IRNazanin"/>
          <w:color w:val="111111"/>
          <w:sz w:val="28"/>
          <w:sz w:val="28"/>
          <w:szCs w:val="28"/>
          <w:rtl w:val="true"/>
          <w:lang w:bidi="fa-IR"/>
        </w:rPr>
        <w:t>نیز از جمله فقیهانی هستند که مسجد بودن یک مکان را وابسته به نیت واقف دانسته و خواندن صیغه را شرط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رحمه الله نیز لازم بودن خواندن صیغه وقف همراه با نیت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شرطیت صیغه را نمی پذیرد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رجال صاحب حدائق رحمه الله از زمره فقهایی است که خواندن صیغه وقف را شرط نمی داند و در این باره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نیست بر کسی که به اخب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وارد شده از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اطهار علیهم السلام در این باب که آنچه شیخ رحمه الله در مبسوط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نیت بنای مسجد نیز کافی است اقرب به مفاد روایات است و آنچه دیگران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وقف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خبری که حتی اشاره بدان داشته باشد هم دست نیافتم چه رسد به آن که دلالت بر این ادعا داشته باشد بلکه دلالت این روایات بر خلاف این مدعا، شبیه تر</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صاحب جواهر رحمه الله نیز در باب مسجد خواندن صیغه را لازم نمی داند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سید یزدی رحمه الله درباره تحقق موضوع مسجد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آن است برای مسجد شدن یک مکان صیغه وقف به قصد قربت خوانده شود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وَقَفْتُهُ قُرْبَةً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ادامه فتوای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و می نویسد اقوی کفایت ساختن مسجد به قصد مسجد بودن است همراه این که یک شخص با اذن بانی در آن مکان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مسجدیت بر آن مکان جاری می شود اگرچه صیغه نیز جاری نشده باشد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خمینی رحمه الله نیز در کتاب تحریر الوسیله دیدگاه مرحوم سید یزدی را برگزیده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آن است که در تحقق مسجدیت یک مکان، ساختن آن مکان به قصد مسجد بودن به همراه قصد قربت و نماز خواندن یک نفر در آن با اذن بانی کافی است</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محقق خویی رحمه الله </w:t>
      </w:r>
      <w:r>
        <w:rPr>
          <w:rStyle w:val="FootnoteAnchor"/>
          <w:rtl w:val="true"/>
        </w:rPr>
        <w:footnoteReference w:id="154"/>
      </w:r>
      <w:r>
        <w:rPr>
          <w:rFonts w:ascii="IRNazanin" w:hAnsi="IRNazanin" w:eastAsia="IRNazanin"/>
          <w:color w:val="111111"/>
          <w:sz w:val="28"/>
          <w:sz w:val="28"/>
          <w:szCs w:val="28"/>
          <w:rtl w:val="true"/>
          <w:lang w:bidi="fa-IR"/>
        </w:rPr>
        <w:t xml:space="preserve">، صاحب مهذب الاحکام رحمه الله </w:t>
      </w:r>
      <w:r>
        <w:rPr>
          <w:rStyle w:val="FootnoteAnchor"/>
          <w:rtl w:val="true"/>
        </w:rPr>
        <w:footnoteReference w:id="155"/>
      </w:r>
      <w:r>
        <w:rPr>
          <w:rFonts w:ascii="IRNazanin" w:hAnsi="IRNazanin" w:eastAsia="IRNazanin"/>
          <w:color w:val="111111"/>
          <w:sz w:val="28"/>
          <w:sz w:val="28"/>
          <w:szCs w:val="28"/>
          <w:rtl w:val="true"/>
          <w:lang w:bidi="fa-IR"/>
        </w:rPr>
        <w:t xml:space="preserve">و آیت الله فاضل رحمه الله </w:t>
      </w:r>
      <w:r>
        <w:rPr>
          <w:rStyle w:val="FootnoteAnchor"/>
          <w:rtl w:val="true"/>
        </w:rPr>
        <w:footnoteReference w:id="156"/>
      </w:r>
      <w:r>
        <w:rPr>
          <w:rFonts w:ascii="IRNazanin" w:hAnsi="IRNazanin" w:eastAsia="IRNazanin"/>
          <w:color w:val="111111"/>
          <w:sz w:val="28"/>
          <w:sz w:val="28"/>
          <w:szCs w:val="28"/>
          <w:rtl w:val="true"/>
          <w:lang w:bidi="fa-IR"/>
        </w:rPr>
        <w:t>نیز معاطات را در تحقق عنوان مسجد کافی می دانند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دوم شرط بودن خواندن صیغهفقیهانی همچون محقق حلی رحمه الله، </w:t>
      </w:r>
      <w:r>
        <w:rPr>
          <w:rStyle w:val="FootnoteAnchor"/>
          <w:rtl w:val="true"/>
        </w:rPr>
        <w:footnoteReference w:id="157"/>
      </w:r>
      <w:r>
        <w:rPr>
          <w:rFonts w:ascii="IRNazanin" w:hAnsi="IRNazanin" w:eastAsia="IRNazanin"/>
          <w:color w:val="111111"/>
          <w:sz w:val="28"/>
          <w:sz w:val="28"/>
          <w:szCs w:val="28"/>
          <w:rtl w:val="true"/>
          <w:lang w:bidi="fa-IR"/>
        </w:rPr>
        <w:t xml:space="preserve">علامه حلی رحمه الله در کتاب ارشاد الاذهان </w:t>
      </w:r>
      <w:r>
        <w:rPr>
          <w:rStyle w:val="FootnoteAnchor"/>
          <w:rtl w:val="true"/>
        </w:rPr>
        <w:footnoteReference w:id="158"/>
      </w:r>
      <w:r>
        <w:rPr>
          <w:rFonts w:ascii="IRNazanin" w:hAnsi="IRNazanin" w:eastAsia="IRNazanin"/>
          <w:color w:val="111111"/>
          <w:sz w:val="28"/>
          <w:sz w:val="28"/>
          <w:szCs w:val="28"/>
          <w:rtl w:val="true"/>
          <w:lang w:bidi="fa-IR"/>
        </w:rPr>
        <w:t xml:space="preserve">و تذکره الفقهاء </w:t>
      </w:r>
      <w:r>
        <w:rPr>
          <w:rStyle w:val="FootnoteAnchor"/>
          <w:rtl w:val="true"/>
        </w:rPr>
        <w:footnoteReference w:id="159"/>
      </w:r>
      <w:r>
        <w:rPr>
          <w:rFonts w:ascii="IRNazanin" w:hAnsi="IRNazanin" w:eastAsia="IRNazanin"/>
          <w:color w:val="111111"/>
          <w:sz w:val="28"/>
          <w:sz w:val="28"/>
          <w:szCs w:val="28"/>
          <w:rtl w:val="true"/>
          <w:lang w:bidi="fa-IR"/>
        </w:rPr>
        <w:t>تصریح به لزوم خواندن صیغه در تحقق مسجدیت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علامه در جای دیگری از کتاب تذکره ادعای اجماع علماء بر لزوم وقف به دو شرط می کند؛ یکی عقد و دیگری قبض</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دیگر فقیهانی که خواندن صیغه را شرط می دانند عبارتند از؛ محقق ثانی رحمه الله </w:t>
      </w:r>
      <w:r>
        <w:rPr>
          <w:rStyle w:val="FootnoteAnchor"/>
          <w:rtl w:val="true"/>
        </w:rPr>
        <w:footnoteReference w:id="161"/>
      </w:r>
      <w:r>
        <w:rPr>
          <w:rFonts w:ascii="IRNazanin" w:hAnsi="IRNazanin" w:eastAsia="IRNazanin"/>
          <w:color w:val="111111"/>
          <w:sz w:val="28"/>
          <w:sz w:val="28"/>
          <w:szCs w:val="28"/>
          <w:rtl w:val="true"/>
          <w:lang w:bidi="fa-IR"/>
        </w:rPr>
        <w:t xml:space="preserve">شهید ثانی رحمه الله در مسالک، </w:t>
      </w:r>
      <w:r>
        <w:rPr>
          <w:rStyle w:val="FootnoteAnchor"/>
          <w:rtl w:val="true"/>
        </w:rPr>
        <w:footnoteReference w:id="162"/>
      </w:r>
      <w:r>
        <w:rPr>
          <w:rFonts w:ascii="IRNazanin" w:hAnsi="IRNazanin" w:eastAsia="IRNazanin"/>
          <w:color w:val="111111"/>
          <w:sz w:val="28"/>
          <w:sz w:val="28"/>
          <w:szCs w:val="28"/>
          <w:rtl w:val="true"/>
          <w:lang w:bidi="fa-IR"/>
        </w:rPr>
        <w:t xml:space="preserve">فاضل هندی رحمه الله، </w:t>
      </w:r>
      <w:r>
        <w:rPr>
          <w:rStyle w:val="FootnoteAnchor"/>
          <w:rtl w:val="true"/>
        </w:rPr>
        <w:footnoteReference w:id="163"/>
      </w:r>
      <w:r>
        <w:rPr>
          <w:rFonts w:ascii="Amiri" w:hAnsi="Amiri" w:eastAsia="Amiri" w:cs="Amiri"/>
          <w:color w:val="111111"/>
          <w:sz w:val="28"/>
          <w:sz w:val="28"/>
          <w:szCs w:val="28"/>
          <w:rtl w:val="true"/>
          <w:lang w:bidi="ar-SA"/>
        </w:rPr>
        <w:t xml:space="preserve">صاحب مفتاح الكرامه رحمه الله، </w:t>
      </w:r>
      <w:r>
        <w:rPr>
          <w:rStyle w:val="FootnoteAnchor"/>
          <w:rtl w:val="true"/>
        </w:rPr>
        <w:footnoteReference w:id="164"/>
      </w:r>
      <w:r>
        <w:rPr>
          <w:rFonts w:ascii="IRNazanin" w:hAnsi="IRNazanin" w:eastAsia="IRNazanin"/>
          <w:color w:val="111111"/>
          <w:sz w:val="28"/>
          <w:sz w:val="28"/>
          <w:szCs w:val="28"/>
          <w:rtl w:val="true"/>
          <w:lang w:bidi="fa-IR"/>
        </w:rPr>
        <w:t>مرحوم آخوند خراسانی در کتاب الوقف</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نتیجه آن که به نظر می رسد روایاتی که قائلین هر دو دیدگاه به آن تمسک کرده اند در مقام بیان لزوم یا عدم لزوم خواندن صیغه لفظی نیستند تا بتوان از اطلاق آنها این استفاده را کرد که چون در این روایات اشاره ای به خواندن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 نشده پس خواندن صیغه لزومی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قابل توجه آن است که برای تحقق ماهیت مسجد نیازی به صیغه لفظی نیست بلکه در تعریف ماهیت مسجد بیان شد که مسجد عبارت است از اتخاذ مکانی برای پرستش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این تعریف بر مکانی که به نیت مسجد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 شود یا آنکه بنایی که ساخته شده را به عنوان مسجد قرار دهد، صدق می کند و برای تحقق مصادیق خارجی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شدن احکام شرعی مخصوص مسجد نیازمند به محقق شدن شروطی هستیم که شارع مقدس آن شروط را بیان کرده در وجود شرطی شک داشته و دلیلی بر لزوم آن شرط نداشتیم اجرای آن شرط لازم نیست؛ زیرا مفهوم مسجد صدق می کند و تنها شرایطی که دلیل بر لزوم آنها داریم لازم الاتباع هستند و لزوم خواندن صیغه یکی از شرایطی است که دلیلی بر لزوم جریان آن وجود ندارد که در نتیجه برای لزوم جریان صیغه نیازمند به دلیل هستیم نه برای عدم لزوم جریان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بندی مطالبدر تحقق مفهوم مسجد باید توجه داشت که مسجد دارای یک تعریف ماهوی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جنس و فصل است و یک شرایطی برای تحقق مصادیق خارجی خود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در تعریف مسجد ما به دنبال بیان دو چیز هستیم؛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مسجد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و فصل او عبارت است از حیوان ناطق که اجزای ماهوی آن حیوانیت و ناطقیت است، اما چشم داشتن و تکلم کردن و دیگر خصوصیات از مشخصات و معيّنات مصداق مفهوم و عنوان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 در دو جهت بحث کردیم؛ هم سخن از موضوع مسجد است و هم از مصداق آن که مصداق همیشه با لوازم و مشخصات و معینات همراه است یعنی در تحقق وجود یک شیء اشیاء دیگری وجود دارد که در ماهیت موضوع دخالت ندارد، اما بدون آن نیز وجودی نخواهد داشت به عنوان مثال؛ انسان ناشنوا و نابینا شنوا و بینا حتما انسان است اما در تحقق خارجی آن حتماً یا شنواست یا ناشنوا، یا بیناست و یا نابینا و همه اینها مصداق انسان هستند که مفهوم انسانیت را نیز به همراه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میان ماهیت و مفهوم مسجد و تحقق مصادیق و عنوان مسجد 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تفکیک کرد به این معنا که مفهوم مسجد یک حقیقت عرفیه ای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اتخاذ مکانی عمومی برای پرستش و عبادت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معنا هم قبل از اسلام و هم پس از اسلام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تعریف دارای یک جنس است که عبارت است از مکان و محل بودن و فصل آن عبارت است از قرار دادن برای عبادت خدا و عمومیت اما مصداق مسجد دارای ریز شروطی است که فقها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 مانند قبض،حاکم نماز خواندن یک نفر با اذن واقف عمومیت خواندن صیغه قصد قربت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شروط وقف و معینات تحقق عنوان مسجد در خارج است و ارتباطی به مفهوم و ماهیت مسجد و اجزای ماهوی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شروطی که برای تحقق عنوان مسجد در خارج در کلمات فقیهان ذکر شده عبارت بودند 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قبول که این شرط با قبض حاکم شرع یا نماز خواندن یک نفر با اذن بانی صورت می 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صیغه لفظی برای وقف کردن مسجد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وقف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در میان چند شرطی که در کلمات فقیهان ذکر شده است شروطی از قبیل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خواندن یک نفر به اذن بانی، از احکام مسجد است نه این که شرط تحقق مصداق خارجی مسجد باشد یعنی اگر مسجدی ساخته،شد یکی از احکام آن این است که یک نفر در آن نماز بخواند زیرا وقف مسجد، فک ملک است نه تملیک و قبول در مورد آن بی معناست مانند ارث که با فوت شخص خود به خود و به صورت قهری، مال به ملکیت وراث در می آید و پس از آن بر این مالی که به ملک وارثین درآمده احکامی بار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شخصی ملک خود را به عنوان مسجد برای همه مسلمانان قرار دهد، عنوان مسجد در خارج نیز محقق شده و بر این عنوان برخی از احکام از جمله نماز خواندن یک نفر بار می شود یعنی علاوه بر اینکه مفهوم مسجد محقق شده پیش از نماز خواندن،مصلی مصداق خارجی مسجد نیز تحقق پیدا کرده است و 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نجس کردن آن،زمین حرام است و دیگر احکام مسجد نیز بار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آنکه اگر،شخصی نیت کند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آن زندگی می کرده مسجد برای همه مسلمین باشد و فک ملک نسبت به خانه اش داشت، با این نیت مسجد بودن محقق شده و نمی توان آن مکان را نجس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باید توجه داشت که؛ اولاً لازم نیست مسجد، دارای ساختمان باشد و صرف اینکه شخصی زمینی را برای عبادت همه مسلمانان قرار داده و فک ملک کرد مسجد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اگر ساختمانی در گذشته برای مصرف دیگری غیر از مسجد ساخته شده باشد و صاحب آن بخواهد آن را به مسجد تبدیل کند با نیت کردن و فک ملک بانی آن مکان مسجد به حساب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اینکه نیت بانی و واقف مشخص شود باید به یک صورت نیت خود را ابراز کند؛ یا به صورت گفتار یا فعل و یا نوشتار که معمولاً به صورت گفتار یا نوشتار انجام می شود و اگر کسی معاطاه نیز انجام دهد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آن که در تحقق ماهیت،مسجد هیچ یک از شروطی که در کتب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خواندن صیغه قصد قربت قبول ذکر شده است شرط نمی باشد، بلکه همین که مکانی به عنوان محلی عمومی برای پرستش و عبادت خداوند برای مسلمانان قرار داده شود، صدق مفهوم مسجد بر آن مکان می شود؛ زیرا ماهیت مسجد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حقیقت عرفیه است مانند صلاه که شارع مقدس مفهوم آن را در شریعت تضییق کرده است و برخی از شروطی که در کتب فقها ذکر شده است برای تحقق مصادیق مسجد در خارج می باشد و همین که شخصی مکانی را به نیت مسجد بودن برای عموم مردم وقف،کرد دارای ماهیت مسجد می شود</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در چیستی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مسئله تحقق عنوان مسجد میان فقیهان اهل سنت نیز اختلاف است؛ چنان چه در ذیل به آن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شافعیفقیهان شافعی بر این عقیده اند که هرگاه شخصی مسجدی بنا کرد و مردم در آن نماز خواندند یا به مسلمانان اجازه داد که در آن نماز بخوانند و صیغه وقف را این گونه وقفته مسجداً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 تلفظ کرد به این صورت عنوان مسجد تحقق پیدا می کند و وقف بودن آن ثابت می شود و اگر چنان که صیغه وقف را جاری نکرد، عنوان مسجد محقق نشده و زمین از ملکیت او خارج نشده است؛ زیرا وقف شدن مسجد، ازاله ملک به وجه تقرب است و این حقیقت بدون تلفظ و اجرای صیغه وقف امکان پذیر نیست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حنفیابوحنیفه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مسجدی را بنا،کرد آن بنا بر ملکیت او باقی می ماند و از ملکیت او خارج نمی شود و عنوان مسجد وقتی محقق می شود که آن را از ملک خود افراز کند و راه جداگانه ای برای مسجد قرار دهد و به مردم اجازه دهد تا در آن نماز بخواند ابوحنیفه و شاگردش محمد بن الحسن شیبانی معتقدند به این که ولو یک نفر هم در آن نماز بخواند عنوان مسجد محقق و آن بنا از ملک او خارج</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و این عقد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مالک حق رجوع در آن را ندارد و نمی تواند بفروشد یا هبه و صلح کند و همچنین به ارث هم گذاشته نمی شود؛ زیرا مسجد ملک خالص خدای متعال می باشد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مالکیفقهای مالکی بر این باورند که اگر شخصی مسجدی ساخت و اجازه داد مسلمانان در آن نماز بخوانند و هرگز از ورود نمازگزاران ممانعت نکرد و هرگاه مسلمانان بخواهند نماز بخوانند راه را برای آنان باز گذاشت در این صورت وقف صحیح و لازم است و عنوان مسجد محقق شده است اما اگر چنان که از ورود مردم به مسجد ممانعت به عمل آورد و نگذارد کسی در آن نماز بخواند وقف باطل و عنوان مسجد محقق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عبد السميع آبی از هری جواهر الاكليل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حاشية الدسوقى والشرح الكبير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حنبلیفقهای حنبلی بر این باورند که اگر کسی مسجدی بنا کرد و به مردم برای نماز خواندن اذن عام داد این وقف صحیح مؤبد و لازم است و دیگر حق فروش هبه و به ارث گذاشتن آن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محمد بن ضويان منار السبيل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مسجد به یک قسمت از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اشارهبرخی از فقیهان امامیه معتقدند که جایز است فقط زمین یک ساختمان مسجد باشد، نه خود ساختمان و نه سقف و پشت بام و طبقات بالای آن و همچنین جایز است فقط پشت بام ساختمان مسجد،باشد نه زمین و طبقات پایین یا فقط بعضی از اتاقها مسجد قرار داده شود نه همهٔ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بستگی دارد به نیت قصد واقف و بانی مسجد؛ بدین معنی که گاهی واقف مجموعه ساختمان شامل همه طبقات پشت،بام دیوارها و زمین را وقف می کند و گاهی بعضی از قسمتهای آن را مانند طبقه اول یا وسط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می کند و سایر طبقات وقف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 گوید اگر طبقه بالای ساختمان را مسجد قرار دهد بدون این که طبقات پایین و زمین وقف باشد یا برعکس طبقه پایین یا طبقه وسطی را وقف مسجد قرار دهد این وقف صحیح و نافذ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اطلاق کلمات شمار دیگری از فقیهان نیز اقتضای این امر را دارد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سید یزدی در عروه و همۀ فقهایی که بر آن تعلیقه نوشته اند بر این مسئله تصریح کرده اند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ادلهمهمترین دلایلی که فقها برای اثبات این مسئله به آنها تمسک کرده اند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 تمام طبقات این ساختمان، زمین، پشت بام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ملکیت واقف قرار دارند و مملوک او می باشند و بر اساس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 مالک بر مالش در همه ابعاد آن تسلط دارد همان طوری که می تواند مجموع آن را وقف کند، بعضی از قسمتهای آن را نیز می تواند وقف کند، بدون این که دیگر قسمتها وقف شود؛ زیرا هر قسمتی به طور مستقل و جدای از دیگر قسمتها صلاحیت انتقال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واقف هر قسمتی را وقف کند صحیح و جایز است و این حکم مطابق قاعده می باشد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عموم ادله وقف شامل این نحوه از وقف می شود، به خصوص مكتوبه امام حسن عسكرى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على حسب ما يقفها أهلها إن شاء الله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كه به طور واضح و آشکار بر آن دلالت می کند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مالكي</w:t>
      </w:r>
      <w:r>
        <w:rPr>
          <w:rFonts w:ascii="IRNazanin" w:hAnsi="IRNazanin" w:eastAsia="IRNazanin"/>
          <w:color w:val="111111"/>
          <w:sz w:val="28"/>
          <w:sz w:val="28"/>
          <w:szCs w:val="28"/>
          <w:rtl w:val="true"/>
          <w:lang w:bidi="fa-IR"/>
        </w:rPr>
        <w:t>فقیهان مالکی معتقدند که جایز است طبقه فوقانی را مسجد قرار داد و طبقه پایین مسجد نباشد بلکه منزل مسکونی باشد و اما بر عکس جایز نیست؛ یعنی این که طبقه پایین مسجد باشد و طبقه بالا منزل مسکونی قرار داده شود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حنبلیابن قدامه می گوید هرگاه طبقه بالای ساختمان مسجد قرار داده شود ولی طبقه پایین مسجد نباشد یا برعکس طبقه پایین مسجد باشد طبقه بالا مسجد نباشد، در هر دو صورت وقف صحیح و جایز است به دلیل این که فروختن یک قسمت از ساختمان نه همۀ آن جایز است و 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بنابراین جایز است یک قسمت از ساختمان وقف باشد نه همه قسمتها</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شافعیجمعی از فقهای شافعی می گویند جایز است طبقه بالای ساختمان برای مسجد وقف شود و طبقه پایین وقف نباشد و همچنین جایز است طبقه پایین وقف شود ولی طبقه بالا وقف نباشد زیرا آنها دو چیزی مستقل و جدای از هم می باشند چنان چه وقف هر دو با هم جایز است وقف یکی بدون دیگری هم جایز است</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حنفیبرخی از فقیهان حنفی معتقدند که هرگاه در زیر ساختمان مسجد، سرداب یا فوق آن خانه مسکونی ساخته شود جایز است فقط مسجد به طور ابد مسجد باقی خواهد بود، اما طبقه بالا و سرداب مسجد نیست و مالک می تواند آن را بفروشد و یا بعد از مرگ به ارث بگذارد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مهندسی و معماری ساختمان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در عصرپیامبر اکرم صلی الله علیه و آلهفصل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ساختن مسجدفصل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ساختمان مسجدفصل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مسجدفصل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مسجدفصل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پیراستگی مسجد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در عصر پیامبر صلی الله علیه و آلهعبدالله بن سنان </w:t>
      </w:r>
      <w:r>
        <w:rPr>
          <w:rStyle w:val="FootnoteAnchor"/>
          <w:rtl w:val="true"/>
        </w:rPr>
        <w:footnoteReference w:id="178"/>
      </w:r>
      <w:r>
        <w:rPr>
          <w:rFonts w:ascii="IRNazanin" w:hAnsi="IRNazanin" w:eastAsia="IRNazanin"/>
          <w:color w:val="111111"/>
          <w:sz w:val="28"/>
          <w:sz w:val="28"/>
          <w:szCs w:val="28"/>
          <w:rtl w:val="true"/>
          <w:lang w:bidi="fa-IR"/>
        </w:rPr>
        <w:t>در روایت صحیحی که مشایخ ثلاثه آن را نقل کرده اند از امام صادق علیه السلام نقل می کند که شنیدم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مسجدش را به صورت یک،خشت یک خشت، بنا کردند تا اینکه بعدها که تعداد مسلمانان افزایش یافت اصحاب به پیامبر خدا صلی الله علیه و آله گفتند که اگر دستور دهید مسجد توسعه داده شود و ایشان نیز با این کار موافقت کردند و ساختمان مسجد را توسعه دادند و دیوار آن را با یک خشت و نصف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گذشت زمان باز هم تعداد مسلمانان بیشتر افزایش یافت و اصحاب تقاضا کردند که مسجد باز هم توسعه یابد و آن حضرت موافقت کردند و مسجد را توسعه دادند و آن را با دو خشت مخالف هم می ساختند تا اینکه وقتی در فصل،تابستان گرمای یثرب شدت یافت اصحاب درخواست کردند که برای مسجد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سایبان ساخته شود و با این درخواست نیز موافقت و امر شد که سایبانی بر آن ساخته شود از این رو، ستونهایی از درخت خرما نصب کردند و تیرهای سقف را روی ستون آن قرار دادند </w:t>
      </w:r>
      <w:r>
        <w:rPr>
          <w:rStyle w:val="FootnoteAnchor"/>
          <w:rtl w:val="true"/>
        </w:rPr>
        <w:footnoteReference w:id="179"/>
      </w:r>
      <w:r>
        <w:rPr>
          <w:rFonts w:ascii="IRNazanin" w:hAnsi="IRNazanin" w:eastAsia="IRNazanin"/>
          <w:color w:val="111111"/>
          <w:sz w:val="28"/>
          <w:sz w:val="28"/>
          <w:szCs w:val="28"/>
          <w:rtl w:val="true"/>
          <w:lang w:bidi="fa-IR"/>
        </w:rPr>
        <w:t>و بدین ترتیب با شاخ و برگ خرما سایبانی روی سقف مسجد ساخته شد تا اینکه فصل باران فرا رسید سقف مسجد بر سر مسلمانان چکه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اصحاب عرض کردند یا رسول الله اگر دستور بدهید سقف مسجد با گل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اینک سایبانی باشد مانند سایبان موسی علیه السلام </w:t>
      </w:r>
      <w:r>
        <w:rPr>
          <w:rStyle w:val="FootnoteAnchor"/>
          <w:rtl w:val="true"/>
        </w:rPr>
        <w:footnoteReference w:id="180"/>
      </w:r>
      <w:r>
        <w:rPr>
          <w:rFonts w:ascii="IRNazanin" w:hAnsi="IRNazanin" w:eastAsia="IRNazanin"/>
          <w:color w:val="111111"/>
          <w:sz w:val="28"/>
          <w:sz w:val="28"/>
          <w:szCs w:val="28"/>
          <w:rtl w:val="true"/>
          <w:lang w:bidi="fa-IR"/>
        </w:rPr>
        <w:t>دیوار این مسجد پیش از اینکه سایبانی بر آن ساخته شود به مقدار قامت یک انسان بود و هرگاه سایه دیوار به مقدار یک ذراع می شد پیامبر صلی الله علیه و آله به نماز ظهر اقامه می کردند و هرگاه دو برابر ذراع می شد نماز عصر را می خواندند و بر طبق منابع تاریخی، مسجد النبی تا زمانی که آن حضرت رحلت کردند به همان وضع ساده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بعد از نقل روایت صحیحه در زمینه ساختن مسجد، به بررسی نظام مهندسی و معماری ساختمان مساجد از دیدگاه منابع فریقین و در ضمن چند فصل می پردازیم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ساختن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 در فضیلت ساختن مسجدمبحث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حکم استحباب ساختن مسجدمبحث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امامیه در فضیلت ساختن مساجدشیخ طوسی در نهایه می گوید ساختن مسجد و عمارت آن فضیلت بزرگ و ثواب فراوانی دارد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قاضی ابن براج نیز به همین دیدگاه فتوا داده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سید محمد بن علی عاملی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ساختن مسجد و فضیلت بنای آن از ضروریات دین و مورد اتفاق مسلمین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فاضل اصفهانی نیز ادعای اجماع و ضرورت کرده است </w:t>
      </w:r>
      <w:r>
        <w:rPr>
          <w:rStyle w:val="FootnoteAnchor"/>
          <w:rtl w:val="true"/>
        </w:rPr>
        <w:footnoteReference w:id="184"/>
      </w:r>
      <w:r>
        <w:rPr>
          <w:rFonts w:ascii="IRNazanin" w:hAnsi="IRNazanin" w:eastAsia="IRNazanin"/>
          <w:color w:val="111111"/>
          <w:sz w:val="28"/>
          <w:sz w:val="28"/>
          <w:szCs w:val="28"/>
          <w:rtl w:val="true"/>
          <w:lang w:bidi="fa-IR"/>
        </w:rPr>
        <w:t>محقق قمی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ساختن مسجد از بدیهیات دین می باشد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شهید در ذکری این مسأله را اجماعی می داند </w:t>
      </w:r>
      <w:r>
        <w:rPr>
          <w:rStyle w:val="FootnoteAnchor"/>
          <w:rtl w:val="true"/>
        </w:rPr>
        <w:footnoteReference w:id="186"/>
      </w:r>
      <w:r>
        <w:rPr>
          <w:rFonts w:ascii="IRNazanin" w:hAnsi="IRNazanin" w:eastAsia="IRNazanin"/>
          <w:color w:val="111111"/>
          <w:sz w:val="28"/>
          <w:sz w:val="28"/>
          <w:szCs w:val="28"/>
          <w:rtl w:val="true"/>
          <w:lang w:bidi="fa-IR"/>
        </w:rPr>
        <w:t xml:space="preserve">و سید طباطبایی در ریاض می گوید ساختن مسجد و رفت و آمد در آن مجمع علیه بین مسلمین بلکه از ضروریات دین و در قرآن کریم </w:t>
      </w:r>
      <w:r>
        <w:rPr>
          <w:rStyle w:val="FootnoteAnchor"/>
          <w:rtl w:val="true"/>
        </w:rPr>
        <w:footnoteReference w:id="187"/>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شیخ محمد حسن نجفی در جواهر نیز به این حکم تصریح می کند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سید یزدی در عروه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مستحب و در آن اجر بزرگی است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بحث آن که ساختن مسجد و بنای آن مستحب مؤکد بوده و دارای اجر بزرگ و ثواب فراوان است، </w:t>
      </w:r>
      <w:r>
        <w:rPr>
          <w:rStyle w:val="FootnoteAnchor"/>
          <w:rtl w:val="true"/>
        </w:rPr>
        <w:footnoteReference w:id="191"/>
      </w:r>
      <w:r>
        <w:rPr>
          <w:rFonts w:ascii="IRNazanin" w:hAnsi="IRNazanin" w:eastAsia="IRNazanin"/>
          <w:color w:val="111111"/>
          <w:sz w:val="28"/>
          <w:sz w:val="28"/>
          <w:szCs w:val="28"/>
          <w:rtl w:val="true"/>
          <w:lang w:bidi="fa-IR"/>
        </w:rPr>
        <w:t>البته شیخ حر عاملی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 بالله خراب شود ساختن آن واجب است اما ساختن سایر مساجد مستحب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جمعی از فقهای معاصر نیز به استحباب بنای مساجد فتوا داده اند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حکم استحباب ساختن مسجدساختن مساجد از نشانه های ایمان به خدا شمرده شده است چنان که خداوند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يَعْمُرُ مَسَاجِدَ اللَّهِ مَنْ آمَنَ بِاللَّهِ وَالْيَوْمِ الْآخِرِ وَأَقَامَ الصَّلَاةَ وَآتَى الزَّكَاةَ وَلَمْ يَخْشَ إِلَّا اللَّهَ فَعَسَى أُولَئِكَ أَنْ يَكُونُوا مِنَ الْمُهْتَدِينَ؛</w:t>
      </w:r>
      <w:r>
        <w:rPr>
          <w:rStyle w:val="FootnoteAnchor"/>
          <w:rtl w:val="true"/>
        </w:rPr>
        <w:footnoteReference w:id="194"/>
      </w:r>
      <w:r>
        <w:rPr>
          <w:rFonts w:ascii="IRNazanin" w:hAnsi="IRNazanin" w:eastAsia="IRNazanin"/>
          <w:color w:val="111111"/>
          <w:sz w:val="28"/>
          <w:sz w:val="28"/>
          <w:szCs w:val="28"/>
          <w:rtl w:val="true"/>
          <w:lang w:bidi="fa-IR"/>
        </w:rPr>
        <w:t>یعنی مساجد الهی را فقط کسانی آباد می کنند که به خداوند و روز واپسین ایمان آورده و نماز برپا داشته و زکات پرداخته اند و از هیچ کسی جز خداوند نترسیده اند و چه بسا اینان رهیافتگانند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ساختن مسجد روایات بسیار و مستفیضه از پیامبر خدا صلی الله علیه و آله و امامان معصوم علیهم السلام وارد شده است که در زیر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مسجدی بسازد خداوند برای او در بهشت خانه ای می سازد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مسجدی به اندازه زمینی که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سنگ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جوجه گذاشتن صاف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کند خداوند برای او خانه ای در بهشت بنا می 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شاه از پدرانش علیه السلام روایت می کند که هرگاه خداوند بخواهد اهل زمین را عذاب کند می گوید اگر نبودند آن کسانی که به خاطر من یکدیگر را دوست می دارند و مساجد مرا آباد می کنند، و در سحرها طلب آمرزش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عذابم را بر مردم نازل می کردم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گوید هر که در دنیا مسجدی بسازد، خداوند به هر وجب آن به اندازه مسیر چهل هزار سال شهر از طلا، نقره در یاقوت، زمرد، زبرجد و مروارید عطا می کند و در آن ثواب فراوان مقدور شده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آیات، روایات، اجماع و فتاوای فقیهان شیعه در ساختن مسجد، اجر بزرگ و ثواب فراوان نهفته است و اصل بنای مسجد، امری مستحب مؤکد می باشد</w:t>
      </w:r>
      <w:r>
        <w:rPr>
          <w:rFonts w:eastAsia="IRNazanin" w:cs="IRNazanin"/>
          <w:color w:val="111111"/>
          <w:sz w:val="28"/>
          <w:szCs w:val="28"/>
          <w:rtl w:val="true"/>
          <w:lang w:bidi="fa-IR"/>
        </w:rPr>
        <w:t xml:space="preserve">. </w:t>
      </w:r>
      <w:bookmarkStart w:id="123" w:name="pg19115_195367"/>
    </w:p>
    <w:p>
      <w:pPr>
        <w:pStyle w:val="Heading4"/>
        <w:numPr>
          <w:ilvl w:val="3"/>
          <w:numId w:val="1"/>
        </w:numPr>
        <w:rPr/>
      </w:pPr>
      <w:bookmarkStart w:id="124" w:name="__RefHeading___Toc15202266_1280447820"/>
      <w:bookmarkStart w:id="125" w:name="_Toc44"/>
      <w:bookmarkEnd w:id="123"/>
      <w:bookmarkEnd w:id="124"/>
      <w:r>
        <w:rPr>
          <w:rtl w:val="true"/>
        </w:rPr>
        <w:t>مبحث سوم</w:t>
      </w:r>
      <w:r>
        <w:rPr>
          <w:rtl w:val="true"/>
        </w:rPr>
        <w:t xml:space="preserve">: </w:t>
      </w:r>
      <w:r>
        <w:rPr>
          <w:rtl w:val="true"/>
        </w:rPr>
        <w:t>دیدگاه اهل سنت</w:t>
      </w:r>
      <w:bookmarkEnd w:id="125"/>
    </w:p>
    <w:p>
      <w:pPr>
        <w:pStyle w:val="Heading5"/>
        <w:numPr>
          <w:ilvl w:val="4"/>
          <w:numId w:val="1"/>
        </w:numPr>
        <w:rPr/>
      </w:pPr>
      <w:bookmarkStart w:id="126" w:name="__RefHeading___Toc15202268_1280447820"/>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فقهای اهل سنت در خصوص ساختن مسجد فتاوای متفاوتی دارند که در زیر به مهم ترین آنها اشاره می شود</w:t>
      </w:r>
      <w:r>
        <w:rPr>
          <w:rFonts w:eastAsia="IRNazanin" w:cs="IRNazanin"/>
          <w:color w:val="111111"/>
          <w:sz w:val="28"/>
          <w:szCs w:val="28"/>
          <w:rtl w:val="true"/>
          <w:lang w:bidi="fa-IR"/>
        </w:rPr>
        <w:t>:</w:t>
      </w:r>
    </w:p>
    <w:p>
      <w:pPr>
        <w:pStyle w:val="Heading5"/>
        <w:numPr>
          <w:ilvl w:val="4"/>
          <w:numId w:val="1"/>
        </w:numPr>
        <w:rPr/>
      </w:pPr>
      <w:bookmarkStart w:id="128" w:name="__RefHeading___Toc15202270_1280447820"/>
      <w:bookmarkStart w:id="129" w:name="_Toc46"/>
      <w:bookmarkEnd w:id="128"/>
      <w:r>
        <w:rPr/>
        <w:t>1</w:t>
      </w:r>
      <w:r>
        <w:rPr>
          <w:rtl w:val="true"/>
        </w:rPr>
        <w:t xml:space="preserve">. </w:t>
      </w:r>
      <w:r>
        <w:rPr>
          <w:rtl w:val="true"/>
        </w:rPr>
        <w:t>مذهب مالکی</w:t>
      </w:r>
      <w:bookmarkEnd w:id="129"/>
    </w:p>
    <w:p>
      <w:pPr>
        <w:pStyle w:val="BookText"/>
        <w:rPr/>
      </w:pPr>
      <w:r>
        <w:rPr>
          <w:rFonts w:ascii="IRNazanin" w:hAnsi="IRNazanin" w:eastAsia="IRNazanin"/>
          <w:color w:val="111111"/>
          <w:sz w:val="28"/>
          <w:sz w:val="28"/>
          <w:szCs w:val="28"/>
          <w:rtl w:val="true"/>
          <w:lang w:bidi="fa-IR"/>
        </w:rPr>
        <w:t>فقهای مالکی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در هر شهری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شهر وسعت پیدا کرد و بزرگ شد ساختن مسجد دوّم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لخمی فقیه مالکی می گوید ساختن مسجد برای اقامه نماز جماعت واجب است و در محله از مسجد جامع شهر ساختن مسجد دیگر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ساختن مسجد برای اقامه جمعه و جماعت مانند حکم اقامه نماز جمعه و نماز جماعت واجب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ساختن مسجد از وظائف امام و بر او واجب است که در هر شهری، مسجدی بنا کند و اگر یک مسجد برای اقامه جمعه و جماعت کفایت می کند انجام وظیفه شده است وگرنه ساختن مسجد دوم هم مستحب است</w:t>
      </w:r>
      <w:r>
        <w:rPr>
          <w:rFonts w:eastAsia="IRNazanin" w:cs="IRNazanin"/>
          <w:color w:val="111111"/>
          <w:sz w:val="28"/>
          <w:szCs w:val="28"/>
          <w:rtl w:val="true"/>
          <w:lang w:bidi="fa-IR"/>
        </w:rPr>
        <w:t xml:space="preserve">. </w:t>
      </w:r>
      <w:r>
        <w:rPr>
          <w:rStyle w:val="FootnoteAnchor"/>
          <w:rtl w:val="true"/>
        </w:rPr>
        <w:footnoteReference w:id="200"/>
      </w:r>
    </w:p>
    <w:p>
      <w:pPr>
        <w:pStyle w:val="Heading5"/>
        <w:numPr>
          <w:ilvl w:val="4"/>
          <w:numId w:val="1"/>
        </w:numPr>
        <w:rPr/>
      </w:pPr>
      <w:bookmarkStart w:id="130" w:name="__RefHeading___Toc15202272_1280447820"/>
      <w:bookmarkStart w:id="131" w:name="_Toc47"/>
      <w:bookmarkEnd w:id="130"/>
      <w:r>
        <w:rPr/>
        <w:t>2</w:t>
      </w:r>
      <w:r>
        <w:rPr>
          <w:rtl w:val="true"/>
        </w:rPr>
        <w:t xml:space="preserve">. </w:t>
      </w:r>
      <w:r>
        <w:rPr>
          <w:rtl w:val="true"/>
        </w:rPr>
        <w:t>مذهب شافعی</w:t>
      </w:r>
      <w:bookmarkEnd w:id="131"/>
    </w:p>
    <w:p>
      <w:pPr>
        <w:pStyle w:val="BookText"/>
        <w:rPr/>
      </w:pPr>
      <w:r>
        <w:rPr>
          <w:rFonts w:ascii="IRNazanin" w:hAnsi="IRNazanin" w:eastAsia="IRNazanin"/>
          <w:color w:val="111111"/>
          <w:sz w:val="28"/>
          <w:sz w:val="28"/>
          <w:szCs w:val="28"/>
          <w:rtl w:val="true"/>
          <w:lang w:bidi="fa-IR"/>
        </w:rPr>
        <w:t xml:space="preserve">محیی الدین یحیی بن شرف نووی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مستحب می باشد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شرح کلام او می گوید ظاهر امر این است که نووی به </w:t>
      </w:r>
      <w:bookmarkStart w:id="132" w:name="pg19115_195368"/>
    </w:p>
    <w:p>
      <w:pPr>
        <w:pStyle w:val="BookText"/>
        <w:rPr/>
      </w:pPr>
      <w:bookmarkEnd w:id="132"/>
      <w:r>
        <w:rPr>
          <w:rFonts w:ascii="IRNazanin" w:hAnsi="IRNazanin" w:eastAsia="IRNazanin"/>
          <w:color w:val="111111"/>
          <w:sz w:val="28"/>
          <w:sz w:val="28"/>
          <w:szCs w:val="28"/>
          <w:rtl w:val="true"/>
          <w:lang w:bidi="fa-IR"/>
        </w:rPr>
        <w:t>افراد عادی جامعه نظر دارد اما بر امام و حاکم مسلمین واجب است که از بیت المال مسجد بسازند</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133" w:name="__RefHeading___Toc15202274_1280447820"/>
      <w:bookmarkStart w:id="134" w:name="_Toc48"/>
      <w:bookmarkEnd w:id="133"/>
      <w:r>
        <w:rPr/>
        <w:t>3</w:t>
      </w:r>
      <w:r>
        <w:rPr>
          <w:rtl w:val="true"/>
        </w:rPr>
        <w:t xml:space="preserve">. </w:t>
      </w:r>
      <w:r>
        <w:rPr>
          <w:rtl w:val="true"/>
        </w:rPr>
        <w:t>مذهب حنبلی</w:t>
      </w:r>
      <w:bookmarkEnd w:id="134"/>
    </w:p>
    <w:p>
      <w:pPr>
        <w:pStyle w:val="BookText"/>
        <w:rPr/>
      </w:pPr>
      <w:r>
        <w:rPr>
          <w:rFonts w:ascii="IRNazanin" w:hAnsi="IRNazanin" w:eastAsia="IRNazanin"/>
          <w:color w:val="111111"/>
          <w:sz w:val="28"/>
          <w:sz w:val="28"/>
          <w:szCs w:val="28"/>
          <w:rtl w:val="true"/>
          <w:lang w:bidi="fa-IR"/>
        </w:rPr>
        <w:t>فقهای حنبلی نیز معتقدند که، ساختن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مفلح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مساجد و مواظبت و نگهداری از ساختمان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تمیم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مندوب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وجیه الدین ابن منجی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ساختن مسجد مستحب و احادیث زیادی وارد شده که به آن ترغیب شده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از فقهای حنبلی معتقدند که ساختن مساجد و جوامع از واجبات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ابوالنجا حجاوی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مساجد در شهرها روستاها و محله ها، به مقدار احتیاج مردم واجب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بهوتی حنبلی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مساجد در بلاد و قریه ها و محله ها به اندازه نیاز مسلمین واجب کفائی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ابن منجی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مساجد و جوامع از واجبات کفایی است</w:t>
      </w:r>
      <w:r>
        <w:rPr>
          <w:rFonts w:eastAsia="IRNazanin" w:cs="IRNazanin"/>
          <w:color w:val="111111"/>
          <w:sz w:val="28"/>
          <w:szCs w:val="28"/>
          <w:rtl w:val="true"/>
          <w:lang w:bidi="fa-IR"/>
        </w:rPr>
        <w:t xml:space="preserve">». </w:t>
      </w:r>
      <w:r>
        <w:rPr>
          <w:rStyle w:val="FootnoteAnchor"/>
          <w:rtl w:val="true"/>
        </w:rPr>
        <w:footnoteReference w:id="206"/>
      </w:r>
      <w:bookmarkStart w:id="135" w:name="pg19115_195369"/>
    </w:p>
    <w:p>
      <w:pPr>
        <w:pStyle w:val="Heading3"/>
        <w:numPr>
          <w:ilvl w:val="2"/>
          <w:numId w:val="1"/>
        </w:numPr>
        <w:rPr/>
      </w:pPr>
      <w:bookmarkStart w:id="136" w:name="__RefHeading___Toc15202276_1280447820"/>
      <w:bookmarkStart w:id="137" w:name="_Toc49"/>
      <w:bookmarkEnd w:id="135"/>
      <w:bookmarkEnd w:id="136"/>
      <w:r>
        <w:rPr>
          <w:rtl w:val="true"/>
        </w:rPr>
        <w:t>فصل دوم</w:t>
      </w:r>
      <w:r>
        <w:rPr>
          <w:rtl w:val="true"/>
        </w:rPr>
        <w:t xml:space="preserve">: </w:t>
      </w:r>
      <w:r>
        <w:rPr>
          <w:rtl w:val="true"/>
        </w:rPr>
        <w:t>کیفیت ساختمان مسجد</w:t>
      </w:r>
      <w:bookmarkEnd w:id="137"/>
    </w:p>
    <w:p>
      <w:pPr>
        <w:pStyle w:val="Heading4"/>
        <w:numPr>
          <w:ilvl w:val="3"/>
          <w:numId w:val="1"/>
        </w:numPr>
        <w:rPr/>
      </w:pPr>
      <w:bookmarkStart w:id="138" w:name="__RefHeading___Toc15202278_1280447820"/>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طول و عرض مسجد</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ساختمان مسجد</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کنگره برای مسجد</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منبر در مسجد</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مسجد</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مسجد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مسجد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9115_195371"/>
      <w:bookmarkStart w:id="141" w:name="pg19115_195371"/>
      <w:bookmarkEnd w:id="141"/>
    </w:p>
    <w:p>
      <w:pPr>
        <w:pStyle w:val="BookText"/>
        <w:rPr/>
      </w:pPr>
      <w:bookmarkStart w:id="142" w:name="pg19115_195371"/>
      <w:bookmarkEnd w:id="142"/>
      <w:r>
        <w:rPr>
          <w:rFonts w:ascii="IRNazanin" w:hAnsi="IRNazanin" w:eastAsia="IRNazanin"/>
          <w:color w:val="111111"/>
          <w:sz w:val="28"/>
          <w:sz w:val="28"/>
          <w:szCs w:val="28"/>
          <w:rtl w:val="true"/>
          <w:lang w:bidi="fa-IR"/>
        </w:rPr>
        <w:t>ساختن و بنا کردن،مسجد عبادت و از با فضیلت ترین راههای تقرب و نزدیک شدن به پیشگاه خداوند متعال است؛ چرا که این مکان جایگاه عبادت و خضوع در برابر حق تعالی می باشد بدین جهت شایسته است که کیفیت ساختمان مساجد و سبک معماری آنها طوری طراحی شود که با برنامه های عبادی مسلمانان مناسب و با معتقدات و شئون اسلامی آنان سازگار باشد و نیازهای روحی و معنوی آنان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بنای مساجد و کیفیت ساختمان آنها بایسته است که نکات مهمی مورد توجه قرار گیرد، که در زیر به مهمترین آنها اشاره می شود</w:t>
      </w:r>
      <w:r>
        <w:rPr>
          <w:rFonts w:eastAsia="IRNazanin" w:cs="IRNazanin"/>
          <w:color w:val="111111"/>
          <w:sz w:val="28"/>
          <w:szCs w:val="28"/>
          <w:rtl w:val="true"/>
          <w:lang w:bidi="fa-IR"/>
        </w:rPr>
        <w:t>:</w:t>
      </w:r>
    </w:p>
    <w:p>
      <w:pPr>
        <w:pStyle w:val="Heading4"/>
        <w:numPr>
          <w:ilvl w:val="3"/>
          <w:numId w:val="1"/>
        </w:numPr>
        <w:rPr/>
      </w:pPr>
      <w:bookmarkStart w:id="143" w:name="__RefHeading___Toc15202280_1280447820"/>
      <w:bookmarkStart w:id="144" w:name="_Toc51"/>
      <w:bookmarkEnd w:id="143"/>
      <w:r>
        <w:rPr>
          <w:rtl w:val="true"/>
        </w:rPr>
        <w:t>مبحث اول</w:t>
      </w:r>
      <w:r>
        <w:rPr>
          <w:rtl w:val="true"/>
        </w:rPr>
        <w:t xml:space="preserve">: </w:t>
      </w:r>
      <w:r>
        <w:rPr>
          <w:rtl w:val="true"/>
        </w:rPr>
        <w:t>نسبت طول و عرض مسجد</w:t>
      </w:r>
      <w:bookmarkEnd w:id="144"/>
    </w:p>
    <w:p>
      <w:pPr>
        <w:pStyle w:val="Heading5"/>
        <w:numPr>
          <w:ilvl w:val="4"/>
          <w:numId w:val="1"/>
        </w:numPr>
        <w:rPr/>
      </w:pPr>
      <w:bookmarkStart w:id="145" w:name="__RefHeading___Toc15202282_1280447820"/>
      <w:bookmarkStart w:id="146" w:name="_Toc52"/>
      <w:bookmarkEnd w:id="145"/>
      <w:r>
        <w:rPr>
          <w:rtl w:val="true"/>
        </w:rPr>
        <w:t>گفتار اول</w:t>
      </w:r>
      <w:r>
        <w:rPr>
          <w:rtl w:val="true"/>
        </w:rPr>
        <w:t xml:space="preserve">: </w:t>
      </w:r>
      <w:r>
        <w:rPr>
          <w:rtl w:val="true"/>
        </w:rPr>
        <w:t>دیدگاه فقهای شیعه</w:t>
      </w:r>
      <w:bookmarkEnd w:id="146"/>
    </w:p>
    <w:p>
      <w:pPr>
        <w:pStyle w:val="BookText"/>
        <w:rPr/>
      </w:pPr>
      <w:r>
        <w:rPr>
          <w:rFonts w:ascii="IRNazanin" w:hAnsi="IRNazanin" w:eastAsia="IRNazanin"/>
          <w:color w:val="111111"/>
          <w:sz w:val="28"/>
          <w:sz w:val="28"/>
          <w:szCs w:val="28"/>
          <w:rtl w:val="true"/>
          <w:lang w:bidi="fa-IR"/>
        </w:rPr>
        <w:t>سیره نویسان در کیفیت مسجد النبی این گونه نوشته اند که چندی پس از ورود رسول خدا صلی الله علیه و آله به مدینه سنگ بنای مسجدالنبی نهاده شد و همه اصحاب نیز با اشتیاق شروع به ساختن مسجد،کردند و خود ایشان نیز با تمام توان در ساختن مسجد شرکت کردند توضیح آن که زمانی که رسول خدا وارد یثرب شد، همه طوائف قبائل و افراد سرشناس این شهر که مسلمان شده بودند، تمایل داشتند تا آن حضرت در قبیله و یا منزل آنان وارد شوند و هر یک از آنان دوست داشتند که خود میزبان ایشان باشند؛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 خدا صلی الله علیه و آله در پاسخ به این همه شور و اشتیاق مردم، این انتخاب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تقدیر الهی سپردند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سبيلها فإنّها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راه شتر را باز گذارید که </w:t>
      </w:r>
    </w:p>
    <w:p>
      <w:pPr>
        <w:pStyle w:val="BookText"/>
        <w:rPr/>
      </w:pPr>
      <w:r>
        <w:rPr>
          <w:rFonts w:ascii="IRNazanin" w:hAnsi="IRNazanin" w:eastAsia="IRNazanin"/>
          <w:color w:val="111111"/>
          <w:sz w:val="28"/>
          <w:sz w:val="28"/>
          <w:szCs w:val="28"/>
          <w:rtl w:val="true"/>
          <w:lang w:bidi="fa-IR"/>
        </w:rPr>
        <w:t>او مأمور است و هر جا شترش زانو بزند همان جا توقف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شتر نیز در زمینی که اکنون مسجد،است زانو زد و این زمین متصل به خانه ابو ایوب انصاری بود و قبلاً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خشکاندن خرما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گفتۀ انس بن مالک در آن،زمین چند گور از مشرکان دیوارهای مخروبه و چند درخت خرما وجود داشت؛ </w:t>
      </w:r>
      <w:r>
        <w:rPr>
          <w:rStyle w:val="FootnoteAnchor"/>
          <w:rtl w:val="true"/>
        </w:rPr>
        <w:footnoteReference w:id="208"/>
      </w:r>
      <w:r>
        <w:rPr>
          <w:rFonts w:ascii="IRNazanin" w:hAnsi="IRNazanin" w:eastAsia="IRNazanin"/>
          <w:color w:val="111111"/>
          <w:sz w:val="28"/>
          <w:sz w:val="28"/>
          <w:szCs w:val="28"/>
          <w:rtl w:val="true"/>
          <w:lang w:bidi="fa-IR"/>
        </w:rPr>
        <w:t xml:space="preserve">و اصل زمین، متعلق به دو یتیم از قبیله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به نامهای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عمرو بود که در پناه و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اسعد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اسعد بن زراره قرار داشتند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آن حضرت این زمین را به رغم اصرار صاحبانش که آن را از جان و دل بر پیامبر هبه کردند، به دو دینار خریدند؛ </w:t>
      </w:r>
      <w:r>
        <w:rPr>
          <w:rStyle w:val="FootnoteAnchor"/>
          <w:rtl w:val="true"/>
        </w:rPr>
        <w:footnoteReference w:id="210"/>
      </w:r>
      <w:r>
        <w:rPr>
          <w:rFonts w:ascii="IRNazanin" w:hAnsi="IRNazanin" w:eastAsia="IRNazanin"/>
          <w:color w:val="111111"/>
          <w:sz w:val="28"/>
          <w:sz w:val="28"/>
          <w:szCs w:val="28"/>
          <w:rtl w:val="true"/>
          <w:lang w:bidi="fa-IR"/>
        </w:rPr>
        <w:t>سپس ایشان دستور دادند که گورها را محو کنند و دیوارهای خراب را نیز فرو ریختند درختان خرما را قطع کردند و زمین را هموار ساختند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زمین را برای ساخت مسجد آماده کردند مسجدی که رسول خدا صلی الله علیه و آله بنا کردند از جهات زیادی با آنچه امروز در آن مکان ساخته شده، تفاوت دارد؛ زیرا در زمینی محدودتر و با بنایی ساده و خلوص بیشتر به شکل مربع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الأعلی مولی آل سام از امام صادق علیه السلام از مساحت مسجد پیامبر خدا صلی الله علیه و آله سؤال کرد، 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پیامبر سه هزار و ششصد ذراع بوده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بحرانی در تفسیر این روایت می گوید معنای روایت این است که هر </w:t>
      </w:r>
      <w:bookmarkStart w:id="147" w:name="pg19115_195373"/>
    </w:p>
    <w:p>
      <w:pPr>
        <w:pStyle w:val="BookText"/>
        <w:rPr/>
      </w:pPr>
      <w:bookmarkEnd w:id="147"/>
      <w:r>
        <w:rPr>
          <w:rFonts w:ascii="IRNazanin" w:hAnsi="IRNazanin" w:eastAsia="IRNazanin"/>
          <w:color w:val="111111"/>
          <w:sz w:val="28"/>
          <w:sz w:val="28"/>
          <w:szCs w:val="28"/>
          <w:rtl w:val="true"/>
          <w:lang w:bidi="fa-IR"/>
        </w:rPr>
        <w:t xml:space="preserve">یک از طول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درازا و پهنای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ذراع بوده؛ زیرا از ضرب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عددی که در روایت آمده بدست می آید</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148" w:name="__RefHeading___Toc15202284_1280447820"/>
      <w:bookmarkStart w:id="149" w:name="_Toc53"/>
      <w:bookmarkEnd w:id="148"/>
      <w:r>
        <w:rPr>
          <w:rtl w:val="true"/>
        </w:rPr>
        <w:t>گفتار دوم دیدگاه اهل سنت</w:t>
      </w:r>
      <w:bookmarkEnd w:id="149"/>
    </w:p>
    <w:p>
      <w:pPr>
        <w:pStyle w:val="BookText"/>
        <w:rPr/>
      </w:pPr>
      <w:r>
        <w:rPr>
          <w:rFonts w:ascii="IRNazanin" w:hAnsi="IRNazanin" w:eastAsia="IRNazanin"/>
          <w:color w:val="111111"/>
          <w:sz w:val="28"/>
          <w:sz w:val="28"/>
          <w:szCs w:val="28"/>
          <w:rtl w:val="true"/>
          <w:lang w:bidi="fa-IR"/>
        </w:rPr>
        <w:t>فقهای اهل سنت در مورد طول و عرض مسجد دیدگاههای مختلفی ارائه کرده اند که در زیر به برخی از آنها اشاره می شود</w:t>
      </w:r>
    </w:p>
    <w:p>
      <w:pPr>
        <w:pStyle w:val="BookText"/>
        <w:rPr/>
      </w:pPr>
      <w:r>
        <w:rPr>
          <w:rFonts w:ascii="IRNazanin" w:hAnsi="IRNazanin" w:eastAsia="IRNazanin"/>
          <w:color w:val="111111"/>
          <w:sz w:val="28"/>
          <w:sz w:val="28"/>
          <w:szCs w:val="28"/>
          <w:rtl w:val="true"/>
          <w:lang w:bidi="fa-IR"/>
        </w:rPr>
        <w:t xml:space="preserve">محیی الدین نووی از خارجة بن زید بن ثابت که یکی از فقهای هفتگانه مدینه است نقل می کند که رسول خدا مسجدش را در مساحت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یا بیشتر بنا کرده است سمهودی نیز به این مطلب تصریح کرده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فقیه مالکی آبی ازهری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به شکل غیر مربع مكروه است زیرا اگر مسجد مربع نباشد صفهای نماز جماعت مساوی هم تشکیل نخواهد شد؛ البته در نهایت مکروه بودن آن را به عنوان یک نظر تلقی می کند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جراعی حنبلی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مسجد را مربع بنا کرد، </w:t>
      </w:r>
      <w:r>
        <w:rPr>
          <w:rStyle w:val="FootnoteAnchor"/>
          <w:rtl w:val="true"/>
        </w:rPr>
        <w:footnoteReference w:id="215"/>
      </w:r>
      <w:r>
        <w:rPr>
          <w:rFonts w:ascii="IRNazanin" w:hAnsi="IRNazanin" w:eastAsia="IRNazanin"/>
          <w:color w:val="111111"/>
          <w:sz w:val="28"/>
          <w:sz w:val="28"/>
          <w:szCs w:val="28"/>
          <w:rtl w:val="true"/>
          <w:lang w:bidi="fa-IR"/>
        </w:rPr>
        <w:t xml:space="preserve">و قبله آن را به سوى بيت المقدس قرار داد و طول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بوده است؛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طول آن از سمت شمال به جنوب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عرض آن از سمت شرق به غرب که جمعاً مساحت آن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مسجد مدینه را تأسیس کرد طول و عرض آن را صد ذراع قرار داد از این رو مسجد النبی به شکل مربع ساخته شد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طول مسجد را از عقب مسجد تا به طرف </w:t>
      </w:r>
      <w:bookmarkStart w:id="150" w:name="pg19115_195374"/>
    </w:p>
    <w:p>
      <w:pPr>
        <w:pStyle w:val="BookText"/>
        <w:rPr/>
      </w:pPr>
      <w:bookmarkEnd w:id="150"/>
      <w:r>
        <w:rPr>
          <w:rFonts w:ascii="IRNazanin" w:hAnsi="IRNazanin" w:eastAsia="IRNazanin"/>
          <w:color w:val="111111"/>
          <w:sz w:val="28"/>
          <w:sz w:val="28"/>
          <w:szCs w:val="28"/>
          <w:rtl w:val="true"/>
          <w:lang w:bidi="fa-IR"/>
        </w:rPr>
        <w:t xml:space="preserve">قبله صد ذراع و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صد ذراع یا کمتر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رسول خدا صلی الله علیه و آله در نخستین بنای خود مساحتی شامل شصت ذراع در شصت،ذراع یا بنا بر قولی صد ذراع در صد ذراع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نخست با دیوارهای خشتی و گلی و پایه هایی از تنه درخت خرما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مسجد هم با شاخه های درخت خرما پوشانده شد؛ </w:t>
      </w:r>
      <w:r>
        <w:rPr>
          <w:rStyle w:val="FootnoteAnchor"/>
          <w:rtl w:val="true"/>
        </w:rPr>
        <w:footnoteReference w:id="217"/>
      </w:r>
      <w:r>
        <w:rPr>
          <w:rFonts w:ascii="IRNazanin" w:hAnsi="IRNazanin" w:eastAsia="IRNazanin"/>
          <w:color w:val="111111"/>
          <w:sz w:val="28"/>
          <w:sz w:val="28"/>
          <w:szCs w:val="28"/>
          <w:rtl w:val="true"/>
          <w:lang w:bidi="fa-IR"/>
        </w:rPr>
        <w:t>به طوری که در هنگام باران، آب به سر و صورت نمازگزاران می ریخت و خاک زمین در زیر پیشانی رسول خدا صلی الله علیه و آله و اصحاب به صورت گل تبدیل می شد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151" w:name="__RefHeading___Toc15202286_1280447820"/>
      <w:bookmarkStart w:id="152" w:name="_Toc54"/>
      <w:bookmarkEnd w:id="151"/>
      <w:r>
        <w:rPr>
          <w:rtl w:val="true"/>
        </w:rPr>
        <w:t>مبحث دوم</w:t>
      </w:r>
      <w:r>
        <w:rPr>
          <w:rtl w:val="true"/>
        </w:rPr>
        <w:t xml:space="preserve">: </w:t>
      </w:r>
      <w:r>
        <w:rPr>
          <w:rtl w:val="true"/>
        </w:rPr>
        <w:t>ارتفاع ساختمان مسجد</w:t>
      </w:r>
      <w:bookmarkEnd w:id="152"/>
    </w:p>
    <w:p>
      <w:pPr>
        <w:pStyle w:val="Heading5"/>
        <w:numPr>
          <w:ilvl w:val="4"/>
          <w:numId w:val="1"/>
        </w:numPr>
        <w:rPr/>
      </w:pPr>
      <w:bookmarkStart w:id="153" w:name="__RefHeading___Toc15202288_1280447820"/>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ساختمان مسجد باید از استحکام و استواری لازم برخوردار باشد؛ زیرا هر چه عمارت و بنای مسجد با شکوهتر و ساختمان آن بر اساس اصول مهندسی پیشرفته تر باشد، موجب اعتلای شعائر اسلامی خواهد بود و در مجد و عظمت اسلام و مسلمین می افزاید و همچنین اسباب آسایش و راحتی و رفاه حال عموم نمازگذاران را فراهم خواهد کرد؛ ولی آنچه در منابع و مآخذ اسلامی آمده حاکی از آن است مسجدی که رسول خدا صلی الله علیه و اله بنا کرد از جهات زیادی با آنچه امروز در ساخت مساجد به کار گرفته می شود تفاوتهای اساسی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رسول خدا صلی الله علیه و آله در نخستین بنای آن مساحتی شامل هفتاد ذراع در شصت ذراع یا صد ذراع در صد ذراع ساخته شد و با دیوارهای خشتی و گلی و ستونهایی از تنه درخت خرما بنا گردید سقف آن هم با شاخه های درخت خرما پوشانده شد</w:t>
      </w:r>
      <w:r>
        <w:rPr>
          <w:rFonts w:eastAsia="IRNazanin" w:cs="IRNazanin"/>
          <w:color w:val="111111"/>
          <w:sz w:val="28"/>
          <w:szCs w:val="28"/>
          <w:rtl w:val="true"/>
          <w:lang w:bidi="fa-IR"/>
        </w:rPr>
        <w:t xml:space="preserve">. </w:t>
      </w:r>
      <w:r>
        <w:rPr>
          <w:rStyle w:val="FootnoteAnchor"/>
          <w:rtl w:val="true"/>
        </w:rPr>
        <w:footnoteReference w:id="219"/>
      </w:r>
      <w:bookmarkStart w:id="155" w:name="pg19115_195375"/>
    </w:p>
    <w:p>
      <w:pPr>
        <w:pStyle w:val="BookText"/>
        <w:rPr/>
      </w:pPr>
      <w:bookmarkEnd w:id="155"/>
      <w:r>
        <w:rPr>
          <w:rFonts w:ascii="IRNazanin" w:hAnsi="IRNazanin" w:eastAsia="IRNazanin"/>
          <w:color w:val="111111"/>
          <w:sz w:val="28"/>
          <w:sz w:val="28"/>
          <w:szCs w:val="28"/>
          <w:rtl w:val="true"/>
          <w:lang w:bidi="fa-IR"/>
        </w:rPr>
        <w:t>البته به علت افزایش شمار مسلمانان اصحاب خواستار توسعه مسجد شدند که آن حضرت نیز اجازه دادند ولی باز هم اصحاب با مشاهده نفوذ باران به داخل مسجد، پیشنهاد گل اندود کردن سقف آن را داشتند که حضرت اجازه این کار ندادند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عریش کعریش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سایبانش همچون سایبان حضرت موسی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پیامبر زنده بود مسجد بدین گونه بود</w:t>
      </w:r>
      <w:r>
        <w:rPr>
          <w:rFonts w:eastAsia="IRNazanin" w:cs="IRNazanin"/>
          <w:color w:val="111111"/>
          <w:sz w:val="28"/>
          <w:szCs w:val="28"/>
          <w:rtl w:val="true"/>
          <w:lang w:bidi="fa-IR"/>
        </w:rPr>
        <w:t>.</w:t>
      </w:r>
    </w:p>
    <w:p>
      <w:pPr>
        <w:pStyle w:val="Heading5"/>
        <w:numPr>
          <w:ilvl w:val="4"/>
          <w:numId w:val="1"/>
        </w:numPr>
        <w:rPr/>
      </w:pPr>
      <w:bookmarkStart w:id="156" w:name="__RefHeading___Toc15202290_1280447820"/>
      <w:bookmarkStart w:id="157" w:name="_Toc56"/>
      <w:bookmarkEnd w:id="156"/>
      <w:r>
        <w:rPr>
          <w:rtl w:val="true"/>
        </w:rPr>
        <w:t>گفتار اول</w:t>
      </w:r>
      <w:r>
        <w:rPr>
          <w:rtl w:val="true"/>
        </w:rPr>
        <w:t xml:space="preserve">: </w:t>
      </w:r>
      <w:r>
        <w:rPr>
          <w:rtl w:val="true"/>
        </w:rPr>
        <w:t>بررسی ارتفاع مساجد از دیدگاه فقهی</w:t>
      </w:r>
      <w:bookmarkEnd w:id="157"/>
    </w:p>
    <w:p>
      <w:pPr>
        <w:pStyle w:val="Heading6"/>
        <w:numPr>
          <w:ilvl w:val="5"/>
          <w:numId w:val="1"/>
        </w:numPr>
        <w:rPr/>
      </w:pPr>
      <w:bookmarkStart w:id="158" w:name="__RefHeading___Toc15202292_1280447820"/>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این موضوع یعنی عدم ارتفاع و مرتفع سازی مساجد در فتاوای فقها اشاره شده است که در زیر به شماری از آنها پرداخته می شود</w:t>
      </w:r>
      <w:r>
        <w:rPr>
          <w:rFonts w:eastAsia="IRNazanin" w:cs="IRNazanin"/>
          <w:color w:val="111111"/>
          <w:sz w:val="28"/>
          <w:szCs w:val="28"/>
          <w:rtl w:val="true"/>
          <w:lang w:bidi="fa-IR"/>
        </w:rPr>
        <w:t>:</w:t>
      </w:r>
    </w:p>
    <w:p>
      <w:pPr>
        <w:pStyle w:val="Heading6"/>
        <w:numPr>
          <w:ilvl w:val="5"/>
          <w:numId w:val="1"/>
        </w:numPr>
        <w:rPr/>
      </w:pPr>
      <w:bookmarkStart w:id="160" w:name="__RefHeading___Toc15202294_1280447820"/>
      <w:bookmarkStart w:id="161" w:name="_Toc58"/>
      <w:bookmarkEnd w:id="160"/>
      <w:r>
        <w:rPr>
          <w:rtl w:val="true"/>
        </w:rPr>
        <w:t>الف</w:t>
      </w:r>
      <w:r>
        <w:rPr>
          <w:rtl w:val="true"/>
        </w:rPr>
        <w:t xml:space="preserve">) </w:t>
      </w:r>
      <w:r>
        <w:rPr>
          <w:rtl w:val="true"/>
        </w:rPr>
        <w:t>دیدگاه فقهای شیعه</w:t>
      </w:r>
      <w:bookmarkEnd w:id="161"/>
    </w:p>
    <w:p>
      <w:pPr>
        <w:pStyle w:val="BookText"/>
        <w:rPr/>
      </w:pPr>
      <w:r>
        <w:rPr>
          <w:rFonts w:ascii="IRNazanin" w:hAnsi="IRNazanin" w:eastAsia="IRNazanin"/>
          <w:color w:val="111111"/>
          <w:sz w:val="28"/>
          <w:sz w:val="28"/>
          <w:szCs w:val="28"/>
          <w:rtl w:val="true"/>
          <w:lang w:bidi="fa-IR"/>
        </w:rPr>
        <w:t>بسیاری از فقهای متقدم متأخر و حتی معاصر امامیه تصریح کرده اند که اگر ساختمان مساجد خیلی مرتفع باشد کراهت دارد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البته، شیخ طوسی و ابن ادریس بر این باورند که مستحب است ساختمان مساجد مرتفع نباشد</w:t>
      </w:r>
      <w:r>
        <w:rPr>
          <w:rFonts w:eastAsia="IRNazanin" w:cs="IRNazanin"/>
          <w:color w:val="111111"/>
          <w:sz w:val="28"/>
          <w:szCs w:val="28"/>
          <w:rtl w:val="true"/>
          <w:lang w:bidi="fa-IR"/>
        </w:rPr>
        <w:t xml:space="preserve">. </w:t>
      </w:r>
      <w:r>
        <w:rPr>
          <w:rStyle w:val="FootnoteAnchor"/>
          <w:rtl w:val="true"/>
        </w:rPr>
        <w:footnoteReference w:id="221"/>
      </w:r>
    </w:p>
    <w:p>
      <w:pPr>
        <w:pStyle w:val="Heading6"/>
        <w:numPr>
          <w:ilvl w:val="5"/>
          <w:numId w:val="1"/>
        </w:numPr>
        <w:rPr/>
      </w:pPr>
      <w:bookmarkStart w:id="162" w:name="__RefHeading___Toc15202296_1280447820"/>
      <w:bookmarkStart w:id="163" w:name="_Toc59"/>
      <w:bookmarkEnd w:id="162"/>
      <w:r>
        <w:rPr>
          <w:rtl w:val="true"/>
        </w:rPr>
        <w:t>ب</w:t>
      </w:r>
      <w:r>
        <w:rPr>
          <w:rtl w:val="true"/>
        </w:rPr>
        <w:t xml:space="preserve">) </w:t>
      </w:r>
      <w:r>
        <w:rPr>
          <w:rtl w:val="true"/>
        </w:rPr>
        <w:t>دليل عدم ارتفاع ساختمان مسجد</w:t>
      </w:r>
      <w:bookmarkEnd w:id="163"/>
    </w:p>
    <w:p>
      <w:pPr>
        <w:pStyle w:val="BookText"/>
        <w:rPr/>
      </w:pPr>
      <w:r>
        <w:rPr>
          <w:rFonts w:ascii="IRNazanin" w:hAnsi="IRNazanin" w:eastAsia="IRNazanin"/>
          <w:color w:val="111111"/>
          <w:sz w:val="28"/>
          <w:sz w:val="28"/>
          <w:szCs w:val="28"/>
          <w:rtl w:val="true"/>
          <w:lang w:bidi="fa-IR"/>
        </w:rPr>
        <w:t>عده ای از فقها برای کراهت ارتفاع مساجد به چند دلیل استدلال کرده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 مساجد مرتفع و بلندتر از خانه همسایگان باشد موجب می شود که افرادی به انگیزه های مختلف مانند اذان گفتن، بالای آن بروند و بر خانه های اطراف اشراف و اطلاع پیدا کنند؛ در حالی که از این امر نهی شده است</w:t>
      </w:r>
      <w:r>
        <w:rPr>
          <w:rFonts w:eastAsia="IRNazanin" w:cs="IRNazanin"/>
          <w:color w:val="111111"/>
          <w:sz w:val="28"/>
          <w:szCs w:val="28"/>
          <w:rtl w:val="true"/>
          <w:lang w:bidi="fa-IR"/>
        </w:rPr>
        <w:t xml:space="preserve">. </w:t>
      </w:r>
      <w:r>
        <w:rPr>
          <w:rStyle w:val="FootnoteAnchor"/>
          <w:rtl w:val="true"/>
        </w:rPr>
        <w:footnoteReference w:id="222"/>
      </w:r>
      <w:bookmarkStart w:id="164" w:name="pg19115_195376"/>
    </w:p>
    <w:p>
      <w:pPr>
        <w:pStyle w:val="BookText"/>
        <w:rPr/>
      </w:pPr>
      <w:bookmarkEnd w:id="164"/>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و پیروی از سنّت پیامبر خدا صلی الله علیه و آله می باشد؛ زیرا در روایات وارد شده است که ارتفاع مسجد النبی به اندازۀ قامت انسان بوده است؛ </w:t>
      </w:r>
      <w:r>
        <w:rPr>
          <w:rStyle w:val="FootnoteAnchor"/>
          <w:rtl w:val="true"/>
        </w:rPr>
        <w:footnoteReference w:id="223"/>
      </w:r>
      <w:r>
        <w:rPr>
          <w:rFonts w:ascii="IRNazanin" w:hAnsi="IRNazanin" w:eastAsia="IRNazanin"/>
          <w:color w:val="111111"/>
          <w:sz w:val="28"/>
          <w:sz w:val="28"/>
          <w:szCs w:val="28"/>
          <w:rtl w:val="true"/>
          <w:lang w:bidi="fa-IR"/>
        </w:rPr>
        <w:t>و سزاوار است که از سنت پیامبر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برخی روایات از اینکه ساختمان از هفت یا هشت ذراع بیشتر باشد نهی شده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است که محقق کرکی و شهید ثانی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مسئله به سلف صالح اقتدا می شود</w:t>
      </w:r>
      <w:r>
        <w:rPr>
          <w:rFonts w:eastAsia="IRNazanin" w:cs="IRNazanin"/>
          <w:color w:val="111111"/>
          <w:sz w:val="28"/>
          <w:szCs w:val="28"/>
          <w:rtl w:val="true"/>
          <w:lang w:bidi="fa-IR"/>
        </w:rPr>
        <w:t xml:space="preserve">» </w:t>
      </w:r>
      <w:r>
        <w:rPr>
          <w:rStyle w:val="FootnoteAnchor"/>
          <w:rtl w:val="true"/>
        </w:rPr>
        <w:footnoteReference w:id="225"/>
      </w:r>
    </w:p>
    <w:p>
      <w:pPr>
        <w:pStyle w:val="Heading6"/>
        <w:numPr>
          <w:ilvl w:val="5"/>
          <w:numId w:val="1"/>
        </w:numPr>
        <w:rPr/>
      </w:pPr>
      <w:bookmarkStart w:id="165" w:name="__RefHeading___Toc15202298_1280447820"/>
      <w:bookmarkStart w:id="166" w:name="_Toc60"/>
      <w:bookmarkEnd w:id="165"/>
      <w:r>
        <w:rPr>
          <w:rtl w:val="true"/>
        </w:rPr>
        <w:t>ج</w:t>
      </w:r>
      <w:r>
        <w:rPr>
          <w:rtl w:val="true"/>
        </w:rPr>
        <w:t xml:space="preserve">) </w:t>
      </w:r>
      <w:r>
        <w:rPr>
          <w:rtl w:val="true"/>
        </w:rPr>
        <w:t>متوسط متعارف و متناسب با عرف زمان بودن ارتفاع مسجد</w:t>
      </w:r>
      <w:bookmarkEnd w:id="166"/>
    </w:p>
    <w:p>
      <w:pPr>
        <w:pStyle w:val="BookText"/>
        <w:rPr/>
      </w:pPr>
      <w:r>
        <w:rPr>
          <w:rFonts w:ascii="IRNazanin" w:hAnsi="IRNazanin" w:eastAsia="IRNazanin"/>
          <w:color w:val="111111"/>
          <w:sz w:val="28"/>
          <w:sz w:val="28"/>
          <w:szCs w:val="28"/>
          <w:rtl w:val="true"/>
          <w:lang w:bidi="fa-IR"/>
        </w:rPr>
        <w:t>با توجه به فتاوا و ادله یاد شده نتیجه می شود که ساختمان مسجد نباید مرتفع و بلندتر از خانه های همسایگان مسجد،باشد ولی بسیاری از فقیهان تصریح می کنند که ارتفاع ساختمان مساجد به اندازه متعارف باشد یعنی نه آنقدر کوتاه و به اندازه دو یا سه متر و نه آنقدر بلند که همانند برجهای آسمان خراش باشد؛ بلکه ساختمان مساجد به طور متوسط بنا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یستحب أن لا تعلى المساجد،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تعلیة المساجد، بل بني وسطاً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علامه،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ابن ادریس، </w:t>
      </w:r>
      <w:r>
        <w:rPr>
          <w:rStyle w:val="FootnoteAnchor"/>
          <w:rtl w:val="true"/>
        </w:rPr>
        <w:footnoteReference w:id="228"/>
      </w:r>
      <w:r>
        <w:rPr>
          <w:rFonts w:ascii="IRNazanin" w:hAnsi="IRNazanin" w:eastAsia="IRNazanin"/>
          <w:color w:val="111111"/>
          <w:sz w:val="28"/>
          <w:sz w:val="28"/>
          <w:szCs w:val="28"/>
          <w:rtl w:val="true"/>
          <w:lang w:bidi="fa-IR"/>
        </w:rPr>
        <w:t xml:space="preserve">کیدری، </w:t>
      </w:r>
      <w:r>
        <w:rPr>
          <w:rStyle w:val="FootnoteAnchor"/>
          <w:rtl w:val="true"/>
        </w:rPr>
        <w:footnoteReference w:id="229"/>
      </w:r>
      <w:r>
        <w:rPr>
          <w:rFonts w:ascii="IRNazanin" w:hAnsi="IRNazanin" w:eastAsia="IRNazanin"/>
          <w:color w:val="111111"/>
          <w:sz w:val="28"/>
          <w:sz w:val="28"/>
          <w:szCs w:val="28"/>
          <w:rtl w:val="true"/>
          <w:lang w:bidi="fa-IR"/>
        </w:rPr>
        <w:t xml:space="preserve">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به همین حکم فتوا داده اند و شهید ثانی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متوسط را چنین تفسیر می کند که از نظر عرف، متوسط باشد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شیخ حسن نجفی </w:t>
      </w:r>
      <w:r>
        <w:rPr>
          <w:rStyle w:val="FootnoteAnchor"/>
          <w:rtl w:val="true"/>
        </w:rPr>
        <w:footnoteReference w:id="232"/>
      </w:r>
      <w:r>
        <w:rPr>
          <w:rFonts w:ascii="IRNazanin" w:hAnsi="IRNazanin" w:eastAsia="IRNazanin"/>
          <w:color w:val="111111"/>
          <w:sz w:val="28"/>
          <w:sz w:val="28"/>
          <w:szCs w:val="28"/>
          <w:rtl w:val="true"/>
          <w:lang w:bidi="fa-IR"/>
        </w:rPr>
        <w:t xml:space="preserve">و سید جواد عاملی </w:t>
      </w:r>
      <w:r>
        <w:rPr>
          <w:rStyle w:val="FootnoteAnchor"/>
          <w:rtl w:val="true"/>
        </w:rPr>
        <w:footnoteReference w:id="233"/>
      </w:r>
      <w:r>
        <w:rPr>
          <w:rFonts w:ascii="IRNazanin" w:hAnsi="IRNazanin" w:eastAsia="IRNazanin"/>
          <w:color w:val="111111"/>
          <w:sz w:val="28"/>
          <w:sz w:val="28"/>
          <w:szCs w:val="28"/>
          <w:rtl w:val="true"/>
          <w:lang w:bidi="fa-IR"/>
        </w:rPr>
        <w:t>نیز 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می توان نتیجه گرفت که این مسئله یک موضوع تعبدی خاصی نیست که حد و حدود آن غیر قابل تغییر باشد؛ و لذا شایسته است بنای ساختمان مساجد مطابق تحولات زمان و شرایط هر عصری طراحی شود؛ چرا که امروزه اصول علمی شهرسازی ایجاب می کند که دستگاه های ذیربط با توجه به جدیدترین یافته های علمی و بر حسب نیازهایی که مردم در زندگی اجتماعی خود احساس می کنند ساختمان مساجد را طراحی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مسجدی که رسول الله صلى الله عليه و آله و سلم در ابتدای ورود به مدینه ساختند، در زمانی که فقر و محرومیت و جهل و بیسوادی بیداد می کرد و افکار جاهلیت، هنوز ریشه کن نشده بود؛ گروه ها و طوائف مخالف نیز هر لحظه در کمین ضربه زدن به کیان مقدس اسلامی بودند و در این شرایط بود که پیامبر خدا صلی الله علیه و آله از مصالح ساختمانی آن روز مانند خشت و گل و چوب خرما استفاده می کردند؛ یعنی اصولا مقتضیات اجتماعی و شرایط زمانی و مکانی آن روزگار باعث می شد که ساختمان آن مسجد به این شکل بنا شود؛ اما امروزه پیشرفت های هنر معماری و تمدن اسلامی و ضرورتهایی که مردم در زندگی احساس می کنند باعث شده است که مسلمانان در هر شهر و دیاری بنابر ویژگیهای منطقه ای و اقتصادی و سلایق و </w:t>
      </w:r>
      <w:bookmarkStart w:id="167" w:name="pg19115_195378"/>
    </w:p>
    <w:p>
      <w:pPr>
        <w:pStyle w:val="BookText"/>
        <w:rPr/>
      </w:pPr>
      <w:bookmarkEnd w:id="167"/>
      <w:r>
        <w:rPr>
          <w:rFonts w:ascii="IRNazanin" w:hAnsi="IRNazanin" w:eastAsia="IRNazanin"/>
          <w:color w:val="111111"/>
          <w:sz w:val="28"/>
          <w:sz w:val="28"/>
          <w:szCs w:val="28"/>
          <w:rtl w:val="true"/>
          <w:lang w:bidi="fa-IR"/>
        </w:rPr>
        <w:t>مقتضیات زمان و مکان هر کدام با سبک معماری خاصی اندامهای کالبدی مساجد را طراحی و تأسیس کنند و لذا،اساسا امکان ندارد که برای همه اعصار و امصار، مدل و فرمول خاصی در طراحی ساخت مساجد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علاقه وافر مسلمانان به تقدّس و تعظیم مساجد که منبعث از تأکیدات قرآن کریم و احادیث اهل بیت علیهم السلام در عمران و رفعت جایگاه مساجد و تعظیم شعائر الهی است، باعث شده که همواره در طول تاریخ آنان در زیبا سازی و مقاوم سازی، و هنر نمایی مساجد بیش از پیش اهتمام بورزند، ولی بر اساس منابع، مستندات، فتاوا و ادله ای که پیشتر به آنها اشاره شد باید کیفیت عمارت مسجد، ارتفاع استحکام زیباسازی مقاوم سازی و معماری ساختمان آن به مقدار متوسط و متعارف در هر شهر و منطقه و متناسب با عرف زمانه در نظر گرفته شود</w:t>
      </w:r>
      <w:r>
        <w:rPr>
          <w:rFonts w:eastAsia="IRNazanin" w:cs="IRNazanin"/>
          <w:color w:val="111111"/>
          <w:sz w:val="28"/>
          <w:szCs w:val="28"/>
          <w:rtl w:val="true"/>
          <w:lang w:bidi="fa-IR"/>
        </w:rPr>
        <w:t>.</w:t>
      </w:r>
    </w:p>
    <w:p>
      <w:pPr>
        <w:pStyle w:val="Heading6"/>
        <w:numPr>
          <w:ilvl w:val="5"/>
          <w:numId w:val="1"/>
        </w:numPr>
        <w:rPr/>
      </w:pPr>
      <w:bookmarkStart w:id="168" w:name="__RefHeading___Toc15202300_1280447820"/>
      <w:bookmarkStart w:id="169" w:name="_Toc61"/>
      <w:bookmarkEnd w:id="168"/>
      <w:r>
        <w:rPr>
          <w:rtl w:val="true"/>
        </w:rPr>
        <w:t>د</w:t>
      </w:r>
      <w:r>
        <w:rPr>
          <w:rtl w:val="true"/>
        </w:rPr>
        <w:t xml:space="preserve">) </w:t>
      </w:r>
      <w:r>
        <w:rPr>
          <w:rtl w:val="true"/>
        </w:rPr>
        <w:t>دیدگاه فقهای اهل سنّت</w:t>
      </w:r>
      <w:bookmarkEnd w:id="169"/>
    </w:p>
    <w:p>
      <w:pPr>
        <w:pStyle w:val="Heading6"/>
        <w:numPr>
          <w:ilvl w:val="5"/>
          <w:numId w:val="1"/>
        </w:numPr>
        <w:rPr/>
      </w:pPr>
      <w:bookmarkStart w:id="170" w:name="__RefHeading___Toc15202302_1280447820"/>
      <w:bookmarkStart w:id="171" w:name="_Toc62"/>
      <w:bookmarkEnd w:id="170"/>
      <w:r>
        <w:rPr/>
        <w:t>1</w:t>
      </w:r>
      <w:r>
        <w:rPr>
          <w:rtl w:val="true"/>
        </w:rPr>
        <w:t xml:space="preserve">. </w:t>
      </w:r>
      <w:r>
        <w:rPr>
          <w:rtl w:val="true"/>
        </w:rPr>
        <w:t>مذهب حنبلی</w:t>
      </w:r>
      <w:bookmarkEnd w:id="171"/>
    </w:p>
    <w:p>
      <w:pPr>
        <w:pStyle w:val="BookText"/>
        <w:rPr/>
      </w:pPr>
      <w:r>
        <w:rPr>
          <w:rFonts w:ascii="IRNazanin" w:hAnsi="IRNazanin" w:eastAsia="IRNazanin"/>
          <w:color w:val="111111"/>
          <w:sz w:val="28"/>
          <w:sz w:val="28"/>
          <w:szCs w:val="28"/>
          <w:rtl w:val="true"/>
          <w:lang w:bidi="fa-IR"/>
        </w:rPr>
        <w:t>فقیهان مذهب احمد بن حنبل معتقدند که اگر بیشتر همسایگان مسجد موافقت داشته باشند جایز است که مسجد را مرتفع بسازند؛ به طوری که طبقه پایین جهت،وضوخانه سقاخانه مراکز بهداشتی و مغازه استفاده شود و طبقه بالا به عنوان مسجد 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خیر الدین وانلی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 کوچک باشد توسعه آن با ساخت طبقات فوقانی امکان پذیر است؛ بدین صورت که طبقه پائین برای وضوخانه و مر و مراکز بهداشتی منظور شود و نماز در طبقات بالاتر برگزار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 شافعی و حنفی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مالکی و شافعی جایز دانسته اند که در بالای مسجد طبقه دیگری هم </w:t>
      </w:r>
    </w:p>
    <w:p>
      <w:pPr>
        <w:pStyle w:val="BookText"/>
        <w:rPr/>
      </w:pPr>
      <w:r>
        <w:rPr>
          <w:rFonts w:ascii="IRNazanin" w:hAnsi="IRNazanin" w:eastAsia="IRNazanin"/>
          <w:color w:val="111111"/>
          <w:sz w:val="28"/>
          <w:sz w:val="28"/>
          <w:szCs w:val="28"/>
          <w:rtl w:val="true"/>
          <w:lang w:bidi="fa-IR"/>
        </w:rPr>
        <w:t>ساخته شود و از طبقات پایینتر می توان برای امور دیگر استفاده کرد؛</w:t>
      </w:r>
      <w:r>
        <w:rPr>
          <w:rStyle w:val="FootnoteAnchor"/>
          <w:rtl w:val="true"/>
        </w:rPr>
        <w:footnoteReference w:id="236"/>
      </w:r>
      <w:r>
        <w:rPr>
          <w:rFonts w:ascii="IRNazanin" w:hAnsi="IRNazanin" w:eastAsia="IRNazanin"/>
          <w:color w:val="111111"/>
          <w:sz w:val="28"/>
          <w:sz w:val="28"/>
          <w:szCs w:val="28"/>
          <w:rtl w:val="true"/>
          <w:lang w:bidi="fa-IR"/>
        </w:rPr>
        <w:t>امّا فقهای حنفی در این مسئله اختلاف نظر دارند؛ به طوری که ابوحنیفه آن را جایز نمی داند ولی حسن بن زیاد و شیبانی این کار را جایز می دانند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معروف دکتر یوسف قرضاوی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مناسب عصر حاضر، مخصوصاً در مناطق پر جمعیت است اینکه مساجد به صورت مرتفع و چند طبقه ساخته شود؛ به ویژه با توجه به گرانی زمین در شهرهای بزرگ الزام این کار بیشتر است تا ساختمان مساجد گنجایش پذیرش جمعیت بیشتری را داشته باشد</w:t>
      </w:r>
      <w:r>
        <w:rPr>
          <w:rFonts w:eastAsia="IRNazanin" w:cs="IRNazanin"/>
          <w:color w:val="111111"/>
          <w:sz w:val="28"/>
          <w:szCs w:val="28"/>
          <w:rtl w:val="true"/>
          <w:lang w:bidi="fa-IR"/>
        </w:rPr>
        <w:t xml:space="preserve">. </w:t>
      </w:r>
      <w:r>
        <w:rPr>
          <w:rStyle w:val="FootnoteAnchor"/>
          <w:rtl w:val="true"/>
        </w:rPr>
        <w:footnoteReference w:id="238"/>
      </w:r>
      <w:bookmarkStart w:id="172" w:name="pg19115_195380"/>
    </w:p>
    <w:p>
      <w:pPr>
        <w:pStyle w:val="Heading4"/>
        <w:numPr>
          <w:ilvl w:val="3"/>
          <w:numId w:val="1"/>
        </w:numPr>
        <w:rPr/>
      </w:pPr>
      <w:bookmarkStart w:id="173" w:name="__RefHeading___Toc15202304_1280447820"/>
      <w:bookmarkStart w:id="174" w:name="_Toc63"/>
      <w:bookmarkEnd w:id="172"/>
      <w:bookmarkEnd w:id="173"/>
      <w:r>
        <w:rPr>
          <w:rtl w:val="true"/>
        </w:rPr>
        <w:t>مبحث سوم ساختن کنگره برای مسجد</w:t>
      </w:r>
      <w:bookmarkEnd w:id="174"/>
    </w:p>
    <w:p>
      <w:pPr>
        <w:pStyle w:val="Heading5"/>
        <w:numPr>
          <w:ilvl w:val="4"/>
          <w:numId w:val="1"/>
        </w:numPr>
        <w:rPr/>
      </w:pPr>
      <w:bookmarkStart w:id="175" w:name="__RefHeading___Toc15202306_1280447820"/>
      <w:bookmarkStart w:id="176" w:name="_Toc64"/>
      <w:bookmarkEnd w:id="175"/>
      <w:r>
        <w:rPr>
          <w:rtl w:val="true"/>
        </w:rPr>
        <w:t>گفتار اول</w:t>
      </w:r>
      <w:r>
        <w:rPr>
          <w:rtl w:val="true"/>
        </w:rPr>
        <w:t xml:space="preserve">: </w:t>
      </w:r>
      <w:r>
        <w:rPr>
          <w:rtl w:val="true"/>
        </w:rPr>
        <w:t>دیدگاه فقیهان شیعه</w:t>
      </w:r>
      <w:bookmarkEnd w:id="176"/>
    </w:p>
    <w:p>
      <w:pPr>
        <w:pStyle w:val="BookText"/>
        <w:rPr/>
      </w:pPr>
      <w:r>
        <w:rPr>
          <w:rFonts w:ascii="IRNazanin" w:hAnsi="IRNazanin" w:eastAsia="IRNazanin"/>
          <w:color w:val="111111"/>
          <w:sz w:val="28"/>
          <w:sz w:val="28"/>
          <w:szCs w:val="28"/>
          <w:rtl w:val="true"/>
          <w:lang w:bidi="fa-IR"/>
        </w:rPr>
        <w:t xml:space="preserve">فقهای شیعه مرتفع کردن بنای مسجد و نیز ساخت کنگره را برای این مکان مقدس مکروه می دانند؛ منظور از ساختن کنگره نیز آن است که در قسمت بالای دیوار و پشت بام مسجد آشکالی مانند مثلث و مربع با فاصله های معین از یکدیگر ساخته شود شیخ طوسی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مساجد جایز نیست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یعنی کنگره ای کردن بالای دیوار مسجد و باید مساجد صاف و ساده و بدون این اشکال ساخته شود ابن ادریس نیز می گوید جایز نیست برای مسجد کنگره ساخته شود</w:t>
      </w:r>
      <w:r>
        <w:rPr>
          <w:rFonts w:eastAsia="IRNazanin" w:cs="IRNazanin"/>
          <w:color w:val="111111"/>
          <w:sz w:val="28"/>
          <w:szCs w:val="28"/>
          <w:rtl w:val="true"/>
          <w:lang w:bidi="fa-IR"/>
        </w:rPr>
        <w:t xml:space="preserve">» </w:t>
      </w:r>
      <w:r>
        <w:rPr>
          <w:rStyle w:val="FootnoteAnchor"/>
        </w:rPr>
        <w:footnoteReference w:id="2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گوید اگر شیخ و ابن ادریس از عدم جواز، حرمت را اراده کرده باشند این نظر مورد منع است؛ به دلیل برائت اصلیه، و اگر کراهت را اراده کرده اند این سخن حق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محقق می گوید مساجد باید صاف و بدون کنگره بنا شود </w:t>
      </w:r>
      <w:r>
        <w:rPr>
          <w:rStyle w:val="FootnoteAnchor"/>
          <w:rtl w:val="true"/>
        </w:rPr>
        <w:footnoteReference w:id="242"/>
      </w:r>
      <w:r>
        <w:rPr>
          <w:rFonts w:ascii="IRNazanin" w:hAnsi="IRNazanin" w:eastAsia="IRNazanin"/>
          <w:color w:val="111111"/>
          <w:sz w:val="28"/>
          <w:sz w:val="28"/>
          <w:szCs w:val="28"/>
          <w:rtl w:val="true"/>
          <w:lang w:bidi="fa-IR"/>
        </w:rPr>
        <w:t xml:space="preserve">علامه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ساختمان مساجد صاف بدون بالکن و کنگره باشد ساختن کنگره برای مساجد کراهت دارد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شمار زیادی از فقیهان به این مسأله فتوا داده 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علامه در قواعد می گوید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ساختن کنگره برای مساجد کراهت دارد، باید ساختمان مساجد صاف بدون بالکن، کنگره و تراس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نامه های عربی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الجيم جمع جماء وأجم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گوسفندی که شاخ ندارد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ابن منظور افریقی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الشاة الأج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لا قرن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أجم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له، والأجمّ القصر الذي لا شرف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ساختمان و قصری که کنگره، ایوان، بالکن و تراس ندارد، اجم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أن نبنى المدائن شُرَفاً والمساجد جماً؛ یعنی ألتى لا شرف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ما دستور داده شده که شهرها با کنگره ایوان و بالکن بسازیم ولی مساجد را صاف و ساده بسازیم در این حدیث کنگره به دو شاخ تشبیه شده است ابن منظور می گوید شرف به ضم شین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سرفه به سکون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غُرف و غُرفة شرفه به معنای کنگره ایوان، بالکن و تراس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شهید ثانی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شین و فتح راء جمع شُرفة به سكون راء می باشد و شرفه اشکالی است که در قسمت بالای دیوار ساخته می شود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سید عبدالأعلی سبزواری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شرفه به معنای اَشکال مربع و مثلث می باشد که در بالای قصرها ساخته می شود</w:t>
      </w:r>
      <w:r>
        <w:rPr>
          <w:rFonts w:eastAsia="IRNazanin" w:cs="IRNazanin"/>
          <w:color w:val="111111"/>
          <w:sz w:val="28"/>
          <w:szCs w:val="28"/>
          <w:rtl w:val="true"/>
          <w:lang w:bidi="fa-IR"/>
        </w:rPr>
        <w:t xml:space="preserve">. </w:t>
      </w:r>
      <w:r>
        <w:rPr>
          <w:rStyle w:val="FootnoteAnchor"/>
          <w:rtl w:val="true"/>
        </w:rPr>
        <w:footnoteReference w:id="249"/>
      </w:r>
      <w:bookmarkStart w:id="177" w:name="pg19115_195382"/>
    </w:p>
    <w:p>
      <w:pPr>
        <w:pStyle w:val="BookText"/>
        <w:rPr/>
      </w:pPr>
      <w:bookmarkEnd w:id="177"/>
      <w:r>
        <w:rPr>
          <w:rFonts w:ascii="IRNazanin" w:hAnsi="IRNazanin" w:eastAsia="IRNazanin"/>
          <w:color w:val="111111"/>
          <w:sz w:val="28"/>
          <w:sz w:val="28"/>
          <w:szCs w:val="28"/>
          <w:rtl w:val="true"/>
          <w:lang w:bidi="fa-IR"/>
        </w:rPr>
        <w:t>بنابراین ساختمان مساجد شایسته است که در سبکی بسیار صاف و ساده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شود و اصولا ساختن،کنگره بالکن، ایوان تراس برای مساجد کراهت دارد؛ چنان که سید در عروه به آن تصریح کرده است و همه کسانی که به عروه تعلیقه زده اند، با او موافقت کرده اند</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178" w:name="__RefHeading___Toc15202308_1280447820"/>
      <w:bookmarkStart w:id="179" w:name="_Toc65"/>
      <w:bookmarkEnd w:id="178"/>
      <w:r>
        <w:rPr>
          <w:rtl w:val="true"/>
        </w:rPr>
        <w:t>گفتار دوم</w:t>
      </w:r>
      <w:r>
        <w:rPr>
          <w:rtl w:val="true"/>
        </w:rPr>
        <w:t xml:space="preserve">: </w:t>
      </w:r>
      <w:r>
        <w:rPr>
          <w:rtl w:val="true"/>
        </w:rPr>
        <w:t>دلیل کراهت کنگره برای مسجد</w:t>
      </w:r>
      <w:bookmarkEnd w:id="179"/>
    </w:p>
    <w:p>
      <w:pPr>
        <w:pStyle w:val="BookText"/>
        <w:rPr/>
      </w:pPr>
      <w:r>
        <w:rPr>
          <w:rFonts w:ascii="IRNazanin" w:hAnsi="IRNazanin" w:eastAsia="IRNazanin"/>
          <w:color w:val="111111"/>
          <w:sz w:val="28"/>
          <w:sz w:val="28"/>
          <w:szCs w:val="28"/>
          <w:rtl w:val="true"/>
          <w:lang w:bidi="fa-IR"/>
        </w:rPr>
        <w:t>فقها برای کراهت داشتن کنگره برای مساجد به چند روایت استدلال کرده اند که در زیر به آنها اشاره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زید از امام صادق علیه السلام و او از پدر بزرگوارش امام باقر علیه السلام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کوفه، مسجدی را که دارای کنگره بود مشاهده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مانند معابد یهود و نصاری است مساجد را بایستی صاف و بدون کنگره ساخت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را صاف و بدون کنگره بسازید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هر مسجدی در روی زمین دارای کنگره باشد ویران می کند</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180" w:name="__RefHeading___Toc15202310_1280447820"/>
      <w:bookmarkStart w:id="181" w:name="_Toc66"/>
      <w:bookmarkEnd w:id="180"/>
      <w:r>
        <w:rPr>
          <w:rtl w:val="true"/>
        </w:rPr>
        <w:t>گفتار سوم</w:t>
      </w:r>
      <w:r>
        <w:rPr>
          <w:rtl w:val="true"/>
        </w:rPr>
        <w:t xml:space="preserve">: </w:t>
      </w:r>
      <w:r>
        <w:rPr>
          <w:rtl w:val="true"/>
        </w:rPr>
        <w:t>دیدگاه اهل سنت</w:t>
      </w:r>
      <w:bookmarkEnd w:id="1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حواشی شروانی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نقش و نگار آراستن مسجد و اتخاذ کنگره </w:t>
      </w:r>
    </w:p>
    <w:p>
      <w:pPr>
        <w:pStyle w:val="BookText"/>
        <w:rPr/>
      </w:pPr>
      <w:r>
        <w:rPr>
          <w:rFonts w:ascii="IRNazanin" w:hAnsi="IRNazanin" w:eastAsia="IRNazanin"/>
          <w:color w:val="111111"/>
          <w:sz w:val="28"/>
          <w:sz w:val="28"/>
          <w:szCs w:val="28"/>
          <w:rtl w:val="true"/>
          <w:lang w:bidi="fa-IR"/>
        </w:rPr>
        <w:t>برای آن مکروه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کردن مسجد، و با نقش و نگار آراستن و تزئین 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پیامبر خدا صلی الله علیه و آله و سلّم روایت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ابنوا المساجد واتَّخِذوها جُماً</w:t>
      </w:r>
      <w:r>
        <w:rPr>
          <w:rStyle w:val="FootnoteAnchor"/>
          <w:rtl w:val="true"/>
        </w:rPr>
        <w:footnoteReference w:id="255"/>
      </w:r>
      <w:r>
        <w:rPr>
          <w:rFonts w:ascii="IRNazanin" w:hAnsi="IRNazanin" w:eastAsia="IRNazanin"/>
          <w:color w:val="111111"/>
          <w:sz w:val="28"/>
          <w:sz w:val="28"/>
          <w:szCs w:val="28"/>
          <w:rtl w:val="true"/>
          <w:lang w:bidi="fa-IR"/>
        </w:rPr>
        <w:t>مساجد را بسازید و آنها را به صورت ساده بنا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عمر روایت شده است که ما از اینکه در مسجد کنگره دار نماز بخوانیم نهی شدیم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انس بن مالک از مالک از پیامبر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شده ام به اینکه مساجد را به طور صاف و ساده بنا کنم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ابن عباس در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شدیم به اینکه مساجد را صاف و ساده بدون کنگره و بنای شهرها را با کنگره بنا کنیم</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عبدالله بن شقیق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ساده و شهرها کنگرهای ساخته می 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مسلم البطین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کنار مسجد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و می بیند که کنگره ای ساخته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نشده ام که مساجد را مانند قصر بسازم</w:t>
      </w:r>
      <w:r>
        <w:rPr>
          <w:rFonts w:eastAsia="IRNazanin" w:cs="IRNazanin"/>
          <w:color w:val="111111"/>
          <w:sz w:val="28"/>
          <w:szCs w:val="28"/>
          <w:rtl w:val="true"/>
          <w:lang w:bidi="fa-IR"/>
        </w:rPr>
        <w:t xml:space="preserve">». </w:t>
      </w:r>
      <w:r>
        <w:rPr>
          <w:rStyle w:val="FootnoteAnchor"/>
          <w:rtl w:val="true"/>
        </w:rPr>
        <w:footnoteReference w:id="261"/>
      </w:r>
      <w:bookmarkStart w:id="182" w:name="pg19115_195384"/>
    </w:p>
    <w:p>
      <w:pPr>
        <w:pStyle w:val="Heading4"/>
        <w:numPr>
          <w:ilvl w:val="3"/>
          <w:numId w:val="1"/>
        </w:numPr>
        <w:rPr/>
      </w:pPr>
      <w:bookmarkStart w:id="183" w:name="__RefHeading___Toc15202312_1280447820"/>
      <w:bookmarkStart w:id="184" w:name="_Toc67"/>
      <w:bookmarkEnd w:id="182"/>
      <w:bookmarkEnd w:id="183"/>
      <w:r>
        <w:rPr>
          <w:rtl w:val="true"/>
        </w:rPr>
        <w:t>مبحث چهارم</w:t>
      </w:r>
      <w:r>
        <w:rPr>
          <w:rtl w:val="true"/>
        </w:rPr>
        <w:t xml:space="preserve">: </w:t>
      </w:r>
      <w:r>
        <w:rPr>
          <w:rtl w:val="true"/>
        </w:rPr>
        <w:t>محراب مسجد</w:t>
      </w:r>
      <w:bookmarkEnd w:id="184"/>
    </w:p>
    <w:p>
      <w:pPr>
        <w:pStyle w:val="Heading5"/>
        <w:numPr>
          <w:ilvl w:val="4"/>
          <w:numId w:val="1"/>
        </w:numPr>
        <w:rPr/>
      </w:pPr>
      <w:bookmarkStart w:id="185" w:name="__RefHeading___Toc15202314_1280447820"/>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پیش از بررسی احکام فقهی،محراب شایسته است که به طور مقدماتی به معنای لغوی و اصطلاحی محراب بپردازیم و نیز آیات مرتبط با این موضوع را مورد توجه قرار داده و محراب مسجد النبی را نیز تبیین نماییم</w:t>
      </w:r>
      <w:r>
        <w:rPr>
          <w:rFonts w:eastAsia="IRNazanin" w:cs="IRNazanin"/>
          <w:color w:val="111111"/>
          <w:sz w:val="28"/>
          <w:szCs w:val="28"/>
          <w:rtl w:val="true"/>
          <w:lang w:bidi="fa-IR"/>
        </w:rPr>
        <w:t>.</w:t>
      </w:r>
    </w:p>
    <w:p>
      <w:pPr>
        <w:pStyle w:val="Heading5"/>
        <w:numPr>
          <w:ilvl w:val="4"/>
          <w:numId w:val="1"/>
        </w:numPr>
        <w:rPr/>
      </w:pPr>
      <w:bookmarkStart w:id="187" w:name="__RefHeading___Toc15202316_1280447820"/>
      <w:bookmarkStart w:id="188" w:name="_Toc69"/>
      <w:bookmarkEnd w:id="187"/>
      <w:r>
        <w:rPr>
          <w:rtl w:val="true"/>
        </w:rPr>
        <w:t>گفتار اول</w:t>
      </w:r>
      <w:r>
        <w:rPr>
          <w:rtl w:val="true"/>
        </w:rPr>
        <w:t xml:space="preserve">: </w:t>
      </w:r>
      <w:r>
        <w:rPr>
          <w:rtl w:val="true"/>
        </w:rPr>
        <w:t>مفاهیم</w:t>
      </w:r>
      <w:bookmarkEnd w:id="188"/>
    </w:p>
    <w:p>
      <w:pPr>
        <w:pStyle w:val="Heading6"/>
        <w:numPr>
          <w:ilvl w:val="5"/>
          <w:numId w:val="1"/>
        </w:numPr>
        <w:rPr/>
      </w:pPr>
      <w:bookmarkStart w:id="189" w:name="__RefHeading___Toc15202318_1280447820"/>
      <w:bookmarkStart w:id="190" w:name="_Toc70"/>
      <w:bookmarkEnd w:id="189"/>
      <w:r>
        <w:rPr>
          <w:rtl w:val="true"/>
        </w:rPr>
        <w:t>الف</w:t>
      </w:r>
      <w:r>
        <w:rPr>
          <w:rtl w:val="true"/>
        </w:rPr>
        <w:t xml:space="preserve">) </w:t>
      </w:r>
      <w:r>
        <w:rPr>
          <w:rtl w:val="true"/>
        </w:rPr>
        <w:t>محراب در لغت</w:t>
      </w:r>
      <w:bookmarkEnd w:id="190"/>
    </w:p>
    <w:p>
      <w:pPr>
        <w:pStyle w:val="BookText"/>
        <w:rPr/>
      </w:pPr>
      <w:r>
        <w:rPr>
          <w:rFonts w:ascii="IRNazanin" w:hAnsi="IRNazanin" w:eastAsia="IRNazanin"/>
          <w:color w:val="111111"/>
          <w:sz w:val="28"/>
          <w:sz w:val="28"/>
          <w:szCs w:val="28"/>
          <w:rtl w:val="true"/>
          <w:lang w:bidi="fa-IR"/>
        </w:rPr>
        <w:t>مناسب ترین و شریف ترین مکان مجلس و صدر آن را محراب می گویند و لذا، به جایگاه مخصوص پادشاهان سادات و بزرگان نیز محراب گفته می شود که از مکان نشستن مردم فاصله دارد،البته این واژه در مورد اتاق و جهت قبله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 در مورد آیه مباركه </w:t>
      </w:r>
      <w:r>
        <w:rPr>
          <w:rFonts w:ascii="Amiri" w:hAnsi="Amiri" w:eastAsia="Amiri" w:cs="Amiri"/>
          <w:color w:val="111111"/>
          <w:sz w:val="28"/>
          <w:sz w:val="28"/>
          <w:szCs w:val="28"/>
          <w:rtl w:val="true"/>
          <w:lang w:bidi="ar-SA"/>
        </w:rPr>
        <w:t>وَ هَلْ أَتَاكَ نَبَأَ الْخَصْمِ إِذْ تَسَوَّرُوا الْمِحْرَابَ</w:t>
      </w:r>
      <w:r>
        <w:rPr>
          <w:rStyle w:val="FootnoteAnchor"/>
          <w:rtl w:val="true"/>
        </w:rPr>
        <w:footnoteReference w:id="26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مرتفع ترین و بلندترین اتاق ساختمان، محراب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 گوید مکان عالی زیباترین و مقدمترین مجالس محراب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قصر را محراب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هری معتقد است که محاریب بنی اسرائیل مساجدشان است که برای نماز در آنجا اجتماع می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را از آن روی محراب گفته اند که محل جنگ با شیطان و هوای نفس است</w:t>
      </w:r>
      <w:r>
        <w:rPr>
          <w:rFonts w:eastAsia="IRNazanin" w:cs="IRNazanin"/>
          <w:color w:val="111111"/>
          <w:sz w:val="28"/>
          <w:szCs w:val="28"/>
          <w:rtl w:val="true"/>
          <w:lang w:bidi="fa-IR"/>
        </w:rPr>
        <w:t xml:space="preserve">. </w:t>
      </w:r>
      <w:r>
        <w:rPr>
          <w:rStyle w:val="FootnoteAnchor"/>
          <w:rtl w:val="true"/>
        </w:rPr>
        <w:footnoteReference w:id="263"/>
      </w:r>
      <w:bookmarkStart w:id="191" w:name="pg19115_195385"/>
    </w:p>
    <w:p>
      <w:pPr>
        <w:pStyle w:val="BookText"/>
        <w:rPr/>
      </w:pPr>
      <w:bookmarkEnd w:id="191"/>
      <w:r>
        <w:rPr>
          <w:rFonts w:ascii="IRNazanin" w:hAnsi="IRNazanin" w:eastAsia="IRNazanin"/>
          <w:color w:val="111111"/>
          <w:sz w:val="28"/>
          <w:sz w:val="28"/>
          <w:szCs w:val="28"/>
          <w:rtl w:val="true"/>
          <w:lang w:bidi="fa-IR"/>
        </w:rPr>
        <w:t>امروزه محراب در نزد عموم مردم به جایگاهی اطلاق می شود که امام جماعت در آن به نماز می ایستد که بهترین مکان مسجد است</w:t>
      </w:r>
      <w:r>
        <w:rPr>
          <w:rFonts w:eastAsia="IRNazanin" w:cs="IRNazanin"/>
          <w:color w:val="111111"/>
          <w:sz w:val="28"/>
          <w:szCs w:val="28"/>
          <w:rtl w:val="true"/>
          <w:lang w:bidi="fa-IR"/>
        </w:rPr>
        <w:t>.</w:t>
      </w:r>
    </w:p>
    <w:p>
      <w:pPr>
        <w:pStyle w:val="Heading6"/>
        <w:numPr>
          <w:ilvl w:val="5"/>
          <w:numId w:val="1"/>
        </w:numPr>
        <w:rPr/>
      </w:pPr>
      <w:bookmarkStart w:id="192" w:name="__RefHeading___Toc15202320_1280447820"/>
      <w:bookmarkStart w:id="193" w:name="_Toc71"/>
      <w:bookmarkEnd w:id="192"/>
      <w:r>
        <w:rPr>
          <w:rtl w:val="true"/>
        </w:rPr>
        <w:t>ب</w:t>
      </w:r>
      <w:r>
        <w:rPr>
          <w:rtl w:val="true"/>
        </w:rPr>
        <w:t xml:space="preserve">) </w:t>
      </w:r>
      <w:r>
        <w:rPr>
          <w:rtl w:val="true"/>
        </w:rPr>
        <w:t>محراب در اصطلاح</w:t>
      </w:r>
      <w:bookmarkEnd w:id="193"/>
    </w:p>
    <w:p>
      <w:pPr>
        <w:pStyle w:val="BookText"/>
        <w:rPr/>
      </w:pPr>
      <w:r>
        <w:rPr>
          <w:rFonts w:ascii="IRNazanin" w:hAnsi="IRNazanin" w:eastAsia="IRNazanin"/>
          <w:color w:val="111111"/>
          <w:sz w:val="28"/>
          <w:sz w:val="28"/>
          <w:szCs w:val="28"/>
          <w:rtl w:val="true"/>
          <w:lang w:bidi="fa-IR"/>
        </w:rPr>
        <w:t>معنای اصطلاحی محراب نیز برگرفته از معنای لغوی آن و عبارت از مکانی است که با کیفیت خاصی به عنوان جایگاه مخصوص امام جماعت در مسجد ساخته می شود و مسلمانان به همان جهت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حسن بن عمار شرنبلالی از فقهای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را به این جهت محراب می نامند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ازگزار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سبب ایستادن به آن سمت با هوای نفس و شیطان می جنگد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طحطاوی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قبله و استقبال به آن را تعریف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به قبله نیز اطلاق می شود؛ زیرا وقتی نمازگزار در محراب مقابل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ایستد با نفس و شیطان مبارزه می کند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محراب از یک طرف با مسجد و از جهت دیگر با قبله ارتباط دارد؛ پیوند محراب به مسجد آن است که محراب جزء مسجد و جایگاه مخصوص امام جماعت است؛ و ارتباط آن به قبله نیز بدین جهت است که محراب علامت و نشانه سمت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محراب از نظر ساختمان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مسطّح که صاف و هموار می باشد و هیچ گونه تورفتگی در آن وجود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میان تهی و دارای تورفتگی است اصطلاحاً به آن مجوف گفته می شود که گاهی به شکل نیم دایره و گاه به شکل قائم الزوایا و در برخی موارد نیز چند ضلعی است</w:t>
      </w:r>
      <w:r>
        <w:rPr>
          <w:rFonts w:eastAsia="IRNazanin" w:cs="IRNazanin"/>
          <w:color w:val="111111"/>
          <w:sz w:val="28"/>
          <w:szCs w:val="28"/>
          <w:rtl w:val="true"/>
          <w:lang w:bidi="fa-IR"/>
        </w:rPr>
        <w:t xml:space="preserve">. </w:t>
      </w:r>
      <w:bookmarkStart w:id="194" w:name="pg19115_195386"/>
    </w:p>
    <w:p>
      <w:pPr>
        <w:pStyle w:val="Heading6"/>
        <w:numPr>
          <w:ilvl w:val="5"/>
          <w:numId w:val="1"/>
        </w:numPr>
        <w:rPr/>
      </w:pPr>
      <w:bookmarkStart w:id="195" w:name="__RefHeading___Toc15202322_1280447820"/>
      <w:bookmarkStart w:id="196" w:name="_Toc72"/>
      <w:bookmarkEnd w:id="194"/>
      <w:bookmarkEnd w:id="195"/>
      <w:r>
        <w:rPr>
          <w:rtl w:val="true"/>
        </w:rPr>
        <w:t>ج</w:t>
      </w:r>
      <w:r>
        <w:rPr>
          <w:rtl w:val="true"/>
        </w:rPr>
        <w:t xml:space="preserve">) </w:t>
      </w:r>
      <w:r>
        <w:rPr>
          <w:rtl w:val="true"/>
        </w:rPr>
        <w:t>محراب در آیات قرآن</w:t>
      </w:r>
      <w:bookmarkEnd w:id="196"/>
    </w:p>
    <w:p>
      <w:pPr>
        <w:pStyle w:val="BookText"/>
        <w:rPr/>
      </w:pPr>
      <w:r>
        <w:rPr>
          <w:rFonts w:ascii="IRNazanin" w:hAnsi="IRNazanin" w:eastAsia="IRNazanin"/>
          <w:color w:val="111111"/>
          <w:sz w:val="28"/>
          <w:sz w:val="28"/>
          <w:szCs w:val="28"/>
          <w:rtl w:val="true"/>
          <w:lang w:bidi="fa-IR"/>
        </w:rPr>
        <w:t>واژه محراب به صورت مفرد و جمع در چند آیه قرآن کریم به کار رفته که ذیلا به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كُلَّمَا دَخَلَ عَلَيْهَا زَكَرِيَّا الْمِحْرَابَ وَجَدَ عِنْدَهَا رِزْقًا</w:t>
      </w:r>
      <w:r>
        <w:rPr>
          <w:rFonts w:ascii="IRNazanin" w:hAnsi="IRNazanin" w:eastAsia="IRNazanin"/>
          <w:color w:val="111111"/>
          <w:sz w:val="28"/>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هرگاه زکریا به آن محراب بر مریم وارد می شد می دید که در نزد او رزق و روزی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فَنَادَتْهُ الْمَلَائِكَةُ وَهُوَ قَائِمٌ يُصَلِّي فِي الْمِحْرَاب</w:t>
      </w:r>
      <w:r>
        <w:rPr>
          <w:rFonts w:ascii="IRNazanin" w:hAnsi="IRNazanin" w:eastAsia="IRNazanin"/>
          <w:color w:val="111111"/>
          <w:sz w:val="28"/>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آنگاه در حالی که در محراب به نماز ایستاده بود فرشتگان ندایش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فَخَرَجَ عَلَى قَوْمِهِ مِنَ الْمِحْرَابِ فَأَوْحَى إِلَيْهِمْ أَنْ سَبِّحُوا بُكْرَةً وَعَشِيَّا</w:t>
      </w:r>
      <w:r>
        <w:rPr>
          <w:rStyle w:val="FootnoteAnchor"/>
          <w:rtl w:val="true"/>
        </w:rPr>
        <w:footnoteReference w:id="268"/>
      </w:r>
      <w:r>
        <w:rPr>
          <w:rFonts w:ascii="IRNazanin" w:hAnsi="IRNazanin" w:eastAsia="IRNazanin"/>
          <w:color w:val="111111"/>
          <w:sz w:val="28"/>
          <w:sz w:val="28"/>
          <w:szCs w:val="28"/>
          <w:rtl w:val="true"/>
          <w:lang w:bidi="fa-IR"/>
        </w:rPr>
        <w:t>زکریا از محراب به نزد قومش بیرون آمد و به آنان اشاره کرد که بامدادان و شامگاهان او را ستایش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هَلْ أَتَاكَ نَبَأَ الْخَصْمِ إِذْ تَسَوَّرُوا الْمِحْرَابَ</w:t>
      </w:r>
      <w:r>
        <w:rPr>
          <w:rFonts w:ascii="IRNazanin" w:hAnsi="IRNazanin" w:eastAsia="IRNazanin"/>
          <w:color w:val="111111"/>
          <w:sz w:val="28"/>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آیا خبر اصحاب دعوا به تو رسیده است که از دیوار محراب او بالا رفتند؟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يَعْمَلُونَ لَهُ مَا يَشَاءُ مِنْ مَحَارِيبَ وَتَمَاثِيلَ وَجِفَانِ كَالْجَوَاب</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آنان برای او هر چه می خواست از محرابها و نقش و نگارها و کاسه های بزرگ حوض مانند و دیگدان های استوار می ساختند</w:t>
      </w:r>
      <w:r>
        <w:rPr>
          <w:rFonts w:eastAsia="IRNazanin" w:cs="IRNazanin"/>
          <w:color w:val="111111"/>
          <w:sz w:val="28"/>
          <w:szCs w:val="28"/>
          <w:rtl w:val="true"/>
          <w:lang w:bidi="fa-IR"/>
        </w:rPr>
        <w:t>.</w:t>
      </w:r>
    </w:p>
    <w:p>
      <w:pPr>
        <w:pStyle w:val="Heading6"/>
        <w:numPr>
          <w:ilvl w:val="5"/>
          <w:numId w:val="1"/>
        </w:numPr>
        <w:rPr/>
      </w:pPr>
      <w:bookmarkStart w:id="197" w:name="__RefHeading___Toc15202324_1280447820"/>
      <w:bookmarkStart w:id="198" w:name="_Toc73"/>
      <w:bookmarkEnd w:id="197"/>
      <w:r>
        <w:rPr>
          <w:rtl w:val="true"/>
        </w:rPr>
        <w:t>د</w:t>
      </w:r>
      <w:r>
        <w:rPr>
          <w:rtl w:val="true"/>
        </w:rPr>
        <w:t xml:space="preserve">) </w:t>
      </w:r>
      <w:r>
        <w:rPr>
          <w:rtl w:val="true"/>
        </w:rPr>
        <w:t>محرابهای مسجد النبی صلی الله علیه و آله</w:t>
      </w:r>
      <w:bookmarkEnd w:id="19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هنگام خواندن خطبه به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کردند که در کنار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در </w:t>
      </w:r>
    </w:p>
    <w:p>
      <w:pPr>
        <w:pStyle w:val="BookText"/>
        <w:rPr/>
      </w:pPr>
      <w:r>
        <w:rPr>
          <w:rFonts w:ascii="IRNazanin" w:hAnsi="IRNazanin" w:eastAsia="IRNazanin"/>
          <w:color w:val="111111"/>
          <w:sz w:val="28"/>
          <w:sz w:val="28"/>
          <w:szCs w:val="28"/>
          <w:rtl w:val="true"/>
          <w:lang w:bidi="fa-IR"/>
        </w:rPr>
        <w:t>زمان پیامبر خدا صلی الله علیه و آله از تنه درخت خرما ساخته شده بود و پیامبر در سمت شرقی آن به نماز می ایستادند و هنگام قرائت خطبه نیز به آن تکیه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پس از رحلت پیامبر محل نماز ایشان را با صندوق مصحفی علامت گذاری نمودند که نشانه بارزی در تعیین محل نماز رسول خدا بود و در دوران بعد همان مکان که در میانه منبر و حجره قرار داشت به محراب فعلی این مسجد تبدیل شده است؛ و هیچ اختلافی نیز در این مکان وجود ندارد؛ زیرا در طول تاریخ محل خاصی که پیامبر اکرم برای نماز خود انتخاب کرده بود، با استمرار نماز جماعت به عنوان محراب و سجده گاه همیشگی ایشان مشهور همگان گردید؛ محرابی که پیامبر در پیشگاه حق سبحانه سجده به جای می آورد و پیشانی را به نشانه خضوع کامل بر خاک می نهاد و هیچ اختلافی نیز در میان مسلمانان در تعیین مکان آن بروز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محراب این مسجد در زمان حیات پیامبر گرامی ساخته نشده بود، بلکه حتی چند دهه بعد از زمان پیامبر صلی الله علیه و آله و هم چیزی به نام محراب وجود نداشت و از این رو، اگر گاهی از این مکان به محراب النبی صلی الله علیه و آله تعبیر می شود، در واقع مقصود، همان مصلی و محل نماز آن حضرت می باشد نه اینکه ایشان دارای مکان خاصی به نام محراب بوده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در زمان آن حضرت و نیز در زمان خلفا فاقد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اولین فردی که در جایگاه نماز رسول خدا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 عمر بن عبدالعزیز والی مدینه در دوران خلافت ولید بن عبدالملک بود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این محراب، در طول زمان دگرگونی هایی را به خود دیده است و بنای فعلی آن از دوره </w:t>
      </w:r>
      <w:bookmarkStart w:id="199" w:name="pg19115_195388"/>
    </w:p>
    <w:p>
      <w:pPr>
        <w:pStyle w:val="BookText"/>
        <w:rPr/>
      </w:pPr>
      <w:bookmarkEnd w:id="199"/>
      <w:r>
        <w:rPr>
          <w:rFonts w:ascii="IRNazanin" w:hAnsi="IRNazanin" w:eastAsia="IRNazanin"/>
          <w:color w:val="111111"/>
          <w:sz w:val="28"/>
          <w:sz w:val="28"/>
          <w:szCs w:val="28"/>
          <w:rtl w:val="true"/>
          <w:lang w:bidi="fa-IR"/>
        </w:rPr>
        <w:t>سلطان اشرف قایتبای که از سلاطین مملوکی مصر بوده،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محراب اصلی، دو محراب دیگر نیز در سمت قبله مسجد وجود دارد که یکی محراب عثمانی و منسوب به عثمان بن عفان است که توسط او بنا شده و او از اتمام توسعه و تعمیر مسجد در این مکان به اقامه نماز جماعت می پرداخته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دوم محراب سلیمانی است که به نام محراب حنفی نیز شهرت دارد و متعلّق به سلطان سلیمان عثمانی است</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200" w:name="__RefHeading___Toc15202326_1280447820"/>
      <w:bookmarkStart w:id="201" w:name="_Toc74"/>
      <w:bookmarkEnd w:id="200"/>
      <w:r>
        <w:rPr>
          <w:rtl w:val="true"/>
        </w:rPr>
        <w:t>گفتار دوم</w:t>
      </w:r>
      <w:r>
        <w:rPr>
          <w:rtl w:val="true"/>
        </w:rPr>
        <w:t xml:space="preserve">: </w:t>
      </w:r>
      <w:r>
        <w:rPr>
          <w:rtl w:val="true"/>
        </w:rPr>
        <w:t>دیدگاه فقیهان امامیه پیرامون ساختن محراب</w:t>
      </w:r>
      <w:bookmarkEnd w:id="201"/>
    </w:p>
    <w:p>
      <w:pPr>
        <w:pStyle w:val="Heading6"/>
        <w:numPr>
          <w:ilvl w:val="5"/>
          <w:numId w:val="1"/>
        </w:numPr>
        <w:rPr/>
      </w:pPr>
      <w:bookmarkStart w:id="202" w:name="__RefHeading___Toc15202328_1280447820"/>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ساختن جایگاه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جماعت در مسجد چه حکمی دارد؟ آراء فقها در این مسأله مختلف است و چهار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کراهت جواز استحباب و حرمت ساختن محراب</w:t>
      </w:r>
      <w:r>
        <w:rPr>
          <w:rFonts w:eastAsia="IRNazanin" w:cs="IRNazanin"/>
          <w:color w:val="111111"/>
          <w:sz w:val="28"/>
          <w:szCs w:val="28"/>
          <w:rtl w:val="true"/>
          <w:lang w:bidi="fa-IR"/>
        </w:rPr>
        <w:t>.</w:t>
      </w:r>
    </w:p>
    <w:p>
      <w:pPr>
        <w:pStyle w:val="Heading6"/>
        <w:numPr>
          <w:ilvl w:val="5"/>
          <w:numId w:val="1"/>
        </w:numPr>
        <w:rPr/>
      </w:pPr>
      <w:bookmarkStart w:id="204" w:name="__RefHeading___Toc15202330_1280447820"/>
      <w:bookmarkStart w:id="205" w:name="_Toc76"/>
      <w:bookmarkEnd w:id="204"/>
      <w:r>
        <w:rPr>
          <w:rtl w:val="true"/>
        </w:rPr>
        <w:t>الف</w:t>
      </w:r>
      <w:r>
        <w:rPr>
          <w:rtl w:val="true"/>
        </w:rPr>
        <w:t xml:space="preserve">. </w:t>
      </w:r>
      <w:r>
        <w:rPr>
          <w:rtl w:val="true"/>
        </w:rPr>
        <w:t>دیدگاه اول کراهت ساخت محراب</w:t>
      </w:r>
      <w:bookmarkEnd w:id="2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شماری دیگر از فقیهان شیعه معتقدند که ساختن محراب در مساجد کراهت دارد و آنان تصریح می کنند که منظور از ساختن محراب در مساجد ساختن یک جایگاه مخصوص برای امام جماعت در داخل دیوار مسجد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شهید در ذکری می نویسد فقها تصریح می کنند که منظور ما ساختن محراب در داخل دیوار مسجد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سید محمد عاملی نیز در کتاب مدارک این مسأله را به شیخ و جمعی از اصحاب نسبت داده است</w:t>
      </w:r>
      <w:r>
        <w:rPr>
          <w:rFonts w:eastAsia="IRNazanin" w:cs="IRNazanin"/>
          <w:color w:val="111111"/>
          <w:sz w:val="28"/>
          <w:szCs w:val="28"/>
          <w:rtl w:val="true"/>
          <w:lang w:bidi="fa-IR"/>
        </w:rPr>
        <w:t xml:space="preserve">. </w:t>
      </w:r>
      <w:r>
        <w:rPr>
          <w:rStyle w:val="FootnoteAnchor"/>
          <w:rtl w:val="true"/>
        </w:rPr>
        <w:footnoteReference w:id="276"/>
      </w:r>
      <w:bookmarkStart w:id="206" w:name="pg19115_195389"/>
    </w:p>
    <w:p>
      <w:pPr>
        <w:pStyle w:val="BookText"/>
        <w:rPr/>
      </w:pPr>
      <w:bookmarkEnd w:id="206"/>
      <w:r>
        <w:rPr>
          <w:rFonts w:ascii="IRNazanin" w:hAnsi="IRNazanin" w:eastAsia="IRNazanin"/>
          <w:color w:val="111111"/>
          <w:sz w:val="28"/>
          <w:sz w:val="28"/>
          <w:szCs w:val="28"/>
          <w:rtl w:val="true"/>
          <w:lang w:bidi="fa-IR"/>
        </w:rPr>
        <w:t>محقق ثانی، شهید ثانی و سید طباطبائی تصریح کرده اند که ساختن محراب در داخل دیوار در صورتی مکروه است که فرو رفتگی آن زیاد باشد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سید محمد عاملی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روایتی که بر این معنی دلالت کند دست نیافتم</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محدّث بحرانی نیز با او موافقت کرده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محقق حلی در کتاب معتبر برای مکروه بودن محراب به روایت طلحة بن زيد استدلال کرده است، </w:t>
      </w:r>
      <w:r>
        <w:rPr>
          <w:rStyle w:val="FootnoteAnchor"/>
          <w:rtl w:val="true"/>
        </w:rPr>
        <w:footnoteReference w:id="280"/>
      </w:r>
      <w:r>
        <w:rPr>
          <w:rFonts w:ascii="IRNazanin" w:hAnsi="IRNazanin" w:eastAsia="IRNazanin"/>
          <w:color w:val="111111"/>
          <w:sz w:val="28"/>
          <w:sz w:val="28"/>
          <w:szCs w:val="28"/>
          <w:rtl w:val="true"/>
          <w:lang w:bidi="fa-IR"/>
        </w:rPr>
        <w:t>که امیر المؤمنین علیه علیه السلام هرگاه محرابی را در مساجد مشاهده می کرد آن را می شکست و می فرمود که اینها شبیه معابد یهود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سید یزدی در عروة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يُكره أن يجعل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محاريب داخلة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فقهایی که بر این کتاب حاشیه نوشتند با سید موافقت کرده اند</w:t>
      </w:r>
      <w:r>
        <w:rPr>
          <w:rFonts w:eastAsia="IRNazanin" w:cs="IRNazanin"/>
          <w:color w:val="111111"/>
          <w:sz w:val="28"/>
          <w:szCs w:val="28"/>
          <w:rtl w:val="true"/>
          <w:lang w:bidi="fa-IR"/>
        </w:rPr>
        <w:t xml:space="preserve">. </w:t>
      </w:r>
      <w:r>
        <w:rPr>
          <w:rStyle w:val="FootnoteAnchor"/>
          <w:rtl w:val="true"/>
        </w:rPr>
        <w:footnoteReference w:id="282"/>
      </w:r>
    </w:p>
    <w:p>
      <w:pPr>
        <w:pStyle w:val="Heading6"/>
        <w:numPr>
          <w:ilvl w:val="5"/>
          <w:numId w:val="1"/>
        </w:numPr>
        <w:rPr/>
      </w:pPr>
      <w:bookmarkStart w:id="207" w:name="__RefHeading___Toc15202332_1280447820"/>
      <w:bookmarkStart w:id="208" w:name="_Toc77"/>
      <w:bookmarkEnd w:id="207"/>
      <w:r>
        <w:rPr>
          <w:rtl w:val="true"/>
        </w:rPr>
        <w:t>ب</w:t>
      </w:r>
      <w:r>
        <w:rPr>
          <w:rtl w:val="true"/>
        </w:rPr>
        <w:t xml:space="preserve">. </w:t>
      </w:r>
      <w:r>
        <w:rPr>
          <w:rtl w:val="true"/>
        </w:rPr>
        <w:t>دیدگاه دوم جواز ساختن محراب</w:t>
      </w:r>
      <w:bookmarkEnd w:id="2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معتقد است که اگر علامت و اثری روی دیوار مسجد به گونه ای باشد که از آن برای تعیین سمت قبله استفاده شود کراهتی ندارد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وحید بهبهانی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محراب به شکل متداول و متعارف که تنها ایجاد اثری بر روی دیوار مسجد است یا همراه با مقدار کمی فرو رفتگی در دیوار می باشد کراهتی ندارد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شیخ محمد حسن نجفی نیز در کتاب جواهر به همین نکته در بیان حکم </w:t>
      </w:r>
      <w:bookmarkStart w:id="209" w:name="pg19115_195390"/>
    </w:p>
    <w:p>
      <w:pPr>
        <w:pStyle w:val="BookText"/>
        <w:rPr/>
      </w:pPr>
      <w:bookmarkEnd w:id="209"/>
      <w:r>
        <w:rPr>
          <w:rFonts w:ascii="IRNazanin" w:hAnsi="IRNazanin" w:eastAsia="IRNazanin"/>
          <w:color w:val="111111"/>
          <w:sz w:val="28"/>
          <w:sz w:val="28"/>
          <w:szCs w:val="28"/>
          <w:rtl w:val="true"/>
          <w:lang w:bidi="fa-IR"/>
        </w:rPr>
        <w:t>کراهت اشاره کرده است</w:t>
      </w:r>
      <w:r>
        <w:rPr>
          <w:rFonts w:eastAsia="IRNazanin" w:cs="IRNazanin"/>
          <w:color w:val="111111"/>
          <w:sz w:val="28"/>
          <w:szCs w:val="28"/>
          <w:rtl w:val="true"/>
          <w:lang w:bidi="fa-IR"/>
        </w:rPr>
        <w:t xml:space="preserve">. </w:t>
      </w:r>
      <w:r>
        <w:rPr>
          <w:rStyle w:val="FootnoteAnchor"/>
          <w:rtl w:val="true"/>
        </w:rPr>
        <w:footnoteReference w:id="285"/>
      </w:r>
    </w:p>
    <w:p>
      <w:pPr>
        <w:pStyle w:val="Heading6"/>
        <w:numPr>
          <w:ilvl w:val="5"/>
          <w:numId w:val="1"/>
        </w:numPr>
        <w:rPr/>
      </w:pPr>
      <w:bookmarkStart w:id="210" w:name="__RefHeading___Toc15202334_1280447820"/>
      <w:bookmarkStart w:id="211" w:name="_Toc78"/>
      <w:bookmarkEnd w:id="210"/>
      <w:r>
        <w:rPr>
          <w:rtl w:val="true"/>
        </w:rPr>
        <w:t>ج</w:t>
      </w:r>
      <w:r>
        <w:rPr>
          <w:rtl w:val="true"/>
        </w:rPr>
        <w:t xml:space="preserve">. </w:t>
      </w:r>
      <w:r>
        <w:rPr>
          <w:rtl w:val="true"/>
        </w:rPr>
        <w:t>دیدگاه سوّم</w:t>
      </w:r>
      <w:r>
        <w:rPr>
          <w:rtl w:val="true"/>
        </w:rPr>
        <w:t xml:space="preserve">: </w:t>
      </w:r>
      <w:r>
        <w:rPr>
          <w:rtl w:val="true"/>
        </w:rPr>
        <w:t>استحباب ساختن محراب</w:t>
      </w:r>
      <w:bookmarkEnd w:id="211"/>
    </w:p>
    <w:p>
      <w:pPr>
        <w:pStyle w:val="BookText"/>
        <w:rPr/>
      </w:pPr>
      <w:r>
        <w:rPr>
          <w:rFonts w:ascii="IRNazanin" w:hAnsi="IRNazanin" w:eastAsia="IRNazanin"/>
          <w:color w:val="111111"/>
          <w:sz w:val="28"/>
          <w:sz w:val="28"/>
          <w:szCs w:val="28"/>
          <w:rtl w:val="true"/>
          <w:lang w:bidi="fa-IR"/>
        </w:rPr>
        <w:t>محدث بحرانی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تتبع سیره مسلمین و روایات وارده در این موضوع </w:t>
      </w:r>
      <w:r>
        <w:rPr>
          <w:rStyle w:val="FootnoteAnchor"/>
          <w:rtl w:val="true"/>
        </w:rPr>
        <w:footnoteReference w:id="286"/>
      </w:r>
      <w:r>
        <w:rPr>
          <w:rFonts w:ascii="IRNazanin" w:hAnsi="IRNazanin" w:eastAsia="IRNazanin"/>
          <w:color w:val="111111"/>
          <w:sz w:val="28"/>
          <w:sz w:val="28"/>
          <w:szCs w:val="28"/>
          <w:rtl w:val="true"/>
          <w:lang w:bidi="fa-IR"/>
        </w:rPr>
        <w:t>و عبارات شمار زیادی از علما و به خصوص کلمات فقهای مذهب اهل 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این است که ساختن محراب برای مساجد مستحب است و همچنین اقامه نماز در محراب برای امام جماعت استحباب دارد و مکروه نیست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منصور بن حازم در روایت صحیح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سوال کردم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محراب نماز می خوانم؟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محراب وسعت دارد و می توانی در آن نماز بخوانی اشکالی ندارد</w:t>
      </w:r>
      <w:r>
        <w:rPr>
          <w:rFonts w:eastAsia="IRNazanin" w:cs="IRNazanin"/>
          <w:color w:val="111111"/>
          <w:sz w:val="28"/>
          <w:szCs w:val="28"/>
          <w:rtl w:val="true"/>
          <w:lang w:bidi="fa-IR"/>
        </w:rPr>
        <w:t>.</w:t>
      </w:r>
      <w:r>
        <w:rPr>
          <w:rStyle w:val="FootnoteAnchor"/>
          <w:rtl w:val="true"/>
        </w:rPr>
        <w:footnoteReference w:id="288"/>
      </w:r>
    </w:p>
    <w:p>
      <w:pPr>
        <w:pStyle w:val="Heading6"/>
        <w:numPr>
          <w:ilvl w:val="5"/>
          <w:numId w:val="1"/>
        </w:numPr>
        <w:rPr/>
      </w:pPr>
      <w:bookmarkStart w:id="212" w:name="__RefHeading___Toc15202336_1280447820"/>
      <w:bookmarkStart w:id="213" w:name="_Toc79"/>
      <w:bookmarkEnd w:id="212"/>
      <w:r>
        <w:rPr>
          <w:rtl w:val="true"/>
        </w:rPr>
        <w:t>د</w:t>
      </w:r>
      <w:r>
        <w:rPr>
          <w:rtl w:val="true"/>
        </w:rPr>
        <w:t xml:space="preserve">. </w:t>
      </w:r>
      <w:r>
        <w:rPr>
          <w:rtl w:val="true"/>
        </w:rPr>
        <w:t>دیدگاه چهارم</w:t>
      </w:r>
      <w:r>
        <w:rPr>
          <w:rtl w:val="true"/>
        </w:rPr>
        <w:t xml:space="preserve">: </w:t>
      </w:r>
      <w:r>
        <w:rPr>
          <w:rtl w:val="true"/>
        </w:rPr>
        <w:t>حرمت ساخت محراب در داخل فضای مسجد</w:t>
      </w:r>
      <w:bookmarkEnd w:id="213"/>
    </w:p>
    <w:p>
      <w:pPr>
        <w:pStyle w:val="BookText"/>
        <w:rPr/>
      </w:pPr>
      <w:r>
        <w:rPr>
          <w:rFonts w:ascii="IRNazanin" w:hAnsi="IRNazanin" w:eastAsia="IRNazanin"/>
          <w:color w:val="111111"/>
          <w:sz w:val="28"/>
          <w:sz w:val="28"/>
          <w:szCs w:val="28"/>
          <w:rtl w:val="true"/>
          <w:lang w:bidi="fa-IR"/>
        </w:rPr>
        <w:t>فاضل اصفهانی در کشف اللثام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ساختن محراب در داخل مسجد، در صورتی که آن مسجد قبلا ساخته شده و مسجدیت آن محقق شده حرام است؛ زیرا ساختن محراب در داخل شبستان مسجد جای نماز را اشغال و مانع از نماز خواندن در آن مکان می شود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ثانی در جامع المقاصد می نویسد اگر چنان که مسجد ساخته و مسجدیت آن نیز محقق شده باشد اگر اقدام به ساختن محراب در داخل آن به صورت یک </w:t>
      </w:r>
      <w:bookmarkStart w:id="214" w:name="pg19115_195391"/>
    </w:p>
    <w:p>
      <w:pPr>
        <w:pStyle w:val="BookText"/>
        <w:rPr/>
      </w:pPr>
      <w:bookmarkEnd w:id="214"/>
      <w:r>
        <w:rPr>
          <w:rFonts w:ascii="IRNazanin" w:hAnsi="IRNazanin" w:eastAsia="IRNazanin"/>
          <w:color w:val="111111"/>
          <w:sz w:val="28"/>
          <w:sz w:val="28"/>
          <w:szCs w:val="28"/>
          <w:rtl w:val="true"/>
          <w:lang w:bidi="fa-IR"/>
        </w:rPr>
        <w:t>اتاقک کوچک باشد حرام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شهید ثانی نیز به این مطلب تصریح می کند</w:t>
      </w:r>
      <w:r>
        <w:rPr>
          <w:rFonts w:eastAsia="IRNazanin" w:cs="IRNazanin"/>
          <w:color w:val="111111"/>
          <w:sz w:val="28"/>
          <w:szCs w:val="28"/>
          <w:rtl w:val="true"/>
          <w:lang w:bidi="fa-IR"/>
        </w:rPr>
        <w:t xml:space="preserve">. </w:t>
      </w:r>
      <w:r>
        <w:rPr>
          <w:rStyle w:val="FootnoteAnchor"/>
          <w:rtl w:val="true"/>
        </w:rPr>
        <w:footnoteReference w:id="291"/>
      </w:r>
    </w:p>
    <w:p>
      <w:pPr>
        <w:pStyle w:val="Heading6"/>
        <w:numPr>
          <w:ilvl w:val="5"/>
          <w:numId w:val="1"/>
        </w:numPr>
        <w:rPr/>
      </w:pPr>
      <w:bookmarkStart w:id="215" w:name="__RefHeading___Toc15202338_1280447820"/>
      <w:bookmarkStart w:id="216" w:name="_Toc80"/>
      <w:bookmarkEnd w:id="215"/>
      <w:r>
        <w:rPr>
          <w:rtl w:val="true"/>
        </w:rPr>
        <w:t>ه</w:t>
      </w:r>
      <w:r>
        <w:rPr>
          <w:rtl w:val="true"/>
        </w:rPr>
        <w:t xml:space="preserve">. </w:t>
      </w:r>
      <w:r>
        <w:rPr>
          <w:rtl w:val="true"/>
        </w:rPr>
        <w:t>جمع بندی دیدگاه فقها</w:t>
      </w:r>
      <w:bookmarkEnd w:id="216"/>
    </w:p>
    <w:p>
      <w:pPr>
        <w:pStyle w:val="BookText"/>
        <w:rPr/>
      </w:pPr>
      <w:r>
        <w:rPr>
          <w:rFonts w:ascii="IRNazanin" w:hAnsi="IRNazanin" w:eastAsia="IRNazanin"/>
          <w:color w:val="111111"/>
          <w:sz w:val="28"/>
          <w:sz w:val="28"/>
          <w:szCs w:val="28"/>
          <w:rtl w:val="true"/>
          <w:lang w:bidi="fa-IR"/>
        </w:rPr>
        <w:t xml:space="preserve">چنان که اشاره شد در این مبحث چهار دیدگاه وجود دارد ولی نکته مورد توجه آن است که دیدگاه جواز ساختن محراب و دیدگاه استحباب آن به یک نظریه بر می گردد؛ زیرا در عبادات اباحه و جواز به معنای اخص نداریم هر عبادتی که جائز باشد، در واقع به معنای رجحان آن عمل </w:t>
      </w:r>
      <w:r>
        <w:rPr>
          <w:rStyle w:val="FootnoteAnchor"/>
          <w:rtl w:val="true"/>
        </w:rPr>
        <w:footnoteReference w:id="292"/>
      </w:r>
      <w:r>
        <w:rPr>
          <w:rFonts w:ascii="IRNazanin" w:hAnsi="IRNazanin" w:eastAsia="IRNazanin"/>
          <w:color w:val="111111"/>
          <w:sz w:val="28"/>
          <w:sz w:val="28"/>
          <w:szCs w:val="28"/>
          <w:rtl w:val="true"/>
          <w:lang w:bidi="fa-IR"/>
        </w:rPr>
        <w:t xml:space="preserve">و استحباب آن است؛ زیرا عبادت به جواز متصف نمی شود </w:t>
      </w:r>
      <w:r>
        <w:rPr>
          <w:rStyle w:val="FootnoteAnchor"/>
          <w:rtl w:val="true"/>
        </w:rPr>
        <w:footnoteReference w:id="293"/>
      </w:r>
      <w:r>
        <w:rPr>
          <w:rFonts w:ascii="IRNazanin" w:hAnsi="IRNazanin" w:eastAsia="IRNazanin"/>
          <w:color w:val="111111"/>
          <w:sz w:val="28"/>
          <w:sz w:val="28"/>
          <w:szCs w:val="28"/>
          <w:rtl w:val="true"/>
          <w:lang w:bidi="fa-IR"/>
        </w:rPr>
        <w:t>از این رو نظریه جواز و استحباب به یک نظریه بر می گردد، که ساختن محراب برای مساجد مستحب است و محدّث بحرانی برای استحباب آن به چند دلیل تمسک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 کند مساجد از صدر اسلام تا زمان خلفا و بعد از آنان محراب داشته اند بیان این روایات به جهت شهرتی که دارند ضرورتی ندارد؛ به ویژه آن که از جهت کثرت غیر قابل حصرند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سیره مستمر بین مسلمانان استحباب محراب را می توان استفاده کرد صاحب جواهر می نویسد سیره مسلمین بر ساختن محراب است و این سیره قابل انکار نیست؛ بلکه غالباً مسجدی نیست مگر اینکه در آن محرابی نیز ساخته شده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فقهاء، مخصوصاً فقهای مذهب اهل بیت علیهم السلام استحباب ساختن </w:t>
      </w:r>
    </w:p>
    <w:p>
      <w:pPr>
        <w:pStyle w:val="BookText"/>
        <w:rPr/>
      </w:pPr>
      <w:r>
        <w:rPr>
          <w:rFonts w:ascii="IRNazanin" w:hAnsi="IRNazanin" w:eastAsia="IRNazanin"/>
          <w:color w:val="111111"/>
          <w:sz w:val="28"/>
          <w:sz w:val="28"/>
          <w:szCs w:val="28"/>
          <w:rtl w:val="true"/>
          <w:lang w:bidi="fa-IR"/>
        </w:rPr>
        <w:t>محراب تصریح شده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بنابراین ساختن محراب به شکل متداول بین مسلمین، یعنی به شکل اثری بر روی دیوار مسجد که همراه با مقدار کمی فرو رفتگی در دیوار است و برای تعیین سمت قبله نیز استفاده می 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کراهت ساختن محراب، آن است که محراب در داخل دیوار مسجد طوری بنا شود که فرو رفتگی آن زیاد باشد به گونه ای که میان امام جماعت و مأمومینی که در دو طرف محراب قرار گرفته اند فاصله و حایلی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در حاشیه مدارک می نویسد منظور از ساختن محراب در داخل دیوار مسجد محرابی است که فرو رفتگی آن در دیوار زیاد باشد به طوری که هر گاه امام جماعت وارد محراب شود بین مأمومین و او حایل شود، مگر نسبت به کسی که در مقابل محراب ایستاده است که در این حالت، حایلی وجود ندارد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حسن نجفی نیز همین توجیه را پذیرفته است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محراب در داخل دیوار به گونه ای که بین مأمومین و امام حائل واقع شود مکروه است؛ یعنی شایسته نیست محراب به گونه ای ساخته شود که میان افراد ایستاده در دو طرف آن با امام جماعت حایل و مانع شود، و ساختن محراب به این کیفیت مکروه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همچنین، شماری از فقیهان امامیه بر این باورند گاه امام جماعت در محرابی نماز بخواند که داخل دیوار مسجد قرار گرفته باشد و فرورفتگی آن نیز به قدری باشد که مأمومین در دو سمت امام، نتوانند ایشان را ببینند نمازشان باطل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 این امر برای امام جماعت نیز مکروه </w:t>
      </w:r>
    </w:p>
    <w:p>
      <w:pPr>
        <w:pStyle w:val="BookText"/>
        <w:rPr/>
      </w:pP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اما نظریه حرمت ساختن محراب نیز باید این گونه تفسیر شود که ساختن محراب در صورتی حرام است که محراب مسجد به طور مستقل و جدا از دیوار مسجد ساخته شود نه به شکل محرابی که در داخل دیوار مسجد ساخته شده است؛ و برخی از فقها مانند شهید اول </w:t>
      </w:r>
      <w:r>
        <w:rPr>
          <w:rStyle w:val="FootnoteAnchor"/>
          <w:rtl w:val="true"/>
        </w:rPr>
        <w:footnoteReference w:id="300"/>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301"/>
      </w:r>
      <w:r>
        <w:rPr>
          <w:rFonts w:ascii="IRNazanin" w:hAnsi="IRNazanin" w:eastAsia="IRNazanin"/>
          <w:color w:val="111111"/>
          <w:sz w:val="28"/>
          <w:sz w:val="28"/>
          <w:szCs w:val="28"/>
          <w:rtl w:val="true"/>
          <w:lang w:bidi="fa-IR"/>
        </w:rPr>
        <w:t xml:space="preserve">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محاریب که در روایت طلحة بن زيد آمده معتقدند که مراد از این روایت، محراب هایی است که مستقل از دیوار مسجد ساخته ساخته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ثانی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ذکری بعد از نقل روایت طلحة بن زید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الأصحاب المراد بها المحاريب الداخلة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احتمال دارد که منظور شهید از المحاريب الداخلة محراب داخل مسجد باشد و مراد از جمله یکسر المحاريب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محراب به طور مستقل جدای از دیوار در داخل مسجد ساخته شده باشد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شیخ محمد حسن نجفی می گوید شاید این روایت در مقام بیان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خلفا در مسجد ساخته می شده است</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اتاق،کوچک و محل امام جماعت در مسجد است که اختصاص به او دارد؛ </w:t>
      </w:r>
      <w:r>
        <w:rPr>
          <w:rStyle w:val="FootnoteAnchor"/>
          <w:rtl w:val="true"/>
        </w:rPr>
        <w:footnoteReference w:id="305"/>
      </w:r>
      <w:r>
        <w:rPr>
          <w:rFonts w:ascii="IRNazanin" w:hAnsi="IRNazanin" w:eastAsia="IRNazanin"/>
          <w:color w:val="111111"/>
          <w:sz w:val="28"/>
          <w:sz w:val="28"/>
          <w:szCs w:val="28"/>
          <w:rtl w:val="true"/>
          <w:lang w:bidi="fa-IR"/>
        </w:rPr>
        <w:t>به طوری که این مکان اتاق کوچکی در مسجد بوده که دارای یک دریچه است و مردم تنها از آن دریچه امام جماعت را می 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تاریخ احداث مقصوره در مسجد بین مورّخین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عمر بن شبه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المنوّرة و سمهودی و ابن نجار آنند که اولین کسی که در،مسجد مقصوره،ساخت عثمان بن عفان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مقصوره دارای روزنه هایی بوده که مردم تنها از آن شبکه ها امام جماعت را می دیدند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علت این کار، ترسی بود که از کشته شدن خلیفه دوم، برای عثمان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اولین مقصوره توسط عمر بن عبدالعزیز در زمان خلافت ولید بن عبدالملک ساخته شد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محمد جمال الدین قاسمی می گوید اولین مقصوره را معاویه ساخت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ترور به معاویه حمله کرد پس از آن اقدام به ساختن مقصوره در مسجد نمود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شیخ محمد حسن نجفی می 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اتاقک های کوچک در داخل مساجد توسط حاکمان ستم پیشه ساخته شده و در زمان رسول خدا صلی الله علیه و آله وجود نداشته است و علت این کار نیز بر حسب ظاهر ترسی بود که از کشته شدن امير المؤمنين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حال نماز داشته اند یا به جهت اظهار شوکت و جلال و جبروتشان این مکان را می ساخته اند تا در وقت نماز داخل آن بروند و این مکان مانع از آن باشد که مردم به آنان دسترسی پیدا کنند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که از اهل بیت علیهم السلام پیامبر وارد شده از ساختن این مقصوره ها </w:t>
      </w:r>
    </w:p>
    <w:p>
      <w:pPr>
        <w:pStyle w:val="BookText"/>
        <w:rPr/>
      </w:pPr>
      <w:r>
        <w:rPr>
          <w:rFonts w:ascii="IRNazanin" w:hAnsi="IRNazanin" w:eastAsia="IRNazanin"/>
          <w:color w:val="111111"/>
          <w:sz w:val="28"/>
          <w:sz w:val="28"/>
          <w:szCs w:val="28"/>
          <w:rtl w:val="true"/>
          <w:lang w:bidi="fa-IR"/>
        </w:rPr>
        <w:t>در مساجد نهی شده است و آن را یکی از بدعت های خلفای ظالم برشمرده اند که در زیر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در روایت صحیح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از امام باقر علیه السلام نقل می کند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اگر در نماز جماعت میان امام و مأمومین ساتر و دیواری وجود داشته باشد این نماز برای مأمومین نماز نیست مگر برای کسی که مقابل در محراب قرار گرفته باشد همچنین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اتاقهای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خلفای ظالم بنا نمودند و نماز کسانی که به امامت امامی که آن قرار گرفته اند اقتدا کنند، صحیح نیست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از امام عسکری علیه السلام روایت می کند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قائم علیه السلام قیام کند دستور می دهد تا مناره ها و مقصوره ها تخریب 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از امام صادق علیه السلام از پدرش از امیر المؤمنین علیه السلام به روایت می کند که آن حضرت هر گاه در مساجد به محرابی برخورد می نمودند، آن را شکسته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محاریب شبیه محراب معابد یهود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طلحة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مذابح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المذابح به معنای محاریب و مقاصیر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مذبح مفرد مذابح به </w:t>
      </w:r>
      <w:bookmarkStart w:id="217" w:name="pg19115_195396"/>
    </w:p>
    <w:p>
      <w:pPr>
        <w:pStyle w:val="BookText"/>
        <w:rPr/>
      </w:pPr>
      <w:bookmarkEnd w:id="217"/>
      <w:r>
        <w:rPr>
          <w:rFonts w:ascii="IRNazanin" w:hAnsi="IRNazanin" w:eastAsia="IRNazanin"/>
          <w:color w:val="111111"/>
          <w:sz w:val="28"/>
          <w:sz w:val="28"/>
          <w:szCs w:val="28"/>
          <w:rtl w:val="true"/>
          <w:lang w:bidi="fa-IR"/>
        </w:rPr>
        <w:t>معنای مقاصیر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شیخ فخر الدین طریحی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مذبح الكنيسة مانند محراب مسجد است که جمع آن مذابح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نتیجه، کسانی که ساختن محراب را حرام می دانند منظورشان از محراب همان مقصوره هایی است که خلفا و حكّام برای حفظ جانشان در داخل مساجد می ساخته اند و روایات وارده هم نظر به این گونه محاریب دارند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بنابراین، بین این دیدگاهها تنافی وجود ندارد؛ زیرا کسانی که معتقد به کراهتاند منظورشان ساختن محراب در داخل دیوار مسجد است به گونه ای که تورفتگی آن زیاد باشد؛ و کسانی که می گویند ساختن محراب حرام،است منظورشان ساختن مقصوره است که در روایات از آن نهی شده است و اما کسانی که معتقد به استحباب هستند منظورشان ساختن محراب به شکل متداول بین مسلمین می باشد چنان که در کلمات کلمات وحید بهبهانی اشاره شده است که تنها ایجاد اثری بر روی دیوار مسجد است و یا همراه با مقدار کمی فرو رفتگی در دیوار که از آن برای تعیین سمت قبله استفاده می شود</w:t>
      </w:r>
      <w:r>
        <w:rPr>
          <w:rFonts w:eastAsia="IRNazanin" w:cs="IRNazanin"/>
          <w:color w:val="111111"/>
          <w:sz w:val="28"/>
          <w:szCs w:val="28"/>
          <w:rtl w:val="true"/>
          <w:lang w:bidi="fa-IR"/>
        </w:rPr>
        <w:t>.</w:t>
      </w:r>
    </w:p>
    <w:p>
      <w:pPr>
        <w:pStyle w:val="Heading5"/>
        <w:numPr>
          <w:ilvl w:val="4"/>
          <w:numId w:val="1"/>
        </w:numPr>
        <w:rPr/>
      </w:pPr>
      <w:bookmarkStart w:id="218" w:name="__RefHeading___Toc15202340_1280447820"/>
      <w:bookmarkStart w:id="219" w:name="_Toc81"/>
      <w:bookmarkEnd w:id="218"/>
      <w:r>
        <w:rPr>
          <w:rtl w:val="true"/>
        </w:rPr>
        <w:t>گفتار سوم</w:t>
      </w:r>
      <w:r>
        <w:rPr>
          <w:rtl w:val="true"/>
        </w:rPr>
        <w:t xml:space="preserve">: </w:t>
      </w:r>
      <w:r>
        <w:rPr>
          <w:rtl w:val="true"/>
        </w:rPr>
        <w:t>دیدگاه اهل سنّت در ساختن محراب</w:t>
      </w:r>
      <w:bookmarkEnd w:id="219"/>
    </w:p>
    <w:p>
      <w:pPr>
        <w:pStyle w:val="Heading6"/>
        <w:numPr>
          <w:ilvl w:val="5"/>
          <w:numId w:val="1"/>
        </w:numPr>
        <w:rPr/>
      </w:pPr>
      <w:bookmarkStart w:id="220" w:name="__RefHeading___Toc15202342_128044782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فقهای اهل سنت در مسئله ساختن محراب اختلاف نظر دارند که در زیر به شرح آن پرداخته می شود</w:t>
      </w:r>
      <w:r>
        <w:rPr>
          <w:rFonts w:eastAsia="IRNazanin" w:cs="IRNazanin"/>
          <w:color w:val="111111"/>
          <w:sz w:val="28"/>
          <w:szCs w:val="28"/>
          <w:rtl w:val="true"/>
          <w:lang w:bidi="fa-IR"/>
        </w:rPr>
        <w:t>:</w:t>
      </w:r>
    </w:p>
    <w:p>
      <w:pPr>
        <w:pStyle w:val="Heading6"/>
        <w:numPr>
          <w:ilvl w:val="5"/>
          <w:numId w:val="1"/>
        </w:numPr>
        <w:rPr/>
      </w:pPr>
      <w:bookmarkStart w:id="222" w:name="__RefHeading___Toc15202344_1280447820"/>
      <w:bookmarkStart w:id="223" w:name="_Toc83"/>
      <w:bookmarkEnd w:id="222"/>
      <w:r>
        <w:rPr/>
        <w:t>1</w:t>
      </w:r>
      <w:r>
        <w:rPr>
          <w:rtl w:val="true"/>
        </w:rPr>
        <w:t xml:space="preserve">. </w:t>
      </w:r>
      <w:r>
        <w:rPr>
          <w:rtl w:val="true"/>
        </w:rPr>
        <w:t>مذهب حنبلی</w:t>
      </w:r>
      <w:bookmarkEnd w:id="223"/>
    </w:p>
    <w:p>
      <w:pPr>
        <w:pStyle w:val="Heading6"/>
        <w:numPr>
          <w:ilvl w:val="5"/>
          <w:numId w:val="1"/>
        </w:numPr>
        <w:rPr/>
      </w:pPr>
      <w:bookmarkStart w:id="224" w:name="__RefHeading___Toc15202346_1280447820"/>
      <w:bookmarkStart w:id="225" w:name="_Toc84"/>
      <w:bookmarkEnd w:id="224"/>
      <w:r>
        <w:rPr>
          <w:rtl w:val="true"/>
        </w:rPr>
        <w:t>اشاره</w:t>
      </w:r>
      <w:bookmarkEnd w:id="225"/>
    </w:p>
    <w:p>
      <w:pPr>
        <w:pStyle w:val="Heading6"/>
        <w:numPr>
          <w:ilvl w:val="5"/>
          <w:numId w:val="1"/>
        </w:numPr>
        <w:rPr/>
      </w:pPr>
      <w:bookmarkStart w:id="226" w:name="__RefHeading___Toc15202348_1280447820"/>
      <w:bookmarkStart w:id="227" w:name="_Toc85"/>
      <w:bookmarkEnd w:id="226"/>
      <w:r>
        <w:rPr>
          <w:rtl w:val="true"/>
        </w:rPr>
        <w:t>اشاره</w:t>
      </w:r>
      <w:bookmarkEnd w:id="2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حنبلی در این مسئله دیدگاههای متفاوتی دارند شماری از فقهای حنبلی، مانند ابن تمیم و ابن عقیل و ابن جوزی و آجری معتقدند که ساختن محراب برای مساجد مستحب است و احمد بن حنبل نیز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مفلح </w:t>
      </w:r>
      <w:bookmarkStart w:id="228" w:name="pg19115_195397"/>
    </w:p>
    <w:p>
      <w:pPr>
        <w:pStyle w:val="BookText"/>
        <w:rPr/>
      </w:pPr>
      <w:bookmarkEnd w:id="228"/>
      <w:r>
        <w:rPr>
          <w:rFonts w:ascii="IRNazanin" w:hAnsi="IRNazanin" w:eastAsia="IRNazanin"/>
          <w:color w:val="111111"/>
          <w:sz w:val="28"/>
          <w:sz w:val="28"/>
          <w:szCs w:val="28"/>
          <w:rtl w:val="true"/>
          <w:lang w:bidi="fa-IR"/>
        </w:rPr>
        <w:t>می گوید ساخت محراب در مسجد مباح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محمد بن عبد الله زرکشی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سلف، اتخاذ محراب در مسجد را مکروه می دانستند و نیز می گوید سعید بن جبیر و معمّر نماز خواندن در محراب را مکروه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شمردند البته وی در آخر کلامش تصریح می کند که دیدگاه مشهور در میان علما این است که ساختن محراب در مسجد جایز است و هیچ کراهتی ندارد؛ و سیره عملی مسلمانان نیز بر این بوده است که برای مساجد محراب می ساختند و این امر انکار ناپذیر است</w:t>
      </w:r>
      <w:r>
        <w:rPr>
          <w:rFonts w:eastAsia="IRNazanin" w:cs="IRNazanin"/>
          <w:color w:val="111111"/>
          <w:sz w:val="28"/>
          <w:szCs w:val="28"/>
          <w:rtl w:val="true"/>
          <w:lang w:bidi="fa-IR"/>
        </w:rPr>
        <w:t xml:space="preserve">. </w:t>
      </w:r>
      <w:r>
        <w:rPr>
          <w:rStyle w:val="FootnoteAnchor"/>
          <w:rtl w:val="true"/>
        </w:rPr>
        <w:footnoteReference w:id="319"/>
      </w:r>
    </w:p>
    <w:p>
      <w:pPr>
        <w:pStyle w:val="Heading6"/>
        <w:numPr>
          <w:ilvl w:val="5"/>
          <w:numId w:val="1"/>
        </w:numPr>
        <w:rPr/>
      </w:pPr>
      <w:bookmarkStart w:id="229" w:name="__RefHeading___Toc15202350_1280447820"/>
      <w:bookmarkStart w:id="230" w:name="_Toc86"/>
      <w:bookmarkEnd w:id="229"/>
      <w:r>
        <w:rPr/>
        <w:t>2</w:t>
      </w:r>
      <w:r>
        <w:rPr>
          <w:rtl w:val="true"/>
        </w:rPr>
        <w:t>و</w:t>
      </w:r>
      <w:r>
        <w:rPr/>
        <w:t>3</w:t>
      </w:r>
      <w:r>
        <w:rPr>
          <w:rtl w:val="true"/>
        </w:rPr>
        <w:t xml:space="preserve">. </w:t>
      </w:r>
      <w:r>
        <w:rPr>
          <w:rtl w:val="true"/>
        </w:rPr>
        <w:t>مذهب حنفی و مالکی</w:t>
      </w:r>
      <w:bookmarkEnd w:id="230"/>
    </w:p>
    <w:p>
      <w:pPr>
        <w:pStyle w:val="BookText"/>
        <w:rPr/>
      </w:pPr>
      <w:r>
        <w:rPr>
          <w:rFonts w:ascii="IRNazanin" w:hAnsi="IRNazanin" w:eastAsia="IRNazanin"/>
          <w:color w:val="111111"/>
          <w:sz w:val="28"/>
          <w:sz w:val="28"/>
          <w:szCs w:val="28"/>
          <w:rtl w:val="true"/>
          <w:lang w:bidi="fa-IR"/>
        </w:rPr>
        <w:t>کلمات فقهای حنفی و مالکی حاکی از این است که ساختن محراب در مسجد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 فقیه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راتب هرگاه محراب را ترک کند و در غیر محراب به نماز بایستد مکروه می باشد زیرا این امر بر خلاف عمل امت اسلامی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دسوقی از فقهای مالکی معتقد است که مشهور میان فقها این است که امام جماعت در نماز واجب باید در محراب بایستد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231" w:name="__RefHeading___Toc15202352_1280447820"/>
      <w:bookmarkStart w:id="232" w:name="_Toc87"/>
      <w:bookmarkEnd w:id="231"/>
      <w:r>
        <w:rPr>
          <w:rtl w:val="true"/>
        </w:rPr>
        <w:t>مبحث پنجم</w:t>
      </w:r>
      <w:r>
        <w:rPr>
          <w:rtl w:val="true"/>
        </w:rPr>
        <w:t xml:space="preserve">: </w:t>
      </w:r>
      <w:r>
        <w:rPr>
          <w:rtl w:val="true"/>
        </w:rPr>
        <w:t>قرار دادن منبر در مسجد</w:t>
      </w:r>
      <w:bookmarkEnd w:id="232"/>
    </w:p>
    <w:p>
      <w:pPr>
        <w:pStyle w:val="Heading5"/>
        <w:numPr>
          <w:ilvl w:val="4"/>
          <w:numId w:val="1"/>
        </w:numPr>
        <w:rPr/>
      </w:pPr>
      <w:bookmarkStart w:id="233" w:name="__RefHeading___Toc15202354_1280447820"/>
      <w:bookmarkStart w:id="234" w:name="_Toc88"/>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منبر در لغت و اصطلاح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ارتفاع است و به جهت بلندی و ارتفاع آن به این واژه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انتبر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235" w:name="pg19115_195398"/>
    </w:p>
    <w:p>
      <w:pPr>
        <w:pStyle w:val="BookText"/>
        <w:rPr/>
      </w:pPr>
      <w:bookmarkEnd w:id="235"/>
      <w:r>
        <w:rPr>
          <w:rFonts w:ascii="IRNazanin" w:hAnsi="IRNazanin" w:eastAsia="IRNazanin"/>
          <w:color w:val="111111"/>
          <w:sz w:val="28"/>
          <w:sz w:val="28"/>
          <w:szCs w:val="28"/>
          <w:rtl w:val="true"/>
          <w:lang w:bidi="fa-IR"/>
        </w:rPr>
        <w:t>خطیب بر فراز منبر قرار گرفت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بنابراین لغت شناسان عرب، منبر را به معنای پله هایی می دانند که خطیب یا واعظ از آن بالا رفته و با مردم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در اصطلاح فقها نیز به همان معنای لغویش به کار رفته است؛ </w:t>
      </w:r>
      <w:r>
        <w:rPr>
          <w:rStyle w:val="FootnoteAnchor"/>
          <w:rtl w:val="true"/>
        </w:rPr>
        <w:footnoteReference w:id="323"/>
      </w:r>
      <w:r>
        <w:rPr>
          <w:rFonts w:ascii="IRNazanin" w:hAnsi="IRNazanin" w:eastAsia="IRNazanin"/>
          <w:color w:val="111111"/>
          <w:sz w:val="28"/>
          <w:sz w:val="28"/>
          <w:szCs w:val="28"/>
          <w:rtl w:val="true"/>
          <w:lang w:bidi="fa-IR"/>
        </w:rPr>
        <w:t>یعنی جایگاه مرتفعی که در مسجد وجود دارد تا امام جمعه یا خطیب بر روی آن قرار گرفته و به ایراد خطبه بپردازد</w:t>
      </w:r>
      <w:r>
        <w:rPr>
          <w:rFonts w:eastAsia="IRNazanin" w:cs="IRNazanin"/>
          <w:color w:val="111111"/>
          <w:sz w:val="28"/>
          <w:szCs w:val="28"/>
          <w:rtl w:val="true"/>
          <w:lang w:bidi="fa-IR"/>
        </w:rPr>
        <w:t>.</w:t>
      </w:r>
    </w:p>
    <w:p>
      <w:pPr>
        <w:pStyle w:val="Heading5"/>
        <w:numPr>
          <w:ilvl w:val="4"/>
          <w:numId w:val="1"/>
        </w:numPr>
        <w:rPr/>
      </w:pPr>
      <w:bookmarkStart w:id="236" w:name="__RefHeading___Toc15202356_1280447820"/>
      <w:bookmarkStart w:id="237" w:name="_Toc89"/>
      <w:bookmarkEnd w:id="236"/>
      <w:r>
        <w:rPr>
          <w:rtl w:val="true"/>
        </w:rPr>
        <w:t>گفتار دوم</w:t>
      </w:r>
      <w:r>
        <w:rPr>
          <w:rtl w:val="true"/>
        </w:rPr>
        <w:t xml:space="preserve">: </w:t>
      </w:r>
      <w:r>
        <w:rPr>
          <w:rtl w:val="true"/>
        </w:rPr>
        <w:t>منبر پیامبر صلی الله علیه و آله</w:t>
      </w:r>
      <w:bookmarkEnd w:id="237"/>
    </w:p>
    <w:p>
      <w:pPr>
        <w:pStyle w:val="BookText"/>
        <w:rPr/>
      </w:pPr>
      <w:r>
        <w:rPr>
          <w:rFonts w:ascii="IRNazanin" w:hAnsi="IRNazanin" w:eastAsia="IRNazanin"/>
          <w:color w:val="111111"/>
          <w:sz w:val="28"/>
          <w:sz w:val="28"/>
          <w:szCs w:val="28"/>
          <w:rtl w:val="true"/>
          <w:lang w:bidi="fa-IR"/>
        </w:rPr>
        <w:t>چنان که از متون تاریخی بر می آید در آغاز هجرت رسول اکرم صلی الله علیه و آله به شهر مدینه و حتی پس از گذشت مدتها از تأسیس مسجد النبی در آن شهر چیزی به نام منبر وجود نداشته و آن حضرت در محل،ثابتی پشت به ستونی از تنه درخت خرما مردم را در امور دینی و اجتماعی ارشاد می کرده اند به تدریج جمعیت مسلمانان رو به فزونی گذاشت، یکی از اصحاب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آیا منبری برایت بسازم که بر فراز آن موعظه کنی و خطبه،بخوانی تا روزهای جمعه مسلمانان خوبتر شما را بنگرند و صدای شما را بشنوند ایشان نیز با این پیشنهاد موافقت کردند و بدین جهت منبری چوبی برای پیامبر اکرم ساخته شد تا در هنگام سخن بر آن نشینند و از ایستادن زیاد که پیامبر صلی الله علیه و آلهبه سبب آن از ناحیه پا اظهار ناراحتی می کرده، رهانیده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منبر پیامبر خدا صلی الله علیه و آله ساخته شد، ایشان از کنار ستونی که قبلا در آنجا می نشستند عبور کردند و بالای منبر رفتند تا خطبه بخوانند ولی ناگهان، از آن </w:t>
      </w:r>
      <w:bookmarkStart w:id="238" w:name="pg19115_195399"/>
    </w:p>
    <w:p>
      <w:pPr>
        <w:pStyle w:val="BookText"/>
        <w:rPr/>
      </w:pPr>
      <w:bookmarkEnd w:id="238"/>
      <w:r>
        <w:rPr>
          <w:rFonts w:ascii="IRNazanin" w:hAnsi="IRNazanin" w:eastAsia="IRNazanin"/>
          <w:color w:val="111111"/>
          <w:sz w:val="28"/>
          <w:sz w:val="28"/>
          <w:szCs w:val="28"/>
          <w:rtl w:val="true"/>
          <w:lang w:bidi="fa-IR"/>
        </w:rPr>
        <w:t>درخت صدای ناله و زاری در فراق آن حضرت شنیده شد؛ مانند ناله شتری که بچه آن را از آن جدا کرده باشند آن حضرت نالۀ این ستون را شنیدند، از منبر پائین آمدند و آن را در بر کشیده و دستی ملاطفت آمیز بر آن گذاشتند تا اینکه آن درخت آرام شد سپس فرمودند اگر من آن را در بغل نمیگرفتم تا قیامت ناله و زاری می کرد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هر حال منبر پیامبر صلی الله علیه و آله از چوب جنگل ساخته شد و می گویند نوع آن از چوب أقل بوده و سه پله داشته است که ایشان در پلۀ سوم می نشستند و دو پای خود را بر پله وسطی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به خلافت رسید، همیشه در پله دوّم می نشست و عمر به همان پله پایین قناعت کرد و پای بر زمین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در اول خلافت همین رویه را داشت؛ اما بعدها تا پله سوم نیز بالا رفت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چون نوبت به معاویه رسید تصمیم گرفت که منبر را به شام ببرد و مسلمانان به ضجه و فریاد درآمدند و باد سختی وزیدن گرفت و خسوفی واقع شد که ستارگان در روز نمودار گشتند و جهان در تاریکی فرو،رفت چنان که مردم یکدیگر را نمی دیدند و در راه با هم برخورد می کردند معاویه از قصد خود منصرف شد و شش پله دیگر از طرف پائین بر آن اضافه کرد تا عدد پله ها به نه رسید</w:t>
      </w:r>
      <w:r>
        <w:rPr>
          <w:rFonts w:eastAsia="IRNazanin" w:cs="IRNazanin"/>
          <w:color w:val="111111"/>
          <w:sz w:val="28"/>
          <w:szCs w:val="28"/>
          <w:rtl w:val="true"/>
          <w:lang w:bidi="fa-IR"/>
        </w:rPr>
        <w:t xml:space="preserve">. </w:t>
      </w:r>
      <w:r>
        <w:rPr>
          <w:rStyle w:val="FootnoteAnchor"/>
          <w:rtl w:val="true"/>
        </w:rPr>
        <w:footnoteReference w:id="326"/>
      </w:r>
    </w:p>
    <w:p>
      <w:pPr>
        <w:pStyle w:val="Heading5"/>
        <w:numPr>
          <w:ilvl w:val="4"/>
          <w:numId w:val="1"/>
        </w:numPr>
        <w:rPr/>
      </w:pPr>
      <w:bookmarkStart w:id="239" w:name="__RefHeading___Toc15202358_1280447820"/>
      <w:bookmarkStart w:id="240" w:name="_Toc90"/>
      <w:bookmarkEnd w:id="239"/>
      <w:r>
        <w:rPr>
          <w:rtl w:val="true"/>
        </w:rPr>
        <w:t>گفتار سوم</w:t>
      </w:r>
      <w:r>
        <w:rPr>
          <w:rtl w:val="true"/>
        </w:rPr>
        <w:t xml:space="preserve">: </w:t>
      </w:r>
      <w:r>
        <w:rPr>
          <w:rtl w:val="true"/>
        </w:rPr>
        <w:t>فضیلت و مقام معنوی منبر پیامبر صلی الله علیه و آله</w:t>
      </w:r>
      <w:bookmarkEnd w:id="240"/>
    </w:p>
    <w:p>
      <w:pPr>
        <w:pStyle w:val="Heading6"/>
        <w:numPr>
          <w:ilvl w:val="5"/>
          <w:numId w:val="1"/>
        </w:numPr>
        <w:rPr/>
      </w:pPr>
      <w:bookmarkStart w:id="241" w:name="__RefHeading___Toc15202360_1280447820"/>
      <w:bookmarkStart w:id="242" w:name="_Toc91"/>
      <w:bookmarkEnd w:id="241"/>
      <w:r>
        <w:rPr>
          <w:rtl w:val="true"/>
        </w:rPr>
        <w:t>اشاره</w:t>
      </w:r>
      <w:bookmarkEnd w:id="2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و مقام معنوی منبر مسجد پیامبر صلی الله علیه و آله احادیثی زیادی در جوامع روایی </w:t>
      </w:r>
      <w:bookmarkStart w:id="243" w:name="pg19115_195400"/>
    </w:p>
    <w:p>
      <w:pPr>
        <w:pStyle w:val="BookText"/>
        <w:rPr/>
      </w:pPr>
      <w:bookmarkEnd w:id="243"/>
      <w:r>
        <w:rPr>
          <w:rFonts w:ascii="IRNazanin" w:hAnsi="IRNazanin" w:eastAsia="IRNazanin"/>
          <w:color w:val="111111"/>
          <w:sz w:val="28"/>
          <w:sz w:val="28"/>
          <w:szCs w:val="28"/>
          <w:rtl w:val="true"/>
          <w:lang w:bidi="fa-IR"/>
        </w:rPr>
        <w:t>شیعه و اهل سنت وارد شده که در زیر به برخی آنها اشاره می شود</w:t>
      </w:r>
      <w:r>
        <w:rPr>
          <w:rFonts w:eastAsia="IRNazanin" w:cs="IRNazanin"/>
          <w:color w:val="111111"/>
          <w:sz w:val="28"/>
          <w:szCs w:val="28"/>
          <w:rtl w:val="true"/>
          <w:lang w:bidi="fa-IR"/>
        </w:rPr>
        <w:t>:</w:t>
      </w:r>
    </w:p>
    <w:p>
      <w:pPr>
        <w:pStyle w:val="Heading6"/>
        <w:numPr>
          <w:ilvl w:val="5"/>
          <w:numId w:val="1"/>
        </w:numPr>
        <w:rPr/>
      </w:pPr>
      <w:bookmarkStart w:id="244" w:name="__RefHeading___Toc15202362_1280447820"/>
      <w:bookmarkStart w:id="245" w:name="_Toc92"/>
      <w:bookmarkEnd w:id="244"/>
      <w:r>
        <w:rPr>
          <w:rtl w:val="true"/>
        </w:rPr>
        <w:t>الف</w:t>
      </w:r>
      <w:r>
        <w:rPr>
          <w:rtl w:val="true"/>
        </w:rPr>
        <w:t xml:space="preserve">) </w:t>
      </w:r>
      <w:r>
        <w:rPr>
          <w:rtl w:val="true"/>
        </w:rPr>
        <w:t>استحباب تبرک جستن به منبر، نماز خواندن و دعا کردن کنار آن نزد شیعه</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در روایت صحیح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خواندن زیارت و دعا کنار مرقد مطهر پیامبر فراغت پیدا کردی کنار منبر برو و با دست خود آن را مسح کن و دو 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چشم و صورت خود بمال زیرا در آن شفا چشم است کنار منبر بایست حمد و ثنای الهی به جای آور و حاجت خود را از خدا بخواه چون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منبر و خانه من باغی از باغهایی بهشت است و منبر من بر دری از درهای بهشت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گردی کنار مرقد مطهر پیامبر صلی الله علیه و آله و هرچه می خواهی نماز بخوان</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 گوید امام صادق علیه السلام از پیامبر خدا صلی الله علیه و آله نقل می کند که فرمود مابین خانه و منبر من باغی از باغهایی بهشت و منبر من دری از درهایی بهشت است پایه های منبر من در بهشت استوار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ابوبکر حضرمی از امام صادق علیه السلام سؤال کرد که آیا امروز هم آنها روضه از ریاض بهشت است؟ امام صادق علیه السلام فرمودند بله اگر پرده از جلو چشمها برداشته شود به قطع آن را مشاهده </w:t>
      </w:r>
      <w:bookmarkStart w:id="246" w:name="pg19115_195401"/>
    </w:p>
    <w:p>
      <w:pPr>
        <w:pStyle w:val="BookText"/>
        <w:rPr/>
      </w:pPr>
      <w:bookmarkEnd w:id="246"/>
      <w:r>
        <w:rPr>
          <w:rFonts w:ascii="IRNazanin" w:hAnsi="IRNazanin" w:eastAsia="IRNazanin"/>
          <w:color w:val="111111"/>
          <w:sz w:val="28"/>
          <w:sz w:val="28"/>
          <w:szCs w:val="28"/>
          <w:rtl w:val="true"/>
          <w:lang w:bidi="fa-IR"/>
        </w:rPr>
        <w:t>خواهید کرد</w:t>
      </w:r>
      <w:r>
        <w:rPr>
          <w:rFonts w:eastAsia="IRNazanin" w:cs="IRNazanin"/>
          <w:color w:val="111111"/>
          <w:sz w:val="28"/>
          <w:szCs w:val="28"/>
          <w:rtl w:val="true"/>
          <w:lang w:bidi="fa-IR"/>
        </w:rPr>
        <w:t xml:space="preserve">. </w:t>
      </w:r>
      <w:r>
        <w:rPr>
          <w:rStyle w:val="FootnoteAnchor"/>
          <w:rtl w:val="true"/>
        </w:rPr>
        <w:footnoteReference w:id="328"/>
      </w:r>
    </w:p>
    <w:p>
      <w:pPr>
        <w:pStyle w:val="Heading6"/>
        <w:numPr>
          <w:ilvl w:val="5"/>
          <w:numId w:val="1"/>
        </w:numPr>
        <w:rPr/>
      </w:pPr>
      <w:bookmarkStart w:id="247" w:name="__RefHeading___Toc15202364_1280447820"/>
      <w:bookmarkStart w:id="248" w:name="_Toc93"/>
      <w:bookmarkEnd w:id="247"/>
      <w:r>
        <w:rPr>
          <w:rtl w:val="true"/>
        </w:rPr>
        <w:t>ب</w:t>
      </w:r>
      <w:r>
        <w:rPr>
          <w:rtl w:val="true"/>
        </w:rPr>
        <w:t xml:space="preserve">) </w:t>
      </w:r>
      <w:r>
        <w:rPr>
          <w:rtl w:val="true"/>
        </w:rPr>
        <w:t>جواز یا استحباب بوسیدن منبر پیامبر صلی الله علیه و آله از دیدگاه اهل سنت</w:t>
      </w:r>
      <w:bookmarkEnd w:id="248"/>
    </w:p>
    <w:p>
      <w:pPr>
        <w:pStyle w:val="BookText"/>
        <w:rPr/>
      </w:pPr>
      <w:r>
        <w:rPr>
          <w:rFonts w:ascii="IRNazanin" w:hAnsi="IRNazanin" w:eastAsia="IRNazanin"/>
          <w:color w:val="111111"/>
          <w:sz w:val="28"/>
          <w:sz w:val="28"/>
          <w:szCs w:val="28"/>
          <w:rtl w:val="true"/>
          <w:lang w:bidi="fa-IR"/>
        </w:rPr>
        <w:t>در فضیلت و جایگاه معنوی منبر پیامبر صلی الله علیه و آله در جوامع روایی اهل سنت نیز احادیث زیادی وارد شده اند که در زیر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عبدالله بن قُسَیط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 پیامبر را دیدم که هرگاه مسجد النبی خلوت می شد بر می خواستند و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مسح و کنار که آن دعا می کردند و دیدم یزید، این عمل را انجام می داد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اضافات از یزید بن عبدالله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دیدم که مردمان از اصحاب پیامبر صلی الله علیه و آله هرگاه مسجد خلوت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که کنار مرقد مطهر پیامبر قرار گرفته است با دست راست گرفته، رو به قبله می ایستادند و دعا می کردند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اثرم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سؤال کردم آیا می شود قبر پیامبر را لمس و مسح کنیم و دستی بر آن بکشیم؟ او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پیامبر چطور؟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کشیدن بر منبر پیامبر و مسح آن جایز است؛ چون عبدالله بن عمر آن را مسح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سعید بن مسیب نیز روایت کرده 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مسح می کرد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استاد مالک بن انس روایت شده که او هرگاه می خواست از مدینه به عراق برود به مسجد النبی می آمد و بر منبر پیامبر دست می کشید و با آن وداع می کرد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ابوبکر اثرم می گوید بنابراین او مسح کردن منبر را نیکو می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درباره مردی که سؤال می کند به منبر پیامبر دست کشیده و مسح می و به وسیله آن تبرک جسته آن را می بوسد و نسبت به مرقد مطهر پیامبر نیز این اعمال را انجام می دهد و به جهت بدست آوردن ثواب از طرف خداوند این اعمال را به جا می آورد؟ احمد بن حنبل در پاسخ به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 از امام احمد بن حنبل درباره بوسیدن منبر و مرقد مطهر پیامبر صلی الله علیه و آله سؤال شد،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دیده نمی شود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عبدالرحمن می گوید نگاه می کردم به عبدالله بن عمر و دیدم دستش </w:t>
      </w:r>
      <w:bookmarkStart w:id="249" w:name="pg19115_195403"/>
    </w:p>
    <w:p>
      <w:pPr>
        <w:pStyle w:val="BookText"/>
        <w:rPr/>
      </w:pPr>
      <w:bookmarkEnd w:id="249"/>
      <w:r>
        <w:rPr>
          <w:rFonts w:ascii="IRNazanin" w:hAnsi="IRNazanin" w:eastAsia="IRNazanin"/>
          <w:color w:val="111111"/>
          <w:sz w:val="28"/>
          <w:sz w:val="28"/>
          <w:szCs w:val="28"/>
          <w:rtl w:val="true"/>
          <w:lang w:bidi="fa-IR"/>
        </w:rPr>
        <w:t>را بر منبر پیامبر صلی الله علیه و آله گذاشت و بعد از آن به صورتش مالید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روایت می کند که پیامبر فرمود این منبر من دری از درهای بهشت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ابوهریره می گوید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خانه و منبر من باغی از باغهای بهشت و این منبر بر حوض استوار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السلمة روایت می کند که پیامبر فرمود پایه های منبر من در بهشت استوار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کنار منبر من قسم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برای چوب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 کند، مگر اینکه جایگاهش پر از آتش خواهد شد؛ </w:t>
      </w:r>
      <w:r>
        <w:rPr>
          <w:rStyle w:val="FootnoteAnchor"/>
          <w:rtl w:val="true"/>
        </w:rPr>
        <w:footnoteReference w:id="339"/>
      </w:r>
      <w:r>
        <w:rPr>
          <w:rFonts w:ascii="IRNazanin" w:hAnsi="IRNazanin" w:eastAsia="IRNazanin"/>
          <w:color w:val="111111"/>
          <w:sz w:val="28"/>
          <w:sz w:val="28"/>
          <w:szCs w:val="28"/>
          <w:rtl w:val="true"/>
          <w:lang w:bidi="fa-IR"/>
        </w:rPr>
        <w:t>و همچنین این روایت از ابو هریره نقل شده است</w:t>
      </w:r>
      <w:r>
        <w:rPr>
          <w:rFonts w:eastAsia="IRNazanin" w:cs="IRNazanin"/>
          <w:color w:val="111111"/>
          <w:sz w:val="28"/>
          <w:szCs w:val="28"/>
          <w:rtl w:val="true"/>
          <w:lang w:bidi="fa-IR"/>
        </w:rPr>
        <w:t xml:space="preserve">. </w:t>
      </w:r>
      <w:r>
        <w:rPr>
          <w:rStyle w:val="FootnoteAnchor"/>
          <w:rtl w:val="true"/>
        </w:rPr>
        <w:footnoteReference w:id="340"/>
      </w:r>
    </w:p>
    <w:p>
      <w:pPr>
        <w:pStyle w:val="Heading5"/>
        <w:numPr>
          <w:ilvl w:val="4"/>
          <w:numId w:val="1"/>
        </w:numPr>
        <w:rPr/>
      </w:pPr>
      <w:bookmarkStart w:id="250" w:name="__RefHeading___Toc15202366_1280447820"/>
      <w:bookmarkStart w:id="251" w:name="_Toc94"/>
      <w:bookmarkEnd w:id="250"/>
      <w:r>
        <w:rPr>
          <w:rtl w:val="true"/>
        </w:rPr>
        <w:t>گفتار چهارم تغلیظ یمین کنار منبر</w:t>
      </w:r>
      <w:bookmarkEnd w:id="251"/>
    </w:p>
    <w:p>
      <w:pPr>
        <w:pStyle w:val="Heading6"/>
        <w:numPr>
          <w:ilvl w:val="5"/>
          <w:numId w:val="1"/>
        </w:numPr>
        <w:rPr/>
      </w:pPr>
      <w:bookmarkStart w:id="252" w:name="__RefHeading___Toc15202368_1280447820"/>
      <w:bookmarkStart w:id="253" w:name="_Toc95"/>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از مجموع احادیث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شیعه و اهل سنت در فضیلت و جایگاه معنوی منبر پیامبر صلی الله علیه و آله وارد شده افزون بر مقام باعظمت و معنویت منبر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فقهی نیز استفاده می 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زیادی از این روایات به طور صریح بر استحباب بوسیدن، مسح و لمس </w:t>
      </w:r>
      <w:bookmarkStart w:id="254" w:name="pg19115_195404"/>
    </w:p>
    <w:p>
      <w:pPr>
        <w:pStyle w:val="BookText"/>
        <w:rPr/>
      </w:pPr>
      <w:bookmarkEnd w:id="254"/>
      <w:r>
        <w:rPr>
          <w:rFonts w:ascii="IRNazanin" w:hAnsi="IRNazanin" w:eastAsia="IRNazanin"/>
          <w:color w:val="111111"/>
          <w:sz w:val="28"/>
          <w:sz w:val="28"/>
          <w:szCs w:val="28"/>
          <w:rtl w:val="true"/>
          <w:lang w:bidi="fa-IR"/>
        </w:rPr>
        <w:t>منبر پیامبر دلالت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قداست معنویت و عظمت والای منبر پیامبر صلّی الله علیه و آله، قاضی می تواند متهم را کنار آن سوگند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بر این عقیده اند که سوگند دادن شخص مُنكر إحلاف المنکر با تغلیظ انجام شود؛ بدین معنی که قاضی فرد منکر را با شدت و غلظت بیشتری سوگند بدهد و این تغلیظ گاهی با الفاظ،است مانند اسماء جلالیه خداوند متعال، و گاهی در زمان خاصی مانند روز جمعه روز عید و ماه مبارک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نیز در مکان با ارزشی مانند کعبه معظمه مقام ابراهيم علیه السلام، مسجد الحرام، مشاهد مشرفه، مساجد جامع یا مطلق مساجد محراب آنها و سایر اماکن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از کتاب شایسته است که به آراء و فتاوای فقهای شیعه و أهل سنت در این مسئله اشاره شود</w:t>
      </w:r>
      <w:r>
        <w:rPr>
          <w:rFonts w:eastAsia="IRNazanin" w:cs="IRNazanin"/>
          <w:color w:val="111111"/>
          <w:sz w:val="28"/>
          <w:szCs w:val="28"/>
          <w:rtl w:val="true"/>
          <w:lang w:bidi="fa-IR"/>
        </w:rPr>
        <w:t>:</w:t>
      </w:r>
    </w:p>
    <w:p>
      <w:pPr>
        <w:pStyle w:val="Heading6"/>
        <w:numPr>
          <w:ilvl w:val="5"/>
          <w:numId w:val="1"/>
        </w:numPr>
        <w:rPr/>
      </w:pPr>
      <w:bookmarkStart w:id="255" w:name="__RefHeading___Toc15202370_1280447820"/>
      <w:bookmarkStart w:id="256" w:name="_Toc96"/>
      <w:bookmarkEnd w:id="255"/>
      <w:r>
        <w:rPr>
          <w:rtl w:val="true"/>
        </w:rPr>
        <w:t>الف</w:t>
      </w:r>
      <w:r>
        <w:rPr>
          <w:rtl w:val="true"/>
        </w:rPr>
        <w:t xml:space="preserve">) </w:t>
      </w:r>
      <w:r>
        <w:rPr>
          <w:rtl w:val="true"/>
        </w:rPr>
        <w:t>دیدگاه فقیهان امامیه</w:t>
      </w:r>
      <w:bookmarkEnd w:id="256"/>
    </w:p>
    <w:p>
      <w:pPr>
        <w:pStyle w:val="BookText"/>
        <w:rPr/>
      </w:pPr>
      <w:r>
        <w:rPr>
          <w:rFonts w:ascii="IRNazanin" w:hAnsi="IRNazanin" w:eastAsia="IRNazanin"/>
          <w:color w:val="111111"/>
          <w:sz w:val="28"/>
          <w:sz w:val="28"/>
          <w:szCs w:val="28"/>
          <w:rtl w:val="true"/>
          <w:lang w:bidi="fa-IR"/>
        </w:rPr>
        <w:t xml:space="preserve">از دیدگاه فقیهان مذهب اهل بیت علیهم السلام تغلیظ در سوگند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نیست ولی استحباب دارد چنان که جمعی از فقیهان شیعه به آن اشاره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و شدّت إحلاف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فقهای شیعه گاهی در مکان خاصی انجام می شود و گاهی در زمان خاصی و این امر در شریعت وارد شده است دلیل ما اجماع طائفه و اخبار آنها می باشد؛ زیرا آنان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کنار مرقد مطهر پیامبر بر کمتر از آنچه موجب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نصاب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داده نمی شود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به خوبی استفاده می شود در مواردی که اسباب حدود، کمتر از موجبات قطع یکی از اعضا است نباید در سوگند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تغلیظ شود، ولی اگر </w:t>
      </w:r>
    </w:p>
    <w:p>
      <w:pPr>
        <w:pStyle w:val="BookText"/>
        <w:rPr/>
      </w:pPr>
      <w:r>
        <w:rPr>
          <w:rFonts w:ascii="IRNazanin" w:hAnsi="IRNazanin" w:eastAsia="IRNazanin"/>
          <w:color w:val="111111"/>
          <w:sz w:val="28"/>
          <w:sz w:val="28"/>
          <w:szCs w:val="28"/>
          <w:rtl w:val="true"/>
          <w:lang w:bidi="fa-IR"/>
        </w:rPr>
        <w:t>به مقدار قطع عضو و بیشتر باشد تغلیظ جایز است و این مسئله در بین فقها،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پیامبر خدا صلی الله علیه و آله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کنار منبر من قسم دروغ یاد کند جایگاه او پر از آتش می شود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نهایت شیخ تأکید می کند که همۀ اصحاب پیامبر در این مسئله اتفاق نظر دارند و این روایت جابر از علی علیه السلام، ابوبکر، عمر، عثمان و عبدالرحمن بن عوف نقل شده که به جهت اختصار آنها را ذکر نکردیم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محقق و علامه نيز معتقدند كه تغليظ إحلاف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مکان خاص و یا به وسیله الفاظ مخصوص، استحباب دارد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سید علی طباطبایی در ریاض می نویسد تغلیظ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مقدس مستحب است مانند کعبه، حطیم مقام ابراهیم مسجد الحرام حرم مکه و زیر صخره بيت المقدس و محراب مساجد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یحیی بن سعید می گوید مستحب است که سوگند یاد کردن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کنار منبر رو به قبله و در مسجد باشد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اصفهانی در کشف اللثام می نویسد مستحب است تغلیظ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 خاص و در اماکن مقدس مانند مسجدهای جامع باشد و از قبیل این مساجد است مساجد پنج گانه یا شش گانه چهارگانه و مشاهد مشرفه؛ مانند کعبه، مسجد الحرام </w:t>
      </w:r>
      <w:bookmarkStart w:id="257" w:name="pg19115_195406"/>
    </w:p>
    <w:p>
      <w:pPr>
        <w:pStyle w:val="BookText"/>
        <w:rPr/>
      </w:pPr>
      <w:bookmarkEnd w:id="257"/>
      <w:r>
        <w:rPr>
          <w:rFonts w:ascii="IRNazanin" w:hAnsi="IRNazanin" w:eastAsia="IRNazanin"/>
          <w:color w:val="111111"/>
          <w:sz w:val="28"/>
          <w:sz w:val="28"/>
          <w:szCs w:val="28"/>
          <w:rtl w:val="true"/>
          <w:lang w:bidi="fa-IR"/>
        </w:rPr>
        <w:t>مابین رکن و مقام حرم مدینه مسجد النبی صلی الله علیه و آله، کنار مرقد مطهر و منبر آن حضرت؛ زیرا از پیامبر خدا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کنار منبر من قسم دروغ یاد کند جایگاهش پر از آتش خواهد شد </w:t>
      </w:r>
      <w:r>
        <w:rPr>
          <w:rStyle w:val="FootnoteAnchor"/>
          <w:rtl w:val="true"/>
        </w:rPr>
        <w:footnoteReference w:id="347"/>
      </w:r>
      <w:r>
        <w:rPr>
          <w:rFonts w:ascii="IRNazanin" w:hAnsi="IRNazanin" w:eastAsia="IRNazanin"/>
          <w:color w:val="111111"/>
          <w:sz w:val="28"/>
          <w:sz w:val="28"/>
          <w:szCs w:val="28"/>
          <w:rtl w:val="true"/>
          <w:lang w:bidi="fa-IR"/>
        </w:rPr>
        <w:t>جابر بن عبدالله انصاری نیز روایت می 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کنار منبر من قسم دروغ یاد نمی کند اگرچه برای یک چوب مسواک باشد وگرنه جایگاهش پر از آتش می شود یا آتش برای او ثابت است</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أبو أمامة بن ثعلبه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کنار منبر من سوگند دروغ یاد کند، تا از این رهگذر، مال شخص مسلمانی را به غیر حق به دست آورد، بر او لعنت خدا فرشتگان و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هیچ عملی واجب یا مستحب از او پذیرفته نمی 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شیخ محمد حسن نجفی می نویسد تغلیظ یمین به وسیله مکان مانند سوگند دادن فرد در مسجد حرم و سایر مشاهد مشرفه و اماکن مقدسه و به ویژه منبر پیامبر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احادیثی استدلال می کند که پیشتر به آنها اشاره شد</w:t>
      </w:r>
      <w:r>
        <w:rPr>
          <w:rFonts w:eastAsia="IRNazanin" w:cs="IRNazanin"/>
          <w:color w:val="111111"/>
          <w:sz w:val="28"/>
          <w:szCs w:val="28"/>
          <w:rtl w:val="true"/>
          <w:lang w:bidi="fa-IR"/>
        </w:rPr>
        <w:t xml:space="preserve">. </w:t>
      </w:r>
      <w:r>
        <w:rPr>
          <w:rStyle w:val="FootnoteAnchor"/>
          <w:rtl w:val="true"/>
        </w:rPr>
        <w:footnoteReference w:id="351"/>
      </w:r>
    </w:p>
    <w:p>
      <w:pPr>
        <w:pStyle w:val="Heading6"/>
        <w:numPr>
          <w:ilvl w:val="5"/>
          <w:numId w:val="1"/>
        </w:numPr>
        <w:rPr/>
      </w:pPr>
      <w:bookmarkStart w:id="258" w:name="__RefHeading___Toc15202372_1280447820"/>
      <w:bookmarkStart w:id="259" w:name="_Toc97"/>
      <w:bookmarkEnd w:id="258"/>
      <w:r>
        <w:rPr>
          <w:rtl w:val="true"/>
        </w:rPr>
        <w:t>ب</w:t>
      </w:r>
      <w:r>
        <w:rPr>
          <w:rtl w:val="true"/>
        </w:rPr>
        <w:t xml:space="preserve">) </w:t>
      </w:r>
      <w:r>
        <w:rPr>
          <w:rtl w:val="true"/>
        </w:rPr>
        <w:t>دیدگاه اهل سنّت</w:t>
      </w:r>
      <w:bookmarkEnd w:id="2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فقهای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شافعی،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تغلیظ یمین به وسیله مکانهای مقدس امر شرعی می باشد از جمله آن مکانها سوگند دادن </w:t>
      </w:r>
      <w:bookmarkStart w:id="260" w:name="pg19115_195407"/>
    </w:p>
    <w:p>
      <w:pPr>
        <w:pStyle w:val="BookText"/>
        <w:rPr/>
      </w:pPr>
      <w:bookmarkEnd w:id="260"/>
      <w:r>
        <w:rPr>
          <w:rFonts w:ascii="IRNazanin" w:hAnsi="IRNazanin" w:eastAsia="IRNazanin"/>
          <w:color w:val="111111"/>
          <w:sz w:val="28"/>
          <w:sz w:val="28"/>
          <w:szCs w:val="28"/>
          <w:rtl w:val="true"/>
          <w:lang w:bidi="fa-IR"/>
        </w:rPr>
        <w:t>کنار منبر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فقیهان مالکی معتقدند که تغلیظ یمین کنار منبر واجب است ولی فقهای حنبلی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قاضی مصلحت ببیند که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منبر مسجد جامع هر شهری سوگند یاد کند جایز است ولی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شافعی بر این باورند که این امر مستحب است و فقهای حنفی فتوا به تغلیظ یمین در زمان و مکان نداده 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شافعی از مهاجر بن ابی امیه روایت می کند که ابوبکر به من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مکشوح را با دست بسته به نزد من بفرست تا او را کنار منبر رسول خدا قسم بدهم که او دادوی را نکشته است؛ و نیز می گوید این خبر به من رسیده که عمر بن الخطاب در مرافعه ای که بین او و شخص دیگری بود روی منبر قسم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تصریح می کند بر اینکه در تغلیظ یمین کنار منبر هیچ اختلافی بین فقهای شافعی در قدیم و جدید وجود ندارد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صحیح بخاری آمده است که قضاوت مروان دربارۀ زیدبن ثابت با سوگند در کنار منبر بوده است</w:t>
      </w:r>
      <w:r>
        <w:rPr>
          <w:rFonts w:eastAsia="IRNazanin" w:cs="IRNazanin"/>
          <w:color w:val="111111"/>
          <w:sz w:val="28"/>
          <w:szCs w:val="28"/>
          <w:rtl w:val="true"/>
          <w:lang w:bidi="fa-IR"/>
        </w:rPr>
        <w:t xml:space="preserve">. </w:t>
      </w:r>
      <w:r>
        <w:rPr>
          <w:rStyle w:val="FootnoteAnchor"/>
          <w:rtl w:val="true"/>
        </w:rPr>
        <w:footnoteReference w:id="354"/>
      </w:r>
    </w:p>
    <w:p>
      <w:pPr>
        <w:pStyle w:val="Heading5"/>
        <w:numPr>
          <w:ilvl w:val="4"/>
          <w:numId w:val="1"/>
        </w:numPr>
        <w:rPr/>
      </w:pPr>
      <w:bookmarkStart w:id="261" w:name="__RefHeading___Toc15202374_1280447820"/>
      <w:bookmarkStart w:id="262" w:name="_Toc98"/>
      <w:bookmarkEnd w:id="261"/>
      <w:r>
        <w:rPr>
          <w:rtl w:val="true"/>
        </w:rPr>
        <w:t>گفتار پنجم استحباب اتخاذ منبر در مسجد</w:t>
      </w:r>
      <w:bookmarkEnd w:id="262"/>
    </w:p>
    <w:p>
      <w:pPr>
        <w:pStyle w:val="Heading6"/>
        <w:numPr>
          <w:ilvl w:val="5"/>
          <w:numId w:val="1"/>
        </w:numPr>
        <w:rPr/>
      </w:pPr>
      <w:bookmarkStart w:id="263" w:name="__RefHeading___Toc15202376_1280447820"/>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فقهای فریقین بر آنند که قرار گرفتن منبر در مساجد مستحب است</w:t>
      </w:r>
      <w:r>
        <w:rPr>
          <w:rFonts w:eastAsia="IRNazanin" w:cs="IRNazanin"/>
          <w:color w:val="111111"/>
          <w:sz w:val="28"/>
          <w:szCs w:val="28"/>
          <w:rtl w:val="true"/>
          <w:lang w:bidi="fa-IR"/>
        </w:rPr>
        <w:t>.</w:t>
      </w:r>
    </w:p>
    <w:p>
      <w:pPr>
        <w:pStyle w:val="Heading6"/>
        <w:numPr>
          <w:ilvl w:val="5"/>
          <w:numId w:val="1"/>
        </w:numPr>
        <w:rPr/>
      </w:pPr>
      <w:bookmarkStart w:id="265" w:name="__RefHeading___Toc15202378_1280447820"/>
      <w:bookmarkStart w:id="266" w:name="_Toc100"/>
      <w:bookmarkEnd w:id="265"/>
      <w:r>
        <w:rPr>
          <w:rtl w:val="true"/>
        </w:rPr>
        <w:t>الف</w:t>
      </w:r>
      <w:r>
        <w:rPr>
          <w:rtl w:val="true"/>
        </w:rPr>
        <w:t xml:space="preserve">) </w:t>
      </w:r>
      <w:r>
        <w:rPr>
          <w:rtl w:val="true"/>
        </w:rPr>
        <w:t>دیدگاه فقیهان شیعه پیرامون اتخاذ منبر و ایراد خطبه بر فراز آن</w:t>
      </w:r>
      <w:bookmarkEnd w:id="2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فقهای شیعه معتقدند که قراردادن منبر در مسجد مستحب است و </w:t>
      </w:r>
    </w:p>
    <w:p>
      <w:pPr>
        <w:pStyle w:val="BookText"/>
        <w:rPr/>
      </w:pPr>
      <w:r>
        <w:rPr>
          <w:rFonts w:ascii="IRNazanin" w:hAnsi="IRNazanin" w:eastAsia="IRNazanin"/>
          <w:color w:val="111111"/>
          <w:sz w:val="28"/>
          <w:sz w:val="28"/>
          <w:szCs w:val="28"/>
          <w:rtl w:val="true"/>
          <w:lang w:bidi="fa-IR"/>
        </w:rPr>
        <w:t>امام جمعه یا سخنران آهسته با وقار و آرامش بر منبر صعود کند، و بعد از آن که بر فراز منبر قرار گرفت به فتوای بسیاری از فقها مستحب است که به مردم سلام کند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دلیل آن روایتی است که شیخ طوسی از عمروبن،جمیع، از امیرالمؤمنین علیه السلام نقل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نماز جمعه این است که هرگاه امام جمعه بالای منبر رفت و روبه روی مردم قرار گرفت بر آنان سلام 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آداب دیگر نماز جمعه نیز این است که به جهت تأسی از پیامبر خدا صلی الله علیه و آله امام جمعه بالای منبر برود و بنشیند تا مؤذن اذان بگوید و وقتی اذان تمام شد برخیزد و به ایراد خطبه بپردازد؛ عبدالله بن میمون از امام صادق علیه السلام از پدرش روایت می کند کند که فرمود پیامبر خدا صلی الله علیه و آله هر گاه برای نماز جمعه می آمد روی منبر می نشست تا مؤذنان اذان بگویند </w:t>
      </w:r>
      <w:r>
        <w:rPr>
          <w:rStyle w:val="FootnoteAnchor"/>
          <w:rtl w:val="true"/>
        </w:rPr>
        <w:footnoteReference w:id="357"/>
      </w:r>
      <w:r>
        <w:rPr>
          <w:rFonts w:ascii="IRNazanin" w:hAnsi="IRNazanin" w:eastAsia="IRNazanin"/>
          <w:color w:val="111111"/>
          <w:sz w:val="28"/>
          <w:sz w:val="28"/>
          <w:szCs w:val="28"/>
          <w:rtl w:val="true"/>
          <w:lang w:bidi="fa-IR"/>
        </w:rPr>
        <w:t>و در روایت دعائم الإسلام از امام صادق علیه السلام آمده است که هر گاه امام جمعه بالای منبر رفت بنشیند تا مؤذنان اذان بگویند، و وقتی اذان تمام شد برخیزد و به ایراد خطبه و موعظه بپردازد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نماز جمعه 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اذان و اقامه است و وقتی اذان گفته شد امام جمعه بالای منبر </w:t>
      </w:r>
      <w:bookmarkStart w:id="267" w:name="pg19115_195409"/>
    </w:p>
    <w:p>
      <w:pPr>
        <w:pStyle w:val="BookText"/>
        <w:rPr/>
      </w:pPr>
      <w:bookmarkEnd w:id="267"/>
      <w:r>
        <w:rPr>
          <w:rFonts w:ascii="IRNazanin" w:hAnsi="IRNazanin" w:eastAsia="IRNazanin"/>
          <w:color w:val="111111"/>
          <w:sz w:val="28"/>
          <w:sz w:val="28"/>
          <w:szCs w:val="28"/>
          <w:rtl w:val="true"/>
          <w:lang w:bidi="fa-IR"/>
        </w:rPr>
        <w:t>برود و خطبه را آغاز 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این رو با توجه به روایات یاد شده و عبارات،فقها اتخاذ منبر برای مسجد و رفتن خطیب بالای منبر جهت ایراد خطبه و موعظه مستحب است</w:t>
      </w:r>
      <w:r>
        <w:rPr>
          <w:rFonts w:eastAsia="IRNazanin" w:cs="IRNazanin"/>
          <w:color w:val="111111"/>
          <w:sz w:val="28"/>
          <w:szCs w:val="28"/>
          <w:rtl w:val="true"/>
          <w:lang w:bidi="fa-IR"/>
        </w:rPr>
        <w:t xml:space="preserve">. </w:t>
      </w:r>
      <w:r>
        <w:rPr>
          <w:rStyle w:val="FootnoteAnchor"/>
          <w:rtl w:val="true"/>
        </w:rPr>
        <w:footnoteReference w:id="360"/>
      </w:r>
    </w:p>
    <w:p>
      <w:pPr>
        <w:pStyle w:val="Heading6"/>
        <w:numPr>
          <w:ilvl w:val="5"/>
          <w:numId w:val="1"/>
        </w:numPr>
        <w:rPr/>
      </w:pPr>
      <w:bookmarkStart w:id="268" w:name="__RefHeading___Toc15202380_1280447820"/>
      <w:bookmarkStart w:id="269" w:name="_Toc101"/>
      <w:bookmarkEnd w:id="268"/>
      <w:r>
        <w:rPr>
          <w:rtl w:val="true"/>
        </w:rPr>
        <w:t>ب</w:t>
      </w:r>
      <w:r>
        <w:rPr>
          <w:rtl w:val="true"/>
        </w:rPr>
        <w:t xml:space="preserve">) </w:t>
      </w:r>
      <w:r>
        <w:rPr>
          <w:rtl w:val="true"/>
        </w:rPr>
        <w:t>اتخاذ منبر در مسجد از نگاه اهل سنّت</w:t>
      </w:r>
      <w:bookmarkEnd w:id="269"/>
    </w:p>
    <w:p>
      <w:pPr>
        <w:pStyle w:val="BookText"/>
        <w:rPr/>
      </w:pPr>
      <w:r>
        <w:rPr>
          <w:rFonts w:ascii="IRNazanin" w:hAnsi="IRNazanin" w:eastAsia="IRNazanin"/>
          <w:color w:val="111111"/>
          <w:sz w:val="28"/>
          <w:sz w:val="28"/>
          <w:szCs w:val="28"/>
          <w:rtl w:val="true"/>
          <w:lang w:bidi="fa-IR"/>
        </w:rPr>
        <w:t>فقهاء اهل سنت اتفاق نظر دارند که قرار دادن منبر در مسجد و ایراد خطبه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فراز آن مستحب است؛ چنان که نشستن روی منبر پیش از خطبه نیز مستحب است و سزاوار است منبر در سمت راست محراب نصب شود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فقیهان شافعی می گویند اگر مسجد وسعت ندارد مکروه است که منبر به قدری بزرگ باشد که جا برای نمازگزاران تنگ شود</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270" w:name="__RefHeading___Toc15202382_1280447820"/>
      <w:bookmarkStart w:id="271" w:name="_Toc102"/>
      <w:bookmarkEnd w:id="270"/>
      <w:r>
        <w:rPr>
          <w:rtl w:val="true"/>
        </w:rPr>
        <w:t>ج</w:t>
      </w:r>
      <w:r>
        <w:rPr>
          <w:rtl w:val="true"/>
        </w:rPr>
        <w:t xml:space="preserve">) </w:t>
      </w:r>
      <w:r>
        <w:rPr>
          <w:rtl w:val="true"/>
        </w:rPr>
        <w:t>نکاتی چند پیرامون منبر</w:t>
      </w:r>
      <w:bookmarkEnd w:id="271"/>
    </w:p>
    <w:p>
      <w:pPr>
        <w:pStyle w:val="BookText"/>
        <w:rPr/>
      </w:pPr>
      <w:r>
        <w:rPr>
          <w:rFonts w:ascii="IRNazanin" w:hAnsi="IRNazanin" w:eastAsia="IRNazanin"/>
          <w:color w:val="111111"/>
          <w:sz w:val="28"/>
          <w:sz w:val="28"/>
          <w:szCs w:val="28"/>
          <w:rtl w:val="true"/>
          <w:lang w:bidi="fa-IR"/>
        </w:rPr>
        <w:t>فقها در زمینه منبر مسجد فروعی را ذکر کرده اند که شایسته است به برخی از آنها اشاره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نصب منبر مستحب است که منبر سمت راست محراب نصب شود سمت راست محراب مکانی است که هر گاه امام جماعت رو به قبله می ایستد طرف راست او سمت راست محراب شمرده می شود و دلیل آن نیز اقتدا و تأسی به پیامبر خدا صلی الله علیه و آله می باشد؛ چون منبر پیامبر سمت راست محراب نصب شده بود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منبر به قدری بزرگ نباشد که جا برای نمازگزاران تنگ شود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منبر وجود نداشته باشد و امکان دسترسی به آن نباشد امام جمعه در مكان مرتفعی می ایستد تا در هنگام خواندن خطبه، صدای او به همه مردم برسد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منبر دارای سه پله باشد 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پیامبر صلی الله علیه و آله کوتاه بود و سه پله داشت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پله های منبر نباید بیشتر از پله های منبر پیامبر باشد</w:t>
      </w:r>
      <w:r>
        <w:rPr>
          <w:rFonts w:eastAsia="IRNazanin" w:cs="IRNazanin"/>
          <w:color w:val="111111"/>
          <w:sz w:val="28"/>
          <w:szCs w:val="28"/>
          <w:rtl w:val="true"/>
          <w:lang w:bidi="fa-IR"/>
        </w:rPr>
        <w:t xml:space="preserve">. </w:t>
      </w:r>
      <w:r>
        <w:rPr>
          <w:rStyle w:val="FootnoteAnchor"/>
          <w:rtl w:val="true"/>
        </w:rPr>
        <w:footnoteReference w:id="367"/>
      </w:r>
      <w:bookmarkStart w:id="272" w:name="pg19115_195411"/>
    </w:p>
    <w:p>
      <w:pPr>
        <w:pStyle w:val="Heading4"/>
        <w:numPr>
          <w:ilvl w:val="3"/>
          <w:numId w:val="1"/>
        </w:numPr>
        <w:rPr/>
      </w:pPr>
      <w:bookmarkStart w:id="273" w:name="__RefHeading___Toc15202384_1280447820"/>
      <w:bookmarkStart w:id="274" w:name="_Toc103"/>
      <w:bookmarkEnd w:id="272"/>
      <w:bookmarkEnd w:id="273"/>
      <w:r>
        <w:rPr>
          <w:rtl w:val="true"/>
        </w:rPr>
        <w:t>مبحث ششم</w:t>
      </w:r>
      <w:r>
        <w:rPr>
          <w:rtl w:val="true"/>
        </w:rPr>
        <w:t xml:space="preserve">: </w:t>
      </w:r>
      <w:r>
        <w:rPr>
          <w:rtl w:val="true"/>
        </w:rPr>
        <w:t>مناره مسجد</w:t>
      </w:r>
      <w:bookmarkEnd w:id="274"/>
    </w:p>
    <w:p>
      <w:pPr>
        <w:pStyle w:val="Heading5"/>
        <w:numPr>
          <w:ilvl w:val="4"/>
          <w:numId w:val="1"/>
        </w:numPr>
        <w:rPr/>
      </w:pPr>
      <w:bookmarkStart w:id="275" w:name="__RefHeading___Toc15202386_1280447820"/>
      <w:bookmarkStart w:id="276" w:name="_Toc104"/>
      <w:bookmarkEnd w:id="275"/>
      <w:r>
        <w:rPr>
          <w:rtl w:val="true"/>
        </w:rPr>
        <w:t>گفتار اول</w:t>
      </w:r>
      <w:r>
        <w:rPr>
          <w:rtl w:val="true"/>
        </w:rPr>
        <w:t xml:space="preserve">: </w:t>
      </w:r>
      <w:r>
        <w:rPr>
          <w:rtl w:val="true"/>
        </w:rPr>
        <w:t>مناره در لغت و اصطلاح</w:t>
      </w:r>
      <w:bookmarkEnd w:id="276"/>
    </w:p>
    <w:p>
      <w:pPr>
        <w:pStyle w:val="BookText"/>
        <w:rPr/>
      </w:pPr>
      <w:r>
        <w:rPr>
          <w:rFonts w:ascii="IRNazanin" w:hAnsi="IRNazanin" w:eastAsia="IRNazanin"/>
          <w:color w:val="111111"/>
          <w:sz w:val="28"/>
          <w:sz w:val="28"/>
          <w:szCs w:val="28"/>
          <w:rtl w:val="true"/>
          <w:lang w:bidi="fa-IR"/>
        </w:rPr>
        <w:t xml:space="preserve">لغویان برای مناره معانی مختلفی ذکر کرده اند؛ مانند جای نور، موضع نور، مکان بلندی که بر آن چراغ افروزند؛ چرا که این صیغه ظرف مکان و به معنای جای نور است مجازاً بر مأذنه گلدسته و جای بلندی که بر آن اذان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گلدسته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مناره عبارت است از ستون مانندی بسیار مرتفع که از آجر یا سنگ بر سمت راست و چپ مساجد بنا کنند و بر بالای آن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شاید وجه تسمیه این باشد که در زمانه قدیم بر آن چراغ می افروختند تا راه را نشان دهد؛ به همین سبب آن را منار </w:t>
      </w:r>
      <w:r>
        <w:rPr>
          <w:rStyle w:val="FootnoteAnchor"/>
          <w:rtl w:val="true"/>
        </w:rPr>
        <w:footnoteReference w:id="368"/>
      </w:r>
      <w:r>
        <w:rPr>
          <w:rFonts w:ascii="IRNazanin" w:hAnsi="IRNazanin" w:eastAsia="IRNazanin"/>
          <w:color w:val="111111"/>
          <w:sz w:val="28"/>
          <w:sz w:val="28"/>
          <w:szCs w:val="28"/>
          <w:rtl w:val="true"/>
          <w:lang w:bidi="fa-IR"/>
        </w:rPr>
        <w:t xml:space="preserve">گویند </w:t>
      </w:r>
      <w:r>
        <w:rPr>
          <w:rStyle w:val="FootnoteAnchor"/>
          <w:rtl w:val="true"/>
        </w:rPr>
        <w:footnoteReference w:id="369"/>
      </w:r>
      <w:r>
        <w:rPr>
          <w:rFonts w:ascii="IRNazanin" w:hAnsi="IRNazanin" w:eastAsia="IRNazanin"/>
          <w:color w:val="111111"/>
          <w:sz w:val="28"/>
          <w:sz w:val="28"/>
          <w:szCs w:val="28"/>
          <w:rtl w:val="true"/>
          <w:lang w:bidi="fa-IR"/>
        </w:rPr>
        <w:t>مناره ای که بر آن اذان گفته می شود مأذنه می نامند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مناره در اصطلاح فقیهان به همان معنای لغوی به کار رفته است</w:t>
      </w:r>
      <w:r>
        <w:rPr>
          <w:rFonts w:eastAsia="IRNazanin" w:cs="IRNazanin"/>
          <w:color w:val="111111"/>
          <w:sz w:val="28"/>
          <w:szCs w:val="28"/>
          <w:rtl w:val="true"/>
          <w:lang w:bidi="fa-IR"/>
        </w:rPr>
        <w:t>.</w:t>
      </w:r>
    </w:p>
    <w:p>
      <w:pPr>
        <w:pStyle w:val="Heading5"/>
        <w:numPr>
          <w:ilvl w:val="4"/>
          <w:numId w:val="1"/>
        </w:numPr>
        <w:rPr/>
      </w:pPr>
      <w:bookmarkStart w:id="277" w:name="__RefHeading___Toc15202388_1280447820"/>
      <w:bookmarkStart w:id="278" w:name="_Toc105"/>
      <w:bookmarkEnd w:id="277"/>
      <w:r>
        <w:rPr>
          <w:rtl w:val="true"/>
        </w:rPr>
        <w:t>گفتار دوم</w:t>
      </w:r>
      <w:r>
        <w:rPr>
          <w:rtl w:val="true"/>
        </w:rPr>
        <w:t xml:space="preserve">: </w:t>
      </w:r>
      <w:r>
        <w:rPr>
          <w:rtl w:val="true"/>
        </w:rPr>
        <w:t>مناره های مسجدالنبی صلی الله علیه و آله</w:t>
      </w:r>
      <w:bookmarkEnd w:id="27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 یا مأذنه که در فارسی آن را گل دسته نیز گویند محلی است که مؤذن در آن اذان می گوید و مردم را به نماز دعوت می کند </w:t>
      </w:r>
    </w:p>
    <w:p>
      <w:pPr>
        <w:pStyle w:val="BookText"/>
        <w:rPr/>
      </w:pPr>
      <w:r>
        <w:rPr>
          <w:rFonts w:ascii="IRNazanin" w:hAnsi="IRNazanin" w:eastAsia="IRNazanin"/>
          <w:color w:val="111111"/>
          <w:sz w:val="28"/>
          <w:sz w:val="28"/>
          <w:szCs w:val="28"/>
          <w:rtl w:val="true"/>
          <w:lang w:bidi="fa-IR"/>
        </w:rPr>
        <w:t xml:space="preserve">درباره پیدایش مناره در اسلام باید گفت که در عهد پیامبر صلی الله علیه و آله، مسجدالنبی مناره ای نداشته است بلال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باوفای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ستونی که داخل خانه عبدالله بن عمر بود ایستاده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این ستون در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عمر،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از زنی از طایفه بنی نجار نقل می کند که اول گفت خانه ی من مرتفع ترین خانه در اطراف مسجدالنبی بود بلال هنگام سحر خانه من می آمد و روی پشت بام می نشست و به افق نگاه می کرد هنگامی که سپیده صبح طلوع می کرد دعایی می خواند و سپس اذان می گفت</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بدین ترتیب می توان دریافت که در زمان رسول اکرم صلی الله علیه و آله مناره به شکلی که بعدها در مساجد پدید آمد وجود نداشته اما اندیشه این که مؤذن باید در محل مرتفعی اذان بگوید در میان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غلامی داشت که او را کلاب می گفتند؛ اولین مناره را وی برای مسجد ساخت</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ولید بن عبد الملک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گاه که عمر بن عبدالعزیز از طرف وی حکومت مدینه را،داشت مقداری بر وسعت مسجدالنبی اضافه کرد و عمر بن عبد العزیز در چهار گوشه مسجد چهار مناره بنا،کرد، یکی از آنها مشرف بر خانه مروان بود سلیمان بن عبد الملک در سفر حج در این خانه منزل کرد و چون مؤذن بالای مناره داخل آن خانه را می دید سلیمان امر کرد که مناره را خراب کنند</w:t>
      </w:r>
      <w:r>
        <w:rPr>
          <w:rFonts w:eastAsia="IRNazanin" w:cs="IRNazanin"/>
          <w:color w:val="111111"/>
          <w:sz w:val="28"/>
          <w:szCs w:val="28"/>
          <w:rtl w:val="true"/>
          <w:lang w:bidi="fa-IR"/>
        </w:rPr>
        <w:t xml:space="preserve">. </w:t>
      </w:r>
      <w:r>
        <w:rPr>
          <w:rStyle w:val="FootnoteAnchor"/>
          <w:rtl w:val="true"/>
        </w:rPr>
        <w:footnoteReference w:id="374"/>
      </w:r>
      <w:bookmarkStart w:id="279" w:name="pg19115_195413"/>
    </w:p>
    <w:p>
      <w:pPr>
        <w:pStyle w:val="BookText"/>
        <w:rPr/>
      </w:pPr>
      <w:bookmarkEnd w:id="279"/>
      <w:r>
        <w:rPr>
          <w:rFonts w:ascii="IRNazanin" w:hAnsi="IRNazanin" w:eastAsia="IRNazanin"/>
          <w:color w:val="111111"/>
          <w:sz w:val="28"/>
          <w:sz w:val="28"/>
          <w:szCs w:val="28"/>
          <w:rtl w:val="true"/>
          <w:lang w:bidi="fa-IR"/>
        </w:rPr>
        <w:t>از این پس ساختن مناره در بیشتر مساجد جامع شهرها و مراکز بلاد معمول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تاریخ نیشابور آمده است که ابومسلم خراسانی مسجد جامع را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شهر بنا نهاد مناره ای برای آن ساخت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آخرین مناره های مسجدالنبی در پایان عصر عثمانی ها، پنج مناره بود، و سعودی ها یکی از آنها را در مجاورت 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کردند</w:t>
      </w:r>
      <w:r>
        <w:rPr>
          <w:rFonts w:eastAsia="IRNazanin" w:cs="IRNazanin"/>
          <w:color w:val="111111"/>
          <w:sz w:val="28"/>
          <w:szCs w:val="28"/>
          <w:rtl w:val="true"/>
          <w:lang w:bidi="fa-IR"/>
        </w:rPr>
        <w:t xml:space="preserve">. </w:t>
      </w:r>
      <w:r>
        <w:rPr>
          <w:rStyle w:val="FootnoteAnchor"/>
          <w:rtl w:val="true"/>
        </w:rPr>
        <w:footnoteReference w:id="376"/>
      </w:r>
    </w:p>
    <w:p>
      <w:pPr>
        <w:pStyle w:val="Heading5"/>
        <w:numPr>
          <w:ilvl w:val="4"/>
          <w:numId w:val="1"/>
        </w:numPr>
        <w:rPr/>
      </w:pPr>
      <w:bookmarkStart w:id="280" w:name="__RefHeading___Toc15202390_1280447820"/>
      <w:bookmarkStart w:id="281" w:name="_Toc106"/>
      <w:bookmarkEnd w:id="280"/>
      <w:r>
        <w:rPr>
          <w:rtl w:val="true"/>
        </w:rPr>
        <w:t>گفتار سوم ساختن مناره از دیدگاه فقها</w:t>
      </w:r>
      <w:bookmarkEnd w:id="281"/>
    </w:p>
    <w:p>
      <w:pPr>
        <w:pStyle w:val="Heading6"/>
        <w:numPr>
          <w:ilvl w:val="5"/>
          <w:numId w:val="1"/>
        </w:numPr>
        <w:rPr/>
      </w:pPr>
      <w:bookmarkStart w:id="282" w:name="__RefHeading___Toc15202392_1280447820"/>
      <w:bookmarkStart w:id="283" w:name="_Toc10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فقیهان شیعه و اهل سنت در زمینه ساختن مناره برای مسجد آرای مختلفی دارند که به طور اختصار به آنها اشاره می شود</w:t>
      </w:r>
      <w:r>
        <w:rPr>
          <w:rFonts w:eastAsia="IRNazanin" w:cs="IRNazanin"/>
          <w:color w:val="111111"/>
          <w:sz w:val="28"/>
          <w:szCs w:val="28"/>
          <w:rtl w:val="true"/>
          <w:lang w:bidi="fa-IR"/>
        </w:rPr>
        <w:t>:</w:t>
      </w:r>
    </w:p>
    <w:p>
      <w:pPr>
        <w:pStyle w:val="Heading6"/>
        <w:numPr>
          <w:ilvl w:val="5"/>
          <w:numId w:val="1"/>
        </w:numPr>
        <w:rPr/>
      </w:pPr>
      <w:bookmarkStart w:id="284" w:name="__RefHeading___Toc15202394_1280447820"/>
      <w:bookmarkStart w:id="285" w:name="_Toc108"/>
      <w:bookmarkEnd w:id="284"/>
      <w:r>
        <w:rPr>
          <w:rtl w:val="true"/>
        </w:rPr>
        <w:t>الف</w:t>
      </w:r>
      <w:r>
        <w:rPr>
          <w:rtl w:val="true"/>
        </w:rPr>
        <w:t xml:space="preserve">) </w:t>
      </w:r>
      <w:r>
        <w:rPr>
          <w:rtl w:val="true"/>
        </w:rPr>
        <w:t>دیدگاه فقیهان شیعه پیرامون ساختن مناره</w:t>
      </w:r>
      <w:bookmarkEnd w:id="285"/>
    </w:p>
    <w:p>
      <w:pPr>
        <w:pStyle w:val="Heading6"/>
        <w:numPr>
          <w:ilvl w:val="5"/>
          <w:numId w:val="1"/>
        </w:numPr>
        <w:rPr/>
      </w:pPr>
      <w:bookmarkStart w:id="286" w:name="__RefHeading___Toc15202396_1280447820"/>
      <w:bookmarkStart w:id="287" w:name="_Toc109"/>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فقهای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مسجدالنبی در عهد پیامبر خدا صلی الله علیه و آله مناره ای نداشته و بلال بر روی زمین اذان می گفته است؛ چنان که علی بن جعفر از برادرش امام کاظم علیه السلام سؤال می کند آیا اذان گفتن بالای مناره سنت است؟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بر روی زمین اذان گفتند، در زمان پیامبر صلی الله علیه و آله مناره ای نبوده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فقها در زمینه مناره به چند مسأله توجه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مناره در وسط مسجد یا در ضمن دیوار مسجد؛</w:t>
      </w:r>
      <w:bookmarkStart w:id="288" w:name="pg19115_195414"/>
    </w:p>
    <w:p>
      <w:pPr>
        <w:pStyle w:val="BookText"/>
        <w:rPr/>
      </w:pPr>
      <w:bookmarkEnd w:id="2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ارتفاع مناره از بام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ساختن مناره برای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اذان در مناره</w:t>
      </w:r>
    </w:p>
    <w:p>
      <w:pPr>
        <w:pStyle w:val="Heading6"/>
        <w:numPr>
          <w:ilvl w:val="5"/>
          <w:numId w:val="1"/>
        </w:numPr>
        <w:rPr/>
      </w:pPr>
      <w:bookmarkStart w:id="289" w:name="__RefHeading___Toc15202398_1280447820"/>
      <w:bookmarkStart w:id="290" w:name="_Toc110"/>
      <w:bookmarkEnd w:id="289"/>
      <w:r>
        <w:rPr/>
        <w:t>1</w:t>
      </w:r>
      <w:r>
        <w:rPr>
          <w:rtl w:val="true"/>
        </w:rPr>
        <w:t xml:space="preserve">. </w:t>
      </w:r>
      <w:r>
        <w:rPr>
          <w:rtl w:val="true"/>
        </w:rPr>
        <w:t>مسأله اول ساختن مناره در وسط مسجد یا در ضمن دیوار مسجد</w:t>
      </w:r>
      <w:bookmarkEnd w:id="290"/>
    </w:p>
    <w:p>
      <w:pPr>
        <w:pStyle w:val="BookText"/>
        <w:rPr/>
      </w:pPr>
      <w:r>
        <w:rPr>
          <w:rFonts w:ascii="IRNazanin" w:hAnsi="IRNazanin" w:eastAsia="IRNazanin"/>
          <w:color w:val="111111"/>
          <w:sz w:val="28"/>
          <w:sz w:val="28"/>
          <w:szCs w:val="28"/>
          <w:rtl w:val="true"/>
          <w:lang w:bidi="fa-IR"/>
        </w:rPr>
        <w:t>جمعی از فقهای شیعه معتقدند که ساختن مناره در وسط ساختمان مسجد کراهت دارد شایسته است که در ضمن دیوار مسجد ساخته شود؛ چنان که شیخ در کتاب مبسوط می گوید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المناره فى وسط المسجد بل تبنى مع حائط المسجد، لا تُعَلّى عليه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ابن ادریس شهید اول در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کاشانی نیز آن را مکروه می دانند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فاضل اصفهانی و سید صاحب ریاض آن را به مشهور نسبت داده اند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تعبیرات جمعی از اصحاب آمده است يستحب أن تكون المناره مع الحائط لا في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که مناره در ضمن دیوار ساختمان مسجد ساخته شود نباید مناره در وسط مسجد قرار گیرد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تُبنى المناره في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که مشعر به عدم جواز است چنان که شیخ در نهایة تصریح به عدم </w:t>
      </w:r>
    </w:p>
    <w:p>
      <w:pPr>
        <w:pStyle w:val="BookText"/>
        <w:rPr/>
      </w:pPr>
      <w:r>
        <w:rPr>
          <w:rFonts w:ascii="IRNazanin" w:hAnsi="IRNazanin" w:eastAsia="IRNazanin"/>
          <w:color w:val="111111"/>
          <w:sz w:val="28"/>
          <w:sz w:val="28"/>
          <w:szCs w:val="28"/>
          <w:rtl w:val="true"/>
          <w:lang w:bidi="fa-IR"/>
        </w:rPr>
        <w:t>جواز می کند؛ زیرا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المناره في وسطها</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شاید علت نظر شیخ این باشد که قرار دادن مناره در وسط ساختمان مسجد با مقتضای مسجد بودن منافات دارد؛ زیرا مقتضای مسجد بودن این است که هر نقطه آن برای نماز خواندن افراد آماده باشد 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مسجد مانع از این امر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محقق ثانی، شهید ثانی، فاضل اصفهانی و سید محمد عاملی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ساختن مسجد، و بعد از آن که مسجدیت مسجد محقق شد، مناره را در وسط مسجد بسازند در این صورت نظر شیخ حق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کراهت داشتن مناره در وسط ساختمان مسجد دو علت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دیوار مسجد ساخته شود، فضای بیشتری برای نمازگزاران مهیا می شود و چنان که مناره در وسط شبستان مسجد قرار بگیرد مقدار از فضای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یابد در نتیجه فضا برای نمازگزاران تنگ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مسجد باعث خلل در اتصال صفوف نمازگزاران و ایجاد حایل میان آنها خواهد بود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دیوار این مانع را بر می دارد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شیخ محمد حسن نجفی و محدث بحرانی نیز به آن اشاره می کنند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محدث بحرانی می گوید مسأله استحباب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دیوار، خالی </w:t>
      </w:r>
      <w:bookmarkStart w:id="291" w:name="pg19115_195416"/>
    </w:p>
    <w:p>
      <w:pPr>
        <w:pStyle w:val="BookText"/>
        <w:rPr/>
      </w:pPr>
      <w:bookmarkEnd w:id="291"/>
      <w:r>
        <w:rPr>
          <w:rFonts w:ascii="IRNazanin" w:hAnsi="IRNazanin" w:eastAsia="IRNazanin"/>
          <w:color w:val="111111"/>
          <w:sz w:val="28"/>
          <w:sz w:val="28"/>
          <w:szCs w:val="28"/>
          <w:rtl w:val="true"/>
          <w:lang w:bidi="fa-IR"/>
        </w:rPr>
        <w:t>از نص است</w:t>
      </w:r>
      <w:r>
        <w:rPr>
          <w:rFonts w:eastAsia="IRNazanin" w:cs="IRNazanin"/>
          <w:color w:val="111111"/>
          <w:sz w:val="28"/>
          <w:szCs w:val="28"/>
          <w:rtl w:val="true"/>
          <w:lang w:bidi="fa-IR"/>
        </w:rPr>
        <w:t xml:space="preserve">. </w:t>
      </w:r>
      <w:r>
        <w:rPr>
          <w:rStyle w:val="FootnoteAnchor"/>
          <w:rtl w:val="true"/>
        </w:rPr>
        <w:footnoteReference w:id="389"/>
      </w:r>
    </w:p>
    <w:p>
      <w:pPr>
        <w:pStyle w:val="Heading6"/>
        <w:numPr>
          <w:ilvl w:val="5"/>
          <w:numId w:val="1"/>
        </w:numPr>
        <w:rPr/>
      </w:pPr>
      <w:bookmarkStart w:id="292" w:name="__RefHeading___Toc15202400_1280447820"/>
      <w:bookmarkStart w:id="293" w:name="_Toc111"/>
      <w:bookmarkEnd w:id="292"/>
      <w:r>
        <w:rPr/>
        <w:t>2</w:t>
      </w:r>
      <w:r>
        <w:rPr>
          <w:rtl w:val="true"/>
        </w:rPr>
        <w:t xml:space="preserve">. </w:t>
      </w:r>
      <w:r>
        <w:rPr>
          <w:rtl w:val="true"/>
        </w:rPr>
        <w:t>مسأله دوم</w:t>
      </w:r>
      <w:r>
        <w:rPr>
          <w:rtl w:val="true"/>
        </w:rPr>
        <w:t xml:space="preserve">: </w:t>
      </w:r>
      <w:r>
        <w:rPr>
          <w:rtl w:val="true"/>
        </w:rPr>
        <w:t>کراهت مرتفع ساختن مناره از بام مسجد</w:t>
      </w:r>
      <w:bookmarkEnd w:id="293"/>
    </w:p>
    <w:p>
      <w:pPr>
        <w:pStyle w:val="BookText"/>
        <w:rPr/>
      </w:pPr>
      <w:r>
        <w:rPr>
          <w:rFonts w:ascii="IRNazanin" w:hAnsi="IRNazanin" w:eastAsia="IRNazanin"/>
          <w:color w:val="111111"/>
          <w:sz w:val="28"/>
          <w:sz w:val="28"/>
          <w:szCs w:val="28"/>
          <w:rtl w:val="true"/>
          <w:lang w:bidi="fa-IR"/>
        </w:rPr>
        <w:t>بسیاری از فقهای مذهب اهل بیت علیهم السلام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آن بیشتر از دیوار و پشت بام مسجد باشد کراهت دارد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تصریح می کند که بلند بودن مناره از پشت بام مسجد مکروه است علامه در بعضی کتبش </w:t>
      </w:r>
      <w:r>
        <w:rPr>
          <w:rStyle w:val="FootnoteAnchor"/>
          <w:rtl w:val="true"/>
        </w:rPr>
        <w:footnoteReference w:id="393"/>
      </w:r>
      <w:r>
        <w:rPr>
          <w:rFonts w:ascii="IRNazanin" w:hAnsi="IRNazanin" w:eastAsia="IRNazanin"/>
          <w:color w:val="111111"/>
          <w:sz w:val="28"/>
          <w:sz w:val="28"/>
          <w:szCs w:val="28"/>
          <w:rtl w:val="true"/>
          <w:lang w:bidi="fa-IR"/>
        </w:rPr>
        <w:t xml:space="preserve">و شهیدین </w:t>
      </w:r>
      <w:r>
        <w:rPr>
          <w:rStyle w:val="FootnoteAnchor"/>
          <w:rtl w:val="true"/>
        </w:rPr>
        <w:footnoteReference w:id="394"/>
      </w:r>
      <w:r>
        <w:rPr>
          <w:rFonts w:ascii="IRNazanin" w:hAnsi="IRNazanin" w:eastAsia="IRNazanin"/>
          <w:color w:val="111111"/>
          <w:sz w:val="28"/>
          <w:sz w:val="28"/>
          <w:szCs w:val="28"/>
          <w:rtl w:val="true"/>
          <w:lang w:bidi="fa-IR"/>
        </w:rPr>
        <w:t>نیز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در عروه می گوید یکره رفع المناره عن السطح</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علامه برای این مسأله دو دلیل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از امام صادق علیه السلام، از پدرش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مناره ای مرتفع برخورد کردند، فرمان داد تا آن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سطح با پشت بام مسجد ساخته شود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که مناره مسجد خیلی بلند ساخته شود این امر سبب می شود که مؤذن یا افراد دیگر به خانه های همسایگان مسجد اشراف پیدا کنند و باعث اذیت آنان شود از این رو برای این که کسی به خانه های آنان اشراف پیدا نکند، باید </w:t>
      </w:r>
      <w:bookmarkStart w:id="294" w:name="pg19115_195417"/>
    </w:p>
    <w:p>
      <w:pPr>
        <w:pStyle w:val="BookText"/>
        <w:rPr/>
      </w:pPr>
      <w:bookmarkEnd w:id="294"/>
      <w:r>
        <w:rPr>
          <w:rFonts w:ascii="IRNazanin" w:hAnsi="IRNazanin" w:eastAsia="IRNazanin"/>
          <w:color w:val="111111"/>
          <w:sz w:val="28"/>
          <w:sz w:val="28"/>
          <w:szCs w:val="28"/>
          <w:rtl w:val="true"/>
          <w:lang w:bidi="fa-IR"/>
        </w:rPr>
        <w:t>مناره مسجد از دیوار و پشت بام مسجد بلندتر نباشد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جمع دیگری از فقهای شیعه نیز به این دو دلیل اشاره کرده اند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فاضل اصفهانی برای کراهت ارتفاع مناره از دیوار مسجد به روایت ابوهاشم جعفری استدلال کرده است که می گوید من در محضر مبارک امام عسکری علیه السلام بودم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قائم قیام کند فرمان می دهد تا مناره ها مقصوره هایی که در مساجداند تخریب شوند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pStyle w:val="Heading6"/>
        <w:numPr>
          <w:ilvl w:val="5"/>
          <w:numId w:val="1"/>
        </w:numPr>
        <w:rPr/>
      </w:pPr>
      <w:bookmarkStart w:id="295" w:name="__RefHeading___Toc15202402_1280447820"/>
      <w:bookmarkStart w:id="296" w:name="_Toc112"/>
      <w:bookmarkEnd w:id="295"/>
      <w:r>
        <w:rPr/>
        <w:t>3</w:t>
      </w:r>
      <w:r>
        <w:rPr>
          <w:rtl w:val="true"/>
        </w:rPr>
        <w:t xml:space="preserve">. </w:t>
      </w:r>
      <w:r>
        <w:rPr>
          <w:rtl w:val="true"/>
        </w:rPr>
        <w:t>مسأله سوم جواز ساختن مناره</w:t>
      </w:r>
      <w:bookmarkEnd w:id="296"/>
    </w:p>
    <w:p>
      <w:pPr>
        <w:pStyle w:val="Heading6"/>
        <w:numPr>
          <w:ilvl w:val="5"/>
          <w:numId w:val="1"/>
        </w:numPr>
        <w:rPr/>
      </w:pPr>
      <w:bookmarkStart w:id="297" w:name="__RefHeading___Toc15202404_1280447820"/>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در عصر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 مناره ای نداشته، و این امر بعدها در میان مسلمانان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مسلم است در لسان روایات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ساختن مناره برای مساجد نهی و سرزنشی وارد نشده است و مجرد اینکه چیزی در زمان پیامبر صلی الله علیه و آله رایج نبوده باعث نمی شود که آن را بدعت و ناپسند تلقی کنیم البته در برخی روایات از بلند ساختن مناره نهی شده است چنان که پیشتر به آن اشاره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بارز برای مساجد،است اگر در عهد پیامبر صلی الله علیه و آله مناره یا مأذنه ای وجود نداشت به جهت این بود که در آن زمان نیازی به آن </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جمعیت مسلمانان رو به فزونی گذاشت مسلمانان به فکر ساختن مناره افتادند تا این که مؤذن بالای مأذنه با صدای بلند اذان بگوید و این ندای آسمانی با صدای رسا ابلاغ شود و صدای اسلام در همه آفاق به گوش مسلمین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عملی در طول قرنها در همه سرزمین های اسلامی جریان داشته است، و هیچ کس این امر را انکار نکرده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از این رو جواز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را از سیره مستمر مسلمین می 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بنابر فتواهای جمعی از،فقها اصل ساختن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مانعی ندارد البته آنچه که کراهت دارد بلند بودن مناره و ارتفاع آن از دیوار و پشت بام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يستحب أن يكون المناره مع حائطها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روایت سکونی استدلال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رواه السكوني عن جعفر، عن ابيه، عن آبائه ان عليا مر على مناره طويلة فامر بهدمها،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 المناره الا مع سطح المسجد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 المناره إلا مع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دلالت می کند بر این که اگر طول مناره از پشت بام مسجد بلند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تكون المنارة مع الحائط</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مستحب است این که مناره با دیوار مسجد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أن تبنى المناره في وسط المسجد بل ينبغى أن تُبنى مع حائطه</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مناره در وسط شبستان مسجد جایز نیست بلکه سزاوار است مناره با دیوار </w:t>
      </w:r>
      <w:bookmarkStart w:id="299" w:name="pg19115_195419"/>
    </w:p>
    <w:p>
      <w:pPr>
        <w:pStyle w:val="BookText"/>
        <w:rPr/>
      </w:pPr>
      <w:bookmarkEnd w:id="299"/>
      <w:r>
        <w:rPr>
          <w:rFonts w:ascii="Amiri" w:hAnsi="Amiri" w:eastAsia="Amiri" w:cs="Amiri"/>
          <w:color w:val="111111"/>
          <w:sz w:val="28"/>
          <w:sz w:val="28"/>
          <w:szCs w:val="28"/>
          <w:rtl w:val="true"/>
          <w:lang w:bidi="ar-SA"/>
        </w:rPr>
        <w:t>مسجد ساخته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نیز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عاملی در مدارک می گوید ساختن مناره برای مساجد در شریعت به طور اجمال ثابت است</w:t>
      </w:r>
      <w:r>
        <w:rPr>
          <w:rFonts w:eastAsia="IRNazanin" w:cs="IRNazanin"/>
          <w:color w:val="111111"/>
          <w:sz w:val="28"/>
          <w:szCs w:val="28"/>
          <w:rtl w:val="true"/>
          <w:lang w:bidi="fa-IR"/>
        </w:rPr>
        <w:t xml:space="preserve">. </w:t>
      </w:r>
      <w:r>
        <w:rPr>
          <w:rStyle w:val="FootnoteAnchor"/>
          <w:rtl w:val="true"/>
        </w:rPr>
        <w:footnoteReference w:id="408"/>
      </w:r>
    </w:p>
    <w:p>
      <w:pPr>
        <w:pStyle w:val="Heading6"/>
        <w:numPr>
          <w:ilvl w:val="5"/>
          <w:numId w:val="1"/>
        </w:numPr>
        <w:rPr/>
      </w:pPr>
      <w:bookmarkStart w:id="300" w:name="__RefHeading___Toc15202406_1280447820"/>
      <w:bookmarkStart w:id="301" w:name="_Toc114"/>
      <w:bookmarkEnd w:id="300"/>
      <w:r>
        <w:rPr/>
        <w:t>4</w:t>
      </w:r>
      <w:r>
        <w:rPr>
          <w:rtl w:val="true"/>
        </w:rPr>
        <w:t xml:space="preserve">. </w:t>
      </w:r>
      <w:r>
        <w:rPr>
          <w:rtl w:val="true"/>
        </w:rPr>
        <w:t>مسأله چهارم</w:t>
      </w:r>
      <w:r>
        <w:rPr>
          <w:rtl w:val="true"/>
        </w:rPr>
        <w:t xml:space="preserve">: </w:t>
      </w:r>
      <w:r>
        <w:rPr>
          <w:rtl w:val="true"/>
        </w:rPr>
        <w:t>استحباب اذان بر مناره</w:t>
      </w:r>
      <w:bookmarkEnd w:id="301"/>
    </w:p>
    <w:p>
      <w:pPr>
        <w:pStyle w:val="BookText"/>
        <w:rPr/>
      </w:pPr>
      <w:r>
        <w:rPr>
          <w:rFonts w:ascii="IRNazanin" w:hAnsi="IRNazanin" w:eastAsia="IRNazanin"/>
          <w:color w:val="111111"/>
          <w:sz w:val="28"/>
          <w:sz w:val="28"/>
          <w:szCs w:val="28"/>
          <w:rtl w:val="true"/>
          <w:lang w:bidi="fa-IR"/>
        </w:rPr>
        <w:t>مستحب است که مؤذن موقع گفتن اذان بر مکان مرتفعی مانند مناره یا غیر آن بایستد و اذان بگوید؛ زیرا این در رساندن صدای اذان رساتر است و ثواب آن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بأن يكون المؤذن على موضع مرتفع</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مؤذن موقع گفتن اذان بایستد و با صدای بلند در مأذنه اذان بگوید </w:t>
      </w:r>
      <w:r>
        <w:rPr>
          <w:rStyle w:val="FootnoteAnchor"/>
          <w:rtl w:val="true"/>
        </w:rPr>
        <w:footnoteReference w:id="410"/>
      </w:r>
      <w:r>
        <w:rPr>
          <w:rFonts w:ascii="IRNazanin" w:hAnsi="IRNazanin" w:eastAsia="IRNazanin"/>
          <w:color w:val="111111"/>
          <w:sz w:val="28"/>
          <w:sz w:val="28"/>
          <w:szCs w:val="28"/>
          <w:rtl w:val="true"/>
          <w:lang w:bidi="fa-IR"/>
        </w:rPr>
        <w:t xml:space="preserve">محقق در معتبر </w:t>
      </w:r>
      <w:r>
        <w:rPr>
          <w:rStyle w:val="FootnoteAnchor"/>
          <w:rtl w:val="true"/>
        </w:rPr>
        <w:footnoteReference w:id="411"/>
      </w:r>
      <w:r>
        <w:rPr>
          <w:rFonts w:ascii="IRNazanin" w:hAnsi="IRNazanin" w:eastAsia="IRNazanin"/>
          <w:color w:val="111111"/>
          <w:sz w:val="28"/>
          <w:sz w:val="28"/>
          <w:szCs w:val="28"/>
          <w:rtl w:val="true"/>
          <w:lang w:bidi="fa-IR"/>
        </w:rPr>
        <w:t xml:space="preserve">و شهید در دروس </w:t>
      </w:r>
      <w:r>
        <w:rPr>
          <w:rStyle w:val="FootnoteAnchor"/>
          <w:rtl w:val="true"/>
        </w:rPr>
        <w:footnoteReference w:id="412"/>
      </w:r>
      <w:r>
        <w:rPr>
          <w:rFonts w:ascii="IRNazanin" w:hAnsi="IRNazanin" w:eastAsia="IRNazanin"/>
          <w:color w:val="111111"/>
          <w:sz w:val="28"/>
          <w:sz w:val="28"/>
          <w:szCs w:val="28"/>
          <w:rtl w:val="true"/>
          <w:lang w:bidi="fa-IR"/>
        </w:rPr>
        <w:t>نیز تصریح به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عاملی در مدارک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مؤذن موقع گفتن اذان در مکان مرتفعی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حسب ظاهر ادله گفتن اذان در خصوص مناره استحباب ندارد ولی برخی بر این باورند که آن مستحب است، چون به مقتضای برخی روایات ساختن مناره به طول اجمال در شریعت وارد شده است، چنانچه اذان فتن در آن مستحب نباشد ساختن مناره بیهوده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حسن نجفی می نویسد شایسته است که مؤذن در حال اذان گفتن به </w:t>
      </w:r>
      <w:bookmarkStart w:id="302" w:name="pg19115_195420"/>
    </w:p>
    <w:p>
      <w:pPr>
        <w:pStyle w:val="BookText"/>
        <w:rPr/>
      </w:pPr>
      <w:bookmarkEnd w:id="302"/>
      <w:r>
        <w:rPr>
          <w:rFonts w:ascii="IRNazanin" w:hAnsi="IRNazanin" w:eastAsia="IRNazanin"/>
          <w:color w:val="111111"/>
          <w:sz w:val="28"/>
          <w:sz w:val="28"/>
          <w:szCs w:val="28"/>
          <w:rtl w:val="true"/>
          <w:lang w:bidi="fa-IR"/>
        </w:rPr>
        <w:t xml:space="preserve">مکان مرتفعی بایستد، چنان که بسیاری از فقها </w:t>
      </w:r>
      <w:r>
        <w:rPr>
          <w:rStyle w:val="FootnoteAnchor"/>
          <w:rtl w:val="true"/>
        </w:rPr>
        <w:footnoteReference w:id="413"/>
      </w:r>
      <w:r>
        <w:rPr>
          <w:rFonts w:ascii="IRNazanin" w:hAnsi="IRNazanin" w:eastAsia="IRNazanin"/>
          <w:color w:val="111111"/>
          <w:sz w:val="28"/>
          <w:sz w:val="28"/>
          <w:szCs w:val="28"/>
          <w:rtl w:val="true"/>
          <w:lang w:bidi="fa-IR"/>
        </w:rPr>
        <w:t>بر این امر تصریح کرده اند</w:t>
      </w:r>
      <w:r>
        <w:rPr>
          <w:rFonts w:eastAsia="IRNazanin" w:cs="IRNazanin"/>
          <w:color w:val="111111"/>
          <w:sz w:val="28"/>
          <w:szCs w:val="28"/>
          <w:rtl w:val="true"/>
          <w:lang w:bidi="fa-IR"/>
        </w:rPr>
        <w:t xml:space="preserve">. </w:t>
      </w:r>
      <w:r>
        <w:rPr>
          <w:rStyle w:val="FootnoteAnchor"/>
          <w:rtl w:val="true"/>
        </w:rPr>
        <w:footnoteReference w:id="414"/>
      </w:r>
    </w:p>
    <w:p>
      <w:pPr>
        <w:pStyle w:val="Heading6"/>
        <w:numPr>
          <w:ilvl w:val="5"/>
          <w:numId w:val="1"/>
        </w:numPr>
        <w:rPr/>
      </w:pPr>
      <w:bookmarkStart w:id="303" w:name="__RefHeading___Toc15202408_1280447820"/>
      <w:bookmarkStart w:id="304" w:name="_Toc115"/>
      <w:bookmarkEnd w:id="303"/>
      <w:r>
        <w:rPr>
          <w:rtl w:val="true"/>
        </w:rPr>
        <w:t>ب</w:t>
      </w:r>
      <w:r>
        <w:rPr>
          <w:rtl w:val="true"/>
        </w:rPr>
        <w:t xml:space="preserve">) </w:t>
      </w:r>
      <w:r>
        <w:rPr>
          <w:rtl w:val="true"/>
        </w:rPr>
        <w:t>دليل استحباب اذان بر مناره</w:t>
      </w:r>
      <w:bookmarkEnd w:id="304"/>
    </w:p>
    <w:p>
      <w:pPr>
        <w:pStyle w:val="BookText"/>
        <w:rPr/>
      </w:pPr>
      <w:r>
        <w:rPr>
          <w:rFonts w:ascii="IRNazanin" w:hAnsi="IRNazanin" w:eastAsia="IRNazanin"/>
          <w:color w:val="111111"/>
          <w:sz w:val="28"/>
          <w:sz w:val="28"/>
          <w:szCs w:val="28"/>
          <w:rtl w:val="true"/>
          <w:lang w:bidi="fa-IR"/>
        </w:rPr>
        <w:t>علامه در مختلف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استحبابه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گفتن اذان در مناره دلیل موجهی دارد، آنگاه چند دلیل برای اثبات اذان در مناره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در برخی روایات به ساختن مناره درضمن دیوار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دیوار مسجد بلند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مانند روایت سکونی از امام صادق علیه السلام از پدرش از پدرانش که امیرالمؤمنین منارهای مرتفع و بلندی را مشاده کرد، و دستور داد آن را تخریب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نباید بلندتر از دیوار مسجد باشد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محقق نیز در معبتر به این روایت استدلال کرده است </w:t>
      </w:r>
      <w:r>
        <w:rPr>
          <w:rStyle w:val="FootnoteAnchor"/>
          <w:rtl w:val="true"/>
        </w:rPr>
        <w:footnoteReference w:id="416"/>
      </w:r>
      <w:r>
        <w:rPr>
          <w:rFonts w:ascii="IRNazanin" w:hAnsi="IRNazanin" w:eastAsia="IRNazanin"/>
          <w:color w:val="111111"/>
          <w:sz w:val="28"/>
          <w:sz w:val="28"/>
          <w:szCs w:val="28"/>
          <w:rtl w:val="true"/>
          <w:lang w:bidi="fa-IR"/>
        </w:rPr>
        <w:t>و 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گفتن بالای مناره مستحب نباشد این امر عبث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دیوار مسجد رسول خدا صلی الله علیه و آله به اندازه قامت انسان،بود پیامبر ه به بلال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بالای دیوار با صدای بلند اذان بگو </w:t>
      </w:r>
      <w:bookmarkStart w:id="305" w:name="pg19115_195421"/>
    </w:p>
    <w:p>
      <w:pPr>
        <w:pStyle w:val="BookText"/>
        <w:rPr/>
      </w:pPr>
      <w:bookmarkEnd w:id="305"/>
      <w:r>
        <w:rPr>
          <w:rFonts w:ascii="IRNazanin" w:hAnsi="IRNazanin" w:eastAsia="IRNazanin"/>
          <w:color w:val="111111"/>
          <w:sz w:val="28"/>
          <w:sz w:val="28"/>
          <w:szCs w:val="28"/>
          <w:rtl w:val="true"/>
          <w:lang w:bidi="fa-IR"/>
        </w:rPr>
        <w:t>و مقتضای صحیحه عبدالله بن سنان استحباب گفتن اذان در مطلق مکان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علامه در تذکره و نهایه ادعای اجماع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أن يكون على مرتفع اجماعاً</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فاضل نراقی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مؤذن در مکانی مرتفع اذان بگوید و در این مسأله هیچ اختلافی میان فقها نیست علامه در تذکره و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اتفاق اصحاب است و آن حجیت است برای اثبات استحباب اذان گفتن بر مکان مرتفع</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ریاض نیز ادعای اجماع شده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بعضی دلیل دیگری نیز ذکر کردهاند و آن این که استحباب اذان بالای مناره به مقتضای اعتبار آن برای مسجد می باشد</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306" w:name="__RefHeading___Toc15202410_1280447820"/>
      <w:bookmarkStart w:id="307" w:name="_Toc116"/>
      <w:bookmarkEnd w:id="306"/>
      <w:r>
        <w:rPr>
          <w:rtl w:val="true"/>
        </w:rPr>
        <w:t>گفتار چهارم</w:t>
      </w:r>
      <w:r>
        <w:rPr>
          <w:rtl w:val="true"/>
        </w:rPr>
        <w:t xml:space="preserve">: </w:t>
      </w:r>
      <w:r>
        <w:rPr>
          <w:rtl w:val="true"/>
        </w:rPr>
        <w:t>مناره از نگاه اهل سنت</w:t>
      </w:r>
      <w:bookmarkEnd w:id="307"/>
    </w:p>
    <w:p>
      <w:pPr>
        <w:pStyle w:val="Heading6"/>
        <w:numPr>
          <w:ilvl w:val="5"/>
          <w:numId w:val="1"/>
        </w:numPr>
        <w:rPr/>
      </w:pPr>
      <w:bookmarkStart w:id="308" w:name="__RefHeading___Toc15202412_1280447820"/>
      <w:bookmarkStart w:id="309" w:name="_Toc117"/>
      <w:bookmarkEnd w:id="308"/>
      <w:r>
        <w:rPr/>
        <w:t>1</w:t>
      </w:r>
      <w:r>
        <w:rPr>
          <w:rtl w:val="true"/>
        </w:rPr>
        <w:t xml:space="preserve">. </w:t>
      </w:r>
      <w:r>
        <w:rPr>
          <w:rtl w:val="true"/>
        </w:rPr>
        <w:t>مذهب شافعی</w:t>
      </w:r>
      <w:bookmarkEnd w:id="309"/>
    </w:p>
    <w:p>
      <w:pPr>
        <w:pStyle w:val="BookText"/>
        <w:rPr/>
      </w:pPr>
      <w:r>
        <w:rPr>
          <w:rFonts w:ascii="IRNazanin" w:hAnsi="IRNazanin" w:eastAsia="IRNazanin"/>
          <w:color w:val="111111"/>
          <w:sz w:val="28"/>
          <w:sz w:val="28"/>
          <w:szCs w:val="28"/>
          <w:rtl w:val="true"/>
          <w:lang w:bidi="fa-IR"/>
        </w:rPr>
        <w:t>بسیاری از فقهای شافعی معتقدند که گفتن اذان بالای مناره مستحب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مؤذن بر مکان مرتفعی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اذان بگوید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محی الدین نووی در المجموع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هیچ اختلافی وجود ندارد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بزرگ و چند مؤذن داشته باشد هیچ مانعی ندارد که در هر مناره ای یک مؤذن اذان بگوید، تا کسانی از اهل آن شهر که نزدیک هر کدام از مناره ها هستند صدای اذان را </w:t>
      </w:r>
    </w:p>
    <w:p>
      <w:pPr>
        <w:pStyle w:val="BookText"/>
        <w:rPr/>
      </w:pP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يحيى بن سالم عمرانی از فقهای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کرده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ابن حجر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مؤذن برای اهل یک شهر اذان می گوید، باید در مکان مرتفعی با صدای بلند اذان بگوید به طوری که اهل آن شهر اگر به صدای اذان گوش می دهند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مؤذنان پیامبر صلی الله علیه و آله، بلال و غیر او در جایی بلندی اذان می گفتند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در روضة الطالبین آمده است مستحب است که مؤذن خوش صدا باشد و با صدای بلند در جای مرتفعی مانند مناره یا پشت بام اذان بگوید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قاضی زکریای انصاری نیز به آن تصریح می کند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ادله اذان گفتن در بالای مناره</w:t>
      </w:r>
    </w:p>
    <w:p>
      <w:pPr>
        <w:pStyle w:val="BookText"/>
        <w:rPr/>
      </w:pPr>
      <w:r>
        <w:rPr>
          <w:rFonts w:ascii="IRNazanin" w:hAnsi="IRNazanin" w:eastAsia="IRNazanin"/>
          <w:color w:val="111111"/>
          <w:sz w:val="28"/>
          <w:sz w:val="28"/>
          <w:szCs w:val="28"/>
          <w:rtl w:val="true"/>
          <w:lang w:bidi="fa-IR"/>
        </w:rPr>
        <w:t>فقهای شافعی برای استحباب اذان بالای مناره به چند دلیل استناد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و پیروی کردن از مؤذنان پیامبر خدا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گفتن در مناره صدا را بهتر به گوش مردم می رساند؛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عبدالله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 مؤذن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شب اذان می گوید از این رو بخورید و بیاشامید تا وقتی ابن ام مکتوم اذان بگوید؛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این دو اذان به مقدار پایین آمدن بلال و بالا رفتن ابن أم مكتوم بود؛ </w:t>
      </w:r>
      <w:r>
        <w:rPr>
          <w:rStyle w:val="FootnoteAnchor"/>
          <w:rtl w:val="true"/>
        </w:rPr>
        <w:footnoteReference w:id="428"/>
      </w:r>
      <w:bookmarkStart w:id="310" w:name="pg19115_195423"/>
    </w:p>
    <w:p>
      <w:pPr>
        <w:pStyle w:val="BookText"/>
        <w:rPr/>
      </w:pPr>
      <w:bookmarkEnd w:id="3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بن الزبیر از زنی از طایفه بنی نجار نقل می کند که گفت خانه من بلندترین خانه در اطراف مسجد،بود بلال می آمد بالای آن اذان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11" w:name="__RefHeading___Toc15202414_1280447820"/>
      <w:bookmarkStart w:id="312" w:name="_Toc118"/>
      <w:bookmarkEnd w:id="311"/>
      <w:r>
        <w:rPr/>
        <w:t>2</w:t>
      </w:r>
      <w:r>
        <w:rPr>
          <w:rtl w:val="true"/>
        </w:rPr>
        <w:t xml:space="preserve">. </w:t>
      </w:r>
      <w:r>
        <w:rPr>
          <w:rtl w:val="true"/>
        </w:rPr>
        <w:t>مذهب حنبلی</w:t>
      </w:r>
      <w:bookmarkEnd w:id="312"/>
    </w:p>
    <w:p>
      <w:pPr>
        <w:pStyle w:val="BookText"/>
        <w:rPr/>
      </w:pPr>
      <w:r>
        <w:rPr>
          <w:rFonts w:ascii="IRNazanin" w:hAnsi="IRNazanin" w:eastAsia="IRNazanin"/>
          <w:color w:val="111111"/>
          <w:sz w:val="28"/>
          <w:sz w:val="28"/>
          <w:szCs w:val="28"/>
          <w:rtl w:val="true"/>
          <w:lang w:bidi="fa-IR"/>
        </w:rPr>
        <w:t xml:space="preserve">فقهای حنبلی بر این باورند که اذان گفتن در مکان بلندی مانند مناره و پشت بام و غیر آنها مستحب است مرداوی از فقهای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که اذان در مناره و اقامه در پایین گفته شود؛ و این نظر حق و بر آن سیره عملی همۀ مسلمانان در تمام شهرها و بلاد و در تمام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مفلح مقدسی نیز به آن اشاره دارد؛ </w:t>
      </w:r>
      <w:r>
        <w:rPr>
          <w:rStyle w:val="FootnoteAnchor"/>
          <w:rtl w:val="true"/>
        </w:rPr>
        <w:footnoteReference w:id="429"/>
      </w:r>
      <w:r>
        <w:rPr>
          <w:rFonts w:ascii="IRNazanin" w:hAnsi="IRNazanin" w:eastAsia="IRNazanin"/>
          <w:color w:val="111111"/>
          <w:sz w:val="28"/>
          <w:sz w:val="28"/>
          <w:szCs w:val="28"/>
          <w:rtl w:val="true"/>
          <w:lang w:bidi="fa-IR"/>
        </w:rPr>
        <w:t>زیرا صدای اذان در آن رساتر و بهتر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استدلال کرده اند به روایتی </w:t>
      </w:r>
      <w:r>
        <w:rPr>
          <w:rStyle w:val="FootnoteAnchor"/>
          <w:rtl w:val="true"/>
        </w:rPr>
        <w:footnoteReference w:id="430"/>
      </w:r>
      <w:r>
        <w:rPr>
          <w:rFonts w:ascii="IRNazanin" w:hAnsi="IRNazanin" w:eastAsia="IRNazanin"/>
          <w:color w:val="111111"/>
          <w:sz w:val="28"/>
          <w:sz w:val="28"/>
          <w:szCs w:val="28"/>
          <w:rtl w:val="true"/>
          <w:lang w:bidi="fa-IR"/>
        </w:rPr>
        <w:t>که بلال بر پشت بام خانه زنی از انصار اذان می گفته است که آن خانه بلندترین خانه در اطراف مسجدالنبی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431"/>
      </w:r>
    </w:p>
    <w:p>
      <w:pPr>
        <w:pStyle w:val="Heading6"/>
        <w:numPr>
          <w:ilvl w:val="5"/>
          <w:numId w:val="1"/>
        </w:numPr>
        <w:rPr/>
      </w:pPr>
      <w:bookmarkStart w:id="313" w:name="__RefHeading___Toc15202416_1280447820"/>
      <w:bookmarkStart w:id="314" w:name="_Toc119"/>
      <w:bookmarkEnd w:id="313"/>
      <w:r>
        <w:rPr/>
        <w:t>3</w:t>
      </w:r>
      <w:r>
        <w:rPr>
          <w:rtl w:val="true"/>
        </w:rPr>
        <w:t xml:space="preserve">. </w:t>
      </w:r>
      <w:r>
        <w:rPr>
          <w:rtl w:val="true"/>
        </w:rPr>
        <w:t>مذهب حنفی</w:t>
      </w:r>
      <w:bookmarkEnd w:id="3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عینی از فقهای حنفی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اذان در جایی گفته شود که همسایگان آن را بهتر می شنوند؛ مثل مأذنه و مانند آن فضیلتش بیشتر است، و استناد می کند به حدیث ابو برزه أسلمی که گفت گفتن اذان در مناره و گفتن اقامه </w:t>
      </w:r>
    </w:p>
    <w:p>
      <w:pPr>
        <w:pStyle w:val="BookText"/>
        <w:rPr/>
      </w:pPr>
      <w:r>
        <w:rPr>
          <w:rFonts w:ascii="IRNazanin" w:hAnsi="IRNazanin" w:eastAsia="IRNazanin"/>
          <w:color w:val="111111"/>
          <w:sz w:val="28"/>
          <w:sz w:val="28"/>
          <w:szCs w:val="28"/>
          <w:rtl w:val="true"/>
          <w:lang w:bidi="fa-IR"/>
        </w:rPr>
        <w:t>در مسجد از سنت است</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محمد بن الحسن شیبانی سؤال کردند اگر مؤذن بالای مناره اذان بگوید بهتر است یا در صحن مسجد؟ کدام یک نزد شما محبوبتر است؟ او در پاسخ گفت هر دو جایز است البته اذانی که همسایگان و مردم آن را بهتر می شنوند، نزد من محبوب تر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ابن نجیم از فقهای حنفی می گوید مستحب است مؤذن در صومعه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بزند؛ زیرا اگر پاهایش ثابت باشد تنها با گرداندن صورت صدایش به همه نمی رسد، در این صورت در مأذنه دور بزند تا صدای اذان به همه جا برسد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مناره است و آن در اصل عبادتگاه رهبانان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مأذنه نبوده است ولی بنابر روایت عروة بن زبیر بلال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خانه زنی از بنی نجار می آمد و روی پشت بام او اذان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 نیز به آن اشاره کرده است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ساختن مناره در ابلاغ و رساندن صدای اذان کمک می کند جایز است از غلات،زکات مناره برای مسجد ساخته شود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شیخ نظام و جمعی از علمای هند نیز به آن تصریح کرده اند</w:t>
      </w:r>
      <w:r>
        <w:rPr>
          <w:rFonts w:eastAsia="IRNazanin" w:cs="IRNazanin"/>
          <w:color w:val="111111"/>
          <w:sz w:val="28"/>
          <w:szCs w:val="28"/>
          <w:rtl w:val="true"/>
          <w:lang w:bidi="fa-IR"/>
        </w:rPr>
        <w:t xml:space="preserve">. </w:t>
      </w:r>
      <w:r>
        <w:rPr>
          <w:rStyle w:val="FootnoteAnchor"/>
          <w:rtl w:val="true"/>
        </w:rPr>
        <w:footnoteReference w:id="437"/>
      </w:r>
      <w:bookmarkStart w:id="315" w:name="pg19115_195425"/>
    </w:p>
    <w:p>
      <w:pPr>
        <w:pStyle w:val="Heading6"/>
        <w:numPr>
          <w:ilvl w:val="5"/>
          <w:numId w:val="1"/>
        </w:numPr>
        <w:rPr/>
      </w:pPr>
      <w:bookmarkStart w:id="316" w:name="__RefHeading___Toc15202418_1280447820"/>
      <w:bookmarkStart w:id="317" w:name="_Toc120"/>
      <w:bookmarkEnd w:id="315"/>
      <w:bookmarkEnd w:id="316"/>
      <w:r>
        <w:rPr/>
        <w:t>4</w:t>
      </w:r>
      <w:r>
        <w:rPr>
          <w:rtl w:val="true"/>
        </w:rPr>
        <w:t xml:space="preserve">. </w:t>
      </w:r>
      <w:r>
        <w:rPr>
          <w:rtl w:val="true"/>
        </w:rPr>
        <w:t>مذهب مالکی</w:t>
      </w:r>
      <w:bookmarkEnd w:id="317"/>
    </w:p>
    <w:p>
      <w:pPr>
        <w:pStyle w:val="BookText"/>
        <w:rPr/>
      </w:pPr>
      <w:r>
        <w:rPr>
          <w:rFonts w:ascii="IRNazanin" w:hAnsi="IRNazanin" w:eastAsia="IRNazanin"/>
          <w:color w:val="111111"/>
          <w:sz w:val="28"/>
          <w:sz w:val="28"/>
          <w:szCs w:val="28"/>
          <w:rtl w:val="true"/>
          <w:lang w:bidi="fa-IR"/>
        </w:rPr>
        <w:t>فقیه مالکی، آبی ازهری در جواهر الاکلیل می گوید از جمله سنت های اذان این است که اگر امکان دارد اذان در مکان مرتفع و عالی؛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و پشت بام گفته شود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حطاب رعینی می گوید مستحب است اذان در مکان مرتفع و بلند گفته شود، و دلیل آن روایت عروة بن زبیر است، </w:t>
      </w:r>
      <w:r>
        <w:rPr>
          <w:rStyle w:val="FootnoteAnchor"/>
          <w:rtl w:val="true"/>
        </w:rPr>
        <w:footnoteReference w:id="439"/>
      </w:r>
      <w:r>
        <w:rPr>
          <w:rFonts w:ascii="IRNazanin" w:hAnsi="IRNazanin" w:eastAsia="IRNazanin"/>
          <w:color w:val="111111"/>
          <w:sz w:val="28"/>
          <w:sz w:val="28"/>
          <w:szCs w:val="28"/>
          <w:rtl w:val="true"/>
          <w:lang w:bidi="fa-IR"/>
        </w:rPr>
        <w:t>که بعد از نقل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ابوداود درباره ی این روایت سکوت کرده و مناقشه ای وارد نکرده است، صلاحیت برای استدلال را دارد سپس از سخاوی نقل می کند که این روایت را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زراره نقل می کند که او گفت کسی به من خبر داد که از نوار، أم زيد بن ثابت شنیده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ی من مرتفع ترین خانه در اطراف مسجدالنبی بود بلال از اولین روزی که برای پیامبرصلی الله علیه و آله اذان می گفت تا زمانی که مسجد ساخته شد بر پشت بام من اذان می گفت اما وقتی که مسجد ساخته شد مکان بلندی روی پشت بام مسجد برای او ساخته بودند، و بلال بر بالای آن مکان مرتفع اذان می گفت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گذشتگان این است که مؤذن بالای مناره اذان می گفته است، اگر امکان نداشت روی پشت بام مسجد و اگر آن هم امکان نداشت بر در مسجد اذان می گفت گذشتگان مناره را به شکل مناره های امروزی پشت بام مسجد بنا می کردند، ولی افرادی که امروز مناره می سازند در آن شکل های جدید احداث کنند، و مناره را به شکل مربع و دارای چهار رکن </w:t>
      </w:r>
    </w:p>
    <w:p>
      <w:pPr>
        <w:pStyle w:val="BookText"/>
        <w:rPr/>
      </w:pPr>
      <w:r>
        <w:rPr>
          <w:rFonts w:ascii="IRNazanin" w:hAnsi="IRNazanin" w:eastAsia="IRNazanin"/>
          <w:color w:val="111111"/>
          <w:sz w:val="28"/>
          <w:sz w:val="28"/>
          <w:szCs w:val="28"/>
          <w:rtl w:val="true"/>
          <w:lang w:bidi="fa-IR"/>
        </w:rPr>
        <w:t>می سازند در حالی که مناره در گذشته به طور مدور و نزدیک دیوار مسجد ساخته می شده است و امروزه بر خلاف گذشته مناره خیلی مرتفع و بلند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مناره با ارتفاع زیاد به چند جهت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سنت گذشتگان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حریم مسلمانان اشراف پیدا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اذان از اهل زمین دور می شود در حالی که اذان برای اهل زمین است نه برای اهل آسمان برخی پادشاهان عرب مناره هایی با ارتفاع زیاد می ساختند به طوری که صدای اذان را کسانی که پایین هستند نمی شنوند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دیگری از فقیهان مالکی نیز معتقدند که مستحب است مؤذن در مکان مرتفعی مانند مناره مأذنه دیوار و مانند آنها اذان بگوید تا صدای اذان به همه جا برسد</w:t>
      </w:r>
      <w:r>
        <w:rPr>
          <w:rFonts w:eastAsia="IRNazanin" w:cs="IRNazanin"/>
          <w:color w:val="111111"/>
          <w:sz w:val="28"/>
          <w:szCs w:val="28"/>
          <w:rtl w:val="true"/>
          <w:lang w:bidi="fa-IR"/>
        </w:rPr>
        <w:t xml:space="preserve">. </w:t>
      </w:r>
      <w:r>
        <w:rPr>
          <w:rStyle w:val="FootnoteAnchor"/>
          <w:rtl w:val="true"/>
        </w:rPr>
        <w:footnoteReference w:id="442"/>
      </w:r>
      <w:bookmarkStart w:id="318" w:name="pg19115_195427"/>
    </w:p>
    <w:p>
      <w:pPr>
        <w:pStyle w:val="Heading4"/>
        <w:numPr>
          <w:ilvl w:val="3"/>
          <w:numId w:val="1"/>
        </w:numPr>
        <w:rPr/>
      </w:pPr>
      <w:bookmarkStart w:id="319" w:name="__RefHeading___Toc15202420_1280447820"/>
      <w:bookmarkStart w:id="320" w:name="_Toc121"/>
      <w:bookmarkEnd w:id="318"/>
      <w:bookmarkEnd w:id="319"/>
      <w:r>
        <w:rPr>
          <w:rtl w:val="true"/>
        </w:rPr>
        <w:t>مبحث هفتم دربهای مسجد</w:t>
      </w:r>
      <w:bookmarkEnd w:id="320"/>
    </w:p>
    <w:p>
      <w:pPr>
        <w:pStyle w:val="Heading5"/>
        <w:numPr>
          <w:ilvl w:val="4"/>
          <w:numId w:val="1"/>
        </w:numPr>
        <w:rPr/>
      </w:pPr>
      <w:bookmarkStart w:id="321" w:name="__RefHeading___Toc15202422_1280447820"/>
      <w:bookmarkStart w:id="322" w:name="_Toc12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یکی از مسائل مهندسی و معماری مساجد تعداد و محل نصب دربها است که در این خصوص درهایی برای مردان و درهایی مخصوص ورود و خروج زنان قرار داده می شود</w:t>
      </w:r>
      <w:r>
        <w:rPr>
          <w:rFonts w:eastAsia="IRNazanin" w:cs="IRNazanin"/>
          <w:color w:val="111111"/>
          <w:sz w:val="28"/>
          <w:szCs w:val="28"/>
          <w:rtl w:val="true"/>
          <w:lang w:bidi="fa-IR"/>
        </w:rPr>
        <w:t>.</w:t>
      </w:r>
    </w:p>
    <w:p>
      <w:pPr>
        <w:pStyle w:val="Heading5"/>
        <w:numPr>
          <w:ilvl w:val="4"/>
          <w:numId w:val="1"/>
        </w:numPr>
        <w:rPr/>
      </w:pPr>
      <w:bookmarkStart w:id="323" w:name="__RefHeading___Toc15202424_1280447820"/>
      <w:bookmarkStart w:id="324" w:name="_Toc123"/>
      <w:bookmarkEnd w:id="323"/>
      <w:r>
        <w:rPr>
          <w:rtl w:val="true"/>
        </w:rPr>
        <w:t>الف</w:t>
      </w:r>
      <w:r>
        <w:rPr>
          <w:rtl w:val="true"/>
        </w:rPr>
        <w:t xml:space="preserve">. </w:t>
      </w:r>
      <w:r>
        <w:rPr>
          <w:rtl w:val="true"/>
        </w:rPr>
        <w:t>تعداد دربهای مساجد</w:t>
      </w:r>
      <w:bookmarkEnd w:id="324"/>
    </w:p>
    <w:p>
      <w:pPr>
        <w:pStyle w:val="BookText"/>
        <w:rPr/>
      </w:pPr>
      <w:r>
        <w:rPr>
          <w:rFonts w:ascii="IRNazanin" w:hAnsi="IRNazanin" w:eastAsia="IRNazanin"/>
          <w:color w:val="111111"/>
          <w:sz w:val="28"/>
          <w:sz w:val="28"/>
          <w:szCs w:val="28"/>
          <w:rtl w:val="true"/>
          <w:lang w:bidi="fa-IR"/>
        </w:rPr>
        <w:t>تعداد درها در مساجد عدد خاصی ندارد و این مسئله به افرادی که وارد مسجد می شوند و نمازگزاران بستگی دارد اگر افراد استفاده کننده از مسجد زیاد باشد، طبیعی است که باید چندین در نصب شود و در غیر این صورت نصب یک یا دو در کافی است</w:t>
      </w:r>
      <w:r>
        <w:rPr>
          <w:rFonts w:eastAsia="IRNazanin" w:cs="IRNazanin"/>
          <w:color w:val="111111"/>
          <w:sz w:val="28"/>
          <w:szCs w:val="28"/>
          <w:rtl w:val="true"/>
          <w:lang w:bidi="fa-IR"/>
        </w:rPr>
        <w:t>.</w:t>
      </w:r>
    </w:p>
    <w:p>
      <w:pPr>
        <w:pStyle w:val="Heading5"/>
        <w:numPr>
          <w:ilvl w:val="4"/>
          <w:numId w:val="1"/>
        </w:numPr>
        <w:rPr/>
      </w:pPr>
      <w:bookmarkStart w:id="325" w:name="__RefHeading___Toc15202426_1280447820"/>
      <w:bookmarkStart w:id="326" w:name="_Toc124"/>
      <w:bookmarkEnd w:id="325"/>
      <w:r>
        <w:rPr>
          <w:rtl w:val="true"/>
        </w:rPr>
        <w:t>ب</w:t>
      </w:r>
      <w:r>
        <w:rPr>
          <w:rtl w:val="true"/>
        </w:rPr>
        <w:t xml:space="preserve">. </w:t>
      </w:r>
      <w:r>
        <w:rPr>
          <w:rtl w:val="true"/>
        </w:rPr>
        <w:t xml:space="preserve">محل نصب </w:t>
      </w:r>
      <w:r>
        <w:rPr>
          <w:rtl w:val="true"/>
        </w:rPr>
        <w:t>«</w:t>
      </w:r>
      <w:r>
        <w:rPr>
          <w:rtl w:val="true"/>
        </w:rPr>
        <w:t>درب</w:t>
      </w:r>
      <w:r>
        <w:rPr>
          <w:rtl w:val="true"/>
        </w:rPr>
        <w:t xml:space="preserve">» </w:t>
      </w:r>
      <w:r>
        <w:rPr>
          <w:rtl w:val="true"/>
        </w:rPr>
        <w:t>مساجد</w:t>
      </w:r>
      <w:bookmarkEnd w:id="326"/>
    </w:p>
    <w:p>
      <w:pPr>
        <w:pStyle w:val="BookText"/>
        <w:rPr/>
      </w:pPr>
      <w:r>
        <w:rPr>
          <w:rFonts w:ascii="IRNazanin" w:hAnsi="IRNazanin" w:eastAsia="IRNazanin"/>
          <w:color w:val="111111"/>
          <w:sz w:val="28"/>
          <w:sz w:val="28"/>
          <w:szCs w:val="28"/>
          <w:rtl w:val="true"/>
          <w:lang w:bidi="fa-IR"/>
        </w:rPr>
        <w:t>محل نصب درها در مساجد قاعده خاصی ندارد و بیشتر به موقعیت قرار گرفتن مسجد کنار خیابان اصلی فرعی و یا کنار فضای 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به تناسب در جاهای مناسب نصب می شوند</w:t>
      </w:r>
    </w:p>
    <w:p>
      <w:pPr>
        <w:pStyle w:val="BookText"/>
        <w:rPr/>
      </w:pPr>
      <w:r>
        <w:rPr>
          <w:rFonts w:ascii="IRNazanin" w:hAnsi="IRNazanin" w:eastAsia="IRNazanin"/>
          <w:color w:val="111111"/>
          <w:sz w:val="28"/>
          <w:sz w:val="28"/>
          <w:szCs w:val="28"/>
          <w:rtl w:val="true"/>
          <w:lang w:bidi="fa-IR"/>
        </w:rPr>
        <w:t>از نظر فقهی یک نکته باید مورد توجه قرار گیرد اگر چنان چه در مسجد در سمت قبله نصب شود خواندن نماز مقابل در باز کراهت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فقها معتقدند به اینکه نماز خواندن رو به روی در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ابوالصلاح حلبی به این امر تصریح کرده اند و او یکی از اعیان و بزرگان فقهای شیعه،است از این روی پیروی از فتوای او هیچ اشکالی ندارد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علامه نیز در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ابوالصلاح نسبت داده است؛ زیرا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ابوالصلاح تكره إلى باب مفتوح</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شهید اول، </w:t>
      </w:r>
      <w:r>
        <w:rPr>
          <w:rStyle w:val="FootnoteAnchor"/>
          <w:rtl w:val="true"/>
        </w:rPr>
        <w:footnoteReference w:id="446"/>
      </w:r>
      <w:r>
        <w:rPr>
          <w:rFonts w:ascii="IRNazanin" w:hAnsi="IRNazanin" w:eastAsia="IRNazanin"/>
          <w:color w:val="111111"/>
          <w:sz w:val="28"/>
          <w:sz w:val="28"/>
          <w:szCs w:val="28"/>
          <w:rtl w:val="true"/>
          <w:lang w:bidi="fa-IR"/>
        </w:rPr>
        <w:t xml:space="preserve">ابن فهد </w:t>
      </w:r>
      <w:r>
        <w:rPr>
          <w:rStyle w:val="FootnoteAnchor"/>
          <w:rtl w:val="true"/>
        </w:rPr>
        <w:footnoteReference w:id="447"/>
      </w:r>
      <w:r>
        <w:rPr>
          <w:rFonts w:ascii="IRNazanin" w:hAnsi="IRNazanin" w:eastAsia="IRNazanin"/>
          <w:color w:val="111111"/>
          <w:sz w:val="28"/>
          <w:sz w:val="28"/>
          <w:szCs w:val="28"/>
          <w:rtl w:val="true"/>
          <w:lang w:bidi="fa-IR"/>
        </w:rPr>
        <w:t xml:space="preserve">سید محمد عاملی </w:t>
      </w:r>
      <w:r>
        <w:rPr>
          <w:rStyle w:val="FootnoteAnchor"/>
          <w:rtl w:val="true"/>
        </w:rPr>
        <w:footnoteReference w:id="448"/>
      </w:r>
      <w:r>
        <w:rPr>
          <w:rFonts w:ascii="IRNazanin" w:hAnsi="IRNazanin" w:eastAsia="IRNazanin"/>
          <w:color w:val="111111"/>
          <w:sz w:val="28"/>
          <w:sz w:val="28"/>
          <w:szCs w:val="28"/>
          <w:rtl w:val="true"/>
          <w:lang w:bidi="fa-IR"/>
        </w:rPr>
        <w:t xml:space="preserve">و شیخ محمد حسن نجفی </w:t>
      </w:r>
      <w:r>
        <w:rPr>
          <w:rStyle w:val="FootnoteAnchor"/>
          <w:rtl w:val="true"/>
        </w:rPr>
        <w:footnoteReference w:id="449"/>
      </w:r>
      <w:r>
        <w:rPr>
          <w:rFonts w:ascii="IRNazanin" w:hAnsi="IRNazanin" w:eastAsia="IRNazanin"/>
          <w:color w:val="111111"/>
          <w:sz w:val="28"/>
          <w:sz w:val="28"/>
          <w:szCs w:val="28"/>
          <w:rtl w:val="true"/>
          <w:lang w:bidi="fa-IR"/>
        </w:rPr>
        <w:t>نیز این مسئله را به ابوالصلاح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آن را به اکثر </w:t>
      </w:r>
      <w:r>
        <w:rPr>
          <w:rStyle w:val="FootnoteAnchor"/>
          <w:rtl w:val="true"/>
        </w:rPr>
        <w:footnoteReference w:id="450"/>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451"/>
      </w:r>
      <w:r>
        <w:rPr>
          <w:rFonts w:ascii="IRNazanin" w:hAnsi="IRNazanin" w:eastAsia="IRNazanin"/>
          <w:color w:val="111111"/>
          <w:sz w:val="28"/>
          <w:sz w:val="28"/>
          <w:szCs w:val="28"/>
          <w:rtl w:val="true"/>
          <w:lang w:bidi="fa-IR"/>
        </w:rPr>
        <w:t>به مشهور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روضه </w:t>
      </w:r>
      <w:r>
        <w:rPr>
          <w:rStyle w:val="FootnoteAnchor"/>
          <w:rtl w:val="true"/>
        </w:rPr>
        <w:footnoteReference w:id="452"/>
      </w:r>
      <w:r>
        <w:rPr>
          <w:rFonts w:ascii="IRNazanin" w:hAnsi="IRNazanin" w:eastAsia="IRNazanin"/>
          <w:color w:val="111111"/>
          <w:sz w:val="28"/>
          <w:sz w:val="28"/>
          <w:szCs w:val="28"/>
          <w:rtl w:val="true"/>
          <w:lang w:bidi="fa-IR"/>
        </w:rPr>
        <w:t xml:space="preserve">و محقق اردبیلی در مجمع البرهان </w:t>
      </w:r>
      <w:r>
        <w:rPr>
          <w:rStyle w:val="FootnoteAnchor"/>
          <w:rtl w:val="true"/>
        </w:rPr>
        <w:footnoteReference w:id="453"/>
      </w:r>
      <w:r>
        <w:rPr>
          <w:rFonts w:ascii="IRNazanin" w:hAnsi="IRNazanin" w:eastAsia="IRNazanin"/>
          <w:color w:val="111111"/>
          <w:sz w:val="28"/>
          <w:sz w:val="28"/>
          <w:szCs w:val="28"/>
          <w:rtl w:val="true"/>
          <w:lang w:bidi="fa-IR"/>
        </w:rPr>
        <w:t>آن را به اصحاب نسبت داده و بسیاری دیگر از فقیهان گذشته و معاصرین به آن اشاره کرده اند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بسیاری از فقیهان به اینکه در این مسأله روایتی وارد نشده، </w:t>
      </w:r>
      <w:r>
        <w:rPr>
          <w:rStyle w:val="FootnoteAnchor"/>
          <w:rtl w:val="true"/>
        </w:rPr>
        <w:footnoteReference w:id="455"/>
      </w:r>
      <w:r>
        <w:rPr>
          <w:rFonts w:ascii="IRNazanin" w:hAnsi="IRNazanin" w:eastAsia="IRNazanin"/>
          <w:color w:val="111111"/>
          <w:sz w:val="28"/>
          <w:sz w:val="28"/>
          <w:szCs w:val="28"/>
          <w:rtl w:val="true"/>
          <w:lang w:bidi="fa-IR"/>
        </w:rPr>
        <w:t>تصریح و به فتوای ابوالصلاح حلبی استناد می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و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مسئله دلیلی بیان می کند که مستحب </w:t>
      </w:r>
      <w:bookmarkStart w:id="327" w:name="pg19115_195429"/>
    </w:p>
    <w:p>
      <w:pPr>
        <w:pStyle w:val="BookText"/>
        <w:rPr/>
      </w:pPr>
      <w:bookmarkEnd w:id="327"/>
      <w:r>
        <w:rPr>
          <w:rFonts w:ascii="IRNazanin" w:hAnsi="IRNazanin" w:eastAsia="IRNazanin"/>
          <w:color w:val="111111"/>
          <w:sz w:val="28"/>
          <w:sz w:val="28"/>
          <w:szCs w:val="28"/>
          <w:rtl w:val="true"/>
          <w:lang w:bidi="fa-IR"/>
        </w:rPr>
        <w:t>است بین نمازگزار و جاده و مسیر رفت و آمد پرده و ساتری باشد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خصوص تعداد درهای مسجد و محل نصب آنها در کلمات فقیهان اهل سنت مطلبی پیدا نشد</w:t>
      </w:r>
      <w:r>
        <w:rPr>
          <w:rFonts w:eastAsia="IRNazanin" w:cs="IRNazanin"/>
          <w:color w:val="111111"/>
          <w:sz w:val="28"/>
          <w:szCs w:val="28"/>
          <w:rtl w:val="true"/>
          <w:lang w:bidi="fa-IR"/>
        </w:rPr>
        <w:t>.</w:t>
      </w:r>
    </w:p>
    <w:p>
      <w:pPr>
        <w:pStyle w:val="Heading5"/>
        <w:numPr>
          <w:ilvl w:val="4"/>
          <w:numId w:val="1"/>
        </w:numPr>
        <w:rPr/>
      </w:pPr>
      <w:bookmarkStart w:id="328" w:name="__RefHeading___Toc15202428_1280447820"/>
      <w:bookmarkStart w:id="329" w:name="_Toc125"/>
      <w:bookmarkEnd w:id="328"/>
      <w:r>
        <w:rPr>
          <w:rtl w:val="true"/>
        </w:rPr>
        <w:t>ج</w:t>
      </w:r>
      <w:r>
        <w:rPr>
          <w:rtl w:val="true"/>
        </w:rPr>
        <w:t xml:space="preserve">. </w:t>
      </w:r>
      <w:r>
        <w:rPr>
          <w:rtl w:val="true"/>
        </w:rPr>
        <w:t>درب ویژه بانوان</w:t>
      </w:r>
      <w:bookmarkEnd w:id="329"/>
    </w:p>
    <w:p>
      <w:pPr>
        <w:pStyle w:val="BookText"/>
        <w:rPr/>
      </w:pPr>
      <w:r>
        <w:rPr>
          <w:rFonts w:ascii="IRNazanin" w:hAnsi="IRNazanin" w:eastAsia="IRNazanin"/>
          <w:color w:val="111111"/>
          <w:sz w:val="28"/>
          <w:sz w:val="28"/>
          <w:szCs w:val="28"/>
          <w:rtl w:val="true"/>
          <w:lang w:bidi="fa-IR"/>
        </w:rPr>
        <w:t>در این که فضیلت نماز فریضه در مسجد مختص به مردان است یا شامل زنان نیز می گردد اختلاف وجود دارد که در مباحث آتی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فقیهان رفت و آمد زنان را در مساجد مستحبّ می دانند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در بعضی روایات که از طریق اهل سنت وارد شده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خدا منع نکنید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به هر روی مناسب است برای ورود و خروج بانوان از مسجد در مخصوصی نصب شود تا زنان با مردان اختلاطی نداشته باشند چه بسا اختلاط آنان موجب فساد و ضایع شدن اخلاق می 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روایتی با سند از نافع و او نیز از عبدالله بن عمر نقل می کند که پیامبر خدا صلی الله علیه و آله فرمود این در را به زنان اختصاص دادیم</w:t>
      </w:r>
      <w:r>
        <w:rPr>
          <w:rFonts w:eastAsia="IRNazanin" w:cs="IRNazanin"/>
          <w:color w:val="111111"/>
          <w:sz w:val="28"/>
          <w:szCs w:val="28"/>
          <w:rtl w:val="true"/>
          <w:lang w:bidi="fa-IR"/>
        </w:rPr>
        <w:t xml:space="preserve">. </w:t>
      </w:r>
      <w:r>
        <w:rPr>
          <w:rStyle w:val="FootnoteAnchor"/>
          <w:rtl w:val="true"/>
        </w:rPr>
        <w:footnoteReference w:id="459"/>
      </w:r>
      <w:bookmarkStart w:id="330" w:name="pg19115_195430"/>
    </w:p>
    <w:p>
      <w:pPr>
        <w:pStyle w:val="Heading4"/>
        <w:numPr>
          <w:ilvl w:val="3"/>
          <w:numId w:val="1"/>
        </w:numPr>
        <w:rPr/>
      </w:pPr>
      <w:bookmarkStart w:id="331" w:name="__RefHeading___Toc15202430_1280447820"/>
      <w:bookmarkStart w:id="332" w:name="_Toc126"/>
      <w:bookmarkEnd w:id="330"/>
      <w:bookmarkEnd w:id="331"/>
      <w:r>
        <w:rPr>
          <w:rtl w:val="true"/>
        </w:rPr>
        <w:t>مبحث هشتم گنبد مسجد</w:t>
      </w:r>
      <w:bookmarkEnd w:id="332"/>
    </w:p>
    <w:p>
      <w:pPr>
        <w:pStyle w:val="Heading5"/>
        <w:numPr>
          <w:ilvl w:val="4"/>
          <w:numId w:val="1"/>
        </w:numPr>
        <w:rPr/>
      </w:pPr>
      <w:bookmarkStart w:id="333" w:name="__RefHeading___Toc15202432_1280447820"/>
      <w:bookmarkStart w:id="334" w:name="_Toc127"/>
      <w:bookmarkEnd w:id="333"/>
      <w:r>
        <w:rPr>
          <w:rtl w:val="true"/>
        </w:rPr>
        <w:t>الف</w:t>
      </w:r>
      <w:r>
        <w:rPr>
          <w:rtl w:val="true"/>
        </w:rPr>
        <w:t xml:space="preserve">. </w:t>
      </w:r>
      <w:r>
        <w:rPr>
          <w:rtl w:val="true"/>
        </w:rPr>
        <w:t>تعریف گنبد</w:t>
      </w:r>
      <w:bookmarkEnd w:id="334"/>
    </w:p>
    <w:p>
      <w:pPr>
        <w:pStyle w:val="BookText"/>
        <w:rPr/>
      </w:pPr>
      <w:r>
        <w:rPr>
          <w:rFonts w:ascii="IRNazanin" w:hAnsi="IRNazanin" w:eastAsia="IRNazanin"/>
          <w:color w:val="111111"/>
          <w:sz w:val="28"/>
          <w:sz w:val="28"/>
          <w:szCs w:val="28"/>
          <w:rtl w:val="true"/>
          <w:lang w:bidi="fa-IR"/>
        </w:rPr>
        <w:t xml:space="preserve">گنبد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خاصی از اشکال ساختمان است که از داخل گود، فرورفته و میان تهی و از بیرون مانند نیمکره می باشد این شکل خاص معماری در پوشاندن سقفهای ساختمان به کار گرفته شده و در عمارتهای اسلامی نمای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دارای چند نوع است،کروی بیضی پیازی، هرمی، و چند ضلعی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قبه قباب و قبب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مُقبّب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دارای گنبد است </w:t>
      </w:r>
      <w:r>
        <w:rPr>
          <w:rStyle w:val="FootnoteAnchor"/>
          <w:rtl w:val="true"/>
        </w:rPr>
        <w:footnoteReference w:id="4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فقیهان به همین معنای عرفی است</w:t>
      </w:r>
      <w:r>
        <w:rPr>
          <w:rFonts w:eastAsia="IRNazanin" w:cs="IRNazanin"/>
          <w:color w:val="111111"/>
          <w:sz w:val="28"/>
          <w:szCs w:val="28"/>
          <w:rtl w:val="true"/>
          <w:lang w:bidi="fa-IR"/>
        </w:rPr>
        <w:t>.</w:t>
      </w:r>
    </w:p>
    <w:p>
      <w:pPr>
        <w:pStyle w:val="Heading5"/>
        <w:numPr>
          <w:ilvl w:val="4"/>
          <w:numId w:val="1"/>
        </w:numPr>
        <w:rPr/>
      </w:pPr>
      <w:bookmarkStart w:id="335" w:name="__RefHeading___Toc15202434_1280447820"/>
      <w:bookmarkStart w:id="336" w:name="_Toc128"/>
      <w:bookmarkEnd w:id="335"/>
      <w:r>
        <w:rPr>
          <w:rtl w:val="true"/>
        </w:rPr>
        <w:t>ب</w:t>
      </w:r>
      <w:r>
        <w:rPr>
          <w:rtl w:val="true"/>
        </w:rPr>
        <w:t xml:space="preserve">. </w:t>
      </w:r>
      <w:r>
        <w:rPr>
          <w:rtl w:val="true"/>
        </w:rPr>
        <w:t>پیشینه گنبد</w:t>
      </w:r>
      <w:bookmarkEnd w:id="336"/>
    </w:p>
    <w:p>
      <w:pPr>
        <w:pStyle w:val="BookText"/>
        <w:rPr/>
      </w:pPr>
      <w:r>
        <w:rPr>
          <w:rFonts w:ascii="IRNazanin" w:hAnsi="IRNazanin" w:eastAsia="IRNazanin"/>
          <w:color w:val="111111"/>
          <w:sz w:val="28"/>
          <w:sz w:val="28"/>
          <w:szCs w:val="28"/>
          <w:rtl w:val="true"/>
          <w:lang w:bidi="fa-IR"/>
        </w:rPr>
        <w:t xml:space="preserve">همان گونه که از متون تاریخی بر می آید گنبد برای نخستین بار در دوره أمويان به ساختمان مسجد اضافه گردید و ظاهراً نخستین گنبدی که بین سالهای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توسط عبدالملک بن مروان در سرزمینهای اسلامی ساخته شد، قبة الصخره بود </w:t>
      </w:r>
      <w:r>
        <w:rPr>
          <w:rStyle w:val="FootnoteAnchor"/>
          <w:rtl w:val="true"/>
        </w:rPr>
        <w:footnoteReference w:id="461"/>
      </w:r>
      <w:r>
        <w:rPr>
          <w:rFonts w:ascii="IRNazanin" w:hAnsi="IRNazanin" w:eastAsia="IRNazanin"/>
          <w:color w:val="111111"/>
          <w:sz w:val="28"/>
          <w:sz w:val="28"/>
          <w:szCs w:val="28"/>
          <w:rtl w:val="true"/>
          <w:lang w:bidi="fa-IR"/>
        </w:rPr>
        <w:t>که در بنای این گنبد از معمارهای رومی و عربی استفاده شده است</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ساخت قبة الصخره خراج هفت سال مصر بود و به گفته محققان، طرح و تقریباً اجزاء معماری داخل این گنبد که از عظمت و شکوه خاصی برخوردار است از </w:t>
      </w:r>
      <w:bookmarkStart w:id="337" w:name="pg19115_195431"/>
    </w:p>
    <w:p>
      <w:pPr>
        <w:pStyle w:val="BookText"/>
        <w:rPr/>
      </w:pPr>
      <w:bookmarkEnd w:id="337"/>
      <w:r>
        <w:rPr>
          <w:rFonts w:ascii="IRNazanin" w:hAnsi="IRNazanin" w:eastAsia="IRNazanin"/>
          <w:color w:val="111111"/>
          <w:sz w:val="28"/>
          <w:sz w:val="28"/>
          <w:szCs w:val="28"/>
          <w:rtl w:val="true"/>
          <w:lang w:bidi="fa-IR"/>
        </w:rPr>
        <w:t>سنت معماری هنر بیزانسی خصوصاً سنت معماری بناهای بیت المقدس، نظیر کلیسای قیامت یا کلیسای معراج مایه گرفته و بیشتر اجزای معماری نمای بیرونی اولیه آن از سنت هنری مدیترانه ای و ایرانی اقتباس شده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دومین گنبد نیز در زمان ولید بن عبدالملک در جامع اموی دمشق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با الهام از هنرهای معماری خارجی و به وسیله هنرمندان ایرانی هندی مغربی و رومی بنا گردید </w:t>
      </w:r>
      <w:r>
        <w:rPr>
          <w:rStyle w:val="FootnoteAnchor"/>
          <w:rtl w:val="true"/>
        </w:rPr>
        <w:footnoteReference w:id="464"/>
      </w:r>
      <w:r>
        <w:rPr>
          <w:rFonts w:ascii="IRNazanin" w:hAnsi="IRNazanin" w:eastAsia="IRNazanin"/>
          <w:color w:val="111111"/>
          <w:sz w:val="28"/>
          <w:sz w:val="28"/>
          <w:szCs w:val="28"/>
          <w:rtl w:val="true"/>
          <w:lang w:bidi="fa-IR"/>
        </w:rPr>
        <w:t>بر این اساس و با استناد به شواهد مکتوب و باستان شناسانه دیگر می توان گفت که طرح اصلی گنبد از مسلمانان نبوده و از بناهای مذهبی و دیگر ساختمانهای اقوام و ملل دیگر اقتباس شده است</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338" w:name="__RefHeading___Toc15202436_1280447820"/>
      <w:bookmarkStart w:id="339" w:name="_Toc129"/>
      <w:bookmarkEnd w:id="338"/>
      <w:r>
        <w:rPr>
          <w:rtl w:val="true"/>
        </w:rPr>
        <w:t>ج</w:t>
      </w:r>
      <w:r>
        <w:rPr>
          <w:rtl w:val="true"/>
        </w:rPr>
        <w:t xml:space="preserve">. </w:t>
      </w:r>
      <w:r>
        <w:rPr>
          <w:rtl w:val="true"/>
        </w:rPr>
        <w:t>گنبد سبز</w:t>
      </w:r>
      <w:bookmarkEnd w:id="339"/>
    </w:p>
    <w:p>
      <w:pPr>
        <w:pStyle w:val="BookText"/>
        <w:rPr/>
      </w:pPr>
      <w:r>
        <w:rPr>
          <w:rFonts w:ascii="IRNazanin" w:hAnsi="IRNazanin" w:eastAsia="IRNazanin"/>
          <w:color w:val="111111"/>
          <w:sz w:val="28"/>
          <w:sz w:val="28"/>
          <w:szCs w:val="28"/>
          <w:rtl w:val="true"/>
          <w:lang w:bidi="fa-IR"/>
        </w:rPr>
        <w:t xml:space="preserve">گنبد سبز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مرقد مطهر پیامبر خدا صلی الله علیه و آله بنا شد که بر ستونهای اطراف مرقد مطهر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گنبد خضراء یا گنبد سبز فعلی بر روی آن ساخته شد که شکل آن از پائین به صورت مربع و از سمت بالا به صورت هشت ضلعی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وسیله سلطان قلاوون مملوکی از لوحهای سنگی و چوبی بر روی مرقد مطهر ساخته شده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در آتش سوزی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آسیب زیادی به مقصوره و گنبد رسید ولی به حجره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سلطان قایتبای 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گنبد را که در اثر آتش سوزی آسیب دیده بود، از نو بنا کرد و چند سال بعد باز گنبد تجدید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دوره سلطان محمد،عثمان گنبد بازسازی شد و تا آن زمان رنگ گنبد کبود بود که در دوره سلطان عبدالحمید عثمانی روی گنبد را سبز کردند و </w:t>
      </w:r>
    </w:p>
    <w:p>
      <w:pPr>
        <w:pStyle w:val="BookText"/>
        <w:rPr/>
      </w:pPr>
      <w:r>
        <w:rPr>
          <w:rFonts w:ascii="IRNazanin" w:hAnsi="IRNazanin" w:eastAsia="IRNazanin"/>
          <w:color w:val="111111"/>
          <w:sz w:val="28"/>
          <w:sz w:val="28"/>
          <w:szCs w:val="28"/>
          <w:rtl w:val="true"/>
          <w:lang w:bidi="fa-IR"/>
        </w:rPr>
        <w:t>از آن زمان به بعد به قبة الخضرا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از ضوابط معماری ساختمان مساجد که با مذاق شرع سازگار می باشد این است که معماری ساختمان مساجد با مشخصات و نشانه های اسلامی همسو باشد، به گونه ای که هر شخصی آن را ببیند متوجه شود که این ساختمان مسجد است و همچنین کیفیت بناء مساجد باید از معابد سایر ادیان و ساختمانها و قصرهای عادی در جامعه متمایز،باشد چرا که مسجد خانه خداست و لازم است خانه خدا، شکل خاص و کیفیت مشخصی داشته باشد که هر بیننده در نگاه اول بفهمد که آنجا خانه خدا و جایگاه عبادت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بنابراین هدف اصلی این است که مهندسی بنای مساجد به گونه ای باشد که مسجد از بیرون شناخته شده و مشخص گردد که این ساختمان مسجد است عبدالرزاق صنعانی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علی علیه السلام از کنار مسجد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می گذشت و می گفت این کنیسه تیم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یوسف قرضاوی در این خصوص می نویسد علی علیه السلام به جهت انکار شکل ساختمان آن مسجد این روایت را بیان کرده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این رو لازم است متخصصین معماری در طرح و نقشه های مهندسی مساجد تصمیماتی اتخاذ کنند که در ساختمان مساجد، شخصیت و هویت اسلامی را حفظ نموده و ساختمان هایی که شبیه معابد سایر ادیان می باشد را طراحی ننمایند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پیشتر اشاره شد ساختن گنبد از قرن های اول متداول بوده و هیچ دلیلی بر منع آن وارد نشده بلکه در جوامع روایی در ابواب مزار و غیر آنها در زمینه گنبد مشاهد مشرفه اهل بیت علیهم السلامائمه بقیع،نجف کربلا کاظمین مشهد و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بسیار دیگری وارد شده، که به جهت اختصار از ذکر آنها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علاقه خاص مسلمانان در تعظیم مساجد که منبعث از تأکیدات قرآن کریم احادیث پیامبر صلی الله علیه و آله و اهل بیت علیهم السلام در رفعت جایگاه مسجد و تعظیم شعایر اسلامی می باشد موجب آن شده است که همواره و در طول تاریخ برای ساختن گنبد مساجد و مشاهد جدیت و اهتمام داشته باشند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9115_195435"/>
      <w:bookmarkStart w:id="341" w:name="pg19115_195435"/>
      <w:bookmarkEnd w:id="341"/>
    </w:p>
    <w:p>
      <w:pPr>
        <w:pStyle w:val="Heading3"/>
        <w:numPr>
          <w:ilvl w:val="2"/>
          <w:numId w:val="1"/>
        </w:numPr>
        <w:rPr/>
      </w:pPr>
      <w:bookmarkStart w:id="342" w:name="pg19115_195435"/>
      <w:bookmarkStart w:id="343" w:name="__RefHeading___Toc15202438_1280447820"/>
      <w:bookmarkStart w:id="344" w:name="_Toc130"/>
      <w:bookmarkEnd w:id="342"/>
      <w:bookmarkEnd w:id="343"/>
      <w:r>
        <w:rPr>
          <w:rtl w:val="true"/>
        </w:rPr>
        <w:t>فصل سوم</w:t>
      </w:r>
      <w:r>
        <w:rPr>
          <w:rtl w:val="true"/>
        </w:rPr>
        <w:t xml:space="preserve">: </w:t>
      </w:r>
      <w:r>
        <w:rPr>
          <w:rtl w:val="true"/>
        </w:rPr>
        <w:t>متعلّقات مسجد</w:t>
      </w:r>
      <w:bookmarkEnd w:id="344"/>
    </w:p>
    <w:p>
      <w:pPr>
        <w:pStyle w:val="Heading4"/>
        <w:numPr>
          <w:ilvl w:val="3"/>
          <w:numId w:val="1"/>
        </w:numPr>
        <w:rPr/>
      </w:pPr>
      <w:bookmarkStart w:id="345" w:name="__RefHeading___Toc15202440_1280447820"/>
      <w:bookmarkStart w:id="346" w:name="_Toc131"/>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مسجد</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قبله مسجد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9115_195437"/>
      <w:bookmarkStart w:id="348" w:name="pg19115_195437"/>
      <w:bookmarkEnd w:id="348"/>
    </w:p>
    <w:p>
      <w:pPr>
        <w:pStyle w:val="BookText"/>
        <w:rPr/>
      </w:pPr>
      <w:bookmarkStart w:id="349" w:name="pg19115_195437"/>
      <w:bookmarkEnd w:id="349"/>
      <w:r>
        <w:rPr>
          <w:rFonts w:ascii="IRNazanin" w:hAnsi="IRNazanin" w:eastAsia="IRNazanin"/>
          <w:color w:val="111111"/>
          <w:sz w:val="28"/>
          <w:sz w:val="28"/>
          <w:szCs w:val="28"/>
          <w:rtl w:val="true"/>
          <w:lang w:bidi="fa-IR"/>
        </w:rPr>
        <w:t>بناها و ساختمان هایی که در اطراف مسجد ساخته می شوند، مانند وضوخانه سرویس بهداشتی صحن آبدارخانه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مسجد نیستند، ولی مربوط به آن می باشد؛ و از این رو این گونه از بناها نیز از منظر فقهی احکامی دارند که در ضمن چند مبحث بررسی خواهد شد</w:t>
      </w:r>
      <w:r>
        <w:rPr>
          <w:rFonts w:eastAsia="IRNazanin" w:cs="IRNazanin"/>
          <w:color w:val="111111"/>
          <w:sz w:val="28"/>
          <w:szCs w:val="28"/>
          <w:rtl w:val="true"/>
          <w:lang w:bidi="fa-IR"/>
        </w:rPr>
        <w:t>.</w:t>
      </w:r>
    </w:p>
    <w:p>
      <w:pPr>
        <w:pStyle w:val="Heading4"/>
        <w:numPr>
          <w:ilvl w:val="3"/>
          <w:numId w:val="1"/>
        </w:numPr>
        <w:rPr/>
      </w:pPr>
      <w:bookmarkStart w:id="350" w:name="__RefHeading___Toc15202442_1280447820"/>
      <w:bookmarkStart w:id="351" w:name="_Toc132"/>
      <w:bookmarkEnd w:id="350"/>
      <w:r>
        <w:rPr>
          <w:rtl w:val="true"/>
        </w:rPr>
        <w:t>مبحث اول</w:t>
      </w:r>
      <w:r>
        <w:rPr>
          <w:rtl w:val="true"/>
        </w:rPr>
        <w:t xml:space="preserve">: </w:t>
      </w:r>
      <w:r>
        <w:rPr>
          <w:rtl w:val="true"/>
        </w:rPr>
        <w:t>وضوخانه</w:t>
      </w:r>
      <w:bookmarkEnd w:id="351"/>
    </w:p>
    <w:p>
      <w:pPr>
        <w:pStyle w:val="Heading5"/>
        <w:numPr>
          <w:ilvl w:val="4"/>
          <w:numId w:val="1"/>
        </w:numPr>
        <w:rPr/>
      </w:pPr>
      <w:bookmarkStart w:id="352" w:name="__RefHeading___Toc15202444_1280447820"/>
      <w:bookmarkStart w:id="353" w:name="_Toc133"/>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از دیرباز، عادت و سیره مسلمانان بر این بوده که در کنار مساجد، و در ضمن مجموعه ساختمان مساجد مراکزی هم برای وضوخانه و سرویس های بهداشتی تهیه می کردند؛ و البته شایسته است تا این گونه سرویس ها بسیار اساسی، مطابق استاندارد و سیستم آب لوله کشی سرد و 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بایسته است این گونه از مراکز بهداشتی، کنار در مسجد و جدای از ساختمان آن،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ضروری دیگری که باید مورد توجه قرار گیرد این است که ساخت توالت باید در غیر جهت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بررسی این مسایل در ضمن چند گفتار بیان می شود</w:t>
      </w:r>
      <w:r>
        <w:rPr>
          <w:rFonts w:eastAsia="IRNazanin" w:cs="IRNazanin"/>
          <w:color w:val="111111"/>
          <w:sz w:val="28"/>
          <w:szCs w:val="28"/>
          <w:rtl w:val="true"/>
          <w:lang w:bidi="fa-IR"/>
        </w:rPr>
        <w:t>:</w:t>
      </w:r>
    </w:p>
    <w:p>
      <w:pPr>
        <w:pStyle w:val="Heading5"/>
        <w:numPr>
          <w:ilvl w:val="4"/>
          <w:numId w:val="1"/>
        </w:numPr>
        <w:rPr/>
      </w:pPr>
      <w:bookmarkStart w:id="354" w:name="__RefHeading___Toc15202446_1280447820"/>
      <w:bookmarkStart w:id="355" w:name="_Toc134"/>
      <w:bookmarkEnd w:id="354"/>
      <w:r>
        <w:rPr>
          <w:rtl w:val="true"/>
        </w:rPr>
        <w:t>گفتار اول</w:t>
      </w:r>
      <w:r>
        <w:rPr>
          <w:rtl w:val="true"/>
        </w:rPr>
        <w:t xml:space="preserve">: </w:t>
      </w:r>
      <w:r>
        <w:rPr>
          <w:rtl w:val="true"/>
        </w:rPr>
        <w:t>تعریف میضاً در لغت و اصطلاح</w:t>
      </w:r>
      <w:bookmarkEnd w:id="355"/>
    </w:p>
    <w:p>
      <w:pPr>
        <w:pStyle w:val="Heading6"/>
        <w:numPr>
          <w:ilvl w:val="5"/>
          <w:numId w:val="1"/>
        </w:numPr>
        <w:rPr/>
      </w:pPr>
      <w:bookmarkStart w:id="356" w:name="__RefHeading___Toc15202448_1280447820"/>
      <w:bookmarkStart w:id="357" w:name="_Toc135"/>
      <w:bookmarkEnd w:id="356"/>
      <w:r>
        <w:rPr>
          <w:rtl w:val="true"/>
        </w:rPr>
        <w:t>الف</w:t>
      </w:r>
      <w:r>
        <w:rPr>
          <w:rtl w:val="true"/>
        </w:rPr>
        <w:t xml:space="preserve">) </w:t>
      </w:r>
      <w:r>
        <w:rPr>
          <w:rtl w:val="true"/>
        </w:rPr>
        <w:t>معناى لغوى</w:t>
      </w:r>
      <w:bookmarkEnd w:id="3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دانان عرب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الميضأة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مفعَلَه، مکانی است که در آن وضو می گیرند این واژه برگرفته از کلمه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الصحاح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به فتحه به معنای آبی است که با آن وضوء گرفته می 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مصدر است</w:t>
      </w:r>
      <w:r>
        <w:rPr>
          <w:rFonts w:eastAsia="IRNazanin" w:cs="IRNazanin"/>
          <w:color w:val="111111"/>
          <w:sz w:val="28"/>
          <w:szCs w:val="28"/>
          <w:rtl w:val="true"/>
          <w:lang w:bidi="fa-IR"/>
        </w:rPr>
        <w:t xml:space="preserve">». </w:t>
      </w:r>
      <w:bookmarkStart w:id="358" w:name="pg19115_195438"/>
    </w:p>
    <w:p>
      <w:pPr>
        <w:pStyle w:val="BookText"/>
        <w:rPr/>
      </w:pPr>
      <w:bookmarkEnd w:id="358"/>
      <w:r>
        <w:rPr>
          <w:rFonts w:ascii="IRNazanin" w:hAnsi="IRNazanin" w:eastAsia="IRNazanin"/>
          <w:color w:val="111111"/>
          <w:sz w:val="28"/>
          <w:sz w:val="28"/>
          <w:szCs w:val="28"/>
          <w:rtl w:val="true"/>
          <w:lang w:bidi="fa-IR"/>
        </w:rPr>
        <w:t xml:space="preserve">أخفش در ذیل آیه مبارکكه </w:t>
      </w:r>
      <w:r>
        <w:rPr>
          <w:rFonts w:ascii="Amiri" w:hAnsi="Amiri" w:eastAsia="Amiri" w:cs="Amiri"/>
          <w:color w:val="111111"/>
          <w:sz w:val="28"/>
          <w:sz w:val="28"/>
          <w:szCs w:val="28"/>
          <w:rtl w:val="true"/>
          <w:lang w:bidi="ar-SA"/>
        </w:rPr>
        <w:t>وَقُودُهَا النَّاسُ وَالْحِجَارَةُ</w:t>
      </w:r>
      <w:r>
        <w:rPr>
          <w:rStyle w:val="FootnoteAnchor"/>
          <w:rtl w:val="true"/>
        </w:rPr>
        <w:footnoteReference w:id="47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فتح و او باشد به معنای حطب و هیزم،است و اگر به ضم آن باشد، به معنای یعنی آتش زدن است و سپس می گوید مانند این واژه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فتح است که به معنای آبی است که از آن وضوء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دادن آن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جمعی از لغویان نیز بر این نکته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الميضأة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مطهرة است و آن چیزی است که از آن و در آن وضو می گیرند </w:t>
      </w:r>
      <w:r>
        <w:rPr>
          <w:rStyle w:val="FootnoteAnchor"/>
          <w:rtl w:val="true"/>
        </w:rPr>
        <w:footnoteReference w:id="472"/>
      </w:r>
      <w:r>
        <w:rPr>
          <w:rFonts w:ascii="IRNazanin" w:hAnsi="IRNazanin" w:eastAsia="IRNazanin"/>
          <w:color w:val="111111"/>
          <w:sz w:val="28"/>
          <w:sz w:val="28"/>
          <w:szCs w:val="28"/>
          <w:rtl w:val="true"/>
          <w:lang w:bidi="fa-IR"/>
        </w:rPr>
        <w:t xml:space="preserve">شیخ فخرالدین طریحی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مستراح، توالت و دستشویی است</w:t>
      </w:r>
      <w:r>
        <w:rPr>
          <w:rFonts w:eastAsia="IRNazanin" w:cs="IRNazanin"/>
          <w:color w:val="111111"/>
          <w:sz w:val="28"/>
          <w:szCs w:val="28"/>
          <w:rtl w:val="true"/>
          <w:lang w:bidi="fa-IR"/>
        </w:rPr>
        <w:t xml:space="preserve">. </w:t>
      </w:r>
      <w:r>
        <w:rPr>
          <w:rStyle w:val="FootnoteAnchor"/>
          <w:rtl w:val="true"/>
        </w:rPr>
        <w:footnoteReference w:id="473"/>
      </w:r>
    </w:p>
    <w:p>
      <w:pPr>
        <w:pStyle w:val="Heading6"/>
        <w:numPr>
          <w:ilvl w:val="5"/>
          <w:numId w:val="1"/>
        </w:numPr>
        <w:rPr/>
      </w:pPr>
      <w:bookmarkStart w:id="359" w:name="__RefHeading___Toc15202450_1280447820"/>
      <w:bookmarkStart w:id="360" w:name="_Toc136"/>
      <w:bookmarkEnd w:id="359"/>
      <w:r>
        <w:rPr>
          <w:rtl w:val="true"/>
        </w:rPr>
        <w:t>ب</w:t>
      </w:r>
      <w:r>
        <w:rPr>
          <w:rtl w:val="true"/>
        </w:rPr>
        <w:t xml:space="preserve">) </w:t>
      </w:r>
      <w:r>
        <w:rPr>
          <w:rtl w:val="true"/>
        </w:rPr>
        <w:t>معنای اصطلاحی میضأه</w:t>
      </w:r>
      <w:bookmarkEnd w:id="3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ميضأة عبارت از مکان تطهیر از حدث و خبث است؛ </w:t>
      </w:r>
      <w:r>
        <w:rPr>
          <w:rStyle w:val="FootnoteAnchor"/>
          <w:rtl w:val="true"/>
        </w:rPr>
        <w:footnoteReference w:id="474"/>
      </w:r>
      <w:r>
        <w:rPr>
          <w:rFonts w:ascii="IRNazanin" w:hAnsi="IRNazanin" w:eastAsia="IRNazanin"/>
          <w:color w:val="111111"/>
          <w:sz w:val="28"/>
          <w:sz w:val="28"/>
          <w:szCs w:val="28"/>
          <w:rtl w:val="true"/>
          <w:lang w:bidi="fa-IR"/>
        </w:rPr>
        <w:t>و در ذخیره و ریاض نیز به آن اشاره شده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محدث بحرانی ميضأة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چنین تعریف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ميضأة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مکانی است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ادرار و غایط به معنای مدفوع تطهیر می کنند؛ و کنایه از مکان زایل کردن و برطرف کردن نجاست و محل پاک شدن از آلودگی است</w:t>
      </w:r>
      <w:r>
        <w:rPr>
          <w:rFonts w:eastAsia="IRNazanin" w:cs="IRNazanin"/>
          <w:color w:val="111111"/>
          <w:sz w:val="28"/>
          <w:szCs w:val="28"/>
          <w:rtl w:val="true"/>
          <w:lang w:bidi="fa-IR"/>
        </w:rPr>
        <w:t xml:space="preserve">. </w:t>
      </w:r>
      <w:r>
        <w:rPr>
          <w:rStyle w:val="FootnoteAnchor"/>
          <w:rtl w:val="true"/>
        </w:rPr>
        <w:footnoteReference w:id="476"/>
      </w:r>
      <w:bookmarkStart w:id="361" w:name="pg19115_195439"/>
    </w:p>
    <w:p>
      <w:pPr>
        <w:pStyle w:val="BookText"/>
        <w:rPr/>
      </w:pPr>
      <w:bookmarkEnd w:id="361"/>
      <w:r>
        <w:rPr>
          <w:rFonts w:ascii="IRNazanin" w:hAnsi="IRNazanin" w:eastAsia="IRNazanin"/>
          <w:color w:val="111111"/>
          <w:sz w:val="28"/>
          <w:sz w:val="28"/>
          <w:szCs w:val="28"/>
          <w:rtl w:val="true"/>
          <w:lang w:bidi="fa-IR"/>
        </w:rPr>
        <w:t xml:space="preserve">محقق ثانی نیز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ميضأة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مطهره و گاه، به معنای مکان وضوء،است و هر دو معنا محتمل است</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362" w:name="__RefHeading___Toc15202452_1280447820"/>
      <w:bookmarkStart w:id="363" w:name="_Toc137"/>
      <w:bookmarkEnd w:id="362"/>
      <w:r>
        <w:rPr>
          <w:rtl w:val="true"/>
        </w:rPr>
        <w:t xml:space="preserve">گفتار دوم حکم فقهی </w:t>
      </w:r>
      <w:r>
        <w:rPr>
          <w:rtl w:val="true"/>
        </w:rPr>
        <w:t>«</w:t>
      </w:r>
      <w:r>
        <w:rPr>
          <w:rtl w:val="true"/>
        </w:rPr>
        <w:t>ميضأة</w:t>
      </w:r>
      <w:r>
        <w:rPr>
          <w:rtl w:val="true"/>
        </w:rPr>
        <w:t>»</w:t>
      </w:r>
      <w:bookmarkEnd w:id="363"/>
    </w:p>
    <w:p>
      <w:pPr>
        <w:pStyle w:val="Heading6"/>
        <w:numPr>
          <w:ilvl w:val="5"/>
          <w:numId w:val="1"/>
        </w:numPr>
        <w:rPr/>
      </w:pPr>
      <w:bookmarkStart w:id="364" w:name="__RefHeading___Toc15202454_1280447820"/>
      <w:bookmarkStart w:id="365" w:name="_Toc138"/>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فقیهان شیعه معتقدند که مستحب است وضوخانه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ميضأة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مکان مسجد و نزدیک در آن قرار داده شود و جایز نیست که وضوخانه داخل مسجد بنا شود</w:t>
      </w:r>
      <w:r>
        <w:rPr>
          <w:rFonts w:eastAsia="IRNazanin" w:cs="IRNazanin"/>
          <w:color w:val="111111"/>
          <w:sz w:val="28"/>
          <w:szCs w:val="28"/>
          <w:rtl w:val="true"/>
          <w:lang w:bidi="fa-IR"/>
        </w:rPr>
        <w:t xml:space="preserve">. </w:t>
      </w:r>
      <w:r>
        <w:rPr>
          <w:rStyle w:val="FootnoteAnchor"/>
          <w:rtl w:val="true"/>
        </w:rPr>
        <w:footnoteReference w:id="478"/>
      </w:r>
    </w:p>
    <w:p>
      <w:pPr>
        <w:pStyle w:val="Heading6"/>
        <w:numPr>
          <w:ilvl w:val="5"/>
          <w:numId w:val="1"/>
        </w:numPr>
        <w:rPr/>
      </w:pPr>
      <w:bookmarkStart w:id="366" w:name="__RefHeading___Toc15202456_1280447820"/>
      <w:bookmarkStart w:id="367" w:name="_Toc139"/>
      <w:bookmarkEnd w:id="366"/>
      <w:r>
        <w:rPr>
          <w:rtl w:val="true"/>
        </w:rPr>
        <w:t>دليل استحباب ساخت وضوخانه در خارج از مسجد</w:t>
      </w:r>
      <w:bookmarkEnd w:id="367"/>
    </w:p>
    <w:p>
      <w:pPr>
        <w:pStyle w:val="BookText"/>
        <w:rPr/>
      </w:pPr>
      <w:r>
        <w:rPr>
          <w:rFonts w:ascii="IRNazanin" w:hAnsi="IRNazanin" w:eastAsia="IRNazanin"/>
          <w:color w:val="111111"/>
          <w:sz w:val="28"/>
          <w:sz w:val="28"/>
          <w:szCs w:val="28"/>
          <w:rtl w:val="true"/>
          <w:lang w:bidi="fa-IR"/>
        </w:rPr>
        <w:t>برای این مسأله به چند دلیل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اختلاف بین فقها، همانطور که فاضل خراسانی </w:t>
      </w:r>
      <w:r>
        <w:rPr>
          <w:rStyle w:val="FootnoteAnchor"/>
          <w:rtl w:val="true"/>
        </w:rPr>
        <w:footnoteReference w:id="479"/>
      </w:r>
      <w:r>
        <w:rPr>
          <w:rFonts w:ascii="IRNazanin" w:hAnsi="IRNazanin" w:eastAsia="IRNazanin"/>
          <w:color w:val="111111"/>
          <w:sz w:val="28"/>
          <w:sz w:val="28"/>
          <w:szCs w:val="28"/>
          <w:rtl w:val="true"/>
          <w:lang w:bidi="fa-IR"/>
        </w:rPr>
        <w:t xml:space="preserve">و سیدعلی طباطبایی </w:t>
      </w:r>
      <w:r>
        <w:rPr>
          <w:rStyle w:val="FootnoteAnchor"/>
          <w:rtl w:val="true"/>
        </w:rPr>
        <w:footnoteReference w:id="480"/>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روایات، صریحاً به این مدعا دلالت دارند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عبدالحمید از امام کاظم علیه السلام، از پیامبر خدا صلی الله علیه و 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مساجدتان را از اطفال، دیوانگان و خرید و فروش کردن به دور نگهدارید، و محل تطهیرتان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درهای مساجدتان قرار دهید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محمد بن اشعث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با روایت عبدالحميد قريب المضمون می باشد و در ذیل آن آمده است </w:t>
      </w:r>
      <w:r>
        <w:rPr>
          <w:rFonts w:ascii="Amiri" w:hAnsi="Amiri" w:eastAsia="Amiri" w:cs="Amiri"/>
          <w:color w:val="111111"/>
          <w:sz w:val="28"/>
          <w:sz w:val="28"/>
          <w:szCs w:val="28"/>
          <w:rtl w:val="true"/>
          <w:lang w:bidi="ar-SA"/>
        </w:rPr>
        <w:t>وَضَعُوا الْمَطَاهِرَ عَلَى أَبْوَابِهَا</w:t>
      </w:r>
      <w:r>
        <w:rPr>
          <w:rStyle w:val="FootnoteAnchor"/>
          <w:rtl w:val="true"/>
        </w:rPr>
        <w:footnoteReference w:id="482"/>
      </w:r>
      <w:r>
        <w:rPr>
          <w:rFonts w:ascii="IRNazanin" w:hAnsi="IRNazanin" w:eastAsia="IRNazanin"/>
          <w:color w:val="111111"/>
          <w:sz w:val="28"/>
          <w:sz w:val="28"/>
          <w:szCs w:val="28"/>
          <w:rtl w:val="true"/>
          <w:lang w:bidi="fa-IR"/>
        </w:rPr>
        <w:t xml:space="preserve">وضوخانه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در مسجد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سید فضل الله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و قاضی نعمان بن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در ذیل 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ضَعُوا الْمَطَاهِرَ عَلَى أَبْوَابِهَا</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نیز از امام صادق علیه السلام روایتی را به همین مضمون نقل کرده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وضوخانه در خارج از مسجد به جهت رفاه و صلاح کسانی است که وارد مسجد می شوند؛ به طوری که دیگر نمازگزاران از بوی بد آن مکان، اذیت نمی شوند و نیز از احتمال سرایت آلودگی به مسجد جلوگیری و حرمت مسجد نیز حفظ می شود</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ذکر آن است که اگر در مباحث قبل بیان شد که سزاوار است وضوخانه خارج مسجد ساخته شود به این معناست که اگر وضوخانه داخل مسجد بنا شود، جایز است توضیح آن که شیخ در نهایه می نویسد توضوء از بول و غایط در داخل مسجد جایز نیست ولی وضوء غیر از آنها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ابن ادریس نیز با او موافقت کرده است؛ </w:t>
      </w:r>
      <w:r>
        <w:rPr>
          <w:rStyle w:val="FootnoteAnchor"/>
          <w:rtl w:val="true"/>
        </w:rPr>
        <w:footnoteReference w:id="487"/>
      </w:r>
      <w:r>
        <w:rPr>
          <w:rFonts w:ascii="IRNazanin" w:hAnsi="IRNazanin" w:eastAsia="IRNazanin"/>
          <w:color w:val="111111"/>
          <w:sz w:val="28"/>
          <w:sz w:val="28"/>
          <w:szCs w:val="28"/>
          <w:rtl w:val="true"/>
          <w:lang w:bidi="fa-IR"/>
        </w:rPr>
        <w:t xml:space="preserve">و این امر در صورتی اشکال ندارد که وضوخانه پیش از </w:t>
      </w:r>
      <w:bookmarkStart w:id="368" w:name="pg19115_195441"/>
    </w:p>
    <w:p>
      <w:pPr>
        <w:pStyle w:val="BookText"/>
        <w:rPr/>
      </w:pPr>
      <w:bookmarkEnd w:id="368"/>
      <w:r>
        <w:rPr>
          <w:rFonts w:ascii="IRNazanin" w:hAnsi="IRNazanin" w:eastAsia="IRNazanin"/>
          <w:color w:val="111111"/>
          <w:sz w:val="28"/>
          <w:sz w:val="28"/>
          <w:szCs w:val="28"/>
          <w:rtl w:val="true"/>
          <w:lang w:bidi="fa-IR"/>
        </w:rPr>
        <w:t>ساختن مسجد باشد و در غیر این صورت قرار دادن وضوخانه در وسط مسجد جایز نیست ابن ادریس به این نکته تصریح کرده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جمعی از فقها نیز بر این باورند که اگر مسجد ساخته و مسجدیت آن نیز محقق شده است، دیگر جایز نیست که بعد از آن، در وسط این ساختمان، وضوخانه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شود</w:t>
      </w:r>
      <w:r>
        <w:rPr>
          <w:rFonts w:eastAsia="IRNazanin" w:cs="IRNazanin"/>
          <w:color w:val="111111"/>
          <w:sz w:val="28"/>
          <w:szCs w:val="28"/>
          <w:rtl w:val="true"/>
          <w:lang w:bidi="fa-IR"/>
        </w:rPr>
        <w:t xml:space="preserve">. </w:t>
      </w:r>
      <w:r>
        <w:rPr>
          <w:rStyle w:val="FootnoteAnchor"/>
          <w:rtl w:val="true"/>
        </w:rPr>
        <w:footnoteReference w:id="489"/>
      </w:r>
    </w:p>
    <w:p>
      <w:pPr>
        <w:pStyle w:val="Heading5"/>
        <w:numPr>
          <w:ilvl w:val="4"/>
          <w:numId w:val="1"/>
        </w:numPr>
        <w:rPr/>
      </w:pPr>
      <w:bookmarkStart w:id="369" w:name="__RefHeading___Toc15202458_1280447820"/>
      <w:bookmarkStart w:id="370" w:name="_Toc140"/>
      <w:bookmarkEnd w:id="369"/>
      <w:r>
        <w:rPr>
          <w:rtl w:val="true"/>
        </w:rPr>
        <w:t>گفتار سوم وضوخانه از دیدگاه اهل سنّت</w:t>
      </w:r>
      <w:bookmarkEnd w:id="370"/>
    </w:p>
    <w:p>
      <w:pPr>
        <w:pStyle w:val="Heading6"/>
        <w:numPr>
          <w:ilvl w:val="5"/>
          <w:numId w:val="1"/>
        </w:numPr>
        <w:rPr/>
      </w:pPr>
      <w:bookmarkStart w:id="371" w:name="__RefHeading___Toc15202460_1280447820"/>
      <w:bookmarkStart w:id="372" w:name="_Toc141"/>
      <w:bookmarkEnd w:id="371"/>
      <w:r>
        <w:rPr>
          <w:rtl w:val="true"/>
        </w:rPr>
        <w:t>اشاره</w:t>
      </w:r>
      <w:bookmarkEnd w:id="372"/>
    </w:p>
    <w:p>
      <w:pPr>
        <w:pStyle w:val="Heading6"/>
        <w:numPr>
          <w:ilvl w:val="5"/>
          <w:numId w:val="1"/>
        </w:numPr>
        <w:rPr/>
      </w:pPr>
      <w:bookmarkStart w:id="373" w:name="__RefHeading___Toc15202462_1280447820"/>
      <w:bookmarkStart w:id="374" w:name="_Toc142"/>
      <w:bookmarkEnd w:id="373"/>
      <w:r>
        <w:rPr/>
        <w:t>1</w:t>
      </w:r>
      <w:r>
        <w:rPr>
          <w:rtl w:val="true"/>
        </w:rPr>
        <w:t>و</w:t>
      </w:r>
      <w:r>
        <w:rPr/>
        <w:t>2</w:t>
      </w:r>
      <w:r>
        <w:rPr>
          <w:rtl w:val="true"/>
        </w:rPr>
        <w:t xml:space="preserve">. </w:t>
      </w:r>
      <w:r>
        <w:rPr>
          <w:rtl w:val="true"/>
        </w:rPr>
        <w:t>مذهب حنفی و مالکی</w:t>
      </w:r>
      <w:bookmarkEnd w:id="374"/>
    </w:p>
    <w:p>
      <w:pPr>
        <w:pStyle w:val="BookText"/>
        <w:rPr/>
      </w:pPr>
      <w:r>
        <w:rPr>
          <w:rFonts w:ascii="IRNazanin" w:hAnsi="IRNazanin" w:eastAsia="IRNazanin"/>
          <w:color w:val="111111"/>
          <w:sz w:val="28"/>
          <w:sz w:val="28"/>
          <w:szCs w:val="28"/>
          <w:rtl w:val="true"/>
          <w:lang w:bidi="fa-IR"/>
        </w:rPr>
        <w:t>فقهای حنفی و بسیاری از فقهای مالکی معتقدند که وضو گرفتن در مساجد مطلقاً کراهت دارد، و این به جهت دور داشتن و منزه ساختن مساجد از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فقهای حنفی یک مورد را از این مسئله استثنا کرده اند و آن مکانی است که برای وضو ساخته شده است که در این صورت وضو گرفتن در مساجد کراهت ندارد</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الحصفکی از فقهای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ادرار کردن و فصد کردن در مسجد اگر چه در ظرفی باشد جایز نیست و همچنین آوردن اطفال و دیوانگان در مساجد حرام است؛ زیرا آنان، غالباً مسجد را آلوده می کنند؟ </w:t>
      </w:r>
      <w:r>
        <w:rPr>
          <w:rStyle w:val="FootnoteAnchor"/>
          <w:rtl w:val="true"/>
        </w:rPr>
        <w:footnoteReference w:id="491"/>
      </w:r>
      <w:r>
        <w:rPr>
          <w:rFonts w:ascii="IRNazanin" w:hAnsi="IRNazanin" w:eastAsia="IRNazanin"/>
          <w:color w:val="111111"/>
          <w:sz w:val="28"/>
          <w:sz w:val="28"/>
          <w:szCs w:val="28"/>
          <w:rtl w:val="true"/>
          <w:lang w:bidi="fa-IR"/>
        </w:rPr>
        <w:t>ابن عابدین برای این حکم، به روایتی استناد کرده که مزی در تحفة الأشراف به آن استدلال نموده است و در ذیل آن،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واجعلوا على أبوابها </w:t>
      </w:r>
      <w:bookmarkStart w:id="375" w:name="pg19115_195442"/>
    </w:p>
    <w:p>
      <w:pPr>
        <w:pStyle w:val="BookText"/>
        <w:rPr/>
      </w:pPr>
      <w:bookmarkEnd w:id="375"/>
      <w:r>
        <w:rPr>
          <w:rFonts w:ascii="IRNazanin" w:hAnsi="IRNazanin" w:eastAsia="IRNazanin"/>
          <w:color w:val="111111"/>
          <w:sz w:val="28"/>
          <w:sz w:val="28"/>
          <w:szCs w:val="28"/>
          <w:rtl w:val="true"/>
          <w:lang w:bidi="fa-IR"/>
        </w:rPr>
        <w:t>المطاهر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مطاهر جمع مطهرة به كسر میم یا بنابر لغتی به فتح آن، هرظرفی است که به وسیله آن تطهیر شود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حطّاب رعینی فقیه مالکی و ابن شاس نیز به همین روایت استدلال کرده اند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ابن شاس تصریح می کند که رأی صواب این است که وضوخانه در صحن مسجد کنار در آن قرار گیرد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ابن ماجه روایت مزبور را در سنن، از واثلة بن أسقع از پیامبر خدا صلی الله علیه و آله صلی الله علیه و آله نقل می کند و همچنین طبرانی در معجم الکبیر، عبد الرزاق در المصنف، هیثمی در مجمع الزوائد و بیهقی در السنن الصغیر آن را روایت کرده اند</w:t>
      </w:r>
      <w:r>
        <w:rPr>
          <w:rFonts w:eastAsia="IRNazanin" w:cs="IRNazanin"/>
          <w:color w:val="111111"/>
          <w:sz w:val="28"/>
          <w:szCs w:val="28"/>
          <w:rtl w:val="true"/>
          <w:lang w:bidi="fa-IR"/>
        </w:rPr>
        <w:t xml:space="preserve">. </w:t>
      </w:r>
      <w:r>
        <w:rPr>
          <w:rStyle w:val="FootnoteAnchor"/>
          <w:rtl w:val="true"/>
        </w:rPr>
        <w:footnoteReference w:id="496"/>
      </w:r>
    </w:p>
    <w:p>
      <w:pPr>
        <w:pStyle w:val="Heading6"/>
        <w:numPr>
          <w:ilvl w:val="5"/>
          <w:numId w:val="1"/>
        </w:numPr>
        <w:rPr/>
      </w:pPr>
      <w:bookmarkStart w:id="376" w:name="__RefHeading___Toc15202464_1280447820"/>
      <w:bookmarkStart w:id="377" w:name="_Toc143"/>
      <w:bookmarkEnd w:id="376"/>
      <w:r>
        <w:rPr/>
        <w:t>3</w:t>
      </w:r>
      <w:r>
        <w:rPr>
          <w:rtl w:val="true"/>
        </w:rPr>
        <w:t>و</w:t>
      </w:r>
      <w:r>
        <w:rPr/>
        <w:t>4</w:t>
      </w:r>
      <w:r>
        <w:rPr>
          <w:rtl w:val="true"/>
        </w:rPr>
        <w:t xml:space="preserve">. </w:t>
      </w:r>
      <w:r>
        <w:rPr>
          <w:rtl w:val="true"/>
        </w:rPr>
        <w:t>مذهب شافعی و حنبلی</w:t>
      </w:r>
      <w:bookmarkEnd w:id="377"/>
    </w:p>
    <w:p>
      <w:pPr>
        <w:pStyle w:val="BookText"/>
        <w:rPr/>
      </w:pPr>
      <w:r>
        <w:rPr>
          <w:rFonts w:ascii="IRNazanin" w:hAnsi="IRNazanin" w:eastAsia="IRNazanin"/>
          <w:color w:val="111111"/>
          <w:sz w:val="28"/>
          <w:sz w:val="28"/>
          <w:szCs w:val="28"/>
          <w:rtl w:val="true"/>
          <w:lang w:bidi="fa-IR"/>
        </w:rPr>
        <w:t>فقهای شافعی و حنبلی می گویند وضو گرفتن در مسجد جایز است ولی اگر سبب اذیت نمازگزاران بشود کراهت دارد نووی از فقهای شافعی از ابن منذر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کسانی که من از آنها علم فرا گرفتم معتقدند که وضو گرفتن در مسجد جایز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شیبه به روایت ابو عالیه استدلال می کنند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پیامبر صل الله علیه و آله خدمت می کرده به من گفت</w:t>
      </w:r>
      <w:r>
        <w:rPr>
          <w:rFonts w:eastAsia="IRNazanin" w:cs="IRNazanin"/>
          <w:color w:val="111111"/>
          <w:sz w:val="28"/>
          <w:szCs w:val="28"/>
          <w:rtl w:val="true"/>
          <w:lang w:bidi="fa-IR"/>
        </w:rPr>
        <w:t xml:space="preserve">: </w:t>
      </w:r>
      <w:bookmarkStart w:id="378" w:name="pg19115_195443"/>
    </w:p>
    <w:p>
      <w:pPr>
        <w:pStyle w:val="BookText"/>
        <w:rPr/>
      </w:pPr>
      <w:bookmarkEnd w:id="378"/>
      <w:r>
        <w:rPr>
          <w:rFonts w:ascii="IRNazanin" w:hAnsi="IRNazanin" w:eastAsia="IRNazanin"/>
          <w:color w:val="111111"/>
          <w:sz w:val="28"/>
          <w:sz w:val="28"/>
          <w:szCs w:val="28"/>
          <w:rtl w:val="true"/>
          <w:lang w:bidi="fa-IR"/>
        </w:rPr>
        <w:t>پیامبر صلی الله علیه و آله در مسجد وضو می گرفت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ابن ابی شیبه در المصنف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جبیر و ابن عمر در مسجد وضو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عمر، و خلفا در مسجد وضو می گرفتند</w:t>
      </w:r>
      <w:r>
        <w:rPr>
          <w:rFonts w:eastAsia="IRNazanin" w:cs="IRNazanin"/>
          <w:color w:val="111111"/>
          <w:sz w:val="28"/>
          <w:szCs w:val="28"/>
          <w:rtl w:val="true"/>
          <w:lang w:bidi="fa-IR"/>
        </w:rPr>
        <w:t xml:space="preserve">». </w:t>
      </w:r>
      <w:r>
        <w:rPr>
          <w:rStyle w:val="FootnoteAnchor"/>
          <w:rtl w:val="true"/>
        </w:rPr>
        <w:footnoteReference w:id="500"/>
      </w:r>
    </w:p>
    <w:p>
      <w:pPr>
        <w:pStyle w:val="Heading5"/>
        <w:numPr>
          <w:ilvl w:val="4"/>
          <w:numId w:val="1"/>
        </w:numPr>
        <w:rPr/>
      </w:pPr>
      <w:bookmarkStart w:id="379" w:name="__RefHeading___Toc15202466_1280447820"/>
      <w:bookmarkStart w:id="380" w:name="_Toc144"/>
      <w:bookmarkEnd w:id="379"/>
      <w:r>
        <w:rPr>
          <w:rtl w:val="true"/>
        </w:rPr>
        <w:t>گفتار چهارم</w:t>
      </w:r>
      <w:r>
        <w:rPr>
          <w:rtl w:val="true"/>
        </w:rPr>
        <w:t xml:space="preserve">: </w:t>
      </w:r>
      <w:r>
        <w:rPr>
          <w:rtl w:val="true"/>
        </w:rPr>
        <w:t>کیفیت ساختن سرویسهای بهداشتی مساجد</w:t>
      </w:r>
      <w:bookmarkEnd w:id="380"/>
    </w:p>
    <w:p>
      <w:pPr>
        <w:pStyle w:val="Heading6"/>
        <w:numPr>
          <w:ilvl w:val="5"/>
          <w:numId w:val="1"/>
        </w:numPr>
        <w:rPr/>
      </w:pPr>
      <w:bookmarkStart w:id="381" w:name="__RefHeading___Toc15202468_1280447820"/>
      <w:bookmarkStart w:id="382" w:name="_Toc145"/>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مشهور میان فقیهان شیعه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تخلی، یعنی دفع ادرار و مدفوع باید طرف جلو،بدن یعنی،شکم سینه و،زانوها رو به سمت قبله و پشت به آن نباشد و در این حکم فرقی نیست بین اینکه تخلی در ساختمان یا در صحرا باشد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علامه، </w:t>
      </w:r>
      <w:r>
        <w:rPr>
          <w:rStyle w:val="FootnoteAnchor"/>
          <w:rtl w:val="true"/>
        </w:rPr>
        <w:footnoteReference w:id="502"/>
      </w:r>
      <w:r>
        <w:rPr>
          <w:rFonts w:ascii="IRNazanin" w:hAnsi="IRNazanin" w:eastAsia="IRNazanin"/>
          <w:color w:val="111111"/>
          <w:sz w:val="28"/>
          <w:sz w:val="28"/>
          <w:szCs w:val="28"/>
          <w:rtl w:val="true"/>
          <w:lang w:bidi="fa-IR"/>
        </w:rPr>
        <w:t>شهید اول،</w:t>
      </w:r>
      <w:r>
        <w:rPr>
          <w:rStyle w:val="FootnoteAnchor"/>
          <w:rtl w:val="true"/>
        </w:rPr>
        <w:footnoteReference w:id="503"/>
      </w:r>
      <w:r>
        <w:rPr>
          <w:rFonts w:ascii="IRNazanin" w:hAnsi="IRNazanin" w:eastAsia="IRNazanin"/>
          <w:color w:val="111111"/>
          <w:sz w:val="28"/>
          <w:sz w:val="28"/>
          <w:szCs w:val="28"/>
          <w:rtl w:val="true"/>
          <w:lang w:bidi="fa-IR"/>
        </w:rPr>
        <w:t xml:space="preserve">فاضل سبزواری </w:t>
      </w:r>
      <w:r>
        <w:rPr>
          <w:rStyle w:val="FootnoteAnchor"/>
          <w:rtl w:val="true"/>
        </w:rPr>
        <w:footnoteReference w:id="504"/>
      </w:r>
      <w:r>
        <w:rPr>
          <w:rFonts w:ascii="IRNazanin" w:hAnsi="IRNazanin" w:eastAsia="IRNazanin"/>
          <w:color w:val="111111"/>
          <w:sz w:val="28"/>
          <w:sz w:val="28"/>
          <w:szCs w:val="28"/>
          <w:rtl w:val="true"/>
          <w:lang w:bidi="fa-IR"/>
        </w:rPr>
        <w:t xml:space="preserve">و فاضل مجلسی </w:t>
      </w:r>
      <w:r>
        <w:rPr>
          <w:rStyle w:val="FootnoteAnchor"/>
          <w:rtl w:val="true"/>
        </w:rPr>
        <w:footnoteReference w:id="505"/>
      </w:r>
      <w:r>
        <w:rPr>
          <w:rFonts w:ascii="IRNazanin" w:hAnsi="IRNazanin" w:eastAsia="IRNazanin"/>
          <w:color w:val="111111"/>
          <w:sz w:val="28"/>
          <w:sz w:val="28"/>
          <w:szCs w:val="28"/>
          <w:rtl w:val="true"/>
          <w:lang w:bidi="fa-IR"/>
        </w:rPr>
        <w:t xml:space="preserve">ادعای شهرت کرده اند، بلکه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و سید ابوالمکارم ابن زهره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اند</w:t>
      </w:r>
      <w:r>
        <w:rPr>
          <w:rFonts w:eastAsia="IRNazanin" w:cs="IRNazanin"/>
          <w:color w:val="111111"/>
          <w:sz w:val="28"/>
          <w:szCs w:val="28"/>
          <w:rtl w:val="true"/>
          <w:lang w:bidi="fa-IR"/>
        </w:rPr>
        <w:t xml:space="preserve">. </w:t>
      </w:r>
      <w:r>
        <w:rPr>
          <w:rStyle w:val="FootnoteAnchor"/>
          <w:rtl w:val="true"/>
        </w:rPr>
        <w:footnoteReference w:id="507"/>
      </w:r>
    </w:p>
    <w:p>
      <w:pPr>
        <w:pStyle w:val="Heading6"/>
        <w:numPr>
          <w:ilvl w:val="5"/>
          <w:numId w:val="1"/>
        </w:numPr>
        <w:rPr/>
      </w:pPr>
      <w:bookmarkStart w:id="383" w:name="__RefHeading___Toc15202470_1280447820"/>
      <w:bookmarkStart w:id="384" w:name="_Toc146"/>
      <w:bookmarkEnd w:id="383"/>
      <w:r>
        <w:rPr>
          <w:rtl w:val="true"/>
        </w:rPr>
        <w:t>دلیل حرمت استقبال و استدبار قبله در حال تخلی</w:t>
      </w:r>
      <w:bookmarkEnd w:id="38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مسئله، به چند دلیل استدلال شده است که در زیر به آنها اشاره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شیخ در خلاف و ابن زهره در غنیه ادعا کرده اند و چنان که اشاره شد، شیخ محمد حسن نجفی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 حجت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 ای که به طور صریح به آن دلالت می کنند و در زیر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محمد بن یحیی که مشایخ ثلاثه آن را از امام کاظم علیه السلام روایت کرده اند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سمت قبله و پشت به آن نباشد و همچنین رو به طرف باد و پشت به طرف آن نباشد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می گوید پیامبر خدا صلی الله علیه و آله از رو به قبله بودن در هنگام تخلی نهی کرده است؛ </w:t>
      </w:r>
      <w:r>
        <w:rPr>
          <w:rStyle w:val="FootnoteAnchor"/>
          <w:rtl w:val="true"/>
        </w:rPr>
        <w:footnoteReference w:id="510"/>
      </w:r>
      <w:r>
        <w:rPr>
          <w:rFonts w:ascii="IRNazanin" w:hAnsi="IRNazanin" w:eastAsia="IRNazanin"/>
          <w:color w:val="111111"/>
          <w:sz w:val="28"/>
          <w:sz w:val="28"/>
          <w:szCs w:val="28"/>
          <w:rtl w:val="true"/>
          <w:lang w:bidi="fa-IR"/>
        </w:rPr>
        <w:t>و همچنین روایات مستقضیه دیگر در این مسئله وجود دارد</w:t>
      </w:r>
      <w:r>
        <w:rPr>
          <w:rFonts w:eastAsia="IRNazanin" w:cs="IRNazanin"/>
          <w:color w:val="111111"/>
          <w:sz w:val="28"/>
          <w:szCs w:val="28"/>
          <w:rtl w:val="true"/>
          <w:lang w:bidi="fa-IR"/>
        </w:rPr>
        <w:t>.</w:t>
      </w:r>
      <w:r>
        <w:rPr>
          <w:rStyle w:val="FootnoteAnchor"/>
          <w:rtl w:val="true"/>
        </w:rPr>
        <w:footnoteReference w:id="5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حنفی و حنبلی نیز آن را حرام می دانند ولی فقهای مالکی و شافعی فقط در صحرا حرام می دانند ولی اگر در داخل ساختمان تخلّی،کند حرام نیست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به هر روی بر مهندسان و معمارانی که مسئولیت ساختن مسجد را به عهده دارند، واجب است که نقشه ساخت مسجد را به گونه ای طراحی کنند که مراکز بهداشتی آن به طرف قبله نباشد؛ زیرا پیامبر از رو به قبله بودن و پشت به قبله در هنگام تخلّی نهی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از ابوهریره روایت شده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برای قضای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نباید رو به قبله یا پشت به قبله باشد</w:t>
      </w:r>
      <w:r>
        <w:rPr>
          <w:rFonts w:eastAsia="IRNazanin" w:cs="IRNazanin"/>
          <w:color w:val="111111"/>
          <w:sz w:val="28"/>
          <w:szCs w:val="28"/>
          <w:rtl w:val="true"/>
          <w:lang w:bidi="fa-IR"/>
        </w:rPr>
        <w:t xml:space="preserve">». </w:t>
      </w:r>
      <w:r>
        <w:rPr>
          <w:rStyle w:val="FootnoteAnchor"/>
          <w:rtl w:val="true"/>
        </w:rPr>
        <w:footnoteReference w:id="513"/>
      </w:r>
      <w:bookmarkStart w:id="385" w:name="pg19115_195446"/>
    </w:p>
    <w:p>
      <w:pPr>
        <w:pStyle w:val="Heading4"/>
        <w:numPr>
          <w:ilvl w:val="3"/>
          <w:numId w:val="1"/>
        </w:numPr>
        <w:rPr/>
      </w:pPr>
      <w:bookmarkStart w:id="386" w:name="__RefHeading___Toc15202472_1280447820"/>
      <w:bookmarkStart w:id="387" w:name="_Toc147"/>
      <w:bookmarkEnd w:id="385"/>
      <w:bookmarkEnd w:id="386"/>
      <w:r>
        <w:rPr>
          <w:rtl w:val="true"/>
        </w:rPr>
        <w:t>مبحث دوم</w:t>
      </w:r>
      <w:r>
        <w:rPr>
          <w:rtl w:val="true"/>
        </w:rPr>
        <w:t xml:space="preserve">: </w:t>
      </w:r>
      <w:r>
        <w:rPr>
          <w:rtl w:val="true"/>
        </w:rPr>
        <w:t>صحن مسجد</w:t>
      </w:r>
      <w:bookmarkEnd w:id="387"/>
    </w:p>
    <w:p>
      <w:pPr>
        <w:pStyle w:val="Heading5"/>
        <w:numPr>
          <w:ilvl w:val="4"/>
          <w:numId w:val="1"/>
        </w:numPr>
        <w:rPr/>
      </w:pPr>
      <w:bookmarkStart w:id="388" w:name="__RefHeading___Toc15202474_1280447820"/>
      <w:bookmarkStart w:id="389" w:name="_Toc148"/>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xml:space="preserve">یکی از بخش های مربوط به ساخت و ساز بنای مساجد صحن آن است؛ که در زبان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صحن مسجد کنار و جلوی بنای اصلی ساختمان یا شبستان مسجد احداث می شود و دارای احکام خاصی است که در این مبحث و در ضمن چند،گفتار بحث و بررسی خواهد شد</w:t>
      </w:r>
      <w:r>
        <w:rPr>
          <w:rFonts w:eastAsia="IRNazanin" w:cs="IRNazanin"/>
          <w:color w:val="111111"/>
          <w:sz w:val="28"/>
          <w:szCs w:val="28"/>
          <w:rtl w:val="true"/>
          <w:lang w:bidi="fa-IR"/>
        </w:rPr>
        <w:t>.</w:t>
      </w:r>
    </w:p>
    <w:p>
      <w:pPr>
        <w:pStyle w:val="Heading5"/>
        <w:numPr>
          <w:ilvl w:val="4"/>
          <w:numId w:val="1"/>
        </w:numPr>
        <w:rPr/>
      </w:pPr>
      <w:bookmarkStart w:id="390" w:name="__RefHeading___Toc15202476_1280447820"/>
      <w:bookmarkStart w:id="391" w:name="_Toc149"/>
      <w:bookmarkEnd w:id="390"/>
      <w:r>
        <w:rPr>
          <w:rtl w:val="true"/>
        </w:rPr>
        <w:t>گفتار اول</w:t>
      </w:r>
      <w:r>
        <w:rPr>
          <w:rtl w:val="true"/>
        </w:rPr>
        <w:t xml:space="preserve">: </w:t>
      </w:r>
      <w:r>
        <w:rPr>
          <w:rtl w:val="true"/>
        </w:rPr>
        <w:t xml:space="preserve">تعریف </w:t>
      </w:r>
      <w:r>
        <w:rPr>
          <w:rtl w:val="true"/>
        </w:rPr>
        <w:t>«</w:t>
      </w:r>
      <w:r>
        <w:rPr>
          <w:rtl w:val="true"/>
        </w:rPr>
        <w:t>رحبه</w:t>
      </w:r>
      <w:r>
        <w:rPr>
          <w:rtl w:val="true"/>
        </w:rPr>
        <w:t xml:space="preserve">» </w:t>
      </w:r>
      <w:r>
        <w:rPr>
          <w:rtl w:val="true"/>
        </w:rPr>
        <w:t>در لغت و اصطلاح</w:t>
      </w:r>
      <w:bookmarkEnd w:id="391"/>
    </w:p>
    <w:p>
      <w:pPr>
        <w:pStyle w:val="Heading6"/>
        <w:numPr>
          <w:ilvl w:val="5"/>
          <w:numId w:val="1"/>
        </w:numPr>
        <w:rPr/>
      </w:pPr>
      <w:bookmarkStart w:id="392" w:name="__RefHeading___Toc15202478_1280447820"/>
      <w:bookmarkStart w:id="393" w:name="_Toc150"/>
      <w:bookmarkEnd w:id="392"/>
      <w:r>
        <w:rPr>
          <w:rtl w:val="true"/>
        </w:rPr>
        <w:t>الف</w:t>
      </w:r>
      <w:r>
        <w:rPr>
          <w:rtl w:val="true"/>
        </w:rPr>
        <w:t xml:space="preserve">) </w:t>
      </w:r>
      <w:r>
        <w:rPr>
          <w:rtl w:val="true"/>
        </w:rPr>
        <w:t>رحبه در لغت</w:t>
      </w:r>
      <w:bookmarkEnd w:id="393"/>
    </w:p>
    <w:p>
      <w:pPr>
        <w:pStyle w:val="BookText"/>
        <w:rPr/>
      </w:pPr>
      <w:r>
        <w:rPr>
          <w:rFonts w:ascii="IRNazanin" w:hAnsi="IRNazanin" w:eastAsia="IRNazanin"/>
          <w:color w:val="111111"/>
          <w:sz w:val="28"/>
          <w:sz w:val="28"/>
          <w:szCs w:val="28"/>
          <w:rtl w:val="true"/>
          <w:lang w:bidi="fa-IR"/>
        </w:rPr>
        <w:t xml:space="preserve">شماری از لغویان در تبیین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داشتن و وسیع بودن است و وقتی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رَحُبت الدار و أرحبت بمعنى اتسعت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سرزمين وسيع که جمع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قریه و قُری است</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نیز در تعریف معنای لغوی آن می گوید رَحَبَة المكان يعني مكان وسيع و فضای بازی که وسعت دارد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جوهری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رَحَبة المسجد، به معنای صحن مسجد است که جمع آن رحب و رَحَبات و رحاب است</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فیومی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رَحبَة المسجد الساحة المنبسطة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رحبه مسجد به معنای صحن وسیع آن است</w:t>
      </w:r>
      <w:r>
        <w:rPr>
          <w:rFonts w:eastAsia="IRNazanin" w:cs="IRNazanin"/>
          <w:color w:val="111111"/>
          <w:sz w:val="28"/>
          <w:szCs w:val="28"/>
          <w:rtl w:val="true"/>
          <w:lang w:bidi="fa-IR"/>
        </w:rPr>
        <w:t xml:space="preserve">. </w:t>
      </w:r>
      <w:bookmarkStart w:id="394" w:name="pg19115_195447"/>
    </w:p>
    <w:p>
      <w:pPr>
        <w:pStyle w:val="BookText"/>
        <w:rPr/>
      </w:pPr>
      <w:bookmarkEnd w:id="394"/>
      <w:r>
        <w:rPr>
          <w:rFonts w:ascii="IRNazanin" w:hAnsi="IRNazanin" w:eastAsia="IRNazanin"/>
          <w:color w:val="111111"/>
          <w:sz w:val="28"/>
          <w:sz w:val="28"/>
          <w:szCs w:val="28"/>
          <w:rtl w:val="true"/>
          <w:lang w:bidi="fa-IR"/>
        </w:rPr>
        <w:t>ابن منظور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رَحَبة المسجد والدار به معنای صحن و حیاط وسیع مسجد و خانه می باشد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طریحی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وسعت داشتن و وسیع بودن و در مقابل ضیق و تنگی می باشد و از این رو رَحَبة المسجد،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صحن وسیع مسجد است که جمع آن رحبات است</w:t>
      </w:r>
      <w:r>
        <w:rPr>
          <w:rFonts w:eastAsia="IRNazanin" w:cs="IRNazanin"/>
          <w:color w:val="111111"/>
          <w:sz w:val="28"/>
          <w:szCs w:val="28"/>
          <w:rtl w:val="true"/>
          <w:lang w:bidi="fa-IR"/>
        </w:rPr>
        <w:t xml:space="preserve">. </w:t>
      </w:r>
      <w:r>
        <w:rPr>
          <w:rStyle w:val="FootnoteAnchor"/>
          <w:rtl w:val="true"/>
        </w:rPr>
        <w:footnoteReference w:id="519"/>
      </w:r>
    </w:p>
    <w:p>
      <w:pPr>
        <w:pStyle w:val="Heading6"/>
        <w:numPr>
          <w:ilvl w:val="5"/>
          <w:numId w:val="1"/>
        </w:numPr>
        <w:rPr/>
      </w:pPr>
      <w:bookmarkStart w:id="395" w:name="__RefHeading___Toc15202480_1280447820"/>
      <w:bookmarkStart w:id="396" w:name="_Toc151"/>
      <w:bookmarkEnd w:id="395"/>
      <w:r>
        <w:rPr>
          <w:rtl w:val="true"/>
        </w:rPr>
        <w:t>ب</w:t>
      </w:r>
      <w:r>
        <w:rPr>
          <w:rtl w:val="true"/>
        </w:rPr>
        <w:t xml:space="preserve">) </w:t>
      </w:r>
      <w:r>
        <w:rPr>
          <w:rtl w:val="true"/>
        </w:rPr>
        <w:t>رحبه در اصطلاح فقها</w:t>
      </w:r>
      <w:bookmarkEnd w:id="396"/>
    </w:p>
    <w:p>
      <w:pPr>
        <w:pStyle w:val="BookText"/>
        <w:rPr/>
      </w:pPr>
      <w:r>
        <w:rPr>
          <w:rFonts w:ascii="IRNazanin" w:hAnsi="IRNazanin" w:eastAsia="IRNazanin"/>
          <w:color w:val="111111"/>
          <w:sz w:val="28"/>
          <w:sz w:val="28"/>
          <w:szCs w:val="28"/>
          <w:rtl w:val="true"/>
          <w:lang w:bidi="fa-IR"/>
        </w:rPr>
        <w:t>رحبه مسجد در اصطلاح فقیهان به معنایی که نزدیک به معنای لغوی می باشد به کار رفته است و آن عبارت از عرصه و فضای وسیعی است که خارج از شبستان و کنار آن بنا می شود و جزء مسجد نیست ولی متصل به آن 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در عرف مسلمانان نیز از رحبه، به صحن یا حیاط مسجد تعبیر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همچنین برخی از فقهای اهل سنّت می گویند رحبه عبارت از صحن مسجد است که جلو در آن ساخته می شود و جدای از آن است؛ یا رحبه مکانی سنگ فرش شده است که به مسجد اضافه می شود</w:t>
      </w:r>
      <w:r>
        <w:rPr>
          <w:rFonts w:eastAsia="IRNazanin" w:cs="IRNazanin"/>
          <w:color w:val="111111"/>
          <w:sz w:val="28"/>
          <w:szCs w:val="28"/>
          <w:rtl w:val="true"/>
          <w:lang w:bidi="fa-IR"/>
        </w:rPr>
        <w:t xml:space="preserve">. </w:t>
      </w:r>
      <w:r>
        <w:rPr>
          <w:rStyle w:val="FootnoteAnchor"/>
          <w:rtl w:val="true"/>
        </w:rPr>
        <w:footnoteReference w:id="521"/>
      </w:r>
    </w:p>
    <w:p>
      <w:pPr>
        <w:pStyle w:val="Heading5"/>
        <w:numPr>
          <w:ilvl w:val="4"/>
          <w:numId w:val="1"/>
        </w:numPr>
        <w:rPr/>
      </w:pPr>
      <w:bookmarkStart w:id="397" w:name="__RefHeading___Toc15202482_1280447820"/>
      <w:bookmarkStart w:id="398" w:name="_Toc152"/>
      <w:bookmarkEnd w:id="397"/>
      <w:r>
        <w:rPr>
          <w:rtl w:val="true"/>
        </w:rPr>
        <w:t>گفتار دوم</w:t>
      </w:r>
      <w:r>
        <w:rPr>
          <w:rtl w:val="true"/>
        </w:rPr>
        <w:t xml:space="preserve">: </w:t>
      </w:r>
      <w:r>
        <w:rPr>
          <w:rtl w:val="true"/>
        </w:rPr>
        <w:t>احکام فقهی صحن مسجد</w:t>
      </w:r>
      <w:bookmarkEnd w:id="398"/>
    </w:p>
    <w:p>
      <w:pPr>
        <w:pStyle w:val="Heading6"/>
        <w:numPr>
          <w:ilvl w:val="5"/>
          <w:numId w:val="1"/>
        </w:numPr>
        <w:rPr/>
      </w:pPr>
      <w:bookmarkStart w:id="399" w:name="__RefHeading___Toc15202484_1280447820"/>
      <w:bookmarkStart w:id="400" w:name="_Toc153"/>
      <w:bookmarkEnd w:id="399"/>
      <w:r>
        <w:rPr>
          <w:rtl w:val="true"/>
        </w:rPr>
        <w:t>اشاره</w:t>
      </w:r>
      <w:bookmarkEnd w:id="4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صحن، جزء مسجد نیست و خارج از آن است و از این رو، احکام مسجد مانند حرمت،تنجيس وجوب تطهیر و عدم جواز اعتکاف و حرمت توقف جنب و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نیست؛ زیرا موضوع این احکام محقق نیست تا احکام بر آن مترتب شود؛ بلکه نهایت چیزی که می شود گفت این است که صحن </w:t>
      </w:r>
      <w:bookmarkStart w:id="401" w:name="pg19115_195448"/>
    </w:p>
    <w:p>
      <w:pPr>
        <w:pStyle w:val="BookText"/>
        <w:rPr/>
      </w:pPr>
      <w:bookmarkEnd w:id="401"/>
      <w:r>
        <w:rPr>
          <w:rFonts w:ascii="IRNazanin" w:hAnsi="IRNazanin" w:eastAsia="IRNazanin"/>
          <w:color w:val="111111"/>
          <w:sz w:val="28"/>
          <w:sz w:val="28"/>
          <w:szCs w:val="28"/>
          <w:rtl w:val="true"/>
          <w:lang w:bidi="fa-IR"/>
        </w:rPr>
        <w:t>از متعلقات مسجد و متصل به آن است و البته صرف ارتباط بین دو مکان موجب سرایت احکام اختصاصی یکی به دیگری نیست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روشن است که عدم ترتب احکام یاد شده در صورتی خواهد بود که ما علم داشته باشیم که واقف صحن مسجد را جزء مسجد قرار نداده است؛ اما اگر شک کنیم که صحن جزء مسجد است یا خیر هیچ مانعی از جریان اصل برائت، نسبت به وجوب تطهیر یا حرمت تنجیس آن وجود ندارد؛ زیرا محدّثان و اصولیان اتفاق نظر دارند که در شبهات موضوعیه تحریمی و وجوبی برائت جاری است و همچنین مقتضای استصحاب عدم مسجد بودن آن مکان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البته، از نظر عقل و شرع، هیچ شکی در حسن احتیاط وجود ندارد ولی اگر اماره شرعی در میان باشد که دلالت کند صحن جزء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مانند ظاهر حال واقف که گویای این نکته باشد که او صحن را نیز به مسجد ملحق کرده است یا مسلمانان با آن مکان به عنوان مسجد رفتار می کنند یا هر دلیل شرعی دیگری باشد که دلالت بر مسجد بودن آن مکان داشته باشد قهرا احکام مسجد نیز بر آن مترتب می شود</w:t>
      </w:r>
      <w:r>
        <w:rPr>
          <w:rFonts w:eastAsia="IRNazanin" w:cs="IRNazanin"/>
          <w:color w:val="111111"/>
          <w:sz w:val="28"/>
          <w:szCs w:val="28"/>
          <w:rtl w:val="true"/>
          <w:lang w:bidi="fa-IR"/>
        </w:rPr>
        <w:t xml:space="preserve">. </w:t>
      </w:r>
      <w:r>
        <w:rPr>
          <w:rStyle w:val="FootnoteAnchor"/>
          <w:rtl w:val="true"/>
        </w:rPr>
        <w:footnoteReference w:id="524"/>
      </w:r>
    </w:p>
    <w:p>
      <w:pPr>
        <w:pStyle w:val="Heading6"/>
        <w:numPr>
          <w:ilvl w:val="5"/>
          <w:numId w:val="1"/>
        </w:numPr>
        <w:rPr/>
      </w:pPr>
      <w:bookmarkStart w:id="402" w:name="__RefHeading___Toc15202486_1280447820"/>
      <w:bookmarkStart w:id="403" w:name="_Toc154"/>
      <w:bookmarkEnd w:id="402"/>
      <w:r>
        <w:rPr>
          <w:rtl w:val="true"/>
        </w:rPr>
        <w:t>اعتکاف در صحن مسجد</w:t>
      </w:r>
      <w:bookmarkEnd w:id="4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امامیه اتفاق نظر دارند که شخص معتکف نباید در حال اعتکاف از مسجد خارج شود؛ مگر برای انجام امور ضروری از این روی اگر معتکف از مسجد، خارج شود و بخواهد در صحن مسجد اعتکاف کند جایز نیست؛ زیرا صحن جزء </w:t>
      </w:r>
      <w:bookmarkStart w:id="404" w:name="pg19115_195449"/>
    </w:p>
    <w:p>
      <w:pPr>
        <w:pStyle w:val="BookText"/>
        <w:rPr/>
      </w:pPr>
      <w:bookmarkEnd w:id="404"/>
      <w:r>
        <w:rPr>
          <w:rFonts w:ascii="IRNazanin" w:hAnsi="IRNazanin" w:eastAsia="IRNazanin"/>
          <w:color w:val="111111"/>
          <w:sz w:val="28"/>
          <w:sz w:val="28"/>
          <w:szCs w:val="28"/>
          <w:rtl w:val="true"/>
          <w:lang w:bidi="fa-IR"/>
        </w:rPr>
        <w:t>مسجد نبوده و خارج از آن است</w:t>
      </w:r>
      <w:r>
        <w:rPr>
          <w:rFonts w:eastAsia="IRNazanin" w:cs="IRNazanin"/>
          <w:color w:val="111111"/>
          <w:sz w:val="28"/>
          <w:szCs w:val="28"/>
          <w:rtl w:val="true"/>
          <w:lang w:bidi="fa-IR"/>
        </w:rPr>
        <w:t xml:space="preserve">. </w:t>
      </w:r>
      <w:r>
        <w:rPr>
          <w:rStyle w:val="FootnoteAnchor"/>
          <w:rtl w:val="true"/>
        </w:rPr>
        <w:footnoteReference w:id="525"/>
      </w:r>
    </w:p>
    <w:p>
      <w:pPr>
        <w:pStyle w:val="Heading5"/>
        <w:numPr>
          <w:ilvl w:val="4"/>
          <w:numId w:val="1"/>
        </w:numPr>
        <w:rPr/>
      </w:pPr>
      <w:bookmarkStart w:id="405" w:name="__RefHeading___Toc15202488_1280447820"/>
      <w:bookmarkStart w:id="406" w:name="_Toc155"/>
      <w:bookmarkEnd w:id="405"/>
      <w:r>
        <w:rPr>
          <w:rtl w:val="true"/>
        </w:rPr>
        <w:t>گفتار سوم</w:t>
      </w:r>
      <w:r>
        <w:rPr>
          <w:rtl w:val="true"/>
        </w:rPr>
        <w:t xml:space="preserve">: </w:t>
      </w:r>
      <w:r>
        <w:rPr>
          <w:rtl w:val="true"/>
        </w:rPr>
        <w:t>احکام رحبه از دیدگاه اهل سنّت</w:t>
      </w:r>
      <w:bookmarkEnd w:id="406"/>
    </w:p>
    <w:p>
      <w:pPr>
        <w:pStyle w:val="Heading6"/>
        <w:numPr>
          <w:ilvl w:val="5"/>
          <w:numId w:val="1"/>
        </w:numPr>
        <w:rPr/>
      </w:pPr>
      <w:bookmarkStart w:id="407" w:name="__RefHeading___Toc15202490_1280447820"/>
      <w:bookmarkStart w:id="408" w:name="_Toc156"/>
      <w:bookmarkEnd w:id="407"/>
      <w:r>
        <w:rPr/>
        <w:t>1</w:t>
      </w:r>
      <w:r>
        <w:rPr>
          <w:rtl w:val="true"/>
        </w:rPr>
        <w:t xml:space="preserve">. </w:t>
      </w:r>
      <w:r>
        <w:rPr>
          <w:rtl w:val="true"/>
        </w:rPr>
        <w:t>مذهب شافعی</w:t>
      </w:r>
      <w:bookmarkEnd w:id="408"/>
    </w:p>
    <w:p>
      <w:pPr>
        <w:pStyle w:val="BookText"/>
        <w:rPr/>
      </w:pPr>
      <w:r>
        <w:rPr>
          <w:rFonts w:ascii="IRNazanin" w:hAnsi="IRNazanin" w:eastAsia="IRNazanin"/>
          <w:color w:val="111111"/>
          <w:sz w:val="28"/>
          <w:sz w:val="28"/>
          <w:szCs w:val="28"/>
          <w:rtl w:val="true"/>
          <w:lang w:bidi="fa-IR"/>
        </w:rPr>
        <w:t xml:space="preserve">بسیاری از فقهای شافعی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مسجد می دانند، و احکام مسجد را نیز بر آن مرتب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تصریح دارند که در هر دو صورت اتصال صحن به مسجد یا فاصله افتادن آن با شبستان مسجد توسط نهر و یا راه، این مکان نیز حکم مسجد را دارد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 بر صحن مسجد و آنچه نزدیک آن باشد، مرتب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بیهقی نیز در سنن خویش از ابن عباس روایتی آورده است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صحن مسجد باشد می تواند به امام جماعت اقتدا کند؛ </w:t>
      </w:r>
      <w:r>
        <w:rPr>
          <w:rStyle w:val="FootnoteAnchor"/>
          <w:rtl w:val="true"/>
        </w:rPr>
        <w:footnoteReference w:id="528"/>
      </w:r>
      <w:r>
        <w:rPr>
          <w:rFonts w:ascii="IRNazanin" w:hAnsi="IRNazanin" w:eastAsia="IRNazanin"/>
          <w:color w:val="111111"/>
          <w:sz w:val="28"/>
          <w:sz w:val="28"/>
          <w:szCs w:val="28"/>
          <w:rtl w:val="true"/>
          <w:lang w:bidi="fa-IR"/>
        </w:rPr>
        <w:t>معنای آن کلام از دیدگاه،آنان این است که صحن نیز جزء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شافعی و اصحاب او معتقدند که اعتکاف در صحن مسجد هم جایز است</w:t>
      </w:r>
      <w:r>
        <w:rPr>
          <w:rFonts w:eastAsia="IRNazanin" w:cs="IRNazanin"/>
          <w:color w:val="111111"/>
          <w:sz w:val="28"/>
          <w:szCs w:val="28"/>
          <w:rtl w:val="true"/>
          <w:lang w:bidi="fa-IR"/>
        </w:rPr>
        <w:t xml:space="preserve">. </w:t>
      </w:r>
      <w:r>
        <w:rPr>
          <w:rStyle w:val="FootnoteAnchor"/>
          <w:rtl w:val="true"/>
        </w:rPr>
        <w:footnoteReference w:id="529"/>
      </w:r>
    </w:p>
    <w:p>
      <w:pPr>
        <w:pStyle w:val="Heading6"/>
        <w:numPr>
          <w:ilvl w:val="5"/>
          <w:numId w:val="1"/>
        </w:numPr>
        <w:rPr/>
      </w:pPr>
      <w:bookmarkStart w:id="409" w:name="__RefHeading___Toc15202492_1280447820"/>
      <w:bookmarkStart w:id="410" w:name="_Toc157"/>
      <w:bookmarkEnd w:id="409"/>
      <w:r>
        <w:rPr/>
        <w:t>2</w:t>
      </w:r>
      <w:r>
        <w:rPr>
          <w:rtl w:val="true"/>
        </w:rPr>
        <w:t xml:space="preserve">. </w:t>
      </w:r>
      <w:r>
        <w:rPr>
          <w:rtl w:val="true"/>
        </w:rPr>
        <w:t>دیدگاه سایز مذاهب</w:t>
      </w:r>
      <w:bookmarkEnd w:id="4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 روایت بر این باورند که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مسجد نیست و خارج از آن است</w:t>
      </w:r>
      <w:r>
        <w:rPr>
          <w:rFonts w:eastAsia="IRNazanin" w:cs="IRNazanin"/>
          <w:color w:val="111111"/>
          <w:sz w:val="28"/>
          <w:szCs w:val="28"/>
          <w:rtl w:val="true"/>
          <w:lang w:bidi="fa-IR"/>
        </w:rPr>
        <w:t xml:space="preserve">. </w:t>
      </w:r>
      <w:r>
        <w:rPr>
          <w:rStyle w:val="FootnoteAnchor"/>
          <w:rtl w:val="true"/>
        </w:rPr>
        <w:footnoteReference w:id="530"/>
      </w:r>
      <w:bookmarkStart w:id="411" w:name="pg19115_195450"/>
    </w:p>
    <w:p>
      <w:pPr>
        <w:pStyle w:val="Heading4"/>
        <w:numPr>
          <w:ilvl w:val="3"/>
          <w:numId w:val="1"/>
        </w:numPr>
        <w:rPr/>
      </w:pPr>
      <w:bookmarkStart w:id="412" w:name="__RefHeading___Toc15202494_1280447820"/>
      <w:bookmarkStart w:id="413" w:name="_Toc158"/>
      <w:bookmarkEnd w:id="411"/>
      <w:bookmarkEnd w:id="412"/>
      <w:r>
        <w:rPr>
          <w:rtl w:val="true"/>
        </w:rPr>
        <w:t>مبحث سوم</w:t>
      </w:r>
      <w:r>
        <w:rPr>
          <w:rtl w:val="true"/>
        </w:rPr>
        <w:t xml:space="preserve">: </w:t>
      </w:r>
      <w:r>
        <w:rPr>
          <w:rtl w:val="true"/>
        </w:rPr>
        <w:t>تعیین قبله مسجد</w:t>
      </w:r>
      <w:bookmarkEnd w:id="413"/>
    </w:p>
    <w:p>
      <w:pPr>
        <w:pStyle w:val="Heading5"/>
        <w:numPr>
          <w:ilvl w:val="4"/>
          <w:numId w:val="1"/>
        </w:numPr>
        <w:rPr/>
      </w:pPr>
      <w:bookmarkStart w:id="414" w:name="__RefHeading___Toc15202496_1280447820"/>
      <w:bookmarkStart w:id="415" w:name="_Toc159"/>
      <w:bookmarkEnd w:id="414"/>
      <w:r>
        <w:rPr>
          <w:rtl w:val="true"/>
        </w:rPr>
        <w:t>گفتار اول</w:t>
      </w:r>
      <w:r>
        <w:rPr>
          <w:rtl w:val="true"/>
        </w:rPr>
        <w:t xml:space="preserve">: </w:t>
      </w:r>
      <w:r>
        <w:rPr>
          <w:rtl w:val="true"/>
        </w:rPr>
        <w:t>شناختن قبله</w:t>
      </w:r>
      <w:bookmarkEnd w:id="415"/>
    </w:p>
    <w:p>
      <w:pPr>
        <w:pStyle w:val="BookText"/>
        <w:rPr/>
      </w:pPr>
      <w:r>
        <w:rPr>
          <w:rFonts w:ascii="IRNazanin" w:hAnsi="IRNazanin" w:eastAsia="IRNazanin"/>
          <w:color w:val="111111"/>
          <w:sz w:val="28"/>
          <w:sz w:val="28"/>
          <w:szCs w:val="28"/>
          <w:rtl w:val="true"/>
          <w:lang w:bidi="fa-IR"/>
        </w:rPr>
        <w:t>قبله همان کعبه معظمه و محاذات آن است البته قبله فقط بنا و ساختمان کعبه نیست بلکه از اعماق زمین تا اوج آسمان قبله می باشد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نمازهای واجب و توابع آن چون نماز احتیاط، قضای سجده، تشهد فراموش شده و غیر آنها مانند سر بریدن حیوانات قرار گرفتن شخص محتضر، دفن میت ساختن محراب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رو به قبله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واجب است انسان برای پیدا کردن قبله کوشش کند تا یقین حاصل نماید که قبله کدام طرف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اگر چنان که تحصیل علم و یقین امکان نداشت می تواند به گفته دو شاهد عادل که از روی نشانه های حسی شهادت می دهند یا به قول کسی که از روی قاعده علمی قبله را می شناسد و محل اطمینان است عمل کند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شاهد عادل میسر نباشد شهادت عادل واحد هم کفایت می کند؛ زیرا اقامه بینه به باب مرافعات و مخاصمات اختصاص دارد در سایر موضوعات شهادت عدل </w:t>
      </w:r>
      <w:bookmarkStart w:id="416" w:name="pg19115_195451"/>
    </w:p>
    <w:p>
      <w:pPr>
        <w:pStyle w:val="BookText"/>
        <w:rPr/>
      </w:pPr>
      <w:bookmarkEnd w:id="416"/>
      <w:r>
        <w:rPr>
          <w:rFonts w:ascii="IRNazanin" w:hAnsi="IRNazanin" w:eastAsia="IRNazanin"/>
          <w:color w:val="111111"/>
          <w:sz w:val="28"/>
          <w:sz w:val="28"/>
          <w:szCs w:val="28"/>
          <w:rtl w:val="true"/>
          <w:lang w:bidi="fa-IR"/>
        </w:rPr>
        <w:t>واحد کفایت می کند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شیخ جعفر کاشف الغطاء می گوید بر این حکم دلیل شرعی اقامه شده است که موضوعات و احکام شرعی از راه اخبار عدل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اخبار عدلین یا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ولی بایست از روی علم و یقین خبر دهد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محقق خویی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ادله استفاده می شود که سمت قبله به شهادت دو عادل یا عادل واحد، بلکه به گفته شخصی که مورد اطمینان است، ثابت می شود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امام خمینی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کردن به گفتۀ اهل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ولی به شرط این که با اجتهاد علمی او مخالفت نداشته باشد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شیخ محمد حسین آل كاشف الغطاء می گوید بنا بر نظر اقوی اخبار ثقه عارف در مطلق موضوعات که یکی از آنها قبله می باشد حجت است البته می بایست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اخبار از روی حس باشد نه از روی حدس</w:t>
      </w:r>
      <w:r>
        <w:rPr>
          <w:rFonts w:eastAsia="IRNazanin" w:cs="IRNazanin"/>
          <w:color w:val="111111"/>
          <w:sz w:val="28"/>
          <w:szCs w:val="28"/>
          <w:rtl w:val="true"/>
          <w:lang w:bidi="fa-IR"/>
        </w:rPr>
        <w:t xml:space="preserve">. </w:t>
      </w:r>
      <w:r>
        <w:rPr>
          <w:rStyle w:val="FootnoteAnchor"/>
          <w:rtl w:val="true"/>
        </w:rPr>
        <w:footnoteReference w:id="538"/>
      </w:r>
    </w:p>
    <w:p>
      <w:pPr>
        <w:pStyle w:val="Heading5"/>
        <w:numPr>
          <w:ilvl w:val="4"/>
          <w:numId w:val="1"/>
        </w:numPr>
        <w:rPr/>
      </w:pPr>
      <w:bookmarkStart w:id="417" w:name="__RefHeading___Toc15202498_1280447820"/>
      <w:bookmarkStart w:id="418" w:name="_Toc160"/>
      <w:bookmarkEnd w:id="417"/>
      <w:r>
        <w:rPr>
          <w:rtl w:val="true"/>
        </w:rPr>
        <w:t>گفتار دوم</w:t>
      </w:r>
      <w:r>
        <w:rPr>
          <w:rtl w:val="true"/>
        </w:rPr>
        <w:t xml:space="preserve">: </w:t>
      </w:r>
      <w:r>
        <w:rPr>
          <w:rtl w:val="true"/>
        </w:rPr>
        <w:t>امارات قبله</w:t>
      </w:r>
      <w:bookmarkEnd w:id="41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سمت قبله را به طور قطع و یقین نمی تواند پیدا کند به شاهد عادل هم دسترسی ندارد می تواند به علامات و اماراتی که مفید ظن و گمان است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سید در عروه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يعتبر العلم بالمحاذاة مع الامكان، ومع عدمه يرجع إلى العلامات والأمارات المفيدة للظنّ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الأمارات المحصلة للظن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يجب الرجوع إليها عند عدم إمكان العلم كما هو الغالب بالنسبة إلى البعيد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w:t>
      </w:r>
      <w:r>
        <w:rPr>
          <w:rFonts w:eastAsia="IRNazanin" w:cs="IRNazanin"/>
          <w:color w:val="111111"/>
          <w:sz w:val="28"/>
          <w:szCs w:val="28"/>
          <w:rtl w:val="true"/>
          <w:lang w:bidi="fa-IR"/>
        </w:rPr>
        <w:t xml:space="preserve">.» </w:t>
      </w:r>
      <w:r>
        <w:rPr>
          <w:rStyle w:val="FootnoteAnchor"/>
          <w:rtl w:val="true"/>
        </w:rPr>
        <w:footnoteReference w:id="539"/>
      </w:r>
      <w:bookmarkStart w:id="419" w:name="pg19115_195452"/>
    </w:p>
    <w:p>
      <w:pPr>
        <w:pStyle w:val="BookText"/>
        <w:rPr/>
      </w:pPr>
      <w:bookmarkEnd w:id="419"/>
      <w:r>
        <w:rPr>
          <w:rFonts w:ascii="IRNazanin" w:hAnsi="IRNazanin" w:eastAsia="IRNazanin"/>
          <w:color w:val="111111"/>
          <w:sz w:val="28"/>
          <w:sz w:val="28"/>
          <w:szCs w:val="28"/>
          <w:rtl w:val="true"/>
          <w:lang w:bidi="fa-IR"/>
        </w:rPr>
        <w:t>محقق اردبیلی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تعیین قبله از روی علم و یقین امکان نداشته باشد، می شود به علامات و اماراتی که مفید ظن است اعتماد کرد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یکی از آن امارات، قبله بلاد مسلمین است که نماز، قبرها و محرابهایشان را به آن سمت انجام می دهند البته این اماره تا وقتی معتبر است که خطا و اشتباه آنان ظاهر نشود اگر چنان که کشف شود که آنان در تعیین قبله دچار اشتباه شده اند دیگر قبله آنان اعتبار ندارد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محقق، </w:t>
      </w:r>
      <w:r>
        <w:rPr>
          <w:rStyle w:val="FootnoteAnchor"/>
          <w:rtl w:val="true"/>
        </w:rPr>
        <w:footnoteReference w:id="542"/>
      </w:r>
      <w:r>
        <w:rPr>
          <w:rFonts w:ascii="IRNazanin" w:hAnsi="IRNazanin" w:eastAsia="IRNazanin"/>
          <w:color w:val="111111"/>
          <w:sz w:val="28"/>
          <w:sz w:val="28"/>
          <w:szCs w:val="28"/>
          <w:rtl w:val="true"/>
          <w:lang w:bidi="fa-IR"/>
        </w:rPr>
        <w:t xml:space="preserve">علامه، </w:t>
      </w:r>
      <w:r>
        <w:rPr>
          <w:rStyle w:val="FootnoteAnchor"/>
          <w:rtl w:val="true"/>
        </w:rPr>
        <w:footnoteReference w:id="543"/>
      </w:r>
      <w:r>
        <w:rPr>
          <w:rFonts w:ascii="IRNazanin" w:hAnsi="IRNazanin" w:eastAsia="IRNazanin"/>
          <w:color w:val="111111"/>
          <w:sz w:val="28"/>
          <w:sz w:val="28"/>
          <w:szCs w:val="28"/>
          <w:rtl w:val="true"/>
          <w:lang w:bidi="fa-IR"/>
        </w:rPr>
        <w:t xml:space="preserve">شهید اول، </w:t>
      </w:r>
      <w:r>
        <w:rPr>
          <w:rStyle w:val="FootnoteAnchor"/>
          <w:rtl w:val="true"/>
        </w:rPr>
        <w:footnoteReference w:id="544"/>
      </w:r>
      <w:r>
        <w:rPr>
          <w:rFonts w:ascii="IRNazanin" w:hAnsi="IRNazanin" w:eastAsia="IRNazanin"/>
          <w:color w:val="111111"/>
          <w:sz w:val="28"/>
          <w:sz w:val="28"/>
          <w:szCs w:val="28"/>
          <w:rtl w:val="true"/>
          <w:lang w:bidi="fa-IR"/>
        </w:rPr>
        <w:t xml:space="preserve">شهید ثانی، </w:t>
      </w:r>
      <w:r>
        <w:rPr>
          <w:rStyle w:val="FootnoteAnchor"/>
          <w:rtl w:val="true"/>
        </w:rPr>
        <w:footnoteReference w:id="545"/>
      </w:r>
      <w:r>
        <w:rPr>
          <w:rFonts w:ascii="IRNazanin" w:hAnsi="IRNazanin" w:eastAsia="IRNazanin"/>
          <w:color w:val="111111"/>
          <w:sz w:val="28"/>
          <w:sz w:val="28"/>
          <w:szCs w:val="28"/>
          <w:rtl w:val="true"/>
          <w:lang w:bidi="fa-IR"/>
        </w:rPr>
        <w:t xml:space="preserve">ابن فهد حلی، </w:t>
      </w:r>
      <w:r>
        <w:rPr>
          <w:rStyle w:val="FootnoteAnchor"/>
          <w:rtl w:val="true"/>
        </w:rPr>
        <w:footnoteReference w:id="546"/>
      </w:r>
      <w:r>
        <w:rPr>
          <w:rFonts w:ascii="IRNazanin" w:hAnsi="IRNazanin" w:eastAsia="IRNazanin"/>
          <w:color w:val="111111"/>
          <w:sz w:val="28"/>
          <w:sz w:val="28"/>
          <w:szCs w:val="28"/>
          <w:rtl w:val="true"/>
          <w:lang w:bidi="fa-IR"/>
        </w:rPr>
        <w:t xml:space="preserve">محقق ثانی </w:t>
      </w:r>
      <w:r>
        <w:rPr>
          <w:rStyle w:val="FootnoteAnchor"/>
          <w:rtl w:val="true"/>
        </w:rPr>
        <w:footnoteReference w:id="547"/>
      </w:r>
      <w:r>
        <w:rPr>
          <w:rFonts w:ascii="IRNazanin" w:hAnsi="IRNazanin" w:eastAsia="IRNazanin"/>
          <w:color w:val="111111"/>
          <w:sz w:val="28"/>
          <w:sz w:val="28"/>
          <w:szCs w:val="28"/>
          <w:rtl w:val="true"/>
          <w:lang w:bidi="fa-IR"/>
        </w:rPr>
        <w:t>بر این مسئله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مابین فقها نیست در این که به محرابهایی که در شهرهای مسلمین نصب شده و به قبور آنان می شود اعتماد کرد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از این رو افرادی که وارد بلاد اسلامی می شوند می توانند به قبله مسلمین اعتماد کنند چون قبله مسلمین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اماره شرعیه است</w:t>
      </w:r>
      <w:r>
        <w:rPr>
          <w:rFonts w:eastAsia="IRNazanin" w:cs="IRNazanin"/>
          <w:color w:val="111111"/>
          <w:sz w:val="28"/>
          <w:szCs w:val="28"/>
          <w:rtl w:val="true"/>
          <w:lang w:bidi="fa-IR"/>
        </w:rPr>
        <w:t xml:space="preserve">. </w:t>
      </w:r>
      <w:r>
        <w:rPr>
          <w:rStyle w:val="FootnoteAnchor"/>
          <w:rtl w:val="true"/>
        </w:rPr>
        <w:footnoteReference w:id="549"/>
      </w:r>
    </w:p>
    <w:p>
      <w:pPr>
        <w:pStyle w:val="Heading5"/>
        <w:numPr>
          <w:ilvl w:val="4"/>
          <w:numId w:val="1"/>
        </w:numPr>
        <w:rPr/>
      </w:pPr>
      <w:bookmarkStart w:id="420" w:name="__RefHeading___Toc15202500_1280447820"/>
      <w:bookmarkStart w:id="421" w:name="_Toc161"/>
      <w:bookmarkEnd w:id="420"/>
      <w:r>
        <w:rPr>
          <w:rtl w:val="true"/>
        </w:rPr>
        <w:t>گفتار سوم دلیل اماره بودن قبله مسلمین</w:t>
      </w:r>
      <w:bookmarkEnd w:id="421"/>
    </w:p>
    <w:p>
      <w:pPr>
        <w:pStyle w:val="Heading6"/>
        <w:numPr>
          <w:ilvl w:val="5"/>
          <w:numId w:val="1"/>
        </w:numPr>
        <w:rPr/>
      </w:pPr>
      <w:bookmarkStart w:id="422" w:name="__RefHeading___Toc15202502_1280447820"/>
      <w:bookmarkStart w:id="423" w:name="_Toc162"/>
      <w:bookmarkEnd w:id="422"/>
      <w:r>
        <w:rPr>
          <w:rtl w:val="true"/>
        </w:rPr>
        <w:t>اشاره</w:t>
      </w:r>
      <w:bookmarkEnd w:id="42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مسئله دو دلیل ذکر شده است</w:t>
      </w:r>
      <w:r>
        <w:rPr>
          <w:rFonts w:eastAsia="IRNazanin" w:cs="IRNazanin"/>
          <w:color w:val="111111"/>
          <w:sz w:val="28"/>
          <w:szCs w:val="28"/>
          <w:rtl w:val="true"/>
          <w:lang w:bidi="fa-IR"/>
        </w:rPr>
        <w:t xml:space="preserve">: </w:t>
      </w:r>
      <w:bookmarkStart w:id="424" w:name="pg19115_195453"/>
    </w:p>
    <w:p>
      <w:pPr>
        <w:pStyle w:val="Heading6"/>
        <w:numPr>
          <w:ilvl w:val="5"/>
          <w:numId w:val="1"/>
        </w:numPr>
        <w:rPr/>
      </w:pPr>
      <w:bookmarkStart w:id="425" w:name="__RefHeading___Toc15202504_1280447820"/>
      <w:bookmarkStart w:id="426" w:name="_Toc163"/>
      <w:bookmarkEnd w:id="424"/>
      <w:bookmarkEnd w:id="425"/>
      <w:r>
        <w:rPr/>
        <w:t>1</w:t>
      </w:r>
      <w:r>
        <w:rPr>
          <w:rtl w:val="true"/>
        </w:rPr>
        <w:t xml:space="preserve">. </w:t>
      </w:r>
      <w:r>
        <w:rPr>
          <w:rtl w:val="true"/>
        </w:rPr>
        <w:t>اجماع</w:t>
      </w:r>
      <w:bookmarkEnd w:id="426"/>
    </w:p>
    <w:p>
      <w:pPr>
        <w:pStyle w:val="BookText"/>
        <w:rPr/>
      </w:pPr>
      <w:r>
        <w:rPr>
          <w:rFonts w:ascii="IRNazanin" w:hAnsi="IRNazanin" w:eastAsia="IRNazanin"/>
          <w:color w:val="111111"/>
          <w:sz w:val="28"/>
          <w:sz w:val="28"/>
          <w:szCs w:val="28"/>
          <w:rtl w:val="true"/>
          <w:lang w:bidi="fa-IR"/>
        </w:rPr>
        <w:t>علامه در تذکره می گوید به محرابهایی که در بلاد مسلمین نصب شده است می شود اعتماد،کرد لازم نیست خودش برای پیدا کردن قبله تلاش کند و این مسئله اجماعی است البته اگر بداند که محرابهای مسلمین اشتباه است و بر خلاف جهت قبله نصب شده اند باید خودش برای تعیین قبله تلاش کند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سید محمد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اعتماد بر قبله مسلمین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آن را ادعا کرده است </w:t>
      </w:r>
      <w:r>
        <w:rPr>
          <w:rStyle w:val="FootnoteAnchor"/>
          <w:rtl w:val="true"/>
        </w:rPr>
        <w:footnoteReference w:id="551"/>
      </w:r>
      <w:r>
        <w:rPr>
          <w:rFonts w:ascii="IRNazanin" w:hAnsi="IRNazanin" w:eastAsia="IRNazanin"/>
          <w:color w:val="111111"/>
          <w:sz w:val="28"/>
          <w:sz w:val="28"/>
          <w:szCs w:val="28"/>
          <w:rtl w:val="true"/>
          <w:lang w:bidi="fa-IR"/>
        </w:rPr>
        <w:t>و در کشف الالتباس نیز ادعای اجماع کرده است</w:t>
      </w:r>
      <w:r>
        <w:rPr>
          <w:rFonts w:eastAsia="IRNazanin" w:cs="IRNazanin"/>
          <w:color w:val="111111"/>
          <w:sz w:val="28"/>
          <w:szCs w:val="28"/>
          <w:rtl w:val="true"/>
          <w:lang w:bidi="fa-IR"/>
        </w:rPr>
        <w:t xml:space="preserve">. </w:t>
      </w:r>
      <w:r>
        <w:rPr>
          <w:rStyle w:val="FootnoteAnchor"/>
          <w:rtl w:val="true"/>
        </w:rPr>
        <w:footnoteReference w:id="552"/>
      </w:r>
    </w:p>
    <w:p>
      <w:pPr>
        <w:pStyle w:val="Heading6"/>
        <w:numPr>
          <w:ilvl w:val="5"/>
          <w:numId w:val="1"/>
        </w:numPr>
        <w:rPr/>
      </w:pPr>
      <w:bookmarkStart w:id="427" w:name="__RefHeading___Toc15202506_1280447820"/>
      <w:bookmarkStart w:id="428" w:name="_Toc164"/>
      <w:bookmarkEnd w:id="427"/>
      <w:r>
        <w:rPr/>
        <w:t>2</w:t>
      </w:r>
      <w:r>
        <w:rPr>
          <w:rtl w:val="true"/>
        </w:rPr>
        <w:t xml:space="preserve">. </w:t>
      </w:r>
      <w:r>
        <w:rPr>
          <w:rtl w:val="true"/>
        </w:rPr>
        <w:t>سيرة قطعية مسلمين</w:t>
      </w:r>
      <w:bookmarkEnd w:id="428"/>
    </w:p>
    <w:p>
      <w:pPr>
        <w:pStyle w:val="BookText"/>
        <w:rPr/>
      </w:pPr>
      <w:r>
        <w:rPr>
          <w:rFonts w:ascii="IRNazanin" w:hAnsi="IRNazanin" w:eastAsia="IRNazanin"/>
          <w:color w:val="111111"/>
          <w:sz w:val="28"/>
          <w:sz w:val="28"/>
          <w:szCs w:val="28"/>
          <w:rtl w:val="true"/>
          <w:lang w:bidi="fa-IR"/>
        </w:rPr>
        <w:t>در سیره قطعی مسلمین ثابت است که هرگاه اشخاص مسافر وارد یکی از شهرهای مسلمین می شوند به قبله آنان؛ یعنی به محراب و قبور و ذبیحه شان اعتماد می کنند و خودشان برای تعیین قبله تلاش نمی کنند و طبق قبله آنان عمل می کنند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شیخ محمد حسن نجفی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در تذکره و کشف الالتباس ادعا شده مؤید است به کلمات فقها و به سیره قطعی که در تمام اعصار و بلاد اسلامی جاری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علامه در منتهی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اصحاب این است که اگر سیره عملی مسلمین بر چیزی استقرار یافته است این امر به طور اغلب از قویترین امارات و علاماتی است که مفید علم می باشد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حکیم در مستمسک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سیره عملی اعتماد بر قبله </w:t>
      </w:r>
      <w:bookmarkStart w:id="429" w:name="pg19115_195454"/>
    </w:p>
    <w:p>
      <w:pPr>
        <w:pStyle w:val="BookText"/>
        <w:rPr/>
      </w:pPr>
      <w:bookmarkEnd w:id="429"/>
      <w:r>
        <w:rPr>
          <w:rFonts w:ascii="IRNazanin" w:hAnsi="IRNazanin" w:eastAsia="IRNazanin"/>
          <w:color w:val="111111"/>
          <w:sz w:val="28"/>
          <w:sz w:val="28"/>
          <w:szCs w:val="28"/>
          <w:rtl w:val="true"/>
          <w:lang w:bidi="fa-IR"/>
        </w:rPr>
        <w:t>مسلمین هیچ اشکالی ندارد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سید تقی طباطبایی قمی می گوید بعید نیست این که سیره قائم شده است بر اعتماد به قبله مسلمین</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سید عبدالاعلی سبزواری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سیره عملی در طی قرون و اعصار قبله مسلمانان حتی با تمکّن از تحصیل علم یا گمان قویتر اعتبار دارد و بر این امر ادعای اجماع نیز شده است از این رو قبله مسلمین مانند امارات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مسلمین، بازارشان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سهولت امر و از باب امتنان اعتبار دارد</w:t>
      </w:r>
      <w:r>
        <w:rPr>
          <w:rFonts w:eastAsia="IRNazanin" w:cs="IRNazanin"/>
          <w:color w:val="111111"/>
          <w:sz w:val="28"/>
          <w:szCs w:val="28"/>
          <w:rtl w:val="true"/>
          <w:lang w:bidi="fa-IR"/>
        </w:rPr>
        <w:t xml:space="preserve">. </w:t>
      </w:r>
      <w:r>
        <w:rPr>
          <w:rStyle w:val="FootnoteAnchor"/>
          <w:rtl w:val="true"/>
        </w:rPr>
        <w:footnoteReference w:id="558"/>
      </w:r>
    </w:p>
    <w:p>
      <w:pPr>
        <w:pStyle w:val="Heading5"/>
        <w:numPr>
          <w:ilvl w:val="4"/>
          <w:numId w:val="1"/>
        </w:numPr>
        <w:rPr/>
      </w:pPr>
      <w:bookmarkStart w:id="430" w:name="__RefHeading___Toc15202508_1280447820"/>
      <w:bookmarkStart w:id="431" w:name="_Toc165"/>
      <w:bookmarkEnd w:id="430"/>
      <w:r>
        <w:rPr>
          <w:rtl w:val="true"/>
        </w:rPr>
        <w:t>گفتار چهارم</w:t>
      </w:r>
      <w:r>
        <w:rPr>
          <w:rtl w:val="true"/>
        </w:rPr>
        <w:t xml:space="preserve">: </w:t>
      </w:r>
      <w:r>
        <w:rPr>
          <w:rtl w:val="true"/>
        </w:rPr>
        <w:t>امارات و علامات قبله از دیدگاه علمای هیئت</w:t>
      </w:r>
      <w:bookmarkEnd w:id="431"/>
    </w:p>
    <w:p>
      <w:pPr>
        <w:pStyle w:val="BookText"/>
        <w:rPr/>
      </w:pPr>
      <w:r>
        <w:rPr>
          <w:rFonts w:ascii="IRNazanin" w:hAnsi="IRNazanin" w:eastAsia="IRNazanin"/>
          <w:color w:val="111111"/>
          <w:sz w:val="28"/>
          <w:sz w:val="28"/>
          <w:szCs w:val="28"/>
          <w:rtl w:val="true"/>
          <w:lang w:bidi="fa-IR"/>
        </w:rPr>
        <w:t>در علم هیئت برای دست یافتن به سمت قبله و تعیین آن، امارات و نشانه هایی ذکر شده است که قبله را از راههایی که در آن،علم تقریر شده است می توان تعیین کرد سید در عروه می نویسد یکی از علامات و امارات قبله قواعد علم هیئت و گفته کسانی است که در آن علم مهارت دارند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امام خمینی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قواعد آن اگر مقدماتش به طور متقن ترتیب داده شود مفید علم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فقهای شیعه در کتابهای فقهی برای دست یافتن به جهت قبله در برخی از بلاد امارات و نشانه هایی ذکر کرده اند که بسیاری از آنها از علم هیئت اتخاذ شده است </w:t>
      </w:r>
      <w:r>
        <w:rPr>
          <w:rStyle w:val="FootnoteAnchor"/>
          <w:rtl w:val="true"/>
        </w:rPr>
        <w:footnoteReference w:id="561"/>
      </w:r>
      <w:r>
        <w:rPr>
          <w:rFonts w:ascii="IRNazanin" w:hAnsi="IRNazanin" w:eastAsia="IRNazanin"/>
          <w:color w:val="111111"/>
          <w:sz w:val="28"/>
          <w:sz w:val="28"/>
          <w:szCs w:val="28"/>
          <w:rtl w:val="true"/>
          <w:lang w:bidi="fa-IR"/>
        </w:rPr>
        <w:t>که در زیر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ستارۀ جُدَی است پشت شانه راست و این علامت برای شهرهایی</w:t>
      </w:r>
      <w:bookmarkStart w:id="432" w:name="pg19115_195455"/>
    </w:p>
    <w:p>
      <w:pPr>
        <w:pStyle w:val="BookText"/>
        <w:rPr/>
      </w:pPr>
      <w:bookmarkEnd w:id="432"/>
      <w:r>
        <w:rPr>
          <w:rFonts w:ascii="IRNazanin" w:hAnsi="IRNazanin" w:eastAsia="IRNazanin"/>
          <w:color w:val="111111"/>
          <w:sz w:val="28"/>
          <w:sz w:val="28"/>
          <w:szCs w:val="28"/>
          <w:rtl w:val="true"/>
          <w:lang w:bidi="fa-IR"/>
        </w:rPr>
        <w:t>که در اواسط عراق قرار دارند مانند،نجف، کربلا،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نیز بلادی که در پشت سر و به دنبال آنها قرار دارند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علامات و امارات قبله قرار دادن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چپ و مغرب بر شانه راست می باشد و این علامت نیز به عراق و بلادی که در محاذات آن است اختصاص دارد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سهیل نیز از امارات قبله می باشد و البته باید سهیل در جهت مخالف جدی قرار گیرد یعنی ستاره سهیل هنگام طلوع روبروی شانه راست باشد؛ </w:t>
      </w:r>
      <w:r>
        <w:rPr>
          <w:rStyle w:val="FootnoteAnchor"/>
          <w:rtl w:val="true"/>
        </w:rPr>
        <w:footnoteReference w:id="564"/>
      </w:r>
      <w:r>
        <w:rPr>
          <w:rFonts w:ascii="IRNazanin" w:hAnsi="IRNazanin" w:eastAsia="IRNazanin"/>
          <w:color w:val="111111"/>
          <w:sz w:val="28"/>
          <w:sz w:val="28"/>
          <w:szCs w:val="28"/>
          <w:rtl w:val="true"/>
          <w:lang w:bidi="fa-IR"/>
        </w:rPr>
        <w:t>چون ستاره جدی در قطب شمال قرار دارد و ستاره سهیل در قطب جنوب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زوال خورشید در طرف ابروی راست قرار گیرد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هفتم هر ماه هنگام غروب خورشید ماه جلوی چشمان او باشد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بیست و یکم هر ماه هنگام طلوع فجر ماه در مقابل او قرار گیرد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خورشید در دو روز بالاسر کعبه</w:t>
      </w:r>
    </w:p>
    <w:p>
      <w:pPr>
        <w:pStyle w:val="Heading5"/>
        <w:numPr>
          <w:ilvl w:val="4"/>
          <w:numId w:val="1"/>
        </w:numPr>
        <w:rPr/>
      </w:pPr>
      <w:bookmarkStart w:id="433" w:name="__RefHeading___Toc15202510_1280447820"/>
      <w:bookmarkStart w:id="434" w:name="_Toc166"/>
      <w:bookmarkEnd w:id="433"/>
      <w:r>
        <w:rPr>
          <w:rtl w:val="true"/>
        </w:rPr>
        <w:t>گفتار پنجم</w:t>
      </w:r>
      <w:r>
        <w:rPr>
          <w:rtl w:val="true"/>
        </w:rPr>
        <w:t xml:space="preserve">: </w:t>
      </w:r>
      <w:r>
        <w:rPr>
          <w:rtl w:val="true"/>
        </w:rPr>
        <w:t>تعیین قبله به وسیله ابزارهای جدید</w:t>
      </w:r>
      <w:bookmarkEnd w:id="43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بر حسب عادت برای بعضی از بلاد علامات و نشانه هایی ذکر کرده اند که به برخی از آنها اشاره شد و استیفای بحث و شرح و تفصیل آن به علم هیئت موکول می شود و این علامات و نشانه هایی که فقها در تعیین قبله بیان کرده اند، </w:t>
      </w:r>
    </w:p>
    <w:p>
      <w:pPr>
        <w:pStyle w:val="BookText"/>
        <w:rPr/>
      </w:pPr>
      <w:r>
        <w:rPr>
          <w:rFonts w:ascii="IRNazanin" w:hAnsi="IRNazanin" w:eastAsia="IRNazanin"/>
          <w:color w:val="111111"/>
          <w:sz w:val="28"/>
          <w:sz w:val="28"/>
          <w:szCs w:val="28"/>
          <w:rtl w:val="true"/>
          <w:lang w:bidi="fa-IR"/>
        </w:rPr>
        <w:t xml:space="preserve">تمامی آنها از علم هیئت اتخاذ شده است و خالی از تسامح نیست و همچنین این علامات با هم هماهنگ نیستند و با یکدیگر اختلاف دارند دقیق ترین شیوه برای تعیین قبله استفاده از شاخص 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برخی از علمای علم هیئت به وسیله بعضی از ستارگان و نقطه غروب و طلوع ماه یا ستاره جهت قبله را می شود تعیین کرد که البته خیلی دقیق نیست و همچنین با اختراع و شیوع استفاده از قطب نما جغرافیدانان به تعیین خانه کعبه و هر یک از بلاد دیگر نسبت به قطب پرداختند و درجه انحراف جهت قبله را از قطب مشخص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شویم که به قطب نماها برای تعیین دقیق قبله نمی شود اعتماد کامل داشت چه آن که قطب نما شمال و جنوب را بر حسب اختلاف امکنه و فصول مقداری مختلف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شماری از علمای علم هیئت روش دیگری را ارائه کرده اند که اگر در زمانهای گذشته ممکن نبود به طور دقیق مورد استفاده قرار گیرد ولی در زمان حاضر با بودن امکانات و وسایل لازم استفاده از این روش هم سهل و هم كاملاً اطمینان بخش بلکه یقین آور خواهد بود و این روشی است که سلطان المحققين نصیر الملة والحق والدین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التذكرة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محصل کلام او به این شرح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مکه معظمه در دو روز خاص از ایام سال به طور عمودی بالاسر کعبه می تابد و آن دو روز هنگامی است که خورشید در وقت صعود در درجۀ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جوزا مطابق با هفتم خرداد </w:t>
      </w:r>
      <w:r>
        <w:rPr>
          <w:rStyle w:val="FootnoteAnchor"/>
          <w:rtl w:val="true"/>
        </w:rPr>
        <w:footnoteReference w:id="568"/>
      </w:r>
      <w:r>
        <w:rPr>
          <w:rFonts w:ascii="IRNazanin" w:hAnsi="IRNazanin" w:eastAsia="IRNazanin"/>
          <w:color w:val="111111"/>
          <w:sz w:val="28"/>
          <w:sz w:val="28"/>
          <w:szCs w:val="28"/>
          <w:rtl w:val="true"/>
          <w:lang w:bidi="fa-IR"/>
        </w:rPr>
        <w:t xml:space="preserve">در درجه بیست و سوم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هنگام ظهر شرعی در سمت الرأس مکه قرار می گیرد، در نتیجه شاخص در مکه سایه نخواهد داشت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مکه معظمه که قبله مسلمانان در آن واقع است در طول جغرافیایی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شرقی و عرض جغرافیایی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هر سال میان خورشید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خورشید تا استواوی سماوی با عرض جغرافیایی مکه برابر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عبارت دیگر، هنگام ظهر شرعی خورشید در سمت الرأس مکه قرار می گیرد؛ در نتیجه شاخص در مکه سایه نخواهد داشت و لذا در هر مکانی از کره زمین خلاف سایه سمت صحیح قبله را نشان می دهد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نکته جالب این که اذعان به این حقیقت نیاز به محاسبات هیوی و اتکا و اعتماد به قول علمای هیئت نیز ندارد بلکه در آن روز هنگام،ظهر، آنها که مشرف به زیارت کعبه هستد کاملاً مشاهده می کنند که کعبه از هیچ سویی سایه ندارد که خود بهترین دلیل بر تابش عمودی خورشید در آن حال و قرار گرفتن در بالای سر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آن لحظات هر کس در هر نقطه ای از جهان که باشد، خورشید را ببیند، وقتی رو به سوی خورشید بایستد کاملاً رو به کعبه خواهد ایستاد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طور دقیق تر، اگر شاخصی نصب کرده باشیم و همزمان با ظهر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در آن لحظات که خورشید بالای سر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سایه شاخص را ترسیم کنیم خط سایه شاخص به طور دقیق خط قبله خواهد بود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مشکل استفاده از این روش در زمانهای گذشته تشخیص ساعت دقیق ظهر مکه در بلاد مختلف بود، اما شرایط فعلی راه به دست آوردن ظهر مکه در آن دو روز آسان است؛ زیرا رادیو مکه همه روزه اذان ظهر را به وقت مکه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هرجا هستیم در هر کشور به سر می بریم با شنیدن اولین جمله اذان از رادیو مکه می توانیم رو به خورشید بایستیم و با ترسیم خط سایه مشخص جهت دقیق قبله را تعیین کنیم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که ظهر شرعی مکه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وقت تهران است 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یک ساعت و یک دقیقه بعد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است</w:t>
      </w:r>
      <w:r>
        <w:rPr>
          <w:rFonts w:eastAsia="IRNazanin" w:cs="IRNazanin"/>
          <w:color w:val="111111"/>
          <w:sz w:val="28"/>
          <w:szCs w:val="28"/>
          <w:rtl w:val="true"/>
          <w:lang w:bidi="fa-IR"/>
        </w:rPr>
        <w:t xml:space="preserve">. </w:t>
      </w:r>
      <w:bookmarkStart w:id="435" w:name="pg19115_195459"/>
    </w:p>
    <w:p>
      <w:pPr>
        <w:pStyle w:val="Heading3"/>
        <w:numPr>
          <w:ilvl w:val="2"/>
          <w:numId w:val="1"/>
        </w:numPr>
        <w:rPr/>
      </w:pPr>
      <w:bookmarkStart w:id="436" w:name="__RefHeading___Toc15202512_1280447820"/>
      <w:bookmarkStart w:id="437" w:name="_Toc167"/>
      <w:bookmarkEnd w:id="435"/>
      <w:bookmarkEnd w:id="436"/>
      <w:r>
        <w:rPr>
          <w:rtl w:val="true"/>
        </w:rPr>
        <w:t>فصل چهارم</w:t>
      </w:r>
      <w:r>
        <w:rPr>
          <w:rtl w:val="true"/>
        </w:rPr>
        <w:t xml:space="preserve">: </w:t>
      </w:r>
      <w:r>
        <w:rPr>
          <w:rtl w:val="true"/>
        </w:rPr>
        <w:t>ترمیم مساجد</w:t>
      </w:r>
      <w:bookmarkEnd w:id="437"/>
    </w:p>
    <w:p>
      <w:pPr>
        <w:pStyle w:val="Heading4"/>
        <w:numPr>
          <w:ilvl w:val="3"/>
          <w:numId w:val="1"/>
        </w:numPr>
        <w:rPr/>
      </w:pPr>
      <w:bookmarkStart w:id="438" w:name="__RefHeading___Toc15202514_1280447820"/>
      <w:bookmarkStart w:id="439" w:name="_Toc16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در لغت و تفسیر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مرمت، تجدید و توسعه مسجد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9115_195461"/>
      <w:bookmarkStart w:id="441" w:name="pg19115_195461"/>
      <w:bookmarkEnd w:id="441"/>
    </w:p>
    <w:p>
      <w:pPr>
        <w:pStyle w:val="Heading4"/>
        <w:numPr>
          <w:ilvl w:val="3"/>
          <w:numId w:val="1"/>
        </w:numPr>
        <w:rPr/>
      </w:pPr>
      <w:bookmarkStart w:id="442" w:name="pg19115_195461"/>
      <w:bookmarkStart w:id="443" w:name="__RefHeading___Toc15202516_1280447820"/>
      <w:bookmarkStart w:id="444" w:name="_Toc169"/>
      <w:bookmarkEnd w:id="442"/>
      <w:bookmarkEnd w:id="443"/>
      <w:r>
        <w:rPr>
          <w:rtl w:val="true"/>
        </w:rPr>
        <w:t>مبحث اول</w:t>
      </w:r>
      <w:r>
        <w:rPr>
          <w:rtl w:val="true"/>
        </w:rPr>
        <w:t xml:space="preserve">: </w:t>
      </w:r>
      <w:r>
        <w:rPr>
          <w:rtl w:val="true"/>
        </w:rPr>
        <w:t>ترمیم در لغت و تفسیر</w:t>
      </w:r>
      <w:bookmarkEnd w:id="444"/>
    </w:p>
    <w:p>
      <w:pPr>
        <w:pStyle w:val="Heading5"/>
        <w:numPr>
          <w:ilvl w:val="4"/>
          <w:numId w:val="1"/>
        </w:numPr>
        <w:rPr/>
      </w:pPr>
      <w:bookmarkStart w:id="445" w:name="__RefHeading___Toc15202518_1280447820"/>
      <w:bookmarkStart w:id="446" w:name="_Toc170"/>
      <w:bookmarkEnd w:id="445"/>
      <w:r>
        <w:rPr>
          <w:rtl w:val="true"/>
        </w:rPr>
        <w:t>گفتار اول</w:t>
      </w:r>
      <w:r>
        <w:rPr>
          <w:rtl w:val="true"/>
        </w:rPr>
        <w:t xml:space="preserve">: </w:t>
      </w:r>
      <w:r>
        <w:rPr>
          <w:rtl w:val="true"/>
        </w:rPr>
        <w:t>تعریف ترمیم</w:t>
      </w:r>
      <w:bookmarkEnd w:id="446"/>
    </w:p>
    <w:p>
      <w:pPr>
        <w:pStyle w:val="BookText"/>
        <w:rPr/>
      </w:pPr>
      <w:r>
        <w:rPr>
          <w:rFonts w:ascii="IRNazanin" w:hAnsi="IRNazanin" w:eastAsia="IRNazanin"/>
          <w:color w:val="111111"/>
          <w:sz w:val="28"/>
          <w:sz w:val="28"/>
          <w:szCs w:val="28"/>
          <w:rtl w:val="true"/>
          <w:lang w:bidi="fa-IR"/>
        </w:rPr>
        <w:t xml:space="preserve">ترمیم از نگاه لغت شناسان عرب چندین معنی دارد؛ یکی از معانی آن اصلاح و تعمیر کردن می باشد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رمّمت الحائط و غیره ترمیماً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دیوار را اصلاح و تعمیر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رمّمت الشيء ارمه وأرمه رماً ومرمة، اذا اصلحته</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ابن منظور افریقی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و مرمت کردن چیزی که بعض آن فاسد شده است؛ مانند طناب و دیواری که قسمتی از آنها فرسوده شده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معنای اصطلاحی ترمیم نیز از معنای لغوی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ترمیم مسجد گاهی به منظور تقویت ساختمان آن می باشد و این در صورتی است که ساختمان آن در معرض ویرانی و خرابی باشد و گاهی به منظور تزئین و زیباسازی بنای مسجد و گاهی برای توسعه بنای مسجد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مستحبات در موضوع مسجد ساختن و تعمیر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کریم و روایات به کار برده شده است از نظر لغوی هم ساختن اولیه و هم تعمیر و نگهداری آن را شامل می شود</w:t>
      </w:r>
      <w:r>
        <w:rPr>
          <w:rFonts w:eastAsia="IRNazanin" w:cs="IRNazanin"/>
          <w:color w:val="111111"/>
          <w:sz w:val="28"/>
          <w:szCs w:val="28"/>
          <w:rtl w:val="true"/>
          <w:lang w:bidi="fa-IR"/>
        </w:rPr>
        <w:t xml:space="preserve">. </w:t>
      </w:r>
      <w:bookmarkStart w:id="447" w:name="pg19115_195462"/>
    </w:p>
    <w:p>
      <w:pPr>
        <w:pStyle w:val="Heading5"/>
        <w:numPr>
          <w:ilvl w:val="4"/>
          <w:numId w:val="1"/>
        </w:numPr>
        <w:rPr/>
      </w:pPr>
      <w:bookmarkStart w:id="448" w:name="__RefHeading___Toc15202520_1280447820"/>
      <w:bookmarkStart w:id="449" w:name="_Toc171"/>
      <w:bookmarkEnd w:id="447"/>
      <w:bookmarkEnd w:id="448"/>
      <w:r>
        <w:rPr>
          <w:rtl w:val="true"/>
        </w:rPr>
        <w:t>گفتار دوم</w:t>
      </w:r>
      <w:r>
        <w:rPr>
          <w:rtl w:val="true"/>
        </w:rPr>
        <w:t xml:space="preserve">: </w:t>
      </w:r>
      <w:r>
        <w:rPr>
          <w:rtl w:val="true"/>
        </w:rPr>
        <w:t>ترمیم از نگاه مفسران</w:t>
      </w:r>
      <w:bookmarkEnd w:id="449"/>
    </w:p>
    <w:p>
      <w:pPr>
        <w:pStyle w:val="BookText"/>
        <w:rPr/>
      </w:pPr>
      <w:r>
        <w:rPr>
          <w:rFonts w:ascii="IRNazanin" w:hAnsi="IRNazanin" w:eastAsia="IRNazanin"/>
          <w:color w:val="111111"/>
          <w:sz w:val="28"/>
          <w:sz w:val="28"/>
          <w:szCs w:val="28"/>
          <w:rtl w:val="true"/>
          <w:lang w:bidi="fa-IR"/>
        </w:rPr>
        <w:t>قرآن کریم عمارت مساجد الهی را تنها در صلاحیت اهل ایمان قرار داده و در سوره توبه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 واليوم الآخر وأقام الصلاة وآتى الزكاة ولم يخش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مساجد الهی را تنها کسی آباد می کند که ایمان به خدا و روز قیامت آورده و نماز را برپا دارد و زکات را بپردازد و از چیزی جز خدا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می گوید عمارت مسجد این است که اگر ساختمان آن کهنه فرسوده و در حال خراب شدن است آن را مرمت و تجدید بنا کنند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علامه طباطبایی در تفسیر المیزان آورده است منظور از عمارت در آیه مبارکه اصلاح و تعمیر آنچه که مشرف به خرابی و ویرانی است می باشد و قسمتهایی که فرسوده است باید ترمیم و بازسازی شود</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الجامع لاحکام القرآن می نویسد خداوند ایمان را در آیه کریمه برای کسی ثابت کرده است که مساجد را با اقامه نماز در آن و نظافت و پاکیزگی و اصلاح و تعمیر آنچه فرسوده و شکننده است آباد کند</w:t>
      </w:r>
      <w:r>
        <w:rPr>
          <w:rFonts w:eastAsia="IRNazanin" w:cs="IRNazanin"/>
          <w:color w:val="111111"/>
          <w:sz w:val="28"/>
          <w:szCs w:val="28"/>
          <w:rtl w:val="true"/>
          <w:lang w:bidi="fa-IR"/>
        </w:rPr>
        <w:t xml:space="preserve">. </w:t>
      </w:r>
      <w:r>
        <w:rPr>
          <w:rStyle w:val="FootnoteAnchor"/>
          <w:rtl w:val="true"/>
        </w:rPr>
        <w:footnoteReference w:id="579"/>
      </w:r>
      <w:bookmarkStart w:id="450" w:name="pg19115_195463"/>
    </w:p>
    <w:p>
      <w:pPr>
        <w:pStyle w:val="Heading4"/>
        <w:numPr>
          <w:ilvl w:val="3"/>
          <w:numId w:val="1"/>
        </w:numPr>
        <w:rPr/>
      </w:pPr>
      <w:bookmarkStart w:id="451" w:name="__RefHeading___Toc15202522_1280447820"/>
      <w:bookmarkStart w:id="452" w:name="_Toc172"/>
      <w:bookmarkEnd w:id="450"/>
      <w:bookmarkEnd w:id="451"/>
      <w:r>
        <w:rPr>
          <w:rtl w:val="true"/>
        </w:rPr>
        <w:t>مبحث دوم</w:t>
      </w:r>
      <w:r>
        <w:rPr>
          <w:rtl w:val="true"/>
        </w:rPr>
        <w:t xml:space="preserve">: </w:t>
      </w:r>
      <w:r>
        <w:rPr>
          <w:rtl w:val="true"/>
        </w:rPr>
        <w:t>حکم شرعی مرمت تجدید و توسعه مسجد</w:t>
      </w:r>
      <w:bookmarkEnd w:id="452"/>
    </w:p>
    <w:p>
      <w:pPr>
        <w:pStyle w:val="Heading5"/>
        <w:numPr>
          <w:ilvl w:val="4"/>
          <w:numId w:val="1"/>
        </w:numPr>
        <w:rPr/>
      </w:pPr>
      <w:bookmarkStart w:id="453" w:name="__RefHeading___Toc15202524_1280447820"/>
      <w:bookmarkStart w:id="454" w:name="_Toc173"/>
      <w:bookmarkEnd w:id="453"/>
      <w:r>
        <w:rPr>
          <w:rtl w:val="true"/>
        </w:rPr>
        <w:t>گفتار اول</w:t>
      </w:r>
      <w:r>
        <w:rPr>
          <w:rtl w:val="true"/>
        </w:rPr>
        <w:t xml:space="preserve">: </w:t>
      </w:r>
      <w:r>
        <w:rPr>
          <w:rtl w:val="true"/>
        </w:rPr>
        <w:t>دیدگاه فقیهان امامیه</w:t>
      </w:r>
      <w:bookmarkEnd w:id="454"/>
    </w:p>
    <w:p>
      <w:pPr>
        <w:pStyle w:val="Heading6"/>
        <w:numPr>
          <w:ilvl w:val="5"/>
          <w:numId w:val="1"/>
        </w:numPr>
        <w:rPr/>
      </w:pPr>
      <w:bookmarkStart w:id="455" w:name="__RefHeading___Toc15202526_1280447820"/>
      <w:bookmarkStart w:id="456" w:name="_Toc174"/>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هرگاه مسجد نزدیک به خرابی و ویرانی باشد مستحب است آن را منهدم و مرمت یا بازسازی کنند تا مردم بتوانند به طور دائم و پی در پی وارد مسجد شوند و در آن نماز بخوانند، </w:t>
      </w:r>
      <w:r>
        <w:rPr>
          <w:rStyle w:val="FootnoteAnchor"/>
          <w:rtl w:val="true"/>
        </w:rPr>
        <w:footnoteReference w:id="580"/>
      </w:r>
      <w:r>
        <w:rPr>
          <w:rFonts w:ascii="IRNazanin" w:hAnsi="IRNazanin" w:eastAsia="IRNazanin"/>
          <w:color w:val="111111"/>
          <w:sz w:val="28"/>
          <w:sz w:val="28"/>
          <w:szCs w:val="28"/>
          <w:rtl w:val="true"/>
          <w:lang w:bidi="fa-IR"/>
        </w:rPr>
        <w:t>بلکه گاهی تخریب و تجدید بنای مسجد واجب می شود و آن در صورتی است که در اثر انهدام و فروریختن ساختمان مسجد ممکن است بعضی افراد زیر آوار بمانند و تلف شوند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سید یزدی در عروه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تعمير المسجد إذا أشرف على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فقهایی که بر آن تعلیقه نوشته اند با سید موافقت کرده اند</w:t>
      </w:r>
      <w:r>
        <w:rPr>
          <w:rFonts w:eastAsia="IRNazanin" w:cs="IRNazanin"/>
          <w:color w:val="111111"/>
          <w:sz w:val="28"/>
          <w:szCs w:val="28"/>
          <w:rtl w:val="true"/>
          <w:lang w:bidi="fa-IR"/>
        </w:rPr>
        <w:t xml:space="preserve">. </w:t>
      </w:r>
      <w:r>
        <w:rPr>
          <w:rStyle w:val="FootnoteAnchor"/>
          <w:rtl w:val="true"/>
        </w:rPr>
        <w:footnoteReference w:id="582"/>
      </w:r>
    </w:p>
    <w:p>
      <w:pPr>
        <w:pStyle w:val="Heading6"/>
        <w:numPr>
          <w:ilvl w:val="5"/>
          <w:numId w:val="1"/>
        </w:numPr>
        <w:rPr/>
      </w:pPr>
      <w:bookmarkStart w:id="457" w:name="__RefHeading___Toc15202528_1280447820"/>
      <w:bookmarkStart w:id="458" w:name="_Toc175"/>
      <w:bookmarkEnd w:id="457"/>
      <w:r>
        <w:rPr>
          <w:rtl w:val="true"/>
        </w:rPr>
        <w:t>الف</w:t>
      </w:r>
      <w:r>
        <w:rPr>
          <w:rtl w:val="true"/>
        </w:rPr>
        <w:t xml:space="preserve">) </w:t>
      </w:r>
      <w:r>
        <w:rPr>
          <w:rtl w:val="true"/>
        </w:rPr>
        <w:t>ادله استحباب تعمیر مساجد</w:t>
      </w:r>
      <w:bookmarkEnd w:id="458"/>
    </w:p>
    <w:p>
      <w:pPr>
        <w:pStyle w:val="BookText"/>
        <w:rPr/>
      </w:pPr>
      <w:r>
        <w:rPr>
          <w:rFonts w:ascii="IRNazanin" w:hAnsi="IRNazanin" w:eastAsia="IRNazanin"/>
          <w:color w:val="111111"/>
          <w:sz w:val="28"/>
          <w:sz w:val="28"/>
          <w:szCs w:val="28"/>
          <w:rtl w:val="true"/>
          <w:lang w:bidi="fa-IR"/>
        </w:rPr>
        <w:t>فقیهان امامیه برای اثبات استحباب تعمیر و مرمت مسجد به چندین دلیل تمسک کرده اند که در زیر به مهمترین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کریمه</w:t>
      </w:r>
    </w:p>
    <w:p>
      <w:pPr>
        <w:pStyle w:val="BookText"/>
        <w:rPr/>
      </w:pPr>
      <w:r>
        <w:rPr>
          <w:rFonts w:ascii="Amiri" w:hAnsi="Amiri" w:eastAsia="Amiri" w:cs="Amiri"/>
          <w:color w:val="111111"/>
          <w:sz w:val="28"/>
          <w:sz w:val="28"/>
          <w:szCs w:val="28"/>
          <w:rtl w:val="true"/>
          <w:lang w:bidi="ar-SA"/>
        </w:rPr>
        <w:t xml:space="preserve">إِنَّمَا يَعْمُرُ مَسَاجِدَ اللَّهِ مَنْ آمَنَ بِاللَّهِ وَالْيَوْمِ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کسانی</w:t>
      </w:r>
      <w:bookmarkStart w:id="459" w:name="pg19115_195464"/>
    </w:p>
    <w:p>
      <w:pPr>
        <w:pStyle w:val="BookText"/>
        <w:rPr/>
      </w:pPr>
      <w:bookmarkEnd w:id="459"/>
      <w:r>
        <w:rPr>
          <w:rFonts w:ascii="IRNazanin" w:hAnsi="IRNazanin" w:eastAsia="IRNazanin"/>
          <w:color w:val="111111"/>
          <w:sz w:val="28"/>
          <w:sz w:val="28"/>
          <w:szCs w:val="28"/>
          <w:rtl w:val="true"/>
          <w:lang w:bidi="fa-IR"/>
        </w:rPr>
        <w:t>مساجد خدا را آباد می سازند که ایمان به خدا و روز رستاخیز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 ساختن مسجد تعمیر و مرمت آن را نیز شامل می شود و تعمیر و مرمت از مصادیق عمران و مندرج در آن است؛ زیرا عنوان عمران هم عمران حدوثی را شامل می شود و هم عنوان بقایی را؛ یعنی عمران اعم از حدوث و بقاء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صحيحه علی بن جعفر از برادرش موسی بن جعفر او از پدرش از علی علیه السلام که گفت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هرگاه خداوند بخواهد اهل زمین را عذاب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به خاطر جلال و عظمت من یکدیگر را دوست دارند و مساجد مرا آباد می سازند و در سحرگاهان استغفار می،کنند حتما عذابم را بر آنان نازل می کردم و قریب به همین مضمون است موثقه سکونی از امام صادق علیه السلام</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مرمت مسجد از مصادیق عمارتی است که استحباب آن ضروری و بدیهی دین است چنان که شیخ محمد حسن نجفی به آن اشاره کرده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اجماعی است که سید عبدالاعلی سبزواری در مهذب الاحکام آن را ادعا می کند</w:t>
      </w:r>
      <w:r>
        <w:rPr>
          <w:rFonts w:eastAsia="IRNazanin" w:cs="IRNazanin"/>
          <w:color w:val="111111"/>
          <w:sz w:val="28"/>
          <w:szCs w:val="28"/>
          <w:rtl w:val="true"/>
          <w:lang w:bidi="fa-IR"/>
        </w:rPr>
        <w:t xml:space="preserve">. </w:t>
      </w:r>
      <w:r>
        <w:rPr>
          <w:rStyle w:val="FootnoteAnchor"/>
          <w:rtl w:val="true"/>
        </w:rPr>
        <w:footnoteReference w:id="587"/>
      </w:r>
    </w:p>
    <w:p>
      <w:pPr>
        <w:pStyle w:val="Heading6"/>
        <w:numPr>
          <w:ilvl w:val="5"/>
          <w:numId w:val="1"/>
        </w:numPr>
        <w:rPr/>
      </w:pPr>
      <w:bookmarkStart w:id="460" w:name="__RefHeading___Toc15202530_1280447820"/>
      <w:bookmarkStart w:id="461" w:name="_Toc176"/>
      <w:bookmarkEnd w:id="460"/>
      <w:r>
        <w:rPr>
          <w:rtl w:val="true"/>
        </w:rPr>
        <w:t>ب</w:t>
      </w:r>
      <w:r>
        <w:rPr>
          <w:rtl w:val="true"/>
        </w:rPr>
        <w:t xml:space="preserve">) </w:t>
      </w:r>
      <w:r>
        <w:rPr>
          <w:rtl w:val="true"/>
        </w:rPr>
        <w:t>توسعه مسجد</w:t>
      </w:r>
      <w:bookmarkEnd w:id="4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مطرح در این بحث آن است که آیا جایز است به جهت توسعه مسجد بعضی از قسمتهای آن تخریب شود؟ </w:t>
      </w:r>
      <w:bookmarkStart w:id="462" w:name="pg19115_195465"/>
    </w:p>
    <w:p>
      <w:pPr>
        <w:pStyle w:val="BookText"/>
        <w:rPr/>
      </w:pPr>
      <w:bookmarkEnd w:id="462"/>
      <w:r>
        <w:rPr>
          <w:rFonts w:ascii="IRNazanin" w:hAnsi="IRNazanin" w:eastAsia="IRNazanin"/>
          <w:color w:val="111111"/>
          <w:sz w:val="28"/>
          <w:sz w:val="28"/>
          <w:szCs w:val="28"/>
          <w:rtl w:val="true"/>
          <w:lang w:bidi="fa-IR"/>
        </w:rPr>
        <w:t>شهید در ذکری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مسجد را توسعه دهند، در جواز تخریب بعضی از قسمتهای آن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انهدام مسجد عام است، این مورد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تخریب و منهدم ساختن مسجد به منظور توسعه دادن آن، چون اولا این امر احداث مسجد است و ثانیاً صحابه اگرچه در اول انکار می کردند، ولی بعدها آرا و فتاوای آنان بر جواز تخریب مسجد قطعی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به ما نرسیده که حضرت امیرالمؤمنین علیه السلام این امر را انکار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های گذشته مسجدالحرام را توسعه دادند و علمای آن عصر انکار نکردند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محقق کرکی می گوید در جایز بودن تخریب مسجد به منظور توسعه تردید وجود دارد علت تردید هم این است که از یک سو منع از تخریب مسجد عمومیت دارد و از سوی دیگر در این که ساختمانی احداث و به مسجد ضمیمه شود این به مصلحت مسلمین است و این امر در حقیقت احسان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نظریه جواز تخریب را تأیید می کند و می گوید این بعید نیست و تمسک می کند به قاعده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حسن نجفی نیز با او موافقت کرده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سید یزدی در عروه می نویسد اگر مردم به توسعه مسجد احتیاج دارند تخریب و انهدام آن اگرچه ساختمان از استحکام خوبی هم برخوردار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فقهایی که بر عروه تعلیقه نوشته اند نیز این نظر را اختیار کرده اند</w:t>
      </w:r>
      <w:r>
        <w:rPr>
          <w:rFonts w:eastAsia="IRNazanin" w:cs="IRNazanin"/>
          <w:color w:val="111111"/>
          <w:sz w:val="28"/>
          <w:szCs w:val="28"/>
          <w:rtl w:val="true"/>
          <w:lang w:bidi="fa-IR"/>
        </w:rPr>
        <w:t xml:space="preserve">. </w:t>
      </w:r>
      <w:r>
        <w:rPr>
          <w:rStyle w:val="FootnoteAnchor"/>
          <w:rtl w:val="true"/>
        </w:rPr>
        <w:footnoteReference w:id="592"/>
      </w:r>
    </w:p>
    <w:p>
      <w:pPr>
        <w:pStyle w:val="Heading6"/>
        <w:numPr>
          <w:ilvl w:val="5"/>
          <w:numId w:val="1"/>
        </w:numPr>
        <w:rPr/>
      </w:pPr>
      <w:bookmarkStart w:id="463" w:name="__RefHeading___Toc15202532_1280447820"/>
      <w:bookmarkStart w:id="464" w:name="_Toc177"/>
      <w:bookmarkEnd w:id="463"/>
      <w:r>
        <w:rPr>
          <w:rtl w:val="true"/>
        </w:rPr>
        <w:t>ج</w:t>
      </w:r>
      <w:r>
        <w:rPr>
          <w:rtl w:val="true"/>
        </w:rPr>
        <w:t xml:space="preserve">) </w:t>
      </w:r>
      <w:r>
        <w:rPr>
          <w:rtl w:val="true"/>
        </w:rPr>
        <w:t>ادله جواز تخریب مسجد</w:t>
      </w:r>
      <w:bookmarkEnd w:id="4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جواز تخریب و انهدام مسجد به منظور توسعۀ آن به چند دلیل تمسک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 و فتاوای صحابه به جواز تخریب مسجد به منظور توسعه آن ثابت و قطعی است و این امر مورد انکار امیرالمؤمنین علیه السلام قرار نگرفته است؛ چنان که در کلمات شهید در ذکری </w:t>
      </w:r>
      <w:r>
        <w:rPr>
          <w:rStyle w:val="FootnoteAnchor"/>
          <w:rtl w:val="true"/>
        </w:rPr>
        <w:footnoteReference w:id="593"/>
      </w:r>
      <w:r>
        <w:rPr>
          <w:rFonts w:ascii="IRNazanin" w:hAnsi="IRNazanin" w:eastAsia="IRNazanin"/>
          <w:color w:val="111111"/>
          <w:sz w:val="28"/>
          <w:sz w:val="28"/>
          <w:szCs w:val="28"/>
          <w:rtl w:val="true"/>
          <w:lang w:bidi="fa-IR"/>
        </w:rPr>
        <w:t xml:space="preserve">و شیخ محمد حسن نجفی در جواهر </w:t>
      </w:r>
      <w:r>
        <w:rPr>
          <w:rStyle w:val="FootnoteAnchor"/>
          <w:rtl w:val="true"/>
        </w:rPr>
        <w:footnoteReference w:id="594"/>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مسجد در واقع احسان و به مصلحت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المحسنين من سبیل</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چنان که محقق کرکی و سید محمد عاملی به آن تصریح کرده اند </w:t>
      </w:r>
      <w:r>
        <w:rPr>
          <w:rStyle w:val="FootnoteAnchor"/>
          <w:rtl w:val="true"/>
        </w:rPr>
        <w:footnoteReference w:id="596"/>
      </w:r>
      <w:r>
        <w:rPr>
          <w:rFonts w:ascii="IRNazanin" w:hAnsi="IRNazanin" w:eastAsia="IRNazanin"/>
          <w:color w:val="111111"/>
          <w:sz w:val="28"/>
          <w:sz w:val="28"/>
          <w:szCs w:val="28"/>
          <w:rtl w:val="true"/>
          <w:lang w:bidi="fa-IR"/>
        </w:rPr>
        <w:t>و سید عبدالاعلی سبزواری می گوید این امر احسان محض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مسلمین از زمانهای گذشته تا عصر حاضر بر همین منوال استقرار داشته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مسجد النبی صلی الله علیه و آله چه در زمان خود پیامبر و چه در زمان های بعد از او چندین بار توسعه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رسول خدا صلی الله علیه و آله در نخستین بنای آن مساحتی شامل هفتاد ذراع در شصت ذراع یا صد ذراع در صد ذراع ساخته شد و با دیوارهای خشتی و گلی و ستونهایی از تنه درخت خرما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آن با شاخه های درخت خرما پوشیده شد </w:t>
      </w:r>
      <w:r>
        <w:rPr>
          <w:rStyle w:val="FootnoteAnchor"/>
          <w:rtl w:val="true"/>
        </w:rPr>
        <w:footnoteReference w:id="599"/>
      </w:r>
      <w:r>
        <w:rPr>
          <w:rFonts w:ascii="IRNazanin" w:hAnsi="IRNazanin" w:eastAsia="IRNazanin"/>
          <w:color w:val="111111"/>
          <w:sz w:val="28"/>
          <w:sz w:val="28"/>
          <w:szCs w:val="28"/>
          <w:rtl w:val="true"/>
          <w:lang w:bidi="fa-IR"/>
        </w:rPr>
        <w:t>و البته به مقتضای صحیحه عبدالله بن سنان از امام صادق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افزایش شمار مسلمانان اصحاب پیامبر چندین بار خواستار توسعه </w:t>
      </w:r>
    </w:p>
    <w:p>
      <w:pPr>
        <w:pStyle w:val="BookText"/>
        <w:rPr/>
      </w:pPr>
      <w:r>
        <w:rPr>
          <w:rFonts w:ascii="IRNazanin" w:hAnsi="IRNazanin" w:eastAsia="IRNazanin"/>
          <w:color w:val="111111"/>
          <w:sz w:val="28"/>
          <w:sz w:val="28"/>
          <w:szCs w:val="28"/>
          <w:rtl w:val="true"/>
          <w:lang w:bidi="fa-IR"/>
        </w:rPr>
        <w:t>مسجد شدند که آن حضرت نیز اجازه دادند ولی باز هم اصحاب با مشاهده نفوذ باران به داخل مسجد پیشنهاد گل اندود کردن سقف آن را داشتند که حضرت اجازه این کار را ندادند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عریش کعریش موسی؛ سایه بانش همچون سایه بان حضرت موسی باشد تا پیامبر زنده بود مسجد بدین گونه بود؛ </w:t>
      </w:r>
      <w:r>
        <w:rPr>
          <w:rStyle w:val="FootnoteAnchor"/>
          <w:rtl w:val="true"/>
        </w:rPr>
        <w:footnoteReference w:id="600"/>
      </w:r>
      <w:r>
        <w:rPr>
          <w:rFonts w:ascii="IRNazanin" w:hAnsi="IRNazanin" w:eastAsia="IRNazanin"/>
          <w:color w:val="111111"/>
          <w:sz w:val="28"/>
          <w:sz w:val="28"/>
          <w:szCs w:val="28"/>
          <w:rtl w:val="true"/>
          <w:lang w:bidi="fa-IR"/>
        </w:rPr>
        <w:t xml:space="preserve">چنان که محقق خوئی </w:t>
      </w:r>
      <w:r>
        <w:rPr>
          <w:rStyle w:val="FootnoteAnchor"/>
          <w:rtl w:val="true"/>
        </w:rPr>
        <w:footnoteReference w:id="601"/>
      </w:r>
      <w:r>
        <w:rPr>
          <w:rFonts w:ascii="IRNazanin" w:hAnsi="IRNazanin" w:eastAsia="IRNazanin"/>
          <w:color w:val="111111"/>
          <w:sz w:val="28"/>
          <w:sz w:val="28"/>
          <w:szCs w:val="28"/>
          <w:rtl w:val="true"/>
          <w:lang w:bidi="fa-IR"/>
        </w:rPr>
        <w:t xml:space="preserve">و سید عبدالاعلی سبزواری </w:t>
      </w:r>
      <w:r>
        <w:rPr>
          <w:rStyle w:val="FootnoteAnchor"/>
          <w:rtl w:val="true"/>
        </w:rPr>
        <w:footnoteReference w:id="602"/>
      </w:r>
      <w:r>
        <w:rPr>
          <w:rFonts w:ascii="IRNazanin" w:hAnsi="IRNazanin" w:eastAsia="IRNazanin"/>
          <w:color w:val="111111"/>
          <w:sz w:val="28"/>
          <w:sz w:val="28"/>
          <w:szCs w:val="28"/>
          <w:rtl w:val="true"/>
          <w:lang w:bidi="fa-IR"/>
        </w:rPr>
        <w:t>به این صحیحه استدلال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شدید به توسعۀ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برای جواز توسعه مسجد چنین استدلال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ساختمان مسجد از استحکام خیلی عالی برخوردار باشد، ولی نیاز شدید مسلمانان و نمازگزاران به توسعه آن مشاهده شود جایز است ساختمان مستحکم آن تخریب و منهدم شود تا توسعه ای که مورد نیاز است انجام گیرد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جهتش این است که مسجد در تملک هیچ کسی نیست تا در همچو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او نیاز باشد؛ زیرا مسجد فقط عبادتگاه خدای سبحان است از این رو از تصرف در آن هیچ مانعی وجود ندارد البته تصرفی که انتفاع و بهره برداری از مسجد را بیشتر کند و عبادتگاه بودن آن فراگیرتر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واقف، زمین و ساختمان مسجد را از ملک خودش خارج و آن را آزاد کرده است و علقه ملکیت از بین رفته است به طوری که او نسبت به این زمین و ساختمان اجنبی می باشد و این بقعه به جهت عبادت ملک خدای متعال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تصرفی که موجب تحقق بیشتری از این هدف شود با این که نیاز شدید مسلمین نیز به توسعه مسجد ضروری باشد پس به مقتضای قاعده این تصرف جایز است</w:t>
      </w:r>
      <w:r>
        <w:rPr>
          <w:rFonts w:eastAsia="IRNazanin" w:cs="IRNazanin"/>
          <w:color w:val="111111"/>
          <w:sz w:val="28"/>
          <w:szCs w:val="28"/>
          <w:rtl w:val="true"/>
          <w:lang w:bidi="fa-IR"/>
        </w:rPr>
        <w:t xml:space="preserve">. </w:t>
      </w:r>
      <w:r>
        <w:rPr>
          <w:rStyle w:val="FootnoteAnchor"/>
          <w:rtl w:val="true"/>
        </w:rPr>
        <w:footnoteReference w:id="603"/>
      </w:r>
      <w:bookmarkStart w:id="465" w:name="pg19115_195468"/>
    </w:p>
    <w:p>
      <w:pPr>
        <w:pStyle w:val="Heading6"/>
        <w:numPr>
          <w:ilvl w:val="5"/>
          <w:numId w:val="1"/>
        </w:numPr>
        <w:rPr/>
      </w:pPr>
      <w:bookmarkStart w:id="466" w:name="__RefHeading___Toc15202534_1280447820"/>
      <w:bookmarkStart w:id="467" w:name="_Toc178"/>
      <w:bookmarkEnd w:id="465"/>
      <w:bookmarkEnd w:id="466"/>
      <w:r>
        <w:rPr>
          <w:rtl w:val="true"/>
        </w:rPr>
        <w:t>د</w:t>
      </w:r>
      <w:r>
        <w:rPr>
          <w:rtl w:val="true"/>
        </w:rPr>
        <w:t xml:space="preserve">) </w:t>
      </w:r>
      <w:r>
        <w:rPr>
          <w:rtl w:val="true"/>
        </w:rPr>
        <w:t>تجدید بنای مسجد</w:t>
      </w:r>
      <w:bookmarkEnd w:id="467"/>
    </w:p>
    <w:p>
      <w:pPr>
        <w:pStyle w:val="BookText"/>
        <w:rPr/>
      </w:pPr>
      <w:r>
        <w:rPr>
          <w:rFonts w:ascii="IRNazanin" w:hAnsi="IRNazanin" w:eastAsia="IRNazanin"/>
          <w:color w:val="111111"/>
          <w:sz w:val="28"/>
          <w:sz w:val="28"/>
          <w:szCs w:val="28"/>
          <w:rtl w:val="true"/>
          <w:lang w:bidi="fa-IR"/>
        </w:rPr>
        <w:t>هرگاه مسجدی منهدم شود به طوری که دیگر قابل استفاده نباشد، مستحب است تجدید بنا شود شیخ در مبسوط می گوید هرگاه مسجدی خراب و ویران شود، مستحب است در صورت امکان تجدید بنا شود؛</w:t>
      </w:r>
      <w:r>
        <w:rPr>
          <w:rStyle w:val="FootnoteAnchor"/>
          <w:rtl w:val="true"/>
        </w:rPr>
        <w:footnoteReference w:id="604"/>
      </w:r>
      <w:r>
        <w:rPr>
          <w:rFonts w:ascii="IRNazanin" w:hAnsi="IRNazanin" w:eastAsia="IRNazanin"/>
          <w:color w:val="111111"/>
          <w:sz w:val="28"/>
          <w:sz w:val="28"/>
          <w:szCs w:val="28"/>
          <w:rtl w:val="true"/>
          <w:lang w:bidi="fa-IR"/>
        </w:rPr>
        <w:t xml:space="preserve">چنان که ابن ادریس </w:t>
      </w:r>
      <w:r>
        <w:rPr>
          <w:rStyle w:val="FootnoteAnchor"/>
          <w:rtl w:val="true"/>
        </w:rPr>
        <w:footnoteReference w:id="605"/>
      </w:r>
      <w:r>
        <w:rPr>
          <w:rFonts w:ascii="IRNazanin" w:hAnsi="IRNazanin" w:eastAsia="IRNazanin"/>
          <w:color w:val="111111"/>
          <w:sz w:val="28"/>
          <w:sz w:val="28"/>
          <w:szCs w:val="28"/>
          <w:rtl w:val="true"/>
          <w:lang w:bidi="fa-IR"/>
        </w:rPr>
        <w:t xml:space="preserve">، محقق </w:t>
      </w:r>
      <w:r>
        <w:rPr>
          <w:rStyle w:val="FootnoteAnchor"/>
          <w:rtl w:val="true"/>
        </w:rPr>
        <w:footnoteReference w:id="606"/>
      </w:r>
      <w:r>
        <w:rPr>
          <w:rFonts w:ascii="IRNazanin" w:hAnsi="IRNazanin" w:eastAsia="IRNazanin"/>
          <w:color w:val="111111"/>
          <w:sz w:val="28"/>
          <w:sz w:val="28"/>
          <w:szCs w:val="28"/>
          <w:rtl w:val="true"/>
          <w:lang w:bidi="fa-IR"/>
        </w:rPr>
        <w:t xml:space="preserve">و علامه </w:t>
      </w:r>
      <w:r>
        <w:rPr>
          <w:rStyle w:val="FootnoteAnchor"/>
          <w:rtl w:val="true"/>
        </w:rPr>
        <w:footnoteReference w:id="607"/>
      </w:r>
      <w:r>
        <w:rPr>
          <w:rFonts w:ascii="IRNazanin" w:hAnsi="IRNazanin" w:eastAsia="IRNazanin"/>
          <w:color w:val="111111"/>
          <w:sz w:val="28"/>
          <w:sz w:val="28"/>
          <w:szCs w:val="28"/>
          <w:rtl w:val="true"/>
          <w:lang w:bidi="fa-IR"/>
        </w:rPr>
        <w:t>نیز این نظریه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 در عروه می گوید هرگاه مسجد رو به ویرانی و خرابی گذاشت به طوری که دیگر قابل انتفاع نباشد جایز است آن را تجدید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معلّقین بر عروه با او موافقت کرده اند</w:t>
      </w:r>
    </w:p>
    <w:p>
      <w:pPr>
        <w:pStyle w:val="BookText"/>
        <w:rPr/>
      </w:pPr>
      <w:r>
        <w:rPr>
          <w:rFonts w:ascii="IRNazanin" w:hAnsi="IRNazanin" w:eastAsia="IRNazanin"/>
          <w:color w:val="111111"/>
          <w:sz w:val="28"/>
          <w:sz w:val="28"/>
          <w:szCs w:val="28"/>
          <w:rtl w:val="true"/>
          <w:lang w:bidi="fa-IR"/>
        </w:rPr>
        <w:t>فاضل اصفهانی ادعا می کند که استحباب تجدید بنای مسجد به یک مرتبه ای از وضوح 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یعنی به قدری واضح است که احتیاج به استدلال ندارد، ولی محقق کرکی می گوید تجدید بنای مسجد در حقیقت به معنای عمارت مسجد است که استحباب آن به ضرورت معلوم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سید محمد عاملی ادعا می کند که عمومات استحباب تعمیر مساجد این مورد را شامل می شود</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حسن نجفی می گوید استحباب تجدید بنای مسجد ضروری دین است</w:t>
      </w:r>
      <w:r>
        <w:rPr>
          <w:rFonts w:eastAsia="IRNazanin" w:cs="IRNazanin"/>
          <w:color w:val="111111"/>
          <w:sz w:val="28"/>
          <w:szCs w:val="28"/>
          <w:rtl w:val="true"/>
          <w:lang w:bidi="fa-IR"/>
        </w:rPr>
        <w:t xml:space="preserve">. </w:t>
      </w:r>
      <w:r>
        <w:rPr>
          <w:rStyle w:val="FootnoteAnchor"/>
          <w:rtl w:val="true"/>
        </w:rPr>
        <w:footnoteReference w:id="611"/>
      </w:r>
      <w:bookmarkStart w:id="468" w:name="pg19115_195469"/>
    </w:p>
    <w:p>
      <w:pPr>
        <w:pStyle w:val="Heading6"/>
        <w:numPr>
          <w:ilvl w:val="5"/>
          <w:numId w:val="1"/>
        </w:numPr>
        <w:rPr/>
      </w:pPr>
      <w:bookmarkStart w:id="469" w:name="__RefHeading___Toc15202536_1280447820"/>
      <w:bookmarkStart w:id="470" w:name="_Toc179"/>
      <w:bookmarkEnd w:id="468"/>
      <w:bookmarkEnd w:id="469"/>
      <w:r>
        <w:rPr>
          <w:rtl w:val="true"/>
        </w:rPr>
        <w:t>ه</w:t>
      </w:r>
      <w:r>
        <w:rPr>
          <w:rtl w:val="true"/>
        </w:rPr>
        <w:t xml:space="preserve">) </w:t>
      </w:r>
      <w:r>
        <w:rPr>
          <w:rtl w:val="true"/>
        </w:rPr>
        <w:t>احداث درب پنجره و دریچه برای مسجد</w:t>
      </w:r>
      <w:bookmarkEnd w:id="470"/>
    </w:p>
    <w:p>
      <w:pPr>
        <w:pStyle w:val="Heading6"/>
        <w:numPr>
          <w:ilvl w:val="5"/>
          <w:numId w:val="1"/>
        </w:numPr>
        <w:rPr/>
      </w:pPr>
      <w:bookmarkStart w:id="471" w:name="__RefHeading___Toc15202538_1280447820"/>
      <w:bookmarkStart w:id="472" w:name="_Toc180"/>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چنان که بر حسب ادله ترمیم، توسعه و تجدید بنای مساجد جایز است، همچنان احداث در جدید، پنجره و روزنه و دریچه برای مساجد نیز جایز است</w:t>
      </w:r>
      <w:r>
        <w:rPr>
          <w:rFonts w:eastAsia="IRNazanin" w:cs="IRNazanin"/>
          <w:color w:val="111111"/>
          <w:sz w:val="28"/>
          <w:szCs w:val="28"/>
          <w:rtl w:val="true"/>
          <w:lang w:bidi="fa-IR"/>
        </w:rPr>
        <w:t>.</w:t>
      </w:r>
    </w:p>
    <w:p>
      <w:pPr>
        <w:pStyle w:val="Heading6"/>
        <w:numPr>
          <w:ilvl w:val="5"/>
          <w:numId w:val="1"/>
        </w:numPr>
        <w:rPr/>
      </w:pPr>
      <w:bookmarkStart w:id="473" w:name="__RefHeading___Toc15202540_1280447820"/>
      <w:bookmarkStart w:id="474" w:name="_Toc181"/>
      <w:bookmarkEnd w:id="473"/>
      <w:r>
        <w:rPr/>
        <w:t>1</w:t>
      </w:r>
      <w:r>
        <w:rPr>
          <w:rtl w:val="true"/>
        </w:rPr>
        <w:t xml:space="preserve">. </w:t>
      </w:r>
      <w:r>
        <w:rPr>
          <w:rtl w:val="true"/>
        </w:rPr>
        <w:t>احداث درب جدید</w:t>
      </w:r>
      <w:bookmarkEnd w:id="474"/>
    </w:p>
    <w:p>
      <w:pPr>
        <w:pStyle w:val="BookText"/>
        <w:rPr/>
      </w:pPr>
      <w:r>
        <w:rPr>
          <w:rFonts w:ascii="IRNazanin" w:hAnsi="IRNazanin" w:eastAsia="IRNazanin"/>
          <w:color w:val="111111"/>
          <w:sz w:val="28"/>
          <w:sz w:val="28"/>
          <w:szCs w:val="28"/>
          <w:rtl w:val="true"/>
          <w:lang w:bidi="fa-IR"/>
        </w:rPr>
        <w:t>اگر چنان که مصلحت عموم مسلمین و نمازگزاران اقتضا کند که در جدیدی برای مسجد احداث شود مانند این که موقع ورود و خروج از مسجد ازدحام زیادی به وجود می آید بدین جهت لازم است توسعه ای برای نمازگزاران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موجب می شود که در جدیدی احداث شود و اگر احداث در برای مصلحت عده خاصی باشد؛ مثل این که راه بعضی از نمازگزاران نزدیکتر می شود احتمال دارد در این صورت هم احداث در جدید جایز باشد؛ زیرا این امر اعانت بر فعل خیر و تقرب به خداست</w:t>
      </w:r>
      <w:r>
        <w:rPr>
          <w:rFonts w:eastAsia="IRNazanin" w:cs="IRNazanin"/>
          <w:color w:val="111111"/>
          <w:sz w:val="28"/>
          <w:szCs w:val="28"/>
          <w:rtl w:val="true"/>
          <w:lang w:bidi="fa-IR"/>
        </w:rPr>
        <w:t xml:space="preserve">. </w:t>
      </w:r>
      <w:r>
        <w:rPr>
          <w:rStyle w:val="FootnoteAnchor"/>
          <w:rtl w:val="true"/>
        </w:rPr>
        <w:footnoteReference w:id="612"/>
      </w:r>
    </w:p>
    <w:p>
      <w:pPr>
        <w:pStyle w:val="Heading6"/>
        <w:numPr>
          <w:ilvl w:val="5"/>
          <w:numId w:val="1"/>
        </w:numPr>
        <w:rPr/>
      </w:pPr>
      <w:bookmarkStart w:id="475" w:name="__RefHeading___Toc15202542_1280447820"/>
      <w:bookmarkStart w:id="476" w:name="_Toc182"/>
      <w:bookmarkEnd w:id="475"/>
      <w:r>
        <w:rPr/>
        <w:t>2</w:t>
      </w:r>
      <w:r>
        <w:rPr>
          <w:rtl w:val="true"/>
        </w:rPr>
        <w:t xml:space="preserve">. </w:t>
      </w:r>
      <w:r>
        <w:rPr>
          <w:rtl w:val="true"/>
        </w:rPr>
        <w:t>احداث پنجره و روزنه</w:t>
      </w:r>
      <w:bookmarkEnd w:id="476"/>
    </w:p>
    <w:p>
      <w:pPr>
        <w:pStyle w:val="BookText"/>
        <w:rPr/>
      </w:pPr>
      <w:r>
        <w:rPr>
          <w:rFonts w:ascii="IRNazanin" w:hAnsi="IRNazanin" w:eastAsia="IRNazanin"/>
          <w:color w:val="111111"/>
          <w:sz w:val="28"/>
          <w:sz w:val="28"/>
          <w:szCs w:val="28"/>
          <w:rtl w:val="true"/>
          <w:lang w:bidi="fa-IR"/>
        </w:rPr>
        <w:t>و همچنین جایز است با رعایت مصلحت عموم مسلمین و نمازگزاران و یا دفع مفسده، پنجره و روزنه و دریچه ای برای مسجد باز شود</w:t>
      </w:r>
      <w:r>
        <w:rPr>
          <w:rFonts w:eastAsia="IRNazanin" w:cs="IRNazanin"/>
          <w:color w:val="111111"/>
          <w:sz w:val="28"/>
          <w:szCs w:val="28"/>
          <w:rtl w:val="true"/>
          <w:lang w:bidi="fa-IR"/>
        </w:rPr>
        <w:t xml:space="preserve">. </w:t>
      </w:r>
      <w:r>
        <w:rPr>
          <w:rStyle w:val="FootnoteAnchor"/>
          <w:rtl w:val="true"/>
        </w:rPr>
        <w:footnoteReference w:id="613"/>
      </w:r>
    </w:p>
    <w:p>
      <w:pPr>
        <w:pStyle w:val="Heading6"/>
        <w:numPr>
          <w:ilvl w:val="5"/>
          <w:numId w:val="1"/>
        </w:numPr>
        <w:rPr/>
      </w:pPr>
      <w:bookmarkStart w:id="477" w:name="__RefHeading___Toc15202544_1280447820"/>
      <w:bookmarkStart w:id="478" w:name="_Toc183"/>
      <w:bookmarkEnd w:id="477"/>
      <w:r>
        <w:rPr/>
        <w:t>3</w:t>
      </w:r>
      <w:r>
        <w:rPr>
          <w:rtl w:val="true"/>
        </w:rPr>
        <w:t xml:space="preserve">. </w:t>
      </w:r>
      <w:r>
        <w:rPr>
          <w:rtl w:val="true"/>
        </w:rPr>
        <w:t>تغییر هیئت مسجد</w:t>
      </w:r>
      <w:bookmarkEnd w:id="478"/>
    </w:p>
    <w:p>
      <w:pPr>
        <w:pStyle w:val="Heading6"/>
        <w:numPr>
          <w:ilvl w:val="5"/>
          <w:numId w:val="1"/>
        </w:numPr>
        <w:rPr/>
      </w:pPr>
      <w:bookmarkStart w:id="479" w:name="__RefHeading___Toc15202546_1280447820"/>
      <w:bookmarkStart w:id="480" w:name="_Toc184"/>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شیخ محمد حسن نجفی می گوید اگر مصلحت یا دفع مفسده ای ایجاب کند که هیئت و شکل فعلی ساختمان مسجد تغییر کند جایز است این تغییر انجام شود</w:t>
      </w:r>
      <w:r>
        <w:rPr>
          <w:rFonts w:eastAsia="IRNazanin" w:cs="IRNazanin"/>
          <w:color w:val="111111"/>
          <w:sz w:val="28"/>
          <w:szCs w:val="28"/>
          <w:rtl w:val="true"/>
          <w:lang w:bidi="fa-IR"/>
        </w:rPr>
        <w:t xml:space="preserve">. </w:t>
      </w:r>
      <w:r>
        <w:rPr>
          <w:rStyle w:val="FootnoteAnchor"/>
          <w:rtl w:val="true"/>
        </w:rPr>
        <w:footnoteReference w:id="614"/>
      </w:r>
    </w:p>
    <w:p>
      <w:pPr>
        <w:pStyle w:val="Heading6"/>
        <w:numPr>
          <w:ilvl w:val="5"/>
          <w:numId w:val="1"/>
        </w:numPr>
        <w:rPr/>
      </w:pPr>
      <w:bookmarkStart w:id="481" w:name="__RefHeading___Toc15202548_1280447820"/>
      <w:bookmarkStart w:id="482" w:name="_Toc185"/>
      <w:bookmarkEnd w:id="481"/>
      <w:r>
        <w:rPr/>
        <w:t>4</w:t>
      </w:r>
      <w:r>
        <w:rPr>
          <w:rtl w:val="true"/>
        </w:rPr>
        <w:t xml:space="preserve">. </w:t>
      </w:r>
      <w:r>
        <w:rPr>
          <w:rtl w:val="true"/>
        </w:rPr>
        <w:t>آلات و وسایل مسجد منهدم شده</w:t>
      </w:r>
      <w:bookmarkEnd w:id="48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مسجدی به هر دلیلی منهدم شد اگر چنان که ممکن است آلات و لوازم </w:t>
      </w:r>
      <w:bookmarkStart w:id="483" w:name="pg19115_195470"/>
    </w:p>
    <w:p>
      <w:pPr>
        <w:pStyle w:val="BookText"/>
        <w:rPr/>
      </w:pPr>
      <w:bookmarkEnd w:id="483"/>
      <w:r>
        <w:rPr>
          <w:rFonts w:ascii="IRNazanin" w:hAnsi="IRNazanin" w:eastAsia="IRNazanin"/>
          <w:color w:val="111111"/>
          <w:sz w:val="28"/>
          <w:sz w:val="28"/>
          <w:szCs w:val="28"/>
          <w:rtl w:val="true"/>
          <w:lang w:bidi="fa-IR"/>
        </w:rPr>
        <w:t>آن در خود همان مسجد به کار گرفته شود اگر این مسجد نیازی به آنها ندارد و یا اگر ممکن نیست این وسایل به کار گرفته شود باید در مساجد دیگر استفاده شود؛ چون همه مساجد از آن خداست و تمامی مساجد در حقیقت یک مسجد است؛ زیرا هدف مساجد این است که شعائر دین در آنها اقامه شود و عبادات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غرض هیچ تفاوتی مابین مساجد نیست</w:t>
      </w:r>
      <w:r>
        <w:rPr>
          <w:rFonts w:eastAsia="IRNazanin" w:cs="IRNazanin"/>
          <w:color w:val="111111"/>
          <w:sz w:val="28"/>
          <w:szCs w:val="28"/>
          <w:rtl w:val="true"/>
          <w:lang w:bidi="fa-IR"/>
        </w:rPr>
        <w:t xml:space="preserve">. </w:t>
      </w:r>
      <w:r>
        <w:rPr>
          <w:rStyle w:val="FootnoteAnchor"/>
          <w:rtl w:val="true"/>
        </w:rPr>
        <w:footnoteReference w:id="615"/>
      </w:r>
    </w:p>
    <w:p>
      <w:pPr>
        <w:pStyle w:val="Heading5"/>
        <w:numPr>
          <w:ilvl w:val="4"/>
          <w:numId w:val="1"/>
        </w:numPr>
        <w:rPr/>
      </w:pPr>
      <w:bookmarkStart w:id="484" w:name="__RefHeading___Toc15202550_1280447820"/>
      <w:bookmarkStart w:id="485" w:name="_Toc186"/>
      <w:bookmarkEnd w:id="484"/>
      <w:r>
        <w:rPr>
          <w:rtl w:val="true"/>
        </w:rPr>
        <w:t>گفتار دوم دیدگاه اهل سنّت</w:t>
      </w:r>
      <w:bookmarkEnd w:id="485"/>
    </w:p>
    <w:p>
      <w:pPr>
        <w:pStyle w:val="BookText"/>
        <w:rPr/>
      </w:pPr>
      <w:r>
        <w:rPr>
          <w:rFonts w:ascii="IRNazanin" w:hAnsi="IRNazanin" w:eastAsia="IRNazanin"/>
          <w:color w:val="111111"/>
          <w:sz w:val="28"/>
          <w:sz w:val="28"/>
          <w:szCs w:val="28"/>
          <w:rtl w:val="true"/>
          <w:lang w:bidi="fa-IR"/>
        </w:rPr>
        <w:t>برخی از فقیهان اهل سنت معتقدند که ترمیم مسجد و تعمیر ساختمان آن گاهی به منظور تقویت و استحکام ساختمان آن است و این در صورتی است که مسجد در معرض انهدام و خرابی قرار گرفته باشد و گاهی به منظور حسن و زیبایی مسجد تعمیراتی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هر دو صورت از مصادیق عمران و آباد کردن مساجد خدا می باشند ک در شریعت اسلامی به آنها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واجب کفایی است اگر چنانچه برخی از مسلمانان به آن اقدام،کنند از سایرین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يعمر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تنها کسانی مساجد خدا را آباد می سازند که ایمان به خداوند و روز رستاخیز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دلیل است بر این که خداوند متعال شهادت می دهد که آباد کنندگان مساجد به خدا و روز رستاخیز ایمان دارند؛ زیرا خداوند ایمان را به عمارت و آباد کردن مساجد مرتبط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آیه کریمه ایمان را برای کسانی ثابت می کند که مساجد را آباد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عمران و آبادی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اقامه نماز در آنها و نظافت و پاکیزه نگاه داشتن و اصلاح و ترمیم مساجدی است که در معرض انهدام و خرابی قرار گرفته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حاشیه قلیوبی آمده است عمارت مسجد عبارت است از ساختن مسجد، ترمیم و گچ کاری آن به جهت استحکام ساختمان نصب،پلکان دیوار کشی اطراف آن، نظافت و جارو کردن تهیه حصیر برای سایه بان مسجد و</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و ابن مذحجی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امور اشاره کرده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بهوتی حنبلی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معتقدند که برای مصلحت مسلمانان و نمازگزاران جایز است مسجد تخریب و تجدید بنا شود</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نجیم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اداره مسجد جامع و تعمیر و اصلاح به عهده امام و نایب اوست</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9115_195473"/>
      <w:bookmarkStart w:id="487" w:name="pg19115_195473"/>
      <w:bookmarkEnd w:id="487"/>
    </w:p>
    <w:p>
      <w:pPr>
        <w:pStyle w:val="Heading3"/>
        <w:numPr>
          <w:ilvl w:val="2"/>
          <w:numId w:val="1"/>
        </w:numPr>
        <w:rPr/>
      </w:pPr>
      <w:bookmarkStart w:id="488" w:name="pg19115_195473"/>
      <w:bookmarkStart w:id="489" w:name="__RefHeading___Toc15202552_1280447820"/>
      <w:bookmarkStart w:id="490" w:name="_Toc187"/>
      <w:bookmarkEnd w:id="488"/>
      <w:bookmarkEnd w:id="489"/>
      <w:r>
        <w:rPr>
          <w:rtl w:val="true"/>
        </w:rPr>
        <w:t>فصل پنجم</w:t>
      </w:r>
      <w:r>
        <w:rPr>
          <w:rtl w:val="true"/>
        </w:rPr>
        <w:t xml:space="preserve">: </w:t>
      </w:r>
      <w:r>
        <w:rPr>
          <w:rtl w:val="true"/>
        </w:rPr>
        <w:t>آراستگی و پیراستگی مسجد</w:t>
      </w:r>
      <w:bookmarkEnd w:id="490"/>
    </w:p>
    <w:p>
      <w:pPr>
        <w:pStyle w:val="Heading4"/>
        <w:numPr>
          <w:ilvl w:val="3"/>
          <w:numId w:val="1"/>
        </w:numPr>
        <w:rPr/>
      </w:pPr>
      <w:bookmarkStart w:id="491" w:name="__RefHeading___Toc15202554_1280447820"/>
      <w:bookmarkStart w:id="492" w:name="_Toc188"/>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مساجد</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خوشبو کردن و روشن نگه داشتن مسجد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سنگریزه از مسجد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9115_195475"/>
      <w:bookmarkStart w:id="494" w:name="pg19115_195475"/>
      <w:bookmarkEnd w:id="494"/>
    </w:p>
    <w:p>
      <w:pPr>
        <w:pStyle w:val="Heading4"/>
        <w:numPr>
          <w:ilvl w:val="3"/>
          <w:numId w:val="1"/>
        </w:numPr>
        <w:rPr/>
      </w:pPr>
      <w:bookmarkStart w:id="495" w:name="pg19115_195475"/>
      <w:bookmarkStart w:id="496" w:name="__RefHeading___Toc15202556_1280447820"/>
      <w:bookmarkStart w:id="497" w:name="_Toc189"/>
      <w:bookmarkEnd w:id="495"/>
      <w:bookmarkEnd w:id="496"/>
      <w:r>
        <w:rPr>
          <w:rtl w:val="true"/>
        </w:rPr>
        <w:t>مبحث اول</w:t>
      </w:r>
      <w:r>
        <w:rPr>
          <w:rtl w:val="true"/>
        </w:rPr>
        <w:t xml:space="preserve">: </w:t>
      </w:r>
      <w:r>
        <w:rPr>
          <w:rtl w:val="true"/>
        </w:rPr>
        <w:t>تزیین مساجد</w:t>
      </w:r>
      <w:bookmarkEnd w:id="497"/>
    </w:p>
    <w:p>
      <w:pPr>
        <w:pStyle w:val="Heading5"/>
        <w:numPr>
          <w:ilvl w:val="4"/>
          <w:numId w:val="1"/>
        </w:numPr>
        <w:rPr/>
      </w:pPr>
      <w:bookmarkStart w:id="498" w:name="__RefHeading___Toc15202558_1280447820"/>
      <w:bookmarkStart w:id="499" w:name="_Toc190"/>
      <w:bookmarkEnd w:id="498"/>
      <w:r>
        <w:rPr>
          <w:rtl w:val="true"/>
        </w:rPr>
        <w:t>مقدمه</w:t>
      </w:r>
      <w:bookmarkEnd w:id="499"/>
    </w:p>
    <w:p>
      <w:pPr>
        <w:pStyle w:val="BookText"/>
        <w:rPr/>
      </w:pPr>
      <w:r>
        <w:rPr>
          <w:rFonts w:ascii="IRNazanin" w:hAnsi="IRNazanin" w:eastAsia="IRNazanin"/>
          <w:color w:val="111111"/>
          <w:sz w:val="28"/>
          <w:sz w:val="28"/>
          <w:szCs w:val="28"/>
          <w:rtl w:val="true"/>
          <w:lang w:bidi="fa-IR"/>
        </w:rPr>
        <w:t xml:space="preserve">تزئین که در زبان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معنای زینت دادن، آراستن و تزئین کردن چیزی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طلا است و مزخرف یعنی تزئین شده و سپس به هر چیزی که شبیه چیز دیگری ساخته شود زخرف گفته می شود؛ مثلاً روکش نهادن و یا آب دادن فلز را با طلا و نقره</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طلا می باشد، سپس هر چیز زیبایی را زخرف،نامیدند بیت مزخرف یعنی خانه ای که آراسته و مزین شده است و در حدیث وارد شده است نهى أن تزخرف المساجد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و در اصطلاح فقها نیز به همین معنای لغوی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مجموع روایاتی که درباره مساجد از پیامبر خدا صلی الله علیه و آله و امامان معصوم علیهم السلام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مثل سخن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عریش کعریش موسی علیه السلام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استفاده می شود که بنای شارع مقدس بر آن است که این مکان در عین شکوه معنوی و عظمت و قداست خاص خویش از نظر ظاهری ساده و از پیرایشهای مادی به دور باشد؛ بدیهی است که مسجد مکان زهد و عبادت </w:t>
      </w:r>
    </w:p>
    <w:p>
      <w:pPr>
        <w:pStyle w:val="BookText"/>
        <w:rPr/>
      </w:pPr>
      <w:r>
        <w:rPr>
          <w:rFonts w:ascii="IRNazanin" w:hAnsi="IRNazanin" w:eastAsia="IRNazanin"/>
          <w:color w:val="111111"/>
          <w:sz w:val="28"/>
          <w:sz w:val="28"/>
          <w:szCs w:val="28"/>
          <w:rtl w:val="true"/>
          <w:lang w:bidi="fa-IR"/>
        </w:rPr>
        <w:t>می باشد و نبایست مساجد مانند قصرها و کاخهای لهو و لعب و جای خودخواهی شادمانی و خوشحالی و چیزهای پوچ و بیهوده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عصر پیامبر صلی الله علیه و آله از بنایی بسیار ساده و ابتدایی برخوردار بودند و در نهایت سادگی و بی پیرایگی ساخته می شدند در مساجد نه مجسمه ای بود، نه ظروف زرین و سیمین و نه اشیاء قیمتی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مساجد دیگر معابد موجود در آن زمان دارای ساختمان هایی بسیار مجلل و باشکوه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ابزار و آلات فراوان و کاربردهای تزئیناتی از قبیل مجسمه، اشیای زرین و سیمین جواهرات و سنگهای قیمتی بسیاری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کیفیت ساختمانی پاره ای از این عبادتگاه ها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رسته اطلاعات بسیار جالبی در باب کیفیت بنای بعضی از کلیساهای قسطنطنیه به دست می دهد که در اینجا به نقل بخشی از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کلیسای سلطان را چنین توصیف می کند کلیسای سلطان دارای ده در است که چهار در آن را از طلا و شش در دیگر را از نقره ساخته اند در کلیسا جایگاهی است که سلطان در آن می نشیند مساحت و اندازه آن چهار ذراع است که آن را از یاقوت و مروارید زینت کردهاند سایر سقفهای کلیسا از طلا و نقره مزین شده است</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وصف یکی از کلیساهای رومیه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کلیسای بزرگی واقع شده که صد ذراع ارتفاع دارد بر سر آن برج گنبدی از جنس سرب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این کلیسا با طلا،پوشیده درهای آن از مس چینی ساخته شده، درهای داخلی که به نمازگاهشان باز می شود همه پوشیده از طلاست و جایگاه هایی را که کاهنان در آن می نشینند از طلا پوشانیده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کلیسا هزار بادبزن طلایی وجود دارد که اندازه هر یک از آنها یک ذراع در یک ذراع است و با در و یاقوت تزئین یافته و بر آنها دستگیره هایی نصب شده است باز در آن کلیسا، ششصد صلیب </w:t>
      </w:r>
      <w:bookmarkStart w:id="500" w:name="pg19115_195477"/>
    </w:p>
    <w:p>
      <w:pPr>
        <w:pStyle w:val="BookText"/>
        <w:rPr/>
      </w:pPr>
      <w:bookmarkEnd w:id="500"/>
      <w:r>
        <w:rPr>
          <w:rFonts w:ascii="IRNazanin" w:hAnsi="IRNazanin" w:eastAsia="IRNazanin"/>
          <w:color w:val="111111"/>
          <w:sz w:val="28"/>
          <w:sz w:val="28"/>
          <w:szCs w:val="28"/>
          <w:rtl w:val="true"/>
          <w:lang w:bidi="fa-IR"/>
        </w:rPr>
        <w:t>طلایی وجود دارد که در وسط هر صلیب مرواریدی نشانده اند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مسعودی نیز در باب معابد یونانیان و مردم شام قدیم به تفصیل سخن گفته و یادآور شده است که بیشتر آنها دارای بناهای بسیار مرتفع با سنگهای تراشیده و نقشهای عجیب بوده و در خود بتها مجسمه های طلا و نقره و اقسام جواهرات داشته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با این ترتیب از مجموع آنچه گذشت می توان به تفاوت آشکار میان مسجد و دیگر معابد موجود آن،زمان از لحاظ سادگی و بی پیرایگی مسجد و تشریفات آن چنانی در آن عبادتگاه 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 وجود این که اسلام با تجمل و زیبایی در حد معقول آن مخالفتی ندارد ولی یکی از معیارهای ارزشی در اسلام سادگی و وارستگی از مظاهر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مساجد با تزئیناتی که در کاخهای پادشاهان و اهل دنیا متداول است نباید آراسته شود و اینگونه تجملات منافی و مغایر با ارزشهای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مقدمه احکام تزئین مساجد در ضمن چند گفتار بحث و بررسی می شود</w:t>
      </w:r>
      <w:r>
        <w:rPr>
          <w:rFonts w:eastAsia="IRNazanin" w:cs="IRNazanin"/>
          <w:color w:val="111111"/>
          <w:sz w:val="28"/>
          <w:szCs w:val="28"/>
          <w:rtl w:val="true"/>
          <w:lang w:bidi="fa-IR"/>
        </w:rPr>
        <w:t>.</w:t>
      </w:r>
    </w:p>
    <w:p>
      <w:pPr>
        <w:pStyle w:val="Heading5"/>
        <w:numPr>
          <w:ilvl w:val="4"/>
          <w:numId w:val="1"/>
        </w:numPr>
        <w:rPr/>
      </w:pPr>
      <w:bookmarkStart w:id="501" w:name="__RefHeading___Toc15202560_1280447820"/>
      <w:bookmarkStart w:id="502" w:name="_Toc191"/>
      <w:bookmarkEnd w:id="501"/>
      <w:r>
        <w:rPr>
          <w:rtl w:val="true"/>
        </w:rPr>
        <w:t>گفتار اول</w:t>
      </w:r>
      <w:r>
        <w:rPr>
          <w:rtl w:val="true"/>
        </w:rPr>
        <w:t xml:space="preserve">: </w:t>
      </w:r>
      <w:r>
        <w:rPr>
          <w:rtl w:val="true"/>
        </w:rPr>
        <w:t>بررسی حرمت یا کراهت تزیین مساجد</w:t>
      </w:r>
      <w:bookmarkEnd w:id="502"/>
    </w:p>
    <w:p>
      <w:pPr>
        <w:pStyle w:val="Heading6"/>
        <w:numPr>
          <w:ilvl w:val="5"/>
          <w:numId w:val="1"/>
        </w:numPr>
        <w:rPr/>
      </w:pPr>
      <w:bookmarkStart w:id="503" w:name="__RefHeading___Toc15202562_1280447820"/>
      <w:bookmarkStart w:id="504" w:name="_Toc192"/>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دو دیدگاه در این باره وجود دارد</w:t>
      </w:r>
    </w:p>
    <w:p>
      <w:pPr>
        <w:pStyle w:val="Heading6"/>
        <w:numPr>
          <w:ilvl w:val="5"/>
          <w:numId w:val="1"/>
        </w:numPr>
        <w:rPr/>
      </w:pPr>
      <w:bookmarkStart w:id="505" w:name="__RefHeading___Toc15202564_1280447820"/>
      <w:bookmarkStart w:id="506" w:name="_Toc193"/>
      <w:bookmarkEnd w:id="505"/>
      <w:r>
        <w:rPr>
          <w:rtl w:val="true"/>
        </w:rPr>
        <w:t>الف</w:t>
      </w:r>
      <w:r>
        <w:rPr>
          <w:rtl w:val="true"/>
        </w:rPr>
        <w:t xml:space="preserve">) </w:t>
      </w:r>
      <w:r>
        <w:rPr>
          <w:rtl w:val="true"/>
        </w:rPr>
        <w:t>دیدگاه اول حرمت</w:t>
      </w:r>
      <w:bookmarkEnd w:id="506"/>
    </w:p>
    <w:p>
      <w:pPr>
        <w:pStyle w:val="Heading6"/>
        <w:numPr>
          <w:ilvl w:val="5"/>
          <w:numId w:val="1"/>
        </w:numPr>
        <w:rPr/>
      </w:pPr>
      <w:bookmarkStart w:id="507" w:name="__RefHeading___Toc15202566_1280447820"/>
      <w:bookmarkStart w:id="508" w:name="_Toc194"/>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بسیاری از فقیهان شیعه معتقدند که زخرفه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حرام است شیخ طوسی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تكون مزخرفة أو مذهبة، أو فيها شيء من التصاوير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8"/>
      </w:r>
      <w:bookmarkStart w:id="509" w:name="pg19115_195478"/>
    </w:p>
    <w:p>
      <w:pPr>
        <w:pStyle w:val="BookText"/>
        <w:rPr/>
      </w:pPr>
      <w:bookmarkEnd w:id="509"/>
      <w:r>
        <w:rPr>
          <w:rFonts w:ascii="IRNazanin" w:hAnsi="IRNazanin" w:eastAsia="IRNazanin"/>
          <w:color w:val="111111"/>
          <w:sz w:val="28"/>
          <w:sz w:val="28"/>
          <w:szCs w:val="28"/>
          <w:rtl w:val="true"/>
          <w:lang w:bidi="fa-IR"/>
        </w:rPr>
        <w:t>تزئین و آراستن مسجد یا طلاکاری و نقاشی کردن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تكون مزخرفة أو مذهبة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محقق و علامه نیز می گویند تزئین و آراستن مسجد و نقاشی کردن آن حرام است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شهید در بیان و لمعه و شهید ثانی در مسالک همین نظر را اختیار کرده اند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محقق ثانی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مسجد و نقاشی آن با طلا حرام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سید در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به تزئین مسجد به کند به تزئین مسجد به طلا و تصریح به حرمت آن می کند، البته شماری از معلّقین عروه با او در حرمت موافقت نمی کنند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فاضل اصفهانی و فاضل خراسانی حرمت تزئین مساجد را به مشهور نسبت داده اند</w:t>
      </w:r>
      <w:r>
        <w:rPr>
          <w:rFonts w:eastAsia="IRNazanin" w:cs="IRNazanin"/>
          <w:color w:val="111111"/>
          <w:sz w:val="28"/>
          <w:szCs w:val="28"/>
          <w:rtl w:val="true"/>
          <w:lang w:bidi="fa-IR"/>
        </w:rPr>
        <w:t xml:space="preserve">. </w:t>
      </w:r>
      <w:r>
        <w:rPr>
          <w:rStyle w:val="FootnoteAnchor"/>
          <w:rtl w:val="true"/>
        </w:rPr>
        <w:footnoteReference w:id="634"/>
      </w:r>
    </w:p>
    <w:p>
      <w:pPr>
        <w:pStyle w:val="Heading6"/>
        <w:numPr>
          <w:ilvl w:val="5"/>
          <w:numId w:val="1"/>
        </w:numPr>
        <w:rPr/>
      </w:pPr>
      <w:bookmarkStart w:id="510" w:name="__RefHeading___Toc15202568_1280447820"/>
      <w:bookmarkStart w:id="511" w:name="_Toc195"/>
      <w:bookmarkEnd w:id="510"/>
      <w:r>
        <w:rPr/>
        <w:t>1</w:t>
      </w:r>
      <w:r>
        <w:rPr>
          <w:rtl w:val="true"/>
        </w:rPr>
        <w:t xml:space="preserve">. </w:t>
      </w:r>
      <w:r>
        <w:rPr>
          <w:rtl w:val="true"/>
        </w:rPr>
        <w:t>ادله حرمت تزئین مسجد</w:t>
      </w:r>
      <w:bookmarkEnd w:id="511"/>
    </w:p>
    <w:p>
      <w:pPr>
        <w:pStyle w:val="BookText"/>
        <w:rPr/>
      </w:pPr>
      <w:r>
        <w:rPr>
          <w:rFonts w:ascii="IRNazanin" w:hAnsi="IRNazanin" w:eastAsia="IRNazanin"/>
          <w:color w:val="111111"/>
          <w:sz w:val="28"/>
          <w:sz w:val="28"/>
          <w:szCs w:val="28"/>
          <w:rtl w:val="true"/>
          <w:lang w:bidi="fa-IR"/>
        </w:rPr>
        <w:t>برای اثبات حرمت تزئین به چند دلیل تمسک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آراستن و تزئین مساجد هزینه های زیادی دارد، مخصوصاً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طلا تفسیر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موجب اسراف و حرام است</w:t>
      </w:r>
      <w:r>
        <w:rPr>
          <w:rFonts w:eastAsia="IRNazanin" w:cs="IRNazanin"/>
          <w:color w:val="111111"/>
          <w:sz w:val="28"/>
          <w:szCs w:val="28"/>
          <w:rtl w:val="true"/>
          <w:lang w:bidi="fa-IR"/>
        </w:rPr>
        <w:t>.</w:t>
      </w:r>
      <w:bookmarkStart w:id="512" w:name="pg19115_195479"/>
    </w:p>
    <w:p>
      <w:pPr>
        <w:pStyle w:val="BookText"/>
        <w:rPr/>
      </w:pPr>
      <w:bookmarkEnd w:id="5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تزئین و آراستن مساجد در عصر صلی الله علیه و آله پیامبر معهود نبوده و در زمانهای بعد به وجود آمده است و از آنجایی که این امر بعد از پیامبر خدا صلی الله علیه و آله احداث شده، بدعت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13" w:name="__RefHeading___Toc15202570_1280447820"/>
      <w:bookmarkStart w:id="514" w:name="_Toc196"/>
      <w:bookmarkEnd w:id="513"/>
      <w:r>
        <w:rPr/>
        <w:t>2</w:t>
      </w:r>
      <w:r>
        <w:rPr>
          <w:rtl w:val="true"/>
        </w:rPr>
        <w:t xml:space="preserve">. </w:t>
      </w:r>
      <w:r>
        <w:rPr>
          <w:rtl w:val="true"/>
        </w:rPr>
        <w:t>نقد و بررسی هر دو دلیل</w:t>
      </w:r>
      <w:bookmarkEnd w:id="514"/>
    </w:p>
    <w:p>
      <w:pPr>
        <w:pStyle w:val="BookText"/>
        <w:rPr/>
      </w:pPr>
      <w:r>
        <w:rPr>
          <w:rFonts w:ascii="IRNazanin" w:hAnsi="IRNazanin" w:eastAsia="IRNazanin"/>
          <w:color w:val="111111"/>
          <w:sz w:val="28"/>
          <w:sz w:val="28"/>
          <w:szCs w:val="28"/>
          <w:rtl w:val="true"/>
          <w:lang w:bidi="fa-IR"/>
        </w:rPr>
        <w:t>هر دو دلیل مورد مناقشه است؛ چون ادعای اسراف اینجا جایگاهی ندارد؛ زیرا حقیقت اسراف و قوام آن بستگی دارد به این که امری غرض عقلایی نداشته باشد، در حالی که ضروری و بدیهی است که تزئین مساجد به قصد تعظیم شعائر دين است و واضح است که تعظیم شعائر از بزرگترین اغراض عقلایی می باشد؛ چنان که تزئینات و طلاکاری در مشاهد مشرفه نیز از باب تعظیم شعائر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بگوییم تزئین مساجد بدعت است؛ چون در زمان پیامبر معهود نبوده است این ادعا وجهی ندارد؛ چون تحقق بدعت به این است که امری که از احکام دین نیست آن را به دین نسبت دهیم اما بدون نسبت دادن، حقیقت بدعت محقق نمی شود و به محض این که چیزهایی در زمان پیامبر نبوده و بعدها به وجود آمده است، بدعت شمرده نمی شود و گرنه بسیاری از چیزهایی که در عصر پیامبر نبوده بدعت بدانیم؛ مانند،لامپ،برق لوازم سرمایش و گرمایش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زمان صدر اسلام،نبوده آیا ممکن است بگوییم اینها بدعت و حرام است چون در عصر پیامبر صلی الله علیه و آله معهود نبوده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در وصیت پیامبر صلی الله علیه و آله به ابن مسعود در مقام مذمت و نکوهش اهل دنیا وارد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اهل دنیا خانه های آسمان خراش</w:t>
      </w:r>
    </w:p>
    <w:p>
      <w:pPr>
        <w:pStyle w:val="BookText"/>
        <w:rPr/>
      </w:pPr>
      <w:r>
        <w:rPr>
          <w:rFonts w:ascii="IRNazanin" w:hAnsi="IRNazanin" w:eastAsia="IRNazanin"/>
          <w:color w:val="111111"/>
          <w:sz w:val="28"/>
          <w:sz w:val="28"/>
          <w:szCs w:val="28"/>
          <w:rtl w:val="true"/>
          <w:lang w:bidi="fa-IR"/>
        </w:rPr>
        <w:t>می سازند و کاخهای مستحکم بنا و مساجد را با طلا تزئین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از طریق اهل سنت وارد شده است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علائم و نشانه های قیامت این است که مردم در زمینه مساجد با یکدیگر مباهات می کنند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 است که مساجد را تزئین می کنند چنان که یهود و نصاری معابدشان را تزئین کرده اند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ابوسعید خدری نقل شده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مسجد را به رنگ قرمز و زرد کنی چرا که این سبب فتنه در مردم خواهد شد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کتاب غریبین آمده است در حدیث وارد شده است که پیامبر خدا صلی الله علیه و آله وارد کعبه نشد تا این که امر کرد خانه کعبه از تزئینات طلاکاری، نقاشی ها و تصاویری که به وسیلهٔ آنها خانه کعبه تزئین شده بود پاکیزه نمایند و به امر پیامبر همه آنها را تراشیدند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جمیع از امام صادق علیه السلام از نماز خواندن در مساجدی که دارای تصویر است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اکراه دارم ولی امروزه به شما ضرری ندارد و هرگاه امام عدل قیام کرد خواهید دید که چگونه با آنها رفتار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15" w:name="pg19115_195481"/>
    </w:p>
    <w:p>
      <w:pPr>
        <w:pStyle w:val="BookText"/>
        <w:rPr/>
      </w:pPr>
      <w:bookmarkEnd w:id="515"/>
      <w:r>
        <w:rPr>
          <w:rFonts w:ascii="IRNazanin" w:hAnsi="IRNazanin" w:eastAsia="IRNazanin"/>
          <w:color w:val="111111"/>
          <w:sz w:val="28"/>
          <w:sz w:val="28"/>
          <w:szCs w:val="28"/>
          <w:rtl w:val="true"/>
          <w:lang w:bidi="fa-IR"/>
        </w:rPr>
        <w:t>شیخ محمد حسن نجفی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روایات از جهت سند و دلالت تمام نیست و شهرتی که جابر ضعف سند باشد هم وجود ندارد از این رو این روایات برای اثبات حرمت صلاحیت ندارد </w:t>
      </w:r>
      <w:r>
        <w:rPr>
          <w:rStyle w:val="FootnoteAnchor"/>
          <w:rtl w:val="true"/>
        </w:rPr>
        <w:footnoteReference w:id="640"/>
      </w:r>
      <w:r>
        <w:rPr>
          <w:rFonts w:ascii="IRNazanin" w:hAnsi="IRNazanin" w:eastAsia="IRNazanin"/>
          <w:color w:val="111111"/>
          <w:sz w:val="28"/>
          <w:sz w:val="28"/>
          <w:szCs w:val="28"/>
          <w:rtl w:val="true"/>
          <w:lang w:bidi="fa-IR"/>
        </w:rPr>
        <w:t>و فاضل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حرمت تزئین مسجد واضح نیست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شهید در روض الجنان این نظر را مورد تأکید قرار داده است</w:t>
      </w:r>
      <w:r>
        <w:rPr>
          <w:rFonts w:eastAsia="IRNazanin" w:cs="IRNazanin"/>
          <w:color w:val="111111"/>
          <w:sz w:val="28"/>
          <w:szCs w:val="28"/>
          <w:rtl w:val="true"/>
          <w:lang w:bidi="fa-IR"/>
        </w:rPr>
        <w:t xml:space="preserve">. </w:t>
      </w:r>
      <w:r>
        <w:rPr>
          <w:rStyle w:val="FootnoteAnchor"/>
          <w:rtl w:val="true"/>
        </w:rPr>
        <w:footnoteReference w:id="642"/>
      </w:r>
    </w:p>
    <w:p>
      <w:pPr>
        <w:pStyle w:val="Heading6"/>
        <w:numPr>
          <w:ilvl w:val="5"/>
          <w:numId w:val="1"/>
        </w:numPr>
        <w:rPr/>
      </w:pPr>
      <w:bookmarkStart w:id="516" w:name="__RefHeading___Toc15202572_1280447820"/>
      <w:bookmarkStart w:id="517" w:name="_Toc197"/>
      <w:bookmarkEnd w:id="516"/>
      <w:r>
        <w:rPr>
          <w:rtl w:val="true"/>
        </w:rPr>
        <w:t>ب</w:t>
      </w:r>
      <w:r>
        <w:rPr>
          <w:rtl w:val="true"/>
        </w:rPr>
        <w:t xml:space="preserve">) </w:t>
      </w:r>
      <w:r>
        <w:rPr>
          <w:rtl w:val="true"/>
        </w:rPr>
        <w:t>دیدگاه دوم کراهت</w:t>
      </w:r>
      <w:bookmarkEnd w:id="517"/>
    </w:p>
    <w:p>
      <w:pPr>
        <w:pStyle w:val="BookText"/>
        <w:rPr/>
      </w:pPr>
      <w:r>
        <w:rPr>
          <w:rFonts w:ascii="IRNazanin" w:hAnsi="IRNazanin" w:eastAsia="IRNazanin"/>
          <w:color w:val="111111"/>
          <w:sz w:val="28"/>
          <w:sz w:val="28"/>
          <w:szCs w:val="28"/>
          <w:rtl w:val="true"/>
          <w:lang w:bidi="fa-IR"/>
        </w:rPr>
        <w:t>شماری از متأخرین از فقهاء و برخی از متقدمان بر این باورند که تزئین و آراستن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براج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لا يعلى و لا يظلّل و لا يزخرف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سزاوار است این که ساختمان مسجد خیلی مرتفع و بلند نباشد و همچنین سزاوارست مسجد سایه بان و تزئین نداشته باشد که البته سیاق عبارت او اقتضای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سعید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تعليتها وتظليلها وزخرفتها</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نیز شهید آن را از جعفی نقل می کند</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 الجنان آمده است شهید در دروس تزئین نقاشی و کشیدن تصاویر را در مسجد مکروه می داند </w:t>
      </w:r>
      <w:r>
        <w:rPr>
          <w:rStyle w:val="FootnoteAnchor"/>
          <w:rtl w:val="true"/>
        </w:rPr>
        <w:footnoteReference w:id="646"/>
      </w:r>
      <w:r>
        <w:rPr>
          <w:rFonts w:ascii="IRNazanin" w:hAnsi="IRNazanin" w:eastAsia="IRNazanin"/>
          <w:color w:val="111111"/>
          <w:sz w:val="28"/>
          <w:sz w:val="28"/>
          <w:szCs w:val="28"/>
          <w:rtl w:val="true"/>
          <w:lang w:bidi="fa-IR"/>
        </w:rPr>
        <w:t>و در نفلیه نیز به آن اشاره کرده است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محدث کاشانی در مفاتیح همین نظر را اختیار کرده است</w:t>
      </w:r>
      <w:r>
        <w:rPr>
          <w:rFonts w:eastAsia="IRNazanin" w:cs="IRNazanin"/>
          <w:color w:val="111111"/>
          <w:sz w:val="28"/>
          <w:szCs w:val="28"/>
          <w:rtl w:val="true"/>
          <w:lang w:bidi="fa-IR"/>
        </w:rPr>
        <w:t xml:space="preserve">. </w:t>
      </w:r>
      <w:r>
        <w:rPr>
          <w:rStyle w:val="FootnoteAnchor"/>
          <w:rtl w:val="true"/>
        </w:rPr>
        <w:footnoteReference w:id="648"/>
      </w:r>
      <w:bookmarkStart w:id="518" w:name="pg19115_195482"/>
    </w:p>
    <w:p>
      <w:pPr>
        <w:pStyle w:val="BookText"/>
        <w:rPr/>
      </w:pPr>
      <w:bookmarkEnd w:id="518"/>
      <w:r>
        <w:rPr>
          <w:rFonts w:ascii="IRNazanin" w:hAnsi="IRNazanin" w:eastAsia="IRNazanin"/>
          <w:color w:val="111111"/>
          <w:sz w:val="28"/>
          <w:sz w:val="28"/>
          <w:szCs w:val="28"/>
          <w:rtl w:val="true"/>
          <w:lang w:bidi="fa-IR"/>
        </w:rPr>
        <w:t>سید محمد عاملی در مدارک دو دلیلی که برای حرمت تزئین ذکر شده نقل می،کند سپس می گوید روایت عمرو بن جمیع سندش به جهت عده ای از مجاهیل ضعفا ضعیف است و دلیل دیگر بدعت بودن بیشتر از کراهت را ثابت نمی کند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شهید ثانی در روض الجنان می گوید دلیل حرمت نقاشی مسجد، کشیدن تصاویر و تزئین آن ضعیف است</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فاضل خراسانی نیز در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تزئین واضح نیست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محقق اردبیلی می گوید روایت عمرو بن جميع سندش تمام نیست و دلالت آن نیز صراحت ندارد تحقق بدعت هم خیلی روشن نیست از این رو، کراهت آن بعدی ندارد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محقق خوئی می گوید هیچ دلیلی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 و نه بر نقاشی به تصاویر غیر ذوات ارواح نداریم و به حسب صناعت نظر اقوی جواز است ولی احتیاط ترک آن 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شيخ على جواهری می گوید بنا بر ظاهر ادله کراهت شدیده دارد، و احتیاط ترک آن است</w:t>
      </w:r>
      <w:r>
        <w:rPr>
          <w:rFonts w:eastAsia="IRNazanin" w:cs="IRNazanin"/>
          <w:color w:val="111111"/>
          <w:sz w:val="28"/>
          <w:szCs w:val="28"/>
          <w:rtl w:val="true"/>
          <w:lang w:bidi="fa-IR"/>
        </w:rPr>
        <w:t xml:space="preserve">. </w:t>
      </w:r>
      <w:r>
        <w:rPr>
          <w:rStyle w:val="FootnoteAnchor"/>
          <w:rtl w:val="true"/>
        </w:rPr>
        <w:footnoteReference w:id="654"/>
      </w:r>
    </w:p>
    <w:p>
      <w:pPr>
        <w:pStyle w:val="Heading5"/>
        <w:numPr>
          <w:ilvl w:val="4"/>
          <w:numId w:val="1"/>
        </w:numPr>
        <w:rPr/>
      </w:pPr>
      <w:bookmarkStart w:id="519" w:name="__RefHeading___Toc15202574_1280447820"/>
      <w:bookmarkStart w:id="520" w:name="_Toc198"/>
      <w:bookmarkEnd w:id="519"/>
      <w:r>
        <w:rPr>
          <w:rtl w:val="true"/>
        </w:rPr>
        <w:t>گفتار دوم</w:t>
      </w:r>
      <w:r>
        <w:rPr>
          <w:rtl w:val="true"/>
        </w:rPr>
        <w:t xml:space="preserve">: </w:t>
      </w:r>
      <w:r>
        <w:rPr>
          <w:rtl w:val="true"/>
        </w:rPr>
        <w:t>تزئین مساجد از نگاه اهل سنت</w:t>
      </w:r>
      <w:bookmarkEnd w:id="520"/>
    </w:p>
    <w:p>
      <w:pPr>
        <w:pStyle w:val="Heading6"/>
        <w:numPr>
          <w:ilvl w:val="5"/>
          <w:numId w:val="1"/>
        </w:numPr>
        <w:rPr/>
      </w:pPr>
      <w:bookmarkStart w:id="521" w:name="__RefHeading___Toc15202576_1280447820"/>
      <w:bookmarkStart w:id="522" w:name="_Toc199"/>
      <w:bookmarkEnd w:id="521"/>
      <w:r>
        <w:rPr/>
        <w:t>1</w:t>
      </w:r>
      <w:r>
        <w:rPr>
          <w:rtl w:val="true"/>
        </w:rPr>
        <w:t xml:space="preserve">. </w:t>
      </w:r>
      <w:r>
        <w:rPr>
          <w:rtl w:val="true"/>
        </w:rPr>
        <w:t>مذهب شافعی</w:t>
      </w:r>
      <w:bookmarkEnd w:id="52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آویزان کردن شمعدان و چلچراغ طلایی و نقره ای در </w:t>
      </w:r>
    </w:p>
    <w:p>
      <w:pPr>
        <w:pStyle w:val="BookText"/>
        <w:rPr/>
      </w:pPr>
      <w:r>
        <w:rPr>
          <w:rFonts w:ascii="IRNazanin" w:hAnsi="IRNazanin" w:eastAsia="IRNazanin"/>
          <w:color w:val="111111"/>
          <w:sz w:val="28"/>
          <w:sz w:val="28"/>
          <w:szCs w:val="28"/>
          <w:rtl w:val="true"/>
          <w:lang w:bidi="fa-IR"/>
        </w:rPr>
        <w:t>خانه کعبه و سایر مساجد و روکش طلا و نقره گذاشتن بر آنها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جایز و مباح،است چنان که خانه کعبه با ابریشم و دیبا تزئین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کار بردن آنها در غیر کعبه حرام است اما در کعبه و مساجد جایز است؛ در تزئین کعبه و مساجد با طلا و نقره و دیباج تعظیم دین و عزت و شکوه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حرام است چنان که ابواسحاق مروزی و بسیاری از فقهای متقدم شافعی به آن فتوا داده اند؛ زیرا در سنت پیامبر وارد نشده و هیچ یک از پیشوایان مذهب به آن عمل نکرده است مضاف بر آن این عمل اسراف و ضایع کردن اموال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تزئین خانه کعبه و سایر مساجد و تزئین سقف آنها با طلا و نقره و آویزان کردن شمعدان و لوستر طلایی و نقره ای دو وجه مشهور است، و اصح آن دو وجه تحریم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می کند به این که تزئین کعبه و مساجد در سنت وارد نشده و هیچ یک از خلفای راشدین به آن عمل نکرده اند از این رو بدعت می باشد و هر بدعتی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جایز و مباح است؛ به جهت این که در تزئین کعبه و مساجد تعظیم آنها و عظمت و شکوه دین می باشد</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 یحیی انصاری می گوید مکروه است این که مسجد نقاشی و برای آن کنگره ساخته شود؛ زیرا آنها قلب نمازگزار را به خود مشغول می کنند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نووی و ابن حجر هیتمی نیز به آن اشاره کرده اند</w:t>
      </w:r>
      <w:r>
        <w:rPr>
          <w:rFonts w:eastAsia="IRNazanin" w:cs="IRNazanin"/>
          <w:color w:val="111111"/>
          <w:sz w:val="28"/>
          <w:szCs w:val="28"/>
          <w:rtl w:val="true"/>
          <w:lang w:bidi="fa-IR"/>
        </w:rPr>
        <w:t xml:space="preserve">. </w:t>
      </w:r>
      <w:r>
        <w:rPr>
          <w:rStyle w:val="FootnoteAnchor"/>
          <w:rtl w:val="true"/>
        </w:rPr>
        <w:footnoteReference w:id="658"/>
      </w:r>
      <w:bookmarkStart w:id="523" w:name="pg19115_195484"/>
    </w:p>
    <w:p>
      <w:pPr>
        <w:pStyle w:val="Heading6"/>
        <w:numPr>
          <w:ilvl w:val="5"/>
          <w:numId w:val="1"/>
        </w:numPr>
        <w:rPr/>
      </w:pPr>
      <w:bookmarkStart w:id="524" w:name="__RefHeading___Toc15202578_1280447820"/>
      <w:bookmarkStart w:id="525" w:name="_Toc200"/>
      <w:bookmarkEnd w:id="523"/>
      <w:bookmarkEnd w:id="524"/>
      <w:r>
        <w:rPr/>
        <w:t>2</w:t>
      </w:r>
      <w:r>
        <w:rPr>
          <w:rtl w:val="true"/>
        </w:rPr>
        <w:t xml:space="preserve">. </w:t>
      </w:r>
      <w:r>
        <w:rPr>
          <w:rtl w:val="true"/>
        </w:rPr>
        <w:t>مذهب حنفی</w:t>
      </w:r>
      <w:bookmarkEnd w:id="525"/>
    </w:p>
    <w:p>
      <w:pPr>
        <w:pStyle w:val="BookText"/>
        <w:rPr/>
      </w:pPr>
      <w:r>
        <w:rPr>
          <w:rFonts w:ascii="IRNazanin" w:hAnsi="IRNazanin" w:eastAsia="IRNazanin"/>
          <w:color w:val="111111"/>
          <w:sz w:val="28"/>
          <w:sz w:val="28"/>
          <w:szCs w:val="28"/>
          <w:rtl w:val="true"/>
          <w:lang w:bidi="fa-IR"/>
        </w:rPr>
        <w:t>فقیهان حنفی معتقدند به این که نقاشی کردن مساجد با گچ و آب طلا به جز محراب آن جایز است اما نقاشی کردن محراب مسجد کراهت دارد، به جهت این که نمازگزار را به خود مشغول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حنفی بر این باورند که نقاشی کردن مساجد کراهت دارد</w:t>
      </w:r>
      <w:r>
        <w:rPr>
          <w:rFonts w:eastAsia="IRNazanin" w:cs="IRNazanin"/>
          <w:color w:val="111111"/>
          <w:sz w:val="28"/>
          <w:szCs w:val="28"/>
          <w:rtl w:val="true"/>
          <w:lang w:bidi="fa-IR"/>
        </w:rPr>
        <w:t xml:space="preserve">. </w:t>
      </w:r>
      <w:r>
        <w:rPr>
          <w:rStyle w:val="FootnoteAnchor"/>
          <w:rtl w:val="true"/>
        </w:rPr>
        <w:footnoteReference w:id="659"/>
      </w:r>
    </w:p>
    <w:p>
      <w:pPr>
        <w:pStyle w:val="Heading6"/>
        <w:numPr>
          <w:ilvl w:val="5"/>
          <w:numId w:val="1"/>
        </w:numPr>
        <w:rPr/>
      </w:pPr>
      <w:bookmarkStart w:id="526" w:name="__RefHeading___Toc15202580_1280447820"/>
      <w:bookmarkStart w:id="527" w:name="_Toc201"/>
      <w:bookmarkEnd w:id="526"/>
      <w:r>
        <w:rPr/>
        <w:t>3</w:t>
      </w:r>
      <w:r>
        <w:rPr>
          <w:rtl w:val="true"/>
        </w:rPr>
        <w:t xml:space="preserve">. </w:t>
      </w:r>
      <w:r>
        <w:rPr>
          <w:rtl w:val="true"/>
        </w:rPr>
        <w:t>مذهب حنبلی</w:t>
      </w:r>
      <w:bookmarkEnd w:id="527"/>
    </w:p>
    <w:p>
      <w:pPr>
        <w:pStyle w:val="BookText"/>
        <w:rPr/>
      </w:pPr>
      <w:r>
        <w:rPr>
          <w:rFonts w:ascii="IRNazanin" w:hAnsi="IRNazanin" w:eastAsia="IRNazanin"/>
          <w:color w:val="111111"/>
          <w:sz w:val="28"/>
          <w:sz w:val="28"/>
          <w:szCs w:val="28"/>
          <w:rtl w:val="true"/>
          <w:lang w:bidi="fa-IR"/>
        </w:rPr>
        <w:t>فقهای حنبلی می گویند تزئین و آراستن مسجد با طلا و نقره حرام می باشد و اگر چنان که برخی افراد آن را تزئین کرده باشند ازاله و برطرف کردن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تزئین مسجد با نقاشی و رنگ آمیزی و هرچه که نمازگزار را غالباً از عبادات باز می دارد مکروه است</w:t>
      </w:r>
      <w:r>
        <w:rPr>
          <w:rFonts w:eastAsia="IRNazanin" w:cs="IRNazanin"/>
          <w:color w:val="111111"/>
          <w:sz w:val="28"/>
          <w:szCs w:val="28"/>
          <w:rtl w:val="true"/>
          <w:lang w:bidi="fa-IR"/>
        </w:rPr>
        <w:t xml:space="preserve">. </w:t>
      </w:r>
      <w:r>
        <w:rPr>
          <w:rStyle w:val="FootnoteAnchor"/>
          <w:rtl w:val="true"/>
        </w:rPr>
        <w:footnoteReference w:id="660"/>
      </w:r>
    </w:p>
    <w:p>
      <w:pPr>
        <w:pStyle w:val="Heading6"/>
        <w:numPr>
          <w:ilvl w:val="5"/>
          <w:numId w:val="1"/>
        </w:numPr>
        <w:rPr/>
      </w:pPr>
      <w:bookmarkStart w:id="528" w:name="__RefHeading___Toc15202582_1280447820"/>
      <w:bookmarkStart w:id="529" w:name="_Toc202"/>
      <w:bookmarkEnd w:id="528"/>
      <w:r>
        <w:rPr/>
        <w:t>4</w:t>
      </w:r>
      <w:r>
        <w:rPr>
          <w:rtl w:val="true"/>
        </w:rPr>
        <w:t xml:space="preserve">. </w:t>
      </w:r>
      <w:r>
        <w:rPr>
          <w:rtl w:val="true"/>
        </w:rPr>
        <w:t>مذهب مالکی</w:t>
      </w:r>
      <w:bookmarkEnd w:id="529"/>
    </w:p>
    <w:p>
      <w:pPr>
        <w:pStyle w:val="BookText"/>
        <w:rPr/>
      </w:pPr>
      <w:r>
        <w:rPr>
          <w:rFonts w:ascii="IRNazanin" w:hAnsi="IRNazanin" w:eastAsia="IRNazanin"/>
          <w:color w:val="111111"/>
          <w:sz w:val="28"/>
          <w:sz w:val="28"/>
          <w:szCs w:val="28"/>
          <w:rtl w:val="true"/>
          <w:lang w:bidi="fa-IR"/>
        </w:rPr>
        <w:t>فقهای مالکی بر این باورند که آراستن و تزئین کردن دیوار، سقف تیرچوب و پردۀ مسجد با طلا و نقره مکروه می باشد البته در صورتی که نمازگزار را از عبادت باز می دارد کراهت دارد، وگرنه کراهت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دیدگاه فقیهان مالکی تزئین محراب مسجد با طلا و غیر طلا مکروه است</w:t>
      </w:r>
      <w:r>
        <w:rPr>
          <w:rFonts w:eastAsia="IRNazanin" w:cs="IRNazanin"/>
          <w:color w:val="111111"/>
          <w:sz w:val="28"/>
          <w:szCs w:val="28"/>
          <w:rtl w:val="true"/>
          <w:lang w:bidi="fa-IR"/>
        </w:rPr>
        <w:t xml:space="preserve">. </w:t>
      </w:r>
      <w:r>
        <w:rPr>
          <w:rStyle w:val="FootnoteAnchor"/>
          <w:rtl w:val="true"/>
        </w:rPr>
        <w:footnoteReference w:id="661"/>
      </w:r>
      <w:bookmarkStart w:id="530" w:name="pg19115_195485"/>
    </w:p>
    <w:p>
      <w:pPr>
        <w:pStyle w:val="Heading4"/>
        <w:numPr>
          <w:ilvl w:val="3"/>
          <w:numId w:val="1"/>
        </w:numPr>
        <w:rPr/>
      </w:pPr>
      <w:bookmarkStart w:id="531" w:name="__RefHeading___Toc15202584_1280447820"/>
      <w:bookmarkStart w:id="532" w:name="_Toc203"/>
      <w:bookmarkEnd w:id="530"/>
      <w:bookmarkEnd w:id="531"/>
      <w:r>
        <w:rPr>
          <w:rtl w:val="true"/>
        </w:rPr>
        <w:t>مبحث دوم</w:t>
      </w:r>
      <w:r>
        <w:rPr>
          <w:rtl w:val="true"/>
        </w:rPr>
        <w:t xml:space="preserve">: </w:t>
      </w:r>
      <w:r>
        <w:rPr>
          <w:rtl w:val="true"/>
        </w:rPr>
        <w:t>پاکیزه، خوشبو کردن و روشن نگه داشتن مسجد</w:t>
      </w:r>
      <w:bookmarkEnd w:id="532"/>
    </w:p>
    <w:p>
      <w:pPr>
        <w:pStyle w:val="Heading5"/>
        <w:numPr>
          <w:ilvl w:val="4"/>
          <w:numId w:val="1"/>
        </w:numPr>
        <w:rPr/>
      </w:pPr>
      <w:bookmarkStart w:id="533" w:name="__RefHeading___Toc15202586_1280447820"/>
      <w:bookmarkStart w:id="534" w:name="_Toc204"/>
      <w:bookmarkEnd w:id="533"/>
      <w:r>
        <w:rPr>
          <w:rtl w:val="true"/>
        </w:rPr>
        <w:t>گفتار اول</w:t>
      </w:r>
      <w:r>
        <w:rPr>
          <w:rtl w:val="true"/>
        </w:rPr>
        <w:t xml:space="preserve">: </w:t>
      </w:r>
      <w:r>
        <w:rPr>
          <w:rtl w:val="true"/>
        </w:rPr>
        <w:t>پاکیزه نگه داشتن مسجد</w:t>
      </w:r>
      <w:bookmarkEnd w:id="534"/>
    </w:p>
    <w:p>
      <w:pPr>
        <w:pStyle w:val="Heading6"/>
        <w:numPr>
          <w:ilvl w:val="5"/>
          <w:numId w:val="1"/>
        </w:numPr>
        <w:rPr/>
      </w:pPr>
      <w:bookmarkStart w:id="535" w:name="__RefHeading___Toc15202588_1280447820"/>
      <w:bookmarkStart w:id="536" w:name="_Toc205"/>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 xml:space="preserve">اسلام دین نظافت و پاکیزگی است، طهارت و پاکی در شریعت اسلامی به هر وجهی که باشد محبوبیت دارد و به نحوی از آداب و ارزشهای انسانی شمرده می شود قول خدای سبحان </w:t>
      </w:r>
      <w:r>
        <w:rPr>
          <w:rFonts w:ascii="Amiri" w:hAnsi="Amiri" w:eastAsia="Amiri" w:cs="Amiri"/>
          <w:color w:val="111111"/>
          <w:sz w:val="28"/>
          <w:sz w:val="28"/>
          <w:szCs w:val="28"/>
          <w:rtl w:val="true"/>
          <w:lang w:bidi="ar-SA"/>
        </w:rPr>
        <w:t>إِنَّ اللَّهَ يُحِبُّ التَّوَّابِينَ وَيُحِبُّ الْمُتَطَهِّرِينَ</w:t>
      </w:r>
      <w:r>
        <w:rPr>
          <w:rStyle w:val="FootnoteAnchor"/>
          <w:rtl w:val="true"/>
        </w:rPr>
        <w:footnoteReference w:id="662"/>
      </w:r>
      <w:r>
        <w:rPr>
          <w:rFonts w:ascii="IRNazanin" w:hAnsi="IRNazanin" w:eastAsia="IRNazanin"/>
          <w:color w:val="111111"/>
          <w:sz w:val="28"/>
          <w:sz w:val="28"/>
          <w:szCs w:val="28"/>
          <w:rtl w:val="true"/>
          <w:lang w:bidi="fa-IR"/>
        </w:rPr>
        <w:t xml:space="preserve">بهترین دلیل است بر این که طهارت و پاکیزگی محبوب خداوند است و مؤید این امر روایتی است که از پیامبر خدا صلی الله علیه و آله نقل شده است </w:t>
      </w:r>
      <w:r>
        <w:rPr>
          <w:rFonts w:ascii="Amiri" w:hAnsi="Amiri" w:eastAsia="Amiri" w:cs="Amiri"/>
          <w:color w:val="111111"/>
          <w:sz w:val="28"/>
          <w:sz w:val="28"/>
          <w:szCs w:val="28"/>
          <w:rtl w:val="true"/>
          <w:lang w:bidi="ar-SA"/>
        </w:rPr>
        <w:t>النَّظَافَةُ مِنَ الْإِيمَانِ و الْإِيمَانِ وَ صَاحِبُهُ فِي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او مردم را به نظافت و پاکیزگی امر کرده و آن را جزء ایمان قرار داده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مسلمانان موظفند که به طور مستمر مساجد را رسیدگی کنند که مبادا آنها را گرد و خاک و غبار فرا بگیرد و یا این که معاذ الله مساجد به انواع و اقسام چرکها و آلودگی 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آدابی که در روایات و فتاوی فقیهان برای مسجد ذکر شده است، پاکیزه نگهداشتن و غبارروبی مسجد می باشد که ثواب و فضیلت زیادی برای آن ذکر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ابن ادریس محقق و علامه می گویند نظافت جارو کردن، </w:t>
      </w:r>
      <w:bookmarkStart w:id="537" w:name="pg19115_195486"/>
    </w:p>
    <w:p>
      <w:pPr>
        <w:pStyle w:val="BookText"/>
        <w:rPr/>
      </w:pPr>
      <w:bookmarkEnd w:id="537"/>
      <w:r>
        <w:rPr>
          <w:rFonts w:ascii="IRNazanin" w:hAnsi="IRNazanin" w:eastAsia="IRNazanin"/>
          <w:color w:val="111111"/>
          <w:sz w:val="28"/>
          <w:sz w:val="28"/>
          <w:szCs w:val="28"/>
          <w:rtl w:val="true"/>
          <w:lang w:bidi="fa-IR"/>
        </w:rPr>
        <w:t>جمع آوری و بیرون ریختن زباله و خاکروبه مساجد مستحب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شهیدین و سید علی طباطبایی نیز انجام نظافت پاکیزه نگه داشتن و جارو کردن مسجد را مخصوصاً در روز پنجشنبه و شب جمعه مستحب می دانند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علامه در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پاکیزه نگه داشتن مساجد تعظيم مكان عبادت می باشد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در مدارک و جواهر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تنظیف، غبارروبی و پاکیزه نگه داشتن مساجد تعظیم شعائر الله و باعث میل و رغبت کسانی که در مسجد تردد می کنند می شود و از خرابی مسجد نیز جلوگیری به عمل می آید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تعظیم مساجد از طرف خداوند امر وارد شده است؛ زیرا مساجد خانه های خدا در زمین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جمعی دیگر از فقیهان متأخر و معاصر نیز به آن اشاره کرده اند</w:t>
      </w:r>
      <w:r>
        <w:rPr>
          <w:rFonts w:eastAsia="IRNazanin" w:cs="IRNazanin"/>
          <w:color w:val="111111"/>
          <w:sz w:val="28"/>
          <w:szCs w:val="28"/>
          <w:rtl w:val="true"/>
          <w:lang w:bidi="fa-IR"/>
        </w:rPr>
        <w:t xml:space="preserve">. </w:t>
      </w:r>
      <w:r>
        <w:rPr>
          <w:rStyle w:val="FootnoteAnchor"/>
          <w:rtl w:val="true"/>
        </w:rPr>
        <w:footnoteReference w:id="670"/>
      </w:r>
    </w:p>
    <w:p>
      <w:pPr>
        <w:pStyle w:val="Heading6"/>
        <w:numPr>
          <w:ilvl w:val="5"/>
          <w:numId w:val="1"/>
        </w:numPr>
        <w:rPr/>
      </w:pPr>
      <w:bookmarkStart w:id="538" w:name="__RefHeading___Toc15202590_1280447820"/>
      <w:bookmarkStart w:id="539" w:name="_Toc206"/>
      <w:bookmarkEnd w:id="538"/>
      <w:r>
        <w:rPr>
          <w:rtl w:val="true"/>
        </w:rPr>
        <w:t>ادله استحباب تنظيف مساجد</w:t>
      </w:r>
      <w:bookmarkEnd w:id="539"/>
    </w:p>
    <w:p>
      <w:pPr>
        <w:pStyle w:val="BookText"/>
        <w:rPr/>
      </w:pPr>
      <w:r>
        <w:rPr>
          <w:rFonts w:ascii="IRNazanin" w:hAnsi="IRNazanin" w:eastAsia="IRNazanin"/>
          <w:color w:val="111111"/>
          <w:sz w:val="28"/>
          <w:sz w:val="28"/>
          <w:szCs w:val="28"/>
          <w:rtl w:val="true"/>
          <w:lang w:bidi="fa-IR"/>
        </w:rPr>
        <w:t>برای این مسئله به چند وجه می شود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نظافت و پاکیزه نگه داشتن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 دین و</w:t>
      </w:r>
    </w:p>
    <w:p>
      <w:pPr>
        <w:pStyle w:val="BookText"/>
        <w:rPr/>
      </w:pPr>
      <w:r>
        <w:rPr>
          <w:rFonts w:ascii="IRNazanin" w:hAnsi="IRNazanin" w:eastAsia="IRNazanin"/>
          <w:color w:val="111111"/>
          <w:sz w:val="28"/>
          <w:sz w:val="28"/>
          <w:szCs w:val="28"/>
          <w:rtl w:val="true"/>
          <w:lang w:bidi="fa-IR"/>
        </w:rPr>
        <w:t>موجب میل و رغبت بیشتری برای نمازگزاران به مساجد می شود؛ زیرا نظافت و پاکیزگی خانه خدا در زمین موجب تعظیم شعائر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امالی با سندش از سلام بن غانم از امام صادق علیه السلام از پدرانش از پیامبر خدا صلی الله علیه و آله روایت می کند که هر کس مسجدی را جاروب کند خداوند برای او پاداش آزاد کردن یک بنده را می نویسد و کسی که خاشاکی را از مسجد خارج کند، خداوند برای او بهره و نصیبی دو چندان از رحمتش قرار می دهد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عبدالحمید از امام کاظم علیه السلام روایت می 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را در روز پنجشنبه و شب جمعه خاکروبی و جاروب کند و به اندازه غباری که در چشم می رود از مسجد خاک برگیرد، خداوند او را مورد آمرزش خویش قرار خواهد داد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شاذان بن جبرئیل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عبدالله بن مسعود از پیامبر خدا صلی الله علیه و آله روایت می کند که در شب معراج دیدم بر در ششم بهشت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لا تأكله الابدان تحت الأرض، فليكنس المساجد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پدرش روایت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الْجَنَّةَ وَ الْحُورَ لَتَشْتَاقُ إِلَى مَنْ يَكْسَحُ الْمَسْجِدَ أَوْ يَأْخُذُ مِنْهُ الْقَذَى</w:t>
      </w:r>
      <w:r>
        <w:rPr>
          <w:rFonts w:ascii="IRNazanin" w:hAnsi="IRNazanin" w:eastAsia="IRNazanin"/>
          <w:color w:val="111111"/>
          <w:sz w:val="28"/>
          <w:sz w:val="28"/>
          <w:szCs w:val="28"/>
          <w:rtl w:val="true"/>
          <w:lang w:bidi="fa-IR"/>
        </w:rPr>
        <w:t>؛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حوریه مشتاق کسی است که مسجد را تمیز و جارو کند یا گرد و غبار آن را بگیرد</w:t>
      </w:r>
      <w:r>
        <w:rPr>
          <w:rFonts w:eastAsia="IRNazanin" w:cs="IRNazanin"/>
          <w:color w:val="111111"/>
          <w:sz w:val="28"/>
          <w:szCs w:val="28"/>
          <w:rtl w:val="true"/>
          <w:lang w:bidi="fa-IR"/>
        </w:rPr>
        <w:t xml:space="preserve">. </w:t>
      </w:r>
      <w:bookmarkStart w:id="540" w:name="pg19115_195488"/>
    </w:p>
    <w:p>
      <w:pPr>
        <w:pStyle w:val="Heading5"/>
        <w:numPr>
          <w:ilvl w:val="4"/>
          <w:numId w:val="1"/>
        </w:numPr>
        <w:rPr/>
      </w:pPr>
      <w:bookmarkStart w:id="541" w:name="__RefHeading___Toc15202592_1280447820"/>
      <w:bookmarkStart w:id="542" w:name="_Toc207"/>
      <w:bookmarkEnd w:id="540"/>
      <w:bookmarkEnd w:id="541"/>
      <w:r>
        <w:rPr>
          <w:rtl w:val="true"/>
        </w:rPr>
        <w:t>گفتار دوم</w:t>
      </w:r>
      <w:r>
        <w:rPr>
          <w:rtl w:val="true"/>
        </w:rPr>
        <w:t xml:space="preserve">: </w:t>
      </w:r>
      <w:r>
        <w:rPr>
          <w:rtl w:val="true"/>
        </w:rPr>
        <w:t>روشن نگه داشتن مسجد</w:t>
      </w:r>
      <w:bookmarkEnd w:id="542"/>
    </w:p>
    <w:p>
      <w:pPr>
        <w:pStyle w:val="Heading6"/>
        <w:numPr>
          <w:ilvl w:val="5"/>
          <w:numId w:val="1"/>
        </w:numPr>
        <w:rPr/>
      </w:pPr>
      <w:bookmarkStart w:id="543" w:name="__RefHeading___Toc15202594_1280447820"/>
      <w:bookmarkStart w:id="544" w:name="_Toc208"/>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از دیگر آداب مسجد روشن نگهداشتن آن است بدین صورت که خانه خدا را شبانگاهان با افروختن چراغ روشن داشته و آن را از حالت تاریک و ظلمانی خارج کنیم؛ چرا که این کار از جهتی باعث برآورده شدن حاجت نمازگزاران می شود و از جهت دیگر نیز ترس و وحشت ناشی از ظلمت و تاریکی را برطرف می کند و نیز این عمل متهجدان و نمازگزاران در شب را در رسیدن به آرزوها و اهدافشان کمک می کند و میل و رغبت کسانی که در مساجد رفت و آمد دارند بیشتر می شود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شیخ طوسی ابن ادریس محقق و علامه معتقدند به این که افروختن چراغ و روشن نگهداشتن مساجد در هنگام شب مستحب است </w:t>
      </w:r>
      <w:r>
        <w:rPr>
          <w:rStyle w:val="FootnoteAnchor"/>
          <w:rtl w:val="true"/>
        </w:rPr>
        <w:footnoteReference w:id="675"/>
      </w:r>
      <w:r>
        <w:rPr>
          <w:rFonts w:ascii="IRNazanin" w:hAnsi="IRNazanin" w:eastAsia="IRNazanin"/>
          <w:color w:val="111111"/>
          <w:sz w:val="28"/>
          <w:sz w:val="28"/>
          <w:szCs w:val="28"/>
          <w:rtl w:val="true"/>
          <w:lang w:bidi="fa-IR"/>
        </w:rPr>
        <w:t>و شمار دیگری از فقیهان متأخر و معاصر نیز در این حکم با آنان اتفاق نظر دارند</w:t>
      </w:r>
      <w:r>
        <w:rPr>
          <w:rFonts w:eastAsia="IRNazanin" w:cs="IRNazanin"/>
          <w:color w:val="111111"/>
          <w:sz w:val="28"/>
          <w:szCs w:val="28"/>
          <w:rtl w:val="true"/>
          <w:lang w:bidi="fa-IR"/>
        </w:rPr>
        <w:t xml:space="preserve">. </w:t>
      </w:r>
      <w:r>
        <w:rPr>
          <w:rStyle w:val="FootnoteAnchor"/>
          <w:rtl w:val="true"/>
        </w:rPr>
        <w:footnoteReference w:id="676"/>
      </w:r>
    </w:p>
    <w:p>
      <w:pPr>
        <w:pStyle w:val="Heading6"/>
        <w:numPr>
          <w:ilvl w:val="5"/>
          <w:numId w:val="1"/>
        </w:numPr>
        <w:rPr/>
      </w:pPr>
      <w:bookmarkStart w:id="545" w:name="__RefHeading___Toc15202596_1280447820"/>
      <w:bookmarkStart w:id="546" w:name="_Toc209"/>
      <w:bookmarkEnd w:id="545"/>
      <w:r>
        <w:rPr>
          <w:rtl w:val="true"/>
        </w:rPr>
        <w:t>ادله استحباب افروختن چراغ در مساجد</w:t>
      </w:r>
      <w:bookmarkEnd w:id="546"/>
    </w:p>
    <w:p>
      <w:pPr>
        <w:pStyle w:val="BookText"/>
        <w:rPr/>
      </w:pPr>
      <w:r>
        <w:rPr>
          <w:rFonts w:ascii="IRNazanin" w:hAnsi="IRNazanin" w:eastAsia="IRNazanin"/>
          <w:color w:val="111111"/>
          <w:sz w:val="28"/>
          <w:sz w:val="28"/>
          <w:szCs w:val="28"/>
          <w:rtl w:val="true"/>
          <w:lang w:bidi="fa-IR"/>
        </w:rPr>
        <w:t>و برای استحباب روشن کردن چراغ در مساجد به چند روایت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انس روایت می 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مسجدی از مساجد خدا چراغی افروزد پیوسته فرشتگان الهی و حاملان عرش تا هنگامی که آن چراغ روشنایی دارد برای او طلب آمرزش می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47" w:name="pg19115_195489"/>
    </w:p>
    <w:p>
      <w:pPr>
        <w:pStyle w:val="BookText"/>
        <w:rPr/>
      </w:pPr>
      <w:bookmarkEnd w:id="5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منسوب به رسول خدا صلی الله علیه و آله آمده است که آن حضرت فرمود در شب معراج دیدم بر در ششم بهشت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أحب أن لا يظلم لحده فلينوّر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کسی که دوست دارد لحد و قبرش تاریک نباشد مساجد را روشن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خدا صلی الله علیه و آله در مقام بیان آثار و نتایج روشن نگه داشتن مسجد آمده است کسی که در یک شب چراغی را در مسجد برافروزد، خداوند گناهان هفتاد سال او را می آمرزد و ثواب یک سال عبادت برای او می نویسد و در نزد خداوند شهری به عنوان پاداش دارد و اگر بیش از یک شب این عمل را انجام دهد خداوند در برابر هر شب ثوابی را که به یکی از پیامبران خویش می دهد به وی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چراغ افروختن و روشن نگهداشتن مسجد به ده شب رسید، کسی نمی تواند پاداشی را که نزد خداوند دارد توصیف کند و اگر این کار به یک ماه رسید خداوند بدن او را بر آتش حرام می کند</w:t>
      </w:r>
      <w:r>
        <w:rPr>
          <w:rFonts w:eastAsia="IRNazanin" w:cs="IRNazanin"/>
          <w:color w:val="111111"/>
          <w:sz w:val="28"/>
          <w:szCs w:val="28"/>
          <w:rtl w:val="true"/>
          <w:lang w:bidi="fa-IR"/>
        </w:rPr>
        <w:t xml:space="preserve">. </w:t>
      </w:r>
      <w:r>
        <w:rPr>
          <w:rStyle w:val="FootnoteAnchor"/>
          <w:rtl w:val="true"/>
        </w:rPr>
        <w:footnoteReference w:id="678"/>
      </w:r>
    </w:p>
    <w:p>
      <w:pPr>
        <w:pStyle w:val="Heading5"/>
        <w:numPr>
          <w:ilvl w:val="4"/>
          <w:numId w:val="1"/>
        </w:numPr>
        <w:rPr/>
      </w:pPr>
      <w:bookmarkStart w:id="548" w:name="__RefHeading___Toc15202598_1280447820"/>
      <w:bookmarkStart w:id="549" w:name="_Toc210"/>
      <w:bookmarkEnd w:id="548"/>
      <w:r>
        <w:rPr>
          <w:rtl w:val="true"/>
        </w:rPr>
        <w:t>گفتار سوم</w:t>
      </w:r>
      <w:r>
        <w:rPr>
          <w:rtl w:val="true"/>
        </w:rPr>
        <w:t xml:space="preserve">: </w:t>
      </w:r>
      <w:r>
        <w:rPr>
          <w:rtl w:val="true"/>
        </w:rPr>
        <w:t>خوشبو کردن مسجد</w:t>
      </w:r>
      <w:bookmarkEnd w:id="5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آداب مساجد این است که هر هفته فضای مساجد معطر و خوشبو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بحرانی می نویسد اگرچه فقهای امامیه متعرض این حکم نشده اند ولی آن مدلول روایتی است که سید فضل الله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نقل می 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خود را در هر </w:t>
      </w:r>
      <w:bookmarkStart w:id="550" w:name="pg19115_195490"/>
    </w:p>
    <w:p>
      <w:pPr>
        <w:pStyle w:val="BookText"/>
        <w:rPr/>
      </w:pPr>
      <w:bookmarkEnd w:id="550"/>
      <w:r>
        <w:rPr>
          <w:rFonts w:ascii="IRNazanin" w:hAnsi="IRNazanin" w:eastAsia="IRNazanin"/>
          <w:color w:val="111111"/>
          <w:sz w:val="28"/>
          <w:sz w:val="28"/>
          <w:szCs w:val="28"/>
          <w:rtl w:val="true"/>
          <w:lang w:bidi="fa-IR"/>
        </w:rPr>
        <w:t>هفته خوشبو کنید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در روایتی دیگر از رسول خدا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خود را در جمعه ها خوشبو کنید</w:t>
      </w:r>
      <w:r>
        <w:rPr>
          <w:rFonts w:eastAsia="IRNazanin" w:cs="IRNazanin"/>
          <w:color w:val="111111"/>
          <w:sz w:val="28"/>
          <w:szCs w:val="28"/>
          <w:rtl w:val="true"/>
          <w:lang w:bidi="fa-IR"/>
        </w:rPr>
        <w:t xml:space="preserve">. </w:t>
      </w:r>
      <w:r>
        <w:rPr>
          <w:rStyle w:val="FootnoteAnchor"/>
          <w:rtl w:val="true"/>
        </w:rPr>
        <w:footnoteReference w:id="680"/>
      </w:r>
    </w:p>
    <w:p>
      <w:pPr>
        <w:pStyle w:val="Heading5"/>
        <w:numPr>
          <w:ilvl w:val="4"/>
          <w:numId w:val="1"/>
        </w:numPr>
        <w:rPr/>
      </w:pPr>
      <w:bookmarkStart w:id="551" w:name="__RefHeading___Toc15202600_1280447820"/>
      <w:bookmarkStart w:id="552" w:name="_Toc211"/>
      <w:bookmarkEnd w:id="551"/>
      <w:r>
        <w:rPr>
          <w:rtl w:val="true"/>
        </w:rPr>
        <w:t>گفتار چهارم</w:t>
      </w:r>
      <w:r>
        <w:rPr>
          <w:rtl w:val="true"/>
        </w:rPr>
        <w:t xml:space="preserve">: </w:t>
      </w:r>
      <w:r>
        <w:rPr>
          <w:rtl w:val="true"/>
        </w:rPr>
        <w:t>مفروش کردن مساجد</w:t>
      </w:r>
      <w:bookmarkEnd w:id="552"/>
    </w:p>
    <w:p>
      <w:pPr>
        <w:pStyle w:val="BookText"/>
        <w:rPr/>
      </w:pPr>
      <w:r>
        <w:rPr>
          <w:rFonts w:ascii="IRNazanin" w:hAnsi="IRNazanin" w:eastAsia="IRNazanin"/>
          <w:color w:val="111111"/>
          <w:sz w:val="28"/>
          <w:sz w:val="28"/>
          <w:szCs w:val="28"/>
          <w:rtl w:val="true"/>
          <w:lang w:bidi="fa-IR"/>
        </w:rPr>
        <w:t>از جمله نیازهای مسجد مفروش بودن آن است به طوری که مسجد پیامبر صلی الله علیه و آله با شن مفروش بود سپس در طول قرون مساجد را با حصیر فرش می کردند و در عصر حاضر از موکت و فرشهای ماشینی و دستباف برای فرش مساجد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مساجد با هر چه که مناسب است فرش شود و مهم این است که در نظافت و پاکیزه نگهداشتن فرشهای مساجد عنایت خاصی مبذول شود که به طور دائم با جارو دستی یا جاروبرقی مجهز جارو شود و نباید فرش مسجد خاک آلوده و گرد و غبار آن را فراگرفته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پیامبر خدا صلی الله علیه و آله روایت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شب معراج وقتی مرا به آسمان بردند، دیدم که بر در ششم بهشت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دوست دارد با طراوت شاداب و تر و تازه بماند و هرگز فرسوده پوسیده و مضمحل نشود، باید برای مساجد فرش تهیه کند و آنها با فرشهای مناسب بپوشاند</w:t>
      </w:r>
      <w:r>
        <w:rPr>
          <w:rFonts w:eastAsia="IRNazanin" w:cs="IRNazanin"/>
          <w:color w:val="111111"/>
          <w:sz w:val="28"/>
          <w:szCs w:val="28"/>
          <w:rtl w:val="true"/>
          <w:lang w:bidi="fa-IR"/>
        </w:rPr>
        <w:t xml:space="preserve">. </w:t>
      </w:r>
      <w:r>
        <w:rPr>
          <w:rStyle w:val="FootnoteAnchor"/>
          <w:rtl w:val="true"/>
        </w:rPr>
        <w:footnoteReference w:id="681"/>
      </w:r>
      <w:bookmarkStart w:id="553" w:name="pg19115_195491"/>
    </w:p>
    <w:p>
      <w:pPr>
        <w:pStyle w:val="Heading5"/>
        <w:numPr>
          <w:ilvl w:val="4"/>
          <w:numId w:val="1"/>
        </w:numPr>
        <w:rPr/>
      </w:pPr>
      <w:bookmarkStart w:id="554" w:name="__RefHeading___Toc15202602_1280447820"/>
      <w:bookmarkStart w:id="555" w:name="_Toc212"/>
      <w:bookmarkEnd w:id="553"/>
      <w:bookmarkEnd w:id="554"/>
      <w:r>
        <w:rPr>
          <w:rtl w:val="true"/>
        </w:rPr>
        <w:t>گفتار پنجم</w:t>
      </w:r>
      <w:r>
        <w:rPr>
          <w:rtl w:val="true"/>
        </w:rPr>
        <w:t xml:space="preserve">: </w:t>
      </w:r>
      <w:r>
        <w:rPr>
          <w:rtl w:val="true"/>
        </w:rPr>
        <w:t>دیدگاه اهل سنّت پیرامون نظافت، چراغانی و خوشبو کردن مسجد</w:t>
      </w:r>
      <w:bookmarkEnd w:id="555"/>
    </w:p>
    <w:p>
      <w:pPr>
        <w:pStyle w:val="Heading6"/>
        <w:numPr>
          <w:ilvl w:val="5"/>
          <w:numId w:val="1"/>
        </w:numPr>
        <w:rPr/>
      </w:pPr>
      <w:bookmarkStart w:id="556" w:name="__RefHeading___Toc15202604_1280447820"/>
      <w:bookmarkStart w:id="557" w:name="_Toc213"/>
      <w:bookmarkEnd w:id="556"/>
      <w:r>
        <w:rPr/>
        <w:t>1</w:t>
      </w:r>
      <w:r>
        <w:rPr>
          <w:rtl w:val="true"/>
        </w:rPr>
        <w:t xml:space="preserve">. </w:t>
      </w:r>
      <w:r>
        <w:rPr>
          <w:rtl w:val="true"/>
        </w:rPr>
        <w:t>مذهب شافعی</w:t>
      </w:r>
      <w:bookmarkEnd w:id="557"/>
    </w:p>
    <w:p>
      <w:pPr>
        <w:pStyle w:val="BookText"/>
        <w:rPr/>
      </w:pPr>
      <w:r>
        <w:rPr>
          <w:rFonts w:ascii="IRNazanin" w:hAnsi="IRNazanin" w:eastAsia="IRNazanin"/>
          <w:color w:val="111111"/>
          <w:sz w:val="28"/>
          <w:sz w:val="28"/>
          <w:szCs w:val="28"/>
          <w:rtl w:val="true"/>
          <w:lang w:bidi="fa-IR"/>
        </w:rPr>
        <w:t>از جمله آداب مسجد این است که مسلمانان وظیفه دارند آن را پاکیزه نگهدارند غبارروبی و نظافت کنند و همچنین فضای مساجد عطرآگین و خوشبو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مستحب است شبستان مساجد را هنگام شب به وسیله چراغها و قنادیل روشن و چراغانی کنند و برای مسجد فرشهای مناسب تهیه شود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نووی از فقهای شافعی می گوید نظافت و پاکیزه نگه داشتن مسجد، خاکروبی و برطرف کردن آلودگی از آن مستحب است</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محمد بن عبدالله زرکشی نیز به آن اشاره کرده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جلال الدین 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مسجد پاکیزه و نظیف باشد و آن را معطر و خوشبو کنند</w:t>
      </w:r>
      <w:r>
        <w:rPr>
          <w:rFonts w:eastAsia="IRNazanin" w:cs="IRNazanin"/>
          <w:color w:val="111111"/>
          <w:sz w:val="28"/>
          <w:szCs w:val="28"/>
          <w:rtl w:val="true"/>
          <w:lang w:bidi="fa-IR"/>
        </w:rPr>
        <w:t xml:space="preserve">. </w:t>
      </w:r>
      <w:r>
        <w:rPr>
          <w:rStyle w:val="FootnoteAnchor"/>
          <w:rtl w:val="true"/>
        </w:rPr>
        <w:footnoteReference w:id="685"/>
      </w:r>
    </w:p>
    <w:p>
      <w:pPr>
        <w:pStyle w:val="Heading6"/>
        <w:numPr>
          <w:ilvl w:val="5"/>
          <w:numId w:val="1"/>
        </w:numPr>
        <w:rPr/>
      </w:pPr>
      <w:bookmarkStart w:id="558" w:name="__RefHeading___Toc15202606_1280447820"/>
      <w:bookmarkStart w:id="559" w:name="_Toc214"/>
      <w:bookmarkEnd w:id="558"/>
      <w:r>
        <w:rPr/>
        <w:t>2</w:t>
      </w:r>
      <w:r>
        <w:rPr>
          <w:rtl w:val="true"/>
        </w:rPr>
        <w:t xml:space="preserve">. </w:t>
      </w:r>
      <w:r>
        <w:rPr>
          <w:rtl w:val="true"/>
        </w:rPr>
        <w:t>مذهب حنفی</w:t>
      </w:r>
      <w:bookmarkEnd w:id="5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فقیهان حنفی بر این باورند که پاکیزه نگهداشتن مسجد و نظافت کردن آن واجب است کاسانی از فقهای حنفی در بدائع می نویسد هرگاه معتکف در مسجد سرش را بشوید، اگر چنانچه از آبی که در شستن سر استفاده شده است، مسجد آلوده نشود هیچ اشکالی ندارد اما اگر مسجد را آلوده،کند جایز نیست و باید از آن </w:t>
      </w:r>
      <w:bookmarkStart w:id="560" w:name="pg19115_195492"/>
    </w:p>
    <w:p>
      <w:pPr>
        <w:pStyle w:val="BookText"/>
        <w:rPr/>
      </w:pPr>
      <w:bookmarkEnd w:id="560"/>
      <w:r>
        <w:rPr>
          <w:rFonts w:ascii="IRNazanin" w:hAnsi="IRNazanin" w:eastAsia="IRNazanin"/>
          <w:color w:val="111111"/>
          <w:sz w:val="28"/>
          <w:sz w:val="28"/>
          <w:szCs w:val="28"/>
          <w:rtl w:val="true"/>
          <w:lang w:bidi="fa-IR"/>
        </w:rPr>
        <w:t>منع شود؛ زیرا نظافت و پاکیزه نگه داشتن مسجد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وضو گرفتن در مسجد نیز همین تفصیل جاری است </w:t>
      </w:r>
      <w:r>
        <w:rPr>
          <w:rStyle w:val="FootnoteAnchor"/>
          <w:rtl w:val="true"/>
        </w:rPr>
        <w:footnoteReference w:id="686"/>
      </w:r>
      <w:r>
        <w:rPr>
          <w:rFonts w:ascii="IRNazanin" w:hAnsi="IRNazanin" w:eastAsia="IRNazanin"/>
          <w:color w:val="111111"/>
          <w:sz w:val="28"/>
          <w:sz w:val="28"/>
          <w:szCs w:val="28"/>
          <w:rtl w:val="true"/>
          <w:lang w:bidi="fa-IR"/>
        </w:rPr>
        <w:t>و برخی دیگر از فقهای حنفی نیز به آن اشاره کرده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مرغینانی از فقهای حنفی می گوید در قرآن کریم در مورد تطهیر مسجد امر وارد شده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محمود بن احمد عینی در شرح آن می نویسد منظور از امر قول خداوند قادر متعال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طَهِّرَا بَيْتِي</w:t>
      </w:r>
      <w:r>
        <w:rPr>
          <w:rStyle w:val="FootnoteAnchor"/>
          <w:rtl w:val="true"/>
        </w:rPr>
        <w:footnoteReference w:id="689"/>
      </w:r>
      <w:r>
        <w:rPr>
          <w:rFonts w:ascii="IRNazanin" w:hAnsi="IRNazanin" w:eastAsia="IRNazanin"/>
          <w:color w:val="111111"/>
          <w:sz w:val="28"/>
          <w:sz w:val="28"/>
          <w:szCs w:val="28"/>
          <w:rtl w:val="true"/>
          <w:lang w:bidi="fa-IR"/>
        </w:rPr>
        <w:t>آن است که خانه ام را پاکیزه نگهدار، اما امر به تطهیر مسجد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پیامبر خدا صلی الله علیه و آله روایت می کند که پیامبر به ساختن مساجد در بین قبایل امر کرد، و نیز دستور داد که در مساجد نظافت و پاکیزگی و بوی خوش رعایت شود</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Heading6"/>
        <w:numPr>
          <w:ilvl w:val="5"/>
          <w:numId w:val="1"/>
        </w:numPr>
        <w:rPr/>
      </w:pPr>
      <w:bookmarkStart w:id="561" w:name="__RefHeading___Toc15202608_1280447820"/>
      <w:bookmarkStart w:id="562" w:name="_Toc215"/>
      <w:bookmarkEnd w:id="561"/>
      <w:r>
        <w:rPr/>
        <w:t>3</w:t>
      </w:r>
      <w:r>
        <w:rPr>
          <w:rtl w:val="true"/>
        </w:rPr>
        <w:t xml:space="preserve">. </w:t>
      </w:r>
      <w:r>
        <w:rPr>
          <w:rtl w:val="true"/>
        </w:rPr>
        <w:t>مذهب حنبلی</w:t>
      </w:r>
      <w:bookmarkEnd w:id="5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حنبلی نیز به استحباب نظافت و پاکیزه نگه داشتن مسجد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فقهای حنبلی نیز می گویند مستحب است در بین خانه های قبایل مسجد ساخته شود و آن را نظافت کنند و پاکیزه نگه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خدامه مقدسی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محله های قبایل مساجدی ساخته شود، و نیز مستحب است در آنها نظافت و پاکیزگی رعایت،شود و مساجد معطر و خوشبو باشند و استدلال می کند به روایت عایشه از پیامبر خدا صلی الله علیه و آله که پیش تر گذشت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رهیبانی از فقهای حنابله می گوید نظافت و غبار روبی مسجد در روز پنج شنبه مستحب است و همچنین معطر و خوشبو کردن آن در روز جمعه و اعیاد نیز مستحب می باشد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بهوتی حنبلی نیز به آن اشاره کرده 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ابن قدامه مقدسی و جمعی دیگر از فقیهان حنبلی می گویند خوشبو کردن و عطرآگین بودن مسجد مستحب است و همچنین مستحب است که شب ها در آن چراغ افروخته شود تا شبستان مسجد روشن باشد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اولین کسی که در مسجد چراغ روشن کرد، تمیم داری بوده است</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ارمغان برای فرشتگان خوشبو کردن مساجد می باشد</w:t>
      </w:r>
      <w:r>
        <w:rPr>
          <w:rFonts w:eastAsia="IRNazanin" w:cs="IRNazanin"/>
          <w:color w:val="111111"/>
          <w:sz w:val="28"/>
          <w:szCs w:val="28"/>
          <w:rtl w:val="true"/>
          <w:lang w:bidi="fa-IR"/>
        </w:rPr>
        <w:t xml:space="preserve">. </w:t>
      </w:r>
      <w:r>
        <w:rPr>
          <w:rStyle w:val="FootnoteAnchor"/>
          <w:rtl w:val="true"/>
        </w:rPr>
        <w:footnoteReference w:id="697"/>
      </w:r>
      <w:bookmarkStart w:id="563" w:name="pg19115_195494"/>
    </w:p>
    <w:p>
      <w:pPr>
        <w:pStyle w:val="Heading4"/>
        <w:numPr>
          <w:ilvl w:val="3"/>
          <w:numId w:val="1"/>
        </w:numPr>
        <w:rPr/>
      </w:pPr>
      <w:bookmarkStart w:id="564" w:name="__RefHeading___Toc15202610_1280447820"/>
      <w:bookmarkStart w:id="565" w:name="_Toc216"/>
      <w:bookmarkEnd w:id="563"/>
      <w:bookmarkEnd w:id="564"/>
      <w:r>
        <w:rPr>
          <w:rtl w:val="true"/>
        </w:rPr>
        <w:t>مبحث سوم</w:t>
      </w:r>
      <w:r>
        <w:rPr>
          <w:rtl w:val="true"/>
        </w:rPr>
        <w:t xml:space="preserve">: </w:t>
      </w:r>
      <w:r>
        <w:rPr>
          <w:rtl w:val="true"/>
        </w:rPr>
        <w:t>خارج کردن سنگریزه از مسجد</w:t>
      </w:r>
      <w:bookmarkEnd w:id="565"/>
    </w:p>
    <w:p>
      <w:pPr>
        <w:pStyle w:val="Heading5"/>
        <w:numPr>
          <w:ilvl w:val="4"/>
          <w:numId w:val="1"/>
        </w:numPr>
        <w:rPr/>
      </w:pPr>
      <w:bookmarkStart w:id="566" w:name="__RefHeading___Toc15202612_1280447820"/>
      <w:bookmarkStart w:id="567" w:name="_Toc217"/>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یکی از احکام پیرامون ساختمان مسجد خارج کردن اجزا و اشیای مربوط به مسجد است که جایز نیست انسان این اشیاء را از بین برده یا آنها را از مسجد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حتی نسبت به سنگریزه های متعلق به مسجد نیز جریان دارد برای مثال ممکن است قسمتی از مسجد شن ریزی شده باشد که بر اساس این حکم نمی توان آن را از مسجد خارج کرد و اگر شخصی آنها را خارج کرد واجب است به مسجد برگرداند لیکن چون در گذشته زمین بیشتر مساجد از سنگریزه تشکیل می شده از این رو در روایات متعدد نسبت به خارج نکردن سنگریزه از مسجد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سنگ مسجد و سنگ ریزه آن یا هر چیزی که از اجزای زمین محسوب می شود و عنوان مسجد بودن بر آن صادق است بنابر فتوای مشهور جایز نیست آن را از مسجد بیرون ببرند و هر گاه شخصی علیرغم ممنوعیت، سنگریزه مسجد یا سایر آلات و تجهیزات آن را بیرون ببرد واجب است آنها را به همین مسجد یا مسجد دیگری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حکم حرمت مربوط به جایی است که سنگریزه جزء مسجد باشد، اما اگر جزء مسجد نباشد خارج کردن آن از مسجد کراهت دارد و اگر جزء خاکروبه ها و سنگهای اضافی و زاید،باشد خارج کردن آن از مسجد نه تنها حرمت یا کراهت ندارد بلکه می توان گفت مطلوب و پسندیده و از جمله مستحبّات مسجد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سنگ ریزه های مسجد را می توان به سه دسته تقسیم کرد</w:t>
      </w:r>
      <w:r>
        <w:rPr>
          <w:rFonts w:eastAsia="IRNazanin" w:cs="IRNazanin"/>
          <w:color w:val="111111"/>
          <w:sz w:val="28"/>
          <w:szCs w:val="28"/>
          <w:rtl w:val="true"/>
          <w:lang w:bidi="fa-IR"/>
        </w:rPr>
        <w:t xml:space="preserve">: </w:t>
      </w:r>
      <w:bookmarkStart w:id="568" w:name="pg19115_195495"/>
    </w:p>
    <w:p>
      <w:pPr>
        <w:pStyle w:val="BookText"/>
        <w:rPr/>
      </w:pPr>
      <w:bookmarkEnd w:id="5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جزء مسجد بوده و سنگفرش مسجد محسوب می شود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کردن آن از مسجد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ای که جزء مسجد به حساب نیامده و خاکروبه و زائد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مقداری سنگریزه در قسمتی از مسجد قرار دارد که به عنوان کف پوش مسجد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آنها از مسجد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این سنگریزه ها زائد و اضافی است و موجب کثیف شدن مسجد شده و خاکروبه به حساب می آید که خارج کردن این دسته از مسجد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هم که مشتبه شود سنگریزه جزء مسجد است یا خیر و عرف نیز حکمی در این زمینه نداشته باشد اصل جواز اخراج آن از مسجد می باشد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میان فقیهان امامیه، سه دیدگاه وجود دارد که عده ای از فقها خارج کردن سنگریزه از مسجد را حرام دانسته و گروهی مکروه می دانند و عده ای تفصیل داده اند بین این که اگر سنگریزه جزء مسجد،باشد خارج کردن آن حرام و گرنه مکروه است</w:t>
      </w:r>
      <w:r>
        <w:rPr>
          <w:rFonts w:eastAsia="IRNazanin" w:cs="IRNazanin"/>
          <w:color w:val="111111"/>
          <w:sz w:val="28"/>
          <w:szCs w:val="28"/>
          <w:rtl w:val="true"/>
          <w:lang w:bidi="fa-IR"/>
        </w:rPr>
        <w:t>.</w:t>
      </w:r>
    </w:p>
    <w:p>
      <w:pPr>
        <w:pStyle w:val="Heading5"/>
        <w:numPr>
          <w:ilvl w:val="4"/>
          <w:numId w:val="1"/>
        </w:numPr>
        <w:rPr/>
      </w:pPr>
      <w:bookmarkStart w:id="569" w:name="__RefHeading___Toc15202614_1280447820"/>
      <w:bookmarkStart w:id="570" w:name="_Toc218"/>
      <w:bookmarkEnd w:id="569"/>
      <w:r>
        <w:rPr>
          <w:rtl w:val="true"/>
        </w:rPr>
        <w:t>الف</w:t>
      </w:r>
      <w:r>
        <w:rPr>
          <w:rtl w:val="true"/>
        </w:rPr>
        <w:t xml:space="preserve">) </w:t>
      </w:r>
      <w:r>
        <w:rPr>
          <w:rtl w:val="true"/>
        </w:rPr>
        <w:t>دیدگاه نخست</w:t>
      </w:r>
      <w:r>
        <w:rPr>
          <w:rtl w:val="true"/>
        </w:rPr>
        <w:t xml:space="preserve">: </w:t>
      </w:r>
      <w:r>
        <w:rPr>
          <w:rtl w:val="true"/>
        </w:rPr>
        <w:t>حرمت</w:t>
      </w:r>
      <w:bookmarkEnd w:id="570"/>
    </w:p>
    <w:p>
      <w:pPr>
        <w:pStyle w:val="Heading6"/>
        <w:numPr>
          <w:ilvl w:val="5"/>
          <w:numId w:val="1"/>
        </w:numPr>
        <w:rPr/>
      </w:pPr>
      <w:bookmarkStart w:id="571" w:name="__RefHeading___Toc15202616_1280447820"/>
      <w:bookmarkStart w:id="572" w:name="_Toc219"/>
      <w:bookmarkEnd w:id="571"/>
      <w:r>
        <w:rPr>
          <w:rtl w:val="true"/>
        </w:rPr>
        <w:t>اشاره</w:t>
      </w:r>
      <w:bookmarkEnd w:id="57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فقیهانی که معتقدند این کار حرام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شرائع الاسلام و مختصر النافع، </w:t>
      </w:r>
      <w:r>
        <w:rPr>
          <w:rStyle w:val="FootnoteAnchor"/>
          <w:rtl w:val="true"/>
        </w:rPr>
        <w:footnoteReference w:id="699"/>
      </w:r>
      <w:r>
        <w:rPr>
          <w:rFonts w:ascii="IRNazanin" w:hAnsi="IRNazanin" w:eastAsia="IRNazanin"/>
          <w:color w:val="111111"/>
          <w:sz w:val="28"/>
          <w:sz w:val="28"/>
          <w:szCs w:val="28"/>
          <w:rtl w:val="true"/>
          <w:lang w:bidi="fa-IR"/>
        </w:rPr>
        <w:t xml:space="preserve">علامه حلی رحمه الله در تلخیص المرام، ارشاد الاذهان و تبصرة المتعلمین، </w:t>
      </w:r>
      <w:r>
        <w:rPr>
          <w:rStyle w:val="FootnoteAnchor"/>
          <w:rtl w:val="true"/>
        </w:rPr>
        <w:footnoteReference w:id="700"/>
      </w:r>
      <w:r>
        <w:rPr>
          <w:rFonts w:ascii="IRNazanin" w:hAnsi="IRNazanin" w:eastAsia="IRNazanin"/>
          <w:color w:val="111111"/>
          <w:sz w:val="28"/>
          <w:sz w:val="28"/>
          <w:szCs w:val="28"/>
          <w:rtl w:val="true"/>
          <w:lang w:bidi="fa-IR"/>
        </w:rPr>
        <w:t xml:space="preserve">شهید اول در لمعه و نفلیه، </w:t>
      </w:r>
      <w:r>
        <w:rPr>
          <w:rStyle w:val="FootnoteAnchor"/>
          <w:rtl w:val="true"/>
        </w:rPr>
        <w:footnoteReference w:id="701"/>
      </w:r>
      <w:r>
        <w:rPr>
          <w:rFonts w:ascii="IRNazanin" w:hAnsi="IRNazanin" w:eastAsia="IRNazanin"/>
          <w:color w:val="111111"/>
          <w:sz w:val="28"/>
          <w:sz w:val="28"/>
          <w:szCs w:val="28"/>
          <w:rtl w:val="true"/>
          <w:lang w:bidi="fa-IR"/>
        </w:rPr>
        <w:t xml:space="preserve">شهید ثانی در حاشیة الارشاد، فوائد </w:t>
      </w:r>
    </w:p>
    <w:p>
      <w:pPr>
        <w:pStyle w:val="BookText"/>
        <w:rPr/>
      </w:pPr>
      <w:r>
        <w:rPr>
          <w:rFonts w:ascii="IRNazanin" w:hAnsi="IRNazanin" w:eastAsia="IRNazanin"/>
          <w:color w:val="111111"/>
          <w:sz w:val="28"/>
          <w:sz w:val="28"/>
          <w:szCs w:val="28"/>
          <w:rtl w:val="true"/>
          <w:lang w:bidi="fa-IR"/>
        </w:rPr>
        <w:t xml:space="preserve">القواعد و روض الجنان، </w:t>
      </w:r>
      <w:r>
        <w:rPr>
          <w:rStyle w:val="FootnoteAnchor"/>
          <w:rtl w:val="true"/>
        </w:rPr>
        <w:footnoteReference w:id="702"/>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703"/>
      </w:r>
      <w:r>
        <w:rPr>
          <w:rFonts w:ascii="IRNazanin" w:hAnsi="IRNazanin" w:eastAsia="IRNazanin"/>
          <w:color w:val="111111"/>
          <w:sz w:val="28"/>
          <w:sz w:val="28"/>
          <w:szCs w:val="28"/>
          <w:rtl w:val="true"/>
          <w:lang w:bidi="fa-IR"/>
        </w:rPr>
        <w:t xml:space="preserve">صاحب عروه، </w:t>
      </w:r>
      <w:r>
        <w:rPr>
          <w:rStyle w:val="FootnoteAnchor"/>
          <w:rtl w:val="true"/>
        </w:rPr>
        <w:footnoteReference w:id="704"/>
      </w:r>
      <w:r>
        <w:rPr>
          <w:rFonts w:ascii="Amiri" w:hAnsi="Amiri" w:eastAsia="Amiri" w:cs="Amiri"/>
          <w:color w:val="111111"/>
          <w:sz w:val="28"/>
          <w:sz w:val="28"/>
          <w:szCs w:val="28"/>
          <w:rtl w:val="true"/>
          <w:lang w:bidi="ar-SA"/>
        </w:rPr>
        <w:t>مرحوم حكيم</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سنگ ریزه های مسجد بیرون برده شود و هرگاه شخصی آن را خارج سازد واجب است به همان مسجد یا مسجد دیگری برگردانده شود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محقق و علامه نیز به آن اشاره کرده اند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علامه در مسائل المهنائیه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اخراج سنگ از مسجد هیچ فرقی مابین سنگهای ریز و درشت نیست و البته شنهای ریزی که به لباس افراد چسبیده و بدون توجه از مسجد بیرون برده می شود اشکالی ندارد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در روض الجنان </w:t>
      </w:r>
      <w:r>
        <w:rPr>
          <w:rStyle w:val="FootnoteAnchor"/>
          <w:rtl w:val="true"/>
        </w:rPr>
        <w:footnoteReference w:id="709"/>
      </w:r>
      <w:r>
        <w:rPr>
          <w:rFonts w:ascii="IRNazanin" w:hAnsi="IRNazanin" w:eastAsia="IRNazanin"/>
          <w:color w:val="111111"/>
          <w:sz w:val="28"/>
          <w:sz w:val="28"/>
          <w:szCs w:val="28"/>
          <w:rtl w:val="true"/>
          <w:lang w:bidi="fa-IR"/>
        </w:rPr>
        <w:t xml:space="preserve">و روضة البهیة </w:t>
      </w:r>
      <w:r>
        <w:rPr>
          <w:rStyle w:val="FootnoteAnchor"/>
          <w:rtl w:val="true"/>
        </w:rPr>
        <w:footnoteReference w:id="71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سنگ ریزه های مسجد با وجود حرمت از مسجد بیرون برده شود واجب است آنها را به همان مسجد یا مسجد دیگری برگردانده شود و شمار دیگری از فقهای متأخر </w:t>
      </w:r>
      <w:r>
        <w:rPr>
          <w:rStyle w:val="FootnoteAnchor"/>
          <w:rtl w:val="true"/>
        </w:rPr>
        <w:footnoteReference w:id="711"/>
      </w:r>
      <w:r>
        <w:rPr>
          <w:rFonts w:ascii="IRNazanin" w:hAnsi="IRNazanin" w:eastAsia="IRNazanin"/>
          <w:color w:val="111111"/>
          <w:sz w:val="28"/>
          <w:sz w:val="28"/>
          <w:szCs w:val="28"/>
          <w:rtl w:val="true"/>
          <w:lang w:bidi="fa-IR"/>
        </w:rPr>
        <w:t xml:space="preserve">و معاصر نیز این </w:t>
      </w:r>
      <w:bookmarkStart w:id="573" w:name="pg19115_195497"/>
    </w:p>
    <w:p>
      <w:pPr>
        <w:pStyle w:val="BookText"/>
        <w:rPr/>
      </w:pPr>
      <w:bookmarkEnd w:id="573"/>
      <w:r>
        <w:rPr>
          <w:rFonts w:ascii="IRNazanin" w:hAnsi="IRNazanin" w:eastAsia="IRNazanin"/>
          <w:color w:val="111111"/>
          <w:sz w:val="28"/>
          <w:sz w:val="28"/>
          <w:szCs w:val="28"/>
          <w:rtl w:val="true"/>
          <w:lang w:bidi="fa-IR"/>
        </w:rPr>
        <w:t>نظر را اختیار کرده اند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البته محدث بحرانی نیز معتقد است اکثر اصحاب فتوا داده اند که واجب است به همان مسجد برگردانده شود</w:t>
      </w:r>
      <w:r>
        <w:rPr>
          <w:rFonts w:eastAsia="IRNazanin" w:cs="IRNazanin"/>
          <w:color w:val="111111"/>
          <w:sz w:val="28"/>
          <w:szCs w:val="28"/>
          <w:rtl w:val="true"/>
          <w:lang w:bidi="fa-IR"/>
        </w:rPr>
        <w:t xml:space="preserve">. </w:t>
      </w:r>
      <w:r>
        <w:rPr>
          <w:rStyle w:val="FootnoteAnchor"/>
          <w:rtl w:val="true"/>
        </w:rPr>
        <w:footnoteReference w:id="713"/>
      </w:r>
    </w:p>
    <w:p>
      <w:pPr>
        <w:pStyle w:val="Heading6"/>
        <w:numPr>
          <w:ilvl w:val="5"/>
          <w:numId w:val="1"/>
        </w:numPr>
        <w:rPr/>
      </w:pPr>
      <w:bookmarkStart w:id="574" w:name="__RefHeading___Toc15202618_1280447820"/>
      <w:bookmarkStart w:id="575" w:name="_Toc220"/>
      <w:bookmarkEnd w:id="574"/>
      <w:r>
        <w:rPr>
          <w:rtl w:val="true"/>
        </w:rPr>
        <w:t>ادله حرمت اخراج سنگریزه از مسجد و وجوب برگرداندن آن به مسجد</w:t>
      </w:r>
      <w:bookmarkEnd w:id="575"/>
    </w:p>
    <w:p>
      <w:pPr>
        <w:pStyle w:val="BookText"/>
        <w:rPr/>
      </w:pPr>
      <w:r>
        <w:rPr>
          <w:rFonts w:ascii="IRNazanin" w:hAnsi="IRNazanin" w:eastAsia="IRNazanin"/>
          <w:color w:val="111111"/>
          <w:sz w:val="28"/>
          <w:sz w:val="28"/>
          <w:szCs w:val="28"/>
          <w:rtl w:val="true"/>
          <w:lang w:bidi="fa-IR"/>
        </w:rPr>
        <w:t>فقیهان شیعه برای این که سنگریزه های مسجد باید برگردانده شود به چند دلیل تمسک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خارج کردن سنگریزه از مسجد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همان مسجدی که برداشتی برگردان یا این که به مسجدی دیگر بینداز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خویی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صدوق به زید شحام اگرچه به واسطه ابوجمیله ضعیف است، </w:t>
      </w:r>
      <w:r>
        <w:rPr>
          <w:rStyle w:val="FootnoteAnchor"/>
          <w:rtl w:val="true"/>
        </w:rPr>
        <w:footnoteReference w:id="714"/>
      </w:r>
      <w:r>
        <w:rPr>
          <w:rFonts w:ascii="IRNazanin" w:hAnsi="IRNazanin" w:eastAsia="IRNazanin"/>
          <w:color w:val="111111"/>
          <w:sz w:val="28"/>
          <w:sz w:val="28"/>
          <w:szCs w:val="28"/>
          <w:rtl w:val="true"/>
          <w:lang w:bidi="fa-IR"/>
        </w:rPr>
        <w:t>ولی طریق کلینی معتبر است، از این رو در حکم مذکور هیچ اشکالی وجود ندارد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وهب از امام صادق علیه السلام از پدرش امام باقر علیه السلام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سنگریزه ای از مسجد خارج،کند، باید آنها را به جای خودش یا در مسجد دیگری برگرداند؛ زیرا آنها به تسبیح خدا مشغولند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استدلال به این روایت بر حرمت خارج کردن سنگریزه آن است که در این روایت حضرت امر به بازگرداندن سنگریزه به مسجد کرده است و اگر خارج کردن سنگریزه حرام نبود لازم نبود حضرت امر به بازگرداندن آن به مسجد کند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محدث بحرانی می گوید شاید سخن امام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کلام خداوند متعال </w:t>
      </w:r>
      <w:r>
        <w:rPr>
          <w:rFonts w:ascii="Amiri" w:hAnsi="Amiri" w:eastAsia="Amiri" w:cs="Amiri"/>
          <w:color w:val="111111"/>
          <w:sz w:val="28"/>
          <w:sz w:val="28"/>
          <w:szCs w:val="28"/>
          <w:rtl w:val="true"/>
          <w:lang w:bidi="ar-SA"/>
        </w:rPr>
        <w:t>وَ إِن مِّن شَيْءٍ إِلا يُسَبِّحُ بِحَمْدَه</w:t>
      </w:r>
      <w:r>
        <w:rPr>
          <w:rStyle w:val="FootnoteAnchor"/>
          <w:rtl w:val="true"/>
        </w:rPr>
        <w:footnoteReference w:id="717"/>
      </w:r>
      <w:r>
        <w:rPr>
          <w:rFonts w:ascii="IRNazanin" w:hAnsi="IRNazanin" w:eastAsia="IRNazanin"/>
          <w:color w:val="111111"/>
          <w:sz w:val="28"/>
          <w:sz w:val="28"/>
          <w:szCs w:val="28"/>
          <w:rtl w:val="true"/>
          <w:lang w:bidi="fa-IR"/>
        </w:rPr>
        <w:t>هیچ چیز نیست، مگر آن که شاکرانه او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علیه السلام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یادآور شود که گمان نکنید آنها جماداتاند و خارج ساختن آنها از مسجد ضرری ندارد خیر البته که آنان از تسبیح گویندگان و ذکر کنندگان خدای بزرگ و مقتدر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شایسته نیست آنان را از مسجد خارج و مسجد را از تسبیح و ذکر آنان خالی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مِمَّن مَّنَعَ مَسَاجِدَ اللهِ أَن يُذْكَرَ فِيهَا اسمُهُ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IRNazanin" w:hAnsi="IRNazanin" w:eastAsia="IRNazanin"/>
          <w:color w:val="111111"/>
          <w:sz w:val="28"/>
          <w:sz w:val="28"/>
          <w:szCs w:val="28"/>
          <w:rtl w:val="true"/>
          <w:lang w:bidi="fa-IR"/>
        </w:rPr>
        <w:t>فاضل مجلسی در بحار نیز به آن اشاره می کند</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معنای دیگری نیز اشاره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گفته شود به تسبیح سنگریزه ها کنایه است از این که آنها از اجزای مسجد است و مسجد چون محل عبادت خداوند متعال،است این معنی دلیل بر عظمت و بزرگی خداوند می باشد که مسجد با تمام اجزایش خدا را تسبیح و تنزیه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سنگریزه های مساجد بیرون برده شوند دیگر آنان نمی توانند در مسجد به ذکر و تسبیح خدا </w:t>
      </w:r>
    </w:p>
    <w:p>
      <w:pPr>
        <w:pStyle w:val="BookText"/>
        <w:rPr/>
      </w:pPr>
      <w:r>
        <w:rPr>
          <w:rFonts w:ascii="IRNazanin" w:hAnsi="IRNazanin" w:eastAsia="IRNazanin"/>
          <w:color w:val="111111"/>
          <w:sz w:val="28"/>
          <w:sz w:val="28"/>
          <w:szCs w:val="28"/>
          <w:rtl w:val="true"/>
          <w:lang w:bidi="fa-IR"/>
        </w:rPr>
        <w:t>مشغول باشند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 گوید از امام صادق علیه السلام شنیدم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هیچ کس سزاوار نیست که خاک پیرامون کعبه را بردارد و اگر برداشت، باید آن را بازگرداند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واضح و روشن است که امر به رد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عمار می گوید به امام صادق علیه السلام عرض کردم که من یک میخ از مقام و مقداری خاک و هفت سنگریزه از بیت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ناپسندی انجام داده ای اما در مورد خاک و سنگریزه باید آنها را برگردانی</w:t>
      </w:r>
      <w:r>
        <w:rPr>
          <w:rFonts w:eastAsia="IRNazanin" w:cs="IRNazanin"/>
          <w:color w:val="111111"/>
          <w:sz w:val="28"/>
          <w:szCs w:val="28"/>
          <w:rtl w:val="true"/>
          <w:lang w:bidi="fa-IR"/>
        </w:rPr>
        <w:t xml:space="preserve">.» </w:t>
      </w:r>
      <w:r>
        <w:rPr>
          <w:rStyle w:val="FootnoteAnchor"/>
          <w:rtl w:val="true"/>
        </w:rPr>
        <w:footnoteReference w:id="723"/>
      </w:r>
      <w:bookmarkStart w:id="576" w:name="pg19115_195500"/>
    </w:p>
    <w:p>
      <w:pPr>
        <w:pStyle w:val="BookText"/>
        <w:rPr/>
      </w:pPr>
      <w:bookmarkEnd w:id="576"/>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رد آن امر نکرده چون غالباً میخ بعد از بیرون آوردن نفع و فایده ای ندارد؛ مانند آشغال و خاکروبه و اشیای زاید دور انداختن می باشد محقق خویی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مسلم و صحیحه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و آشکار به وجوب رد سنگریزه و خاک به مسجد دلالت می کنند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با این کار چیزی که وقف بوده را از وقف بودن خارج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اخراج سنگریزه از مسجد به نوعی مسجد را تخریب کرده است</w:t>
      </w:r>
      <w:r>
        <w:rPr>
          <w:rFonts w:eastAsia="IRNazanin" w:cs="IRNazanin"/>
          <w:color w:val="111111"/>
          <w:sz w:val="28"/>
          <w:szCs w:val="28"/>
          <w:rtl w:val="true"/>
          <w:lang w:bidi="fa-IR"/>
        </w:rPr>
        <w:t xml:space="preserve">. </w:t>
      </w:r>
      <w:r>
        <w:rPr>
          <w:rStyle w:val="FootnoteAnchor"/>
          <w:rtl w:val="true"/>
        </w:rPr>
        <w:footnoteReference w:id="725"/>
      </w:r>
    </w:p>
    <w:p>
      <w:pPr>
        <w:pStyle w:val="Heading5"/>
        <w:numPr>
          <w:ilvl w:val="4"/>
          <w:numId w:val="1"/>
        </w:numPr>
        <w:rPr/>
      </w:pPr>
      <w:bookmarkStart w:id="577" w:name="__RefHeading___Toc15202620_1280447820"/>
      <w:bookmarkStart w:id="578" w:name="_Toc221"/>
      <w:bookmarkEnd w:id="577"/>
      <w:r>
        <w:rPr>
          <w:rtl w:val="true"/>
        </w:rPr>
        <w:t>ب</w:t>
      </w:r>
      <w:r>
        <w:rPr>
          <w:rtl w:val="true"/>
        </w:rPr>
        <w:t xml:space="preserve">) </w:t>
      </w:r>
      <w:r>
        <w:rPr>
          <w:rtl w:val="true"/>
        </w:rPr>
        <w:t>دیدگاه دوم</w:t>
      </w:r>
      <w:r>
        <w:rPr>
          <w:rtl w:val="true"/>
        </w:rPr>
        <w:t xml:space="preserve">: </w:t>
      </w:r>
      <w:r>
        <w:rPr>
          <w:rtl w:val="true"/>
        </w:rPr>
        <w:t>کراهت</w:t>
      </w:r>
      <w:bookmarkEnd w:id="57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فقیهانی که قائل به کراهت این عمل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نهایه و مبسوط </w:t>
      </w:r>
      <w:r>
        <w:rPr>
          <w:rStyle w:val="FootnoteAnchor"/>
          <w:rtl w:val="true"/>
        </w:rPr>
        <w:footnoteReference w:id="726"/>
      </w:r>
      <w:r>
        <w:rPr>
          <w:rFonts w:ascii="IRNazanin" w:hAnsi="IRNazanin" w:eastAsia="IRNazanin"/>
          <w:color w:val="111111"/>
          <w:sz w:val="28"/>
          <w:sz w:val="28"/>
          <w:szCs w:val="28"/>
          <w:rtl w:val="true"/>
          <w:lang w:bidi="fa-IR"/>
        </w:rPr>
        <w:t xml:space="preserve">، محقق حلی در معتبر </w:t>
      </w:r>
      <w:r>
        <w:rPr>
          <w:rStyle w:val="FootnoteAnchor"/>
          <w:rtl w:val="true"/>
        </w:rPr>
        <w:footnoteReference w:id="727"/>
      </w:r>
      <w:r>
        <w:rPr>
          <w:rFonts w:ascii="IRNazanin" w:hAnsi="IRNazanin" w:eastAsia="IRNazanin"/>
          <w:color w:val="111111"/>
          <w:sz w:val="28"/>
          <w:sz w:val="28"/>
          <w:szCs w:val="28"/>
          <w:rtl w:val="true"/>
          <w:lang w:bidi="fa-IR"/>
        </w:rPr>
        <w:t xml:space="preserve">علامه حلی رحمه الله در منتهی المطلب، نهایه الإحكام، تذکره و تحرير، </w:t>
      </w:r>
      <w:r>
        <w:rPr>
          <w:rStyle w:val="FootnoteAnchor"/>
          <w:rtl w:val="true"/>
        </w:rPr>
        <w:footnoteReference w:id="728"/>
      </w:r>
      <w:r>
        <w:rPr>
          <w:rFonts w:ascii="IRNazanin" w:hAnsi="IRNazanin" w:eastAsia="IRNazanin"/>
          <w:color w:val="111111"/>
          <w:sz w:val="28"/>
          <w:sz w:val="28"/>
          <w:szCs w:val="28"/>
          <w:rtl w:val="true"/>
          <w:lang w:bidi="fa-IR"/>
        </w:rPr>
        <w:t xml:space="preserve">شهید اول در ذکری، دروس و بیان، </w:t>
      </w:r>
      <w:r>
        <w:rPr>
          <w:rStyle w:val="FootnoteAnchor"/>
          <w:rtl w:val="true"/>
        </w:rPr>
        <w:footnoteReference w:id="729"/>
      </w:r>
      <w:r>
        <w:rPr>
          <w:rFonts w:ascii="IRNazanin" w:hAnsi="IRNazanin" w:eastAsia="IRNazanin"/>
          <w:color w:val="111111"/>
          <w:sz w:val="28"/>
          <w:sz w:val="28"/>
          <w:szCs w:val="28"/>
          <w:rtl w:val="true"/>
          <w:lang w:bidi="fa-IR"/>
        </w:rPr>
        <w:t xml:space="preserve">ابن فهد حلی، </w:t>
      </w:r>
      <w:r>
        <w:rPr>
          <w:rStyle w:val="FootnoteAnchor"/>
          <w:rtl w:val="true"/>
        </w:rPr>
        <w:footnoteReference w:id="730"/>
      </w:r>
      <w:r>
        <w:rPr>
          <w:rFonts w:ascii="IRNazanin" w:hAnsi="IRNazanin" w:eastAsia="IRNazanin"/>
          <w:color w:val="111111"/>
          <w:sz w:val="28"/>
          <w:sz w:val="28"/>
          <w:szCs w:val="28"/>
          <w:rtl w:val="true"/>
          <w:lang w:bidi="fa-IR"/>
        </w:rPr>
        <w:t xml:space="preserve">صیمری در کشف الالتباس، </w:t>
      </w:r>
      <w:r>
        <w:rPr>
          <w:rStyle w:val="FootnoteAnchor"/>
          <w:rtl w:val="true"/>
        </w:rPr>
        <w:footnoteReference w:id="731"/>
      </w:r>
      <w:r>
        <w:rPr>
          <w:rFonts w:ascii="IRNazanin" w:hAnsi="IRNazanin" w:eastAsia="IRNazanin"/>
          <w:color w:val="111111"/>
          <w:sz w:val="28"/>
          <w:sz w:val="28"/>
          <w:szCs w:val="28"/>
          <w:rtl w:val="true"/>
          <w:lang w:bidi="fa-IR"/>
        </w:rPr>
        <w:t xml:space="preserve">محقق اردبیلی در مجمع الفائده و البرهان، </w:t>
      </w:r>
      <w:r>
        <w:rPr>
          <w:rStyle w:val="FootnoteAnchor"/>
          <w:rtl w:val="true"/>
        </w:rPr>
        <w:footnoteReference w:id="732"/>
      </w:r>
      <w:r>
        <w:rPr>
          <w:rFonts w:ascii="IRNazanin" w:hAnsi="IRNazanin" w:eastAsia="IRNazanin"/>
          <w:color w:val="111111"/>
          <w:sz w:val="28"/>
          <w:sz w:val="28"/>
          <w:szCs w:val="28"/>
          <w:rtl w:val="true"/>
          <w:lang w:bidi="fa-IR"/>
        </w:rPr>
        <w:t xml:space="preserve">صاحب </w:t>
      </w:r>
      <w:bookmarkStart w:id="579" w:name="pg19115_195501"/>
    </w:p>
    <w:p>
      <w:pPr>
        <w:pStyle w:val="BookText"/>
        <w:rPr/>
      </w:pPr>
      <w:bookmarkEnd w:id="579"/>
      <w:r>
        <w:rPr>
          <w:rFonts w:ascii="IRNazanin" w:hAnsi="IRNazanin" w:eastAsia="IRNazanin"/>
          <w:color w:val="111111"/>
          <w:sz w:val="28"/>
          <w:sz w:val="28"/>
          <w:szCs w:val="28"/>
          <w:rtl w:val="true"/>
          <w:lang w:bidi="fa-IR"/>
        </w:rPr>
        <w:t xml:space="preserve">ریاض، </w:t>
      </w:r>
      <w:r>
        <w:rPr>
          <w:rStyle w:val="FootnoteAnchor"/>
          <w:rtl w:val="true"/>
        </w:rPr>
        <w:footnoteReference w:id="733"/>
      </w:r>
      <w:r>
        <w:rPr>
          <w:rFonts w:ascii="IRNazanin" w:hAnsi="IRNazanin" w:eastAsia="IRNazanin"/>
          <w:color w:val="111111"/>
          <w:sz w:val="28"/>
          <w:sz w:val="28"/>
          <w:szCs w:val="28"/>
          <w:rtl w:val="true"/>
          <w:lang w:bidi="fa-IR"/>
        </w:rPr>
        <w:t xml:space="preserve">میرزای قمی در غنائم الايام، </w:t>
      </w:r>
      <w:r>
        <w:rPr>
          <w:rStyle w:val="FootnoteAnchor"/>
          <w:rtl w:val="true"/>
        </w:rPr>
        <w:footnoteReference w:id="734"/>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این دسته از فقیهان از استدلال به روایات فوق بر حرمت پاسخ داده و در برخی از جهت سند اشکال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 در برخی دیگر از جهت دلالت اشکال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تصریح به حرمت این عمل نشده یا آن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دلالت بر استحباب دارد یا آن که در روایت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 که سنگریزه را در همان مسجد یا مسجد دیگر بینداز و حال آن که اگر اخراج سنگریزه به خاطر وقف بودن حرام است حضرت باید دستور به برگرداندن آن به همان مسجدی می کرد که سنگریزه از آن برداشته شده است</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p>
    <w:p>
      <w:pPr>
        <w:pStyle w:val="Heading5"/>
        <w:numPr>
          <w:ilvl w:val="4"/>
          <w:numId w:val="1"/>
        </w:numPr>
        <w:rPr/>
      </w:pPr>
      <w:bookmarkStart w:id="580" w:name="__RefHeading___Toc15202622_1280447820"/>
      <w:bookmarkStart w:id="581" w:name="_Toc222"/>
      <w:bookmarkEnd w:id="580"/>
      <w:r>
        <w:rPr>
          <w:rtl w:val="true"/>
        </w:rPr>
        <w:t>ج</w:t>
      </w:r>
      <w:r>
        <w:rPr>
          <w:rtl w:val="true"/>
        </w:rPr>
        <w:t xml:space="preserve">) </w:t>
      </w:r>
      <w:r>
        <w:rPr>
          <w:rtl w:val="true"/>
        </w:rPr>
        <w:t>دیدگاه سوم</w:t>
      </w:r>
      <w:r>
        <w:rPr>
          <w:rtl w:val="true"/>
        </w:rPr>
        <w:t xml:space="preserve">: </w:t>
      </w:r>
      <w:r>
        <w:rPr>
          <w:rtl w:val="true"/>
        </w:rPr>
        <w:t>تفصیل</w:t>
      </w:r>
      <w:bookmarkEnd w:id="581"/>
    </w:p>
    <w:p>
      <w:pPr>
        <w:pStyle w:val="BookText"/>
        <w:rPr/>
      </w:pPr>
      <w:r>
        <w:rPr>
          <w:rFonts w:ascii="IRNazanin" w:hAnsi="IRNazanin" w:eastAsia="IRNazanin"/>
          <w:color w:val="111111"/>
          <w:sz w:val="28"/>
          <w:sz w:val="28"/>
          <w:szCs w:val="28"/>
          <w:rtl w:val="true"/>
          <w:lang w:bidi="fa-IR"/>
        </w:rPr>
        <w:t>از جمله فقیهانی که در صدد جمع میان این دو دیدگاه برآمده و قائل به تفصیل شده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ثانی، </w:t>
      </w:r>
      <w:r>
        <w:rPr>
          <w:rStyle w:val="FootnoteAnchor"/>
          <w:rtl w:val="true"/>
        </w:rPr>
        <w:footnoteReference w:id="738"/>
      </w:r>
      <w:r>
        <w:rPr>
          <w:rFonts w:ascii="IRNazanin" w:hAnsi="IRNazanin" w:eastAsia="IRNazanin"/>
          <w:color w:val="111111"/>
          <w:sz w:val="28"/>
          <w:sz w:val="28"/>
          <w:szCs w:val="28"/>
          <w:rtl w:val="true"/>
          <w:lang w:bidi="fa-IR"/>
        </w:rPr>
        <w:t xml:space="preserve">شهید ثانی در روض الجنان،مسالک فوائد القواعد و روضه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صاحب مدارک، </w:t>
      </w:r>
      <w:r>
        <w:rPr>
          <w:rStyle w:val="FootnoteAnchor"/>
          <w:rtl w:val="true"/>
        </w:rPr>
        <w:footnoteReference w:id="740"/>
      </w:r>
      <w:r>
        <w:rPr>
          <w:rFonts w:ascii="IRNazanin" w:hAnsi="IRNazanin" w:eastAsia="IRNazanin"/>
          <w:color w:val="111111"/>
          <w:sz w:val="28"/>
          <w:sz w:val="28"/>
          <w:szCs w:val="28"/>
          <w:rtl w:val="true"/>
          <w:lang w:bidi="fa-IR"/>
        </w:rPr>
        <w:t xml:space="preserve">علامه محمدتقی مجلسی، </w:t>
      </w:r>
      <w:r>
        <w:rPr>
          <w:rStyle w:val="FootnoteAnchor"/>
          <w:rtl w:val="true"/>
        </w:rPr>
        <w:footnoteReference w:id="741"/>
      </w:r>
      <w:r>
        <w:rPr>
          <w:rFonts w:ascii="IRNazanin" w:hAnsi="IRNazanin" w:eastAsia="IRNazanin"/>
          <w:color w:val="111111"/>
          <w:sz w:val="28"/>
          <w:sz w:val="28"/>
          <w:szCs w:val="28"/>
          <w:rtl w:val="true"/>
          <w:lang w:bidi="fa-IR"/>
        </w:rPr>
        <w:t xml:space="preserve">میرزای قمی در غنائم الايام </w:t>
      </w:r>
      <w:r>
        <w:rPr>
          <w:rStyle w:val="FootnoteAnchor"/>
          <w:rtl w:val="true"/>
        </w:rPr>
        <w:footnoteReference w:id="742"/>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به احتمال بسیار قوی دیدگاه بیشتر فقیهان امامیه همین دیدگاه است؛ یعنی اگر سنگریزه جزء مسجد باشد، بیرون بردن آن از سوم مسجد حرام بوده و اگر شخصی آن را از مسجد بیرون ببرد، واجب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مسجد برگرداند اما اگر سنگریزه جزء مسجد نبوده و زائد باشد بیرون بردن آن از مسجد جایز است لیکن مد نظر برخی از فقها قسم اول سنگریزه بوده و فتوا به حرمت داده اند و مد نظر برخی دیگر قسمت دوم سنگریزه بوده و تنها عده ای که ذکر شد، تفصیل را ذکر کرده اند</w:t>
      </w:r>
      <w:r>
        <w:rPr>
          <w:rFonts w:eastAsia="IRNazanin" w:cs="IRNazanin"/>
          <w:color w:val="111111"/>
          <w:sz w:val="28"/>
          <w:szCs w:val="28"/>
          <w:rtl w:val="true"/>
          <w:lang w:bidi="fa-IR"/>
        </w:rPr>
        <w:t xml:space="preserve">. </w:t>
      </w:r>
      <w:bookmarkStart w:id="582" w:name="pg19115_195503"/>
    </w:p>
    <w:p>
      <w:pPr>
        <w:pStyle w:val="Heading2"/>
        <w:numPr>
          <w:ilvl w:val="1"/>
          <w:numId w:val="1"/>
        </w:numPr>
        <w:rPr/>
      </w:pPr>
      <w:bookmarkStart w:id="583" w:name="__RefHeading___Toc15202624_1280447820"/>
      <w:bookmarkStart w:id="584" w:name="_Toc223"/>
      <w:bookmarkEnd w:id="582"/>
      <w:bookmarkEnd w:id="583"/>
      <w:r>
        <w:rPr>
          <w:rtl w:val="true"/>
        </w:rPr>
        <w:t>بخش سوم</w:t>
      </w:r>
      <w:r>
        <w:rPr>
          <w:rtl w:val="true"/>
        </w:rPr>
        <w:t xml:space="preserve">: </w:t>
      </w:r>
      <w:r>
        <w:rPr>
          <w:rtl w:val="true"/>
        </w:rPr>
        <w:t>کارکردها و برنامه های مرتبط با مسجد</w:t>
      </w:r>
      <w:bookmarkEnd w:id="584"/>
    </w:p>
    <w:p>
      <w:pPr>
        <w:pStyle w:val="Heading3"/>
        <w:numPr>
          <w:ilvl w:val="2"/>
          <w:numId w:val="1"/>
        </w:numPr>
        <w:rPr/>
      </w:pPr>
      <w:bookmarkStart w:id="585" w:name="__RefHeading___Toc15202626_1280447820"/>
      <w:bookmarkStart w:id="586" w:name="_Toc224"/>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کاربری اصلی مسجد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اعتکاف در مسجد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مسجد جهت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غیر مرتبط با مسجد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19115_195505"/>
      <w:bookmarkStart w:id="588" w:name="pg19115_195505"/>
      <w:bookmarkEnd w:id="588"/>
    </w:p>
    <w:p>
      <w:pPr>
        <w:pStyle w:val="Heading3"/>
        <w:numPr>
          <w:ilvl w:val="2"/>
          <w:numId w:val="1"/>
        </w:numPr>
        <w:rPr/>
      </w:pPr>
      <w:bookmarkStart w:id="589" w:name="pg19115_195505"/>
      <w:bookmarkStart w:id="590" w:name="__RefHeading___Toc15202628_1280447820"/>
      <w:bookmarkStart w:id="591" w:name="_Toc225"/>
      <w:bookmarkEnd w:id="589"/>
      <w:bookmarkEnd w:id="590"/>
      <w:r>
        <w:rPr>
          <w:rtl w:val="true"/>
        </w:rPr>
        <w:t>فصل اول</w:t>
      </w:r>
      <w:r>
        <w:rPr>
          <w:rtl w:val="true"/>
        </w:rPr>
        <w:t>:</w:t>
      </w:r>
      <w:bookmarkEnd w:id="591"/>
    </w:p>
    <w:p>
      <w:pPr>
        <w:pStyle w:val="Heading4"/>
        <w:numPr>
          <w:ilvl w:val="3"/>
          <w:numId w:val="1"/>
        </w:numPr>
        <w:rPr/>
      </w:pPr>
      <w:bookmarkStart w:id="592" w:name="__RefHeading___Toc15202630_1280447820"/>
      <w:bookmarkStart w:id="593" w:name="_Toc226"/>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کاربری اصلی مسجد</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در مسجد</w:t>
      </w:r>
    </w:p>
    <w:p>
      <w:pPr>
        <w:pStyle w:val="BookText"/>
        <w:rPr/>
      </w:pPr>
      <w:r>
        <w:rPr>
          <w:rFonts w:ascii="IRNazanin" w:hAnsi="IRNazanin" w:eastAsia="IRNazanin"/>
          <w:color w:val="111111"/>
          <w:sz w:val="28"/>
          <w:sz w:val="28"/>
          <w:szCs w:val="28"/>
          <w:rtl w:val="true"/>
          <w:lang w:bidi="fa-IR"/>
        </w:rPr>
        <w:t>مبحث دوم مسجد جایگاه دعا ذکر و یاد خداوند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تلاوت قرآن در مسجد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9115_195507"/>
      <w:bookmarkStart w:id="595" w:name="pg19115_195507"/>
      <w:bookmarkEnd w:id="595"/>
    </w:p>
    <w:p>
      <w:pPr>
        <w:pStyle w:val="Heading4"/>
        <w:numPr>
          <w:ilvl w:val="3"/>
          <w:numId w:val="1"/>
        </w:numPr>
        <w:rPr/>
      </w:pPr>
      <w:bookmarkStart w:id="596" w:name="pg19115_195507"/>
      <w:bookmarkStart w:id="597" w:name="__RefHeading___Toc15202632_1280447820"/>
      <w:bookmarkStart w:id="598" w:name="_Toc227"/>
      <w:bookmarkEnd w:id="596"/>
      <w:bookmarkEnd w:id="597"/>
      <w:r>
        <w:rPr>
          <w:rtl w:val="true"/>
        </w:rPr>
        <w:t>مبحث اول</w:t>
      </w:r>
      <w:r>
        <w:rPr>
          <w:rtl w:val="true"/>
        </w:rPr>
        <w:t xml:space="preserve">: </w:t>
      </w:r>
      <w:r>
        <w:rPr>
          <w:rtl w:val="true"/>
        </w:rPr>
        <w:t>اقامه نماز در مسجد</w:t>
      </w:r>
      <w:bookmarkEnd w:id="598"/>
    </w:p>
    <w:p>
      <w:pPr>
        <w:pStyle w:val="Heading5"/>
        <w:numPr>
          <w:ilvl w:val="4"/>
          <w:numId w:val="1"/>
        </w:numPr>
        <w:rPr/>
      </w:pPr>
      <w:bookmarkStart w:id="599" w:name="__RefHeading___Toc15202634_1280447820"/>
      <w:bookmarkStart w:id="600" w:name="_Toc228"/>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 xml:space="preserve">مستحب است نمازهای فریضه در مساجد اقامه شوند نمازهای واجب اگر در مسجد بجای آورده شوند قطعا فضیلت و ثواب آنها بیشتر است از اینکه در غیر مسجد انجام شوند در این مسأله اختلافی میان مسلمین نیست </w:t>
      </w:r>
      <w:r>
        <w:rPr>
          <w:rStyle w:val="FootnoteAnchor"/>
          <w:rtl w:val="true"/>
        </w:rPr>
        <w:footnoteReference w:id="744"/>
      </w:r>
      <w:r>
        <w:rPr>
          <w:rFonts w:ascii="IRNazanin" w:hAnsi="IRNazanin" w:eastAsia="IRNazanin"/>
          <w:color w:val="111111"/>
          <w:sz w:val="28"/>
          <w:sz w:val="28"/>
          <w:szCs w:val="28"/>
          <w:rtl w:val="true"/>
          <w:lang w:bidi="fa-IR"/>
        </w:rPr>
        <w:t>علامه در منتهی می نویسد بین اهل علم اختلافی نیست در اینکه نماز فریضه در مسجد افضل است مگر نماز در داخل کعبه معظمه زیرا که پیامبر خدا صلی الله علیه و آله مواظبت بر این امر داشت و مسلمانان را وادار می کرد که نمازهای فریضه را با جماعت در مسجد النبی اقامه کنند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ملا محمد باقر سبزواری در ذخیره می نویسد هیچ اختلافی بین مسلمین نیست در اینکه اگر نماز فریضه در مسجد انجام شود فضیلت آن بیشتر است، بلکه ممکن است از ضروریات دین باشد و روایات بسیاری در فضیلت مسجد و ثواب رفتن، نماز خواندن در آن و نکوهش کسانی که مسجد را ترک کرده اند وارد شده است</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ascii="IRNazanin" w:hAnsi="IRNazanin" w:eastAsia="IRNazanin"/>
          <w:color w:val="111111"/>
          <w:sz w:val="28"/>
          <w:sz w:val="28"/>
          <w:szCs w:val="28"/>
          <w:rtl w:val="true"/>
          <w:lang w:bidi="fa-IR"/>
        </w:rPr>
        <w:t>علامه در تذکره و محقق کرکی در جامع المقاصد و سید محمد عاملی در مدارک ادعا می کنند که این مسأله بین مسلمانان اجماعی است</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حسن نجفی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خانه های خدا در زمین اند </w:t>
      </w:r>
      <w:bookmarkStart w:id="601" w:name="pg19115_195508"/>
    </w:p>
    <w:p>
      <w:pPr>
        <w:pStyle w:val="BookText"/>
        <w:rPr/>
      </w:pPr>
      <w:bookmarkEnd w:id="601"/>
      <w:r>
        <w:rPr>
          <w:rFonts w:ascii="IRNazanin" w:hAnsi="IRNazanin" w:eastAsia="IRNazanin"/>
          <w:color w:val="111111"/>
          <w:sz w:val="28"/>
          <w:sz w:val="28"/>
          <w:szCs w:val="28"/>
          <w:rtl w:val="true"/>
          <w:lang w:bidi="fa-IR"/>
        </w:rPr>
        <w:t>و خوشا به حال بنده ای که وضو بگیرد و با حال طهارت و پاگیزگی خدا را در خانه اش زیارت کند تا به آن درجه برسد که خداوند زایرش را اکرام کند؛ زیرا زیارت کننده حقی دارد و آن گرامی داشتن زیارت شده از زیارت کننده می باشد</w:t>
      </w:r>
      <w:r>
        <w:rPr>
          <w:rFonts w:eastAsia="IRNazanin" w:cs="IRNazanin"/>
          <w:color w:val="111111"/>
          <w:sz w:val="28"/>
          <w:szCs w:val="28"/>
          <w:rtl w:val="true"/>
          <w:lang w:bidi="fa-IR"/>
        </w:rPr>
        <w:t xml:space="preserve">. </w:t>
      </w:r>
      <w:r>
        <w:rPr>
          <w:rStyle w:val="FootnoteAnchor"/>
          <w:rtl w:val="true"/>
        </w:rPr>
        <w:footnoteReference w:id="749"/>
      </w:r>
    </w:p>
    <w:p>
      <w:pPr>
        <w:pStyle w:val="Heading5"/>
        <w:numPr>
          <w:ilvl w:val="4"/>
          <w:numId w:val="1"/>
        </w:numPr>
        <w:rPr/>
      </w:pPr>
      <w:bookmarkStart w:id="602" w:name="__RefHeading___Toc15202636_1280447820"/>
      <w:bookmarkStart w:id="603" w:name="_Toc229"/>
      <w:bookmarkEnd w:id="602"/>
      <w:r>
        <w:rPr>
          <w:rtl w:val="true"/>
        </w:rPr>
        <w:t>گفتار اول</w:t>
      </w:r>
      <w:r>
        <w:rPr>
          <w:rtl w:val="true"/>
        </w:rPr>
        <w:t xml:space="preserve">: </w:t>
      </w:r>
      <w:r>
        <w:rPr>
          <w:rtl w:val="true"/>
        </w:rPr>
        <w:t>نماز جماعت در مسجد</w:t>
      </w:r>
      <w:bookmarkEnd w:id="603"/>
    </w:p>
    <w:p>
      <w:pPr>
        <w:pStyle w:val="BookText"/>
        <w:rPr/>
      </w:pPr>
      <w:r>
        <w:rPr>
          <w:rFonts w:ascii="IRNazanin" w:hAnsi="IRNazanin" w:eastAsia="IRNazanin"/>
          <w:color w:val="111111"/>
          <w:sz w:val="28"/>
          <w:sz w:val="28"/>
          <w:szCs w:val="28"/>
          <w:rtl w:val="true"/>
          <w:lang w:bidi="fa-IR"/>
        </w:rPr>
        <w:t>چنان چه پیشتر اشاره شد اقامه نماز در مسجد فضیلت و ثواب زیادی دارد البته اگر نماز به صورت جماعت در مسجد برگزار شود ثواب آن چند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اقامه نماز جماعت در مسجد فضیلت آن را دو چندان می کند زیرا در این صورت ثواب و فضیلت نماز در مسجد با ثواب نماز جماعت با یکدیگر جمع می شوند و ثواب نماز جماعت در مسجد افزون از آن است که به شمارش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سید در عروه می نویسد هرگاه جهات ثواب و فضیلت متعدّد شد، اجر و ثواب چندین برابر می شود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شیخ حر عاملی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خوف و ترس، غم و گرفتاری مستحب است وضو بگیرد آنگاه وارد مسجد شود و دو رکعت نماز بخواند و در این دو رکعت نماز هرچه می خواهد از خدای متعال درخواست کند؛ چنان که در بعضی از روایات به آن اشاره شده است</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عبدالاعلی سبزواری می نویسد نماز برای برآورده شدن حاجات و برطرف شدن گرفتاری مستحب است و استدلال به همین روایت کرده است</w:t>
      </w:r>
      <w:r>
        <w:rPr>
          <w:rFonts w:eastAsia="IRNazanin" w:cs="IRNazanin"/>
          <w:color w:val="111111"/>
          <w:sz w:val="28"/>
          <w:szCs w:val="28"/>
          <w:rtl w:val="true"/>
          <w:lang w:bidi="fa-IR"/>
        </w:rPr>
        <w:t xml:space="preserve">. </w:t>
      </w:r>
      <w:r>
        <w:rPr>
          <w:rStyle w:val="FootnoteAnchor"/>
          <w:rtl w:val="true"/>
        </w:rPr>
        <w:footnoteReference w:id="752"/>
      </w:r>
      <w:bookmarkStart w:id="604" w:name="pg19115_195509"/>
    </w:p>
    <w:p>
      <w:pPr>
        <w:pStyle w:val="BookText"/>
        <w:rPr/>
      </w:pPr>
      <w:bookmarkEnd w:id="604"/>
      <w:r>
        <w:rPr>
          <w:rFonts w:ascii="IRNazanin" w:hAnsi="IRNazanin" w:eastAsia="IRNazanin"/>
          <w:color w:val="111111"/>
          <w:sz w:val="28"/>
          <w:sz w:val="28"/>
          <w:szCs w:val="28"/>
          <w:rtl w:val="true"/>
          <w:lang w:bidi="fa-IR"/>
        </w:rPr>
        <w:t>شیخ صدوق از سماعه،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بیمار،شود طبیب می آورد و به او پولی می دهد تا او را معالجه کند و هرگاه به پادشاه حاجتی دارد به دربانان پول و رشوه می دهد و هرگاه برای شخصی گرفتاری سنگین و غیر قابل تحمل پیش بیاید به خداوند استغاثه کند، وضوو بگیرد و مبلغی کم یا زیاد صدقه بدهد آنگاه وارد مسجد،شود دو رکعت نماز بخواند، سپس حمد و ثنای الهی به جا آورد و بر پیامبر و خاندانش درود بفرستد و دعایی که در این مورد وارد شده است بخواند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شیخ مفید در مقنعه </w:t>
      </w:r>
      <w:r>
        <w:rPr>
          <w:rStyle w:val="FootnoteAnchor"/>
          <w:rtl w:val="true"/>
        </w:rPr>
        <w:footnoteReference w:id="754"/>
      </w:r>
      <w:r>
        <w:rPr>
          <w:rFonts w:ascii="IRNazanin" w:hAnsi="IRNazanin" w:eastAsia="IRNazanin"/>
          <w:color w:val="111111"/>
          <w:sz w:val="28"/>
          <w:sz w:val="28"/>
          <w:szCs w:val="28"/>
          <w:rtl w:val="true"/>
          <w:lang w:bidi="fa-IR"/>
        </w:rPr>
        <w:t xml:space="preserve">و شیخ طوسی در مصباح المتهجد </w:t>
      </w:r>
      <w:r>
        <w:rPr>
          <w:rStyle w:val="FootnoteAnchor"/>
          <w:rtl w:val="true"/>
        </w:rPr>
        <w:footnoteReference w:id="755"/>
      </w:r>
      <w:r>
        <w:rPr>
          <w:rFonts w:ascii="IRNazanin" w:hAnsi="IRNazanin" w:eastAsia="IRNazanin"/>
          <w:color w:val="111111"/>
          <w:sz w:val="28"/>
          <w:sz w:val="28"/>
          <w:szCs w:val="28"/>
          <w:rtl w:val="true"/>
          <w:lang w:bidi="fa-IR"/>
        </w:rPr>
        <w:t xml:space="preserve">و علامه در منتهی </w:t>
      </w:r>
      <w:r>
        <w:rPr>
          <w:rStyle w:val="FootnoteAnchor"/>
          <w:rtl w:val="true"/>
        </w:rPr>
        <w:footnoteReference w:id="756"/>
      </w:r>
      <w:r>
        <w:rPr>
          <w:rFonts w:ascii="IRNazanin" w:hAnsi="IRNazanin" w:eastAsia="IRNazanin"/>
          <w:color w:val="111111"/>
          <w:sz w:val="28"/>
          <w:sz w:val="28"/>
          <w:szCs w:val="28"/>
          <w:rtl w:val="true"/>
          <w:lang w:bidi="fa-IR"/>
        </w:rPr>
        <w:t>به این روایت امام صادق علیه السلام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اتاه الله ذلك و هي اليمين الواجية وما جعل الله عليه في الشكر</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از این رو مسجد جایگاه دعا و بازگشت به سوی خداوند متعال در طوفان هولناک حوادث جانکاه و غمهای طاقت فرسا است</w:t>
      </w:r>
      <w:r>
        <w:rPr>
          <w:rFonts w:eastAsia="IRNazanin" w:cs="IRNazanin"/>
          <w:color w:val="111111"/>
          <w:sz w:val="28"/>
          <w:szCs w:val="28"/>
          <w:rtl w:val="true"/>
          <w:lang w:bidi="fa-IR"/>
        </w:rPr>
        <w:t>.</w:t>
      </w:r>
    </w:p>
    <w:p>
      <w:pPr>
        <w:pStyle w:val="Heading5"/>
        <w:numPr>
          <w:ilvl w:val="4"/>
          <w:numId w:val="1"/>
        </w:numPr>
        <w:rPr/>
      </w:pPr>
      <w:bookmarkStart w:id="605" w:name="__RefHeading___Toc15202638_1280447820"/>
      <w:bookmarkStart w:id="606" w:name="_Toc230"/>
      <w:bookmarkEnd w:id="605"/>
      <w:r>
        <w:rPr>
          <w:rtl w:val="true"/>
        </w:rPr>
        <w:t>گفتار دوم</w:t>
      </w:r>
      <w:r>
        <w:rPr>
          <w:rtl w:val="true"/>
        </w:rPr>
        <w:t xml:space="preserve">: </w:t>
      </w:r>
      <w:r>
        <w:rPr>
          <w:rtl w:val="true"/>
        </w:rPr>
        <w:t>ادله استحباب اقامه نماز در مسجد</w:t>
      </w:r>
      <w:bookmarkEnd w:id="6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استحباب اقامه نماز در مساجد دلایل متعددی اقامه شده است که به </w:t>
      </w:r>
    </w:p>
    <w:p>
      <w:pPr>
        <w:pStyle w:val="BookText"/>
        <w:rPr/>
      </w:pPr>
      <w:r>
        <w:rPr>
          <w:rFonts w:ascii="IRNazanin" w:hAnsi="IRNazanin" w:eastAsia="IRNazanin"/>
          <w:color w:val="111111"/>
          <w:sz w:val="28"/>
          <w:sz w:val="28"/>
          <w:szCs w:val="28"/>
          <w:rtl w:val="true"/>
          <w:lang w:bidi="fa-IR"/>
        </w:rPr>
        <w:t>مهمترین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اجماع بین مسلمین چنان که قبلاً اشاره شد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استدلال می کند به اینکه مسجد جای عبادت است، پس بهتر است که نماز در آن اقامه شود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ولی مهمترین دلیل روایات مستفیضه بلکه به تعبیر سید طباطبائی در ریاض </w:t>
      </w:r>
      <w:r>
        <w:rPr>
          <w:rStyle w:val="FootnoteAnchor"/>
          <w:rtl w:val="true"/>
        </w:rPr>
        <w:footnoteReference w:id="760"/>
      </w:r>
      <w:r>
        <w:rPr>
          <w:rFonts w:ascii="IRNazanin" w:hAnsi="IRNazanin" w:eastAsia="IRNazanin"/>
          <w:color w:val="111111"/>
          <w:sz w:val="28"/>
          <w:sz w:val="28"/>
          <w:szCs w:val="28"/>
          <w:rtl w:val="true"/>
          <w:lang w:bidi="fa-IR"/>
        </w:rPr>
        <w:t>روایات متواتری است که از طریق اهل بیت علیهم السلام وارد شده اند که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از امام صادق علیه السلام روایت می 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اهتمام زیادی داشت که عده ای از مسلمانان را در خانه هایشان آتش بزند، زیرا آنان در خانه هایشان نماز می خواندند و به نماز جماعت در مسجد شرکت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نابینایی وقتی از این امر مطلع شد نزد پیامبر آمد و عرض کرد یا رسول الله من نابینا هستم گاهی صدای اذان را می شنوم کسی را پیدا نمی کنم که دست مرا بگیرد و به مسجد بیایم و با شما نماز جماعت بخوانم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ات مسجد طنابی ببند و به نماز جماعت حاضر شو</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في التهذيب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الأ في مسجده</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برای همسایه مسجد نمازی نیست جز در مسجد، یعنی همسایه مسجد نباید در غیر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توضیح این روایت می گوید منظور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همسایه مسجد نمازی نیست جز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کامل و نماز بافضیلت نیست، نه اینکه اصلاً جایز نیست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زمان پیامبر از حضور در نماز جماعت با پیامبر سستی و کوتاهی می کردند پیامبر صلی الله علیه و آله فرمود این عده نماز در مسجد را ترک می کنند، عنقریب دستور می دهم آتش در دَرِ خانه هایشان افروخته شود، تا خانه هایشان در آتش بسوزند</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عبدالمک از امام صادق علیه السلام روایت می 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کسی که اهل مسجد است و به مسجد رفت و آمد می کند به کمتر از یکی از سه چیز به خانه اش برنمی گردد یا دعایی که در مسجد به آن از خداوند مسألت می کند و خداوند به وسیله آن او را وارد بهشت می،کند یا دعایی که به وسیله آن در دنیا خداوند بلا و گرفتاری از او برطرف می کند یا برادر دینی که محبت شان در راه خداست بدست می آورد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خبر رسید که عده ای از مردم در مسجد برای نماز حاضر نمی شوند، آنگاه امیرالمؤمنین علیه السلام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با ما در مساجد برای نماز حاضر نمی شوند آنان متوجه باشند که ما با آنان هم غذا نمی شویم و با آنان غذا نمی خوریم و با آنان آب نمی آشامیم و با آنان مشورت نمی کنیم و با آنان زن نمیدهیم و از آنان زن نمی گیریم و از بیت المال چیزی به آنان تعلق نمی گیرد مگر اینکه در مساجد حاضر شوند و نماز جماعت بخوانند و به زودی امر می کنم که آتش در خانه هایشان افروخته شود تا خانه هایشان در آتش بسوزند یا اینکه متوجه شوند و به مسجد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پس از آن مسلمانان با آنان قطع رابطه کردند و آنگاه آنان در نماز جماعت با مسلمین حاضر شدند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با توجه به دلایلی که گذشت از اجماع و ضرورت و روایات مستفیض بلکه متواتر نتیجه این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جماعت در مساجد مستحب بلکه به تعبیر شیخ حر عاملی مستحب مؤكّد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در این فضیلت و ثواب هیچ فرقی بین مساجد نیست چه مسجد جامع باشد یا غیر جامع مسجد قدیمی باشد یا مسجدی که جدیدا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 همه آنها را شامل می شود و در اصل فضیلت و ثواب فرق بین آنها نیست البته در مراتب ثواب و فضیلت اختلاف 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عروه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 فریضه در مساجد گزارده شود و افضل آنها مسجد الحرام می باشد که نماز در آن معادل یک میلیون نماز است، و در </w:t>
      </w:r>
      <w:bookmarkStart w:id="607" w:name="pg19115_195513"/>
    </w:p>
    <w:p>
      <w:pPr>
        <w:pStyle w:val="BookText"/>
        <w:rPr/>
      </w:pPr>
      <w:bookmarkEnd w:id="607"/>
      <w:r>
        <w:rPr>
          <w:rFonts w:ascii="IRNazanin" w:hAnsi="IRNazanin" w:eastAsia="IRNazanin"/>
          <w:color w:val="111111"/>
          <w:sz w:val="28"/>
          <w:sz w:val="28"/>
          <w:szCs w:val="28"/>
          <w:rtl w:val="true"/>
          <w:lang w:bidi="fa-IR"/>
        </w:rPr>
        <w:t>مرتبه ی بعد مسجد النبی صلى الله عليه و و آله و سلم می باشد که نماز در آن معادل ده هزار نماز است، و در مرتبه سوم مسجد کوفه است که ثواب هزار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الاقصی هم معادل هزار نماز است این مساجد چهارگانه بحث و تحقیق بیشتری دارد که در آینده تعرض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بعد مسجد جامع است که نماز در آن معادل صد نماز است و بعد مسجد محله است که ثواب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دارد و مسجد بازار که ثواب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دارد</w:t>
      </w:r>
      <w:r>
        <w:rPr>
          <w:rFonts w:eastAsia="IRNazanin" w:cs="IRNazanin"/>
          <w:color w:val="111111"/>
          <w:sz w:val="28"/>
          <w:szCs w:val="28"/>
          <w:rtl w:val="true"/>
          <w:lang w:bidi="fa-IR"/>
        </w:rPr>
        <w:t xml:space="preserve">. </w:t>
      </w:r>
      <w:r>
        <w:rPr>
          <w:rStyle w:val="FootnoteAnchor"/>
          <w:rtl w:val="true"/>
        </w:rPr>
        <w:footnoteReference w:id="768"/>
      </w:r>
    </w:p>
    <w:p>
      <w:pPr>
        <w:pStyle w:val="Heading5"/>
        <w:numPr>
          <w:ilvl w:val="4"/>
          <w:numId w:val="1"/>
        </w:numPr>
        <w:rPr/>
      </w:pPr>
      <w:bookmarkStart w:id="608" w:name="__RefHeading___Toc15202640_1280447820"/>
      <w:bookmarkStart w:id="609" w:name="_Toc231"/>
      <w:bookmarkEnd w:id="608"/>
      <w:r>
        <w:rPr>
          <w:rtl w:val="true"/>
        </w:rPr>
        <w:t>گفتار سوم استحباب نماز در مشاهد أئمه علیهم السلام</w:t>
      </w:r>
      <w:bookmarkEnd w:id="609"/>
    </w:p>
    <w:p>
      <w:pPr>
        <w:pStyle w:val="BookText"/>
        <w:rPr/>
      </w:pPr>
      <w:r>
        <w:rPr>
          <w:rFonts w:ascii="IRNazanin" w:hAnsi="IRNazanin" w:eastAsia="IRNazanin"/>
          <w:color w:val="111111"/>
          <w:sz w:val="28"/>
          <w:sz w:val="28"/>
          <w:szCs w:val="28"/>
          <w:rtl w:val="true"/>
          <w:lang w:bidi="fa-IR"/>
        </w:rPr>
        <w:t>سید یزدی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مشاهد مشرفه ائمه علیهم السلام نیز مستحب است و آنها خانه هایی است که خداوند امر کرده است که رفعت و مرتبه بلندی داشته باشند و نام خدا در آنها برده شود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بلکه آنها افضل از مساجدند، چون در برخی روایات وارد شده است که نماز در حرم امیرالمؤمنین علیه السلام معادل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 است</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 همچنین مستحب است در روضههای مقدس،پیامبران مراقد اولیا و صلحاء و علما نماز اقامه شود بلکه در خانه های علمایی که در حال حیاتند نیز مستحب است نماز بجای آورده شود</w:t>
      </w:r>
      <w:r>
        <w:rPr>
          <w:rFonts w:eastAsia="IRNazanin" w:cs="IRNazanin"/>
          <w:color w:val="111111"/>
          <w:sz w:val="28"/>
          <w:szCs w:val="28"/>
          <w:rtl w:val="true"/>
          <w:lang w:bidi="fa-IR"/>
        </w:rPr>
        <w:t xml:space="preserve">. </w:t>
      </w:r>
      <w:r>
        <w:rPr>
          <w:rStyle w:val="FootnoteAnchor"/>
          <w:rtl w:val="true"/>
        </w:rPr>
        <w:footnoteReference w:id="771"/>
      </w:r>
    </w:p>
    <w:p>
      <w:pPr>
        <w:pStyle w:val="Heading5"/>
        <w:numPr>
          <w:ilvl w:val="4"/>
          <w:numId w:val="1"/>
        </w:numPr>
        <w:rPr/>
      </w:pPr>
      <w:bookmarkStart w:id="610" w:name="__RefHeading___Toc15202642_1280447820"/>
      <w:bookmarkStart w:id="611" w:name="_Toc232"/>
      <w:bookmarkEnd w:id="610"/>
      <w:r>
        <w:rPr>
          <w:rtl w:val="true"/>
        </w:rPr>
        <w:t>گفتار چهارم</w:t>
      </w:r>
      <w:r>
        <w:rPr>
          <w:rtl w:val="true"/>
        </w:rPr>
        <w:t xml:space="preserve">: </w:t>
      </w:r>
      <w:r>
        <w:rPr>
          <w:rtl w:val="true"/>
        </w:rPr>
        <w:t>فضیلت نشستن در مسجد</w:t>
      </w:r>
      <w:bookmarkEnd w:id="611"/>
    </w:p>
    <w:p>
      <w:pPr>
        <w:pStyle w:val="BookText"/>
        <w:rPr/>
      </w:pPr>
      <w:r>
        <w:rPr>
          <w:rFonts w:ascii="IRNazanin" w:hAnsi="IRNazanin" w:eastAsia="IRNazanin"/>
          <w:color w:val="111111"/>
          <w:sz w:val="28"/>
          <w:sz w:val="28"/>
          <w:szCs w:val="28"/>
          <w:rtl w:val="true"/>
          <w:lang w:bidi="fa-IR"/>
        </w:rPr>
        <w:t>از جمله آداب مسجد آن است که انسان مؤمن نشستن در مسجد را طولانی و از شتاب در خروج از مسجد خودداری کند و مسجد را خانهی محبوب خود بداند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مستفیضه بر این حکم دلالت کنند که در زیر به مهمترین آنها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برای من بهتر از نشستن در بهشت است زیرا در بهشت خود را خوشنود می سازم و در مسجد پروردگارم را</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رسول خدا صلی الله علیه و آله روایت می کند که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کسی که سخن و گفتار،قرآن و مسجد خانه اش باشد خداوند در بهشت خانه ای برای او بنا می کند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می خواست تمام اهل زمین را عذاب کند تا هیچ یک از آنان باقی نمانند، و آنگاه که به پیرمردانی نگاه می کند که به طرف مسجد برای نماز می روند و اطفالی که در مسجد قرآن را فرا می گیرند خداوند به آنان رحم می کند و عذاب آنها را به تأخیر می اندازد</w:t>
      </w:r>
      <w:r>
        <w:rPr>
          <w:rFonts w:eastAsia="IRNazanin" w:cs="IRNazanin"/>
          <w:color w:val="111111"/>
          <w:sz w:val="28"/>
          <w:szCs w:val="28"/>
          <w:rtl w:val="true"/>
          <w:lang w:bidi="fa-IR"/>
        </w:rPr>
        <w:t xml:space="preserve">. </w:t>
      </w:r>
      <w:r>
        <w:rPr>
          <w:rStyle w:val="FootnoteAnchor"/>
          <w:rtl w:val="true"/>
        </w:rPr>
        <w:footnoteReference w:id="774"/>
      </w:r>
      <w:bookmarkStart w:id="612" w:name="pg19115_195515"/>
    </w:p>
    <w:p>
      <w:pPr>
        <w:pStyle w:val="Heading4"/>
        <w:numPr>
          <w:ilvl w:val="3"/>
          <w:numId w:val="1"/>
        </w:numPr>
        <w:rPr/>
      </w:pPr>
      <w:bookmarkStart w:id="613" w:name="__RefHeading___Toc15202644_1280447820"/>
      <w:bookmarkStart w:id="614" w:name="_Toc233"/>
      <w:bookmarkEnd w:id="612"/>
      <w:bookmarkEnd w:id="613"/>
      <w:r>
        <w:rPr>
          <w:rtl w:val="true"/>
        </w:rPr>
        <w:t>مبحث دوم</w:t>
      </w:r>
      <w:r>
        <w:rPr>
          <w:rtl w:val="true"/>
        </w:rPr>
        <w:t xml:space="preserve">: </w:t>
      </w:r>
      <w:r>
        <w:rPr>
          <w:rtl w:val="true"/>
        </w:rPr>
        <w:t>مسجد جایگاه دعا ذکر و یاد خداوند</w:t>
      </w:r>
      <w:bookmarkEnd w:id="614"/>
    </w:p>
    <w:p>
      <w:pPr>
        <w:pStyle w:val="BookText"/>
        <w:rPr/>
      </w:pPr>
      <w:r>
        <w:rPr>
          <w:rFonts w:ascii="IRNazanin" w:hAnsi="IRNazanin" w:eastAsia="IRNazanin"/>
          <w:color w:val="111111"/>
          <w:sz w:val="28"/>
          <w:sz w:val="28"/>
          <w:szCs w:val="28"/>
          <w:rtl w:val="true"/>
          <w:lang w:bidi="fa-IR"/>
        </w:rPr>
        <w:t>مساجد جایگاهی مناسب برای حضور مؤمنان جهت دعا ذکر، یاد حق و تسبیح خداوند می باشد و مؤمنان در آنجا با حضور قلب خدا را بخوانند و او را ستایش کنند؛ زیرا که مسجد جایگاه خاص و محضر ویژه است که برای،ذکر، یاد خدا و عبادت خالصانه او فراهم گشته است؛ چنان که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 الْمَسَاجِدَ لِلَّهِ فَلا تَدْعُوا مَعَ اللهِ أَحَداً</w:t>
      </w:r>
      <w:r>
        <w:rPr>
          <w:rStyle w:val="FootnoteAnchor"/>
          <w:rtl w:val="true"/>
        </w:rPr>
        <w:footnoteReference w:id="775"/>
      </w:r>
      <w:r>
        <w:rPr>
          <w:rFonts w:ascii="IRNazanin" w:hAnsi="IRNazanin" w:eastAsia="IRNazanin"/>
          <w:color w:val="111111"/>
          <w:sz w:val="28"/>
          <w:sz w:val="28"/>
          <w:szCs w:val="28"/>
          <w:rtl w:val="true"/>
          <w:lang w:bidi="fa-IR"/>
        </w:rPr>
        <w:t>مساجد از آن خداست؛ پس در این مساجد احدی را با خداوند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حسن طبرسی در مجمع البیان در تفسیر این آیه کریمه چند وجه ذکر کرده است که روشنترین معنایی آن این است که مقصود از مساجد مکان عبادت و پرستشگاه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این است که همه مساجد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کسی را جز خدا نخوانید و از شیوه نصاری و مشرکان که در معابد و کعبه شرک می ورزیدند دوری گزینید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بدین جهت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چند تفسیر برای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بنا بر یک تفسیر بر این معنی دلالت می کند که ورود به مسجد مستحب است و لازم است انسان در مسجد عبادت را خالص و بی پیرایه به جای آورد</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آیه دیگری از قرآن کریم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وَأَقِيمُوا وُجُوهَكُمْ عِنْدَ كُلِّ مَسْجِدٍ وَ ادْعُوهُ مُخْلِصِينَ لَهُ الدِّين</w:t>
      </w:r>
      <w:r>
        <w:rPr>
          <w:rFonts w:ascii="IRNazanin" w:hAnsi="IRNazanin" w:eastAsia="IRNazanin"/>
          <w:color w:val="111111"/>
          <w:sz w:val="28"/>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به سوی هر مسجدی روی آورید و خدا را </w:t>
      </w:r>
    </w:p>
    <w:p>
      <w:pPr>
        <w:pStyle w:val="BookText"/>
        <w:rPr/>
      </w:pPr>
      <w:r>
        <w:rPr>
          <w:rFonts w:ascii="IRNazanin" w:hAnsi="IRNazanin" w:eastAsia="IRNazanin"/>
          <w:color w:val="111111"/>
          <w:sz w:val="28"/>
          <w:sz w:val="28"/>
          <w:szCs w:val="28"/>
          <w:rtl w:val="true"/>
          <w:lang w:bidi="fa-IR"/>
        </w:rPr>
        <w:t>از سر اخلاص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آیه کریمه تفسیرهای گوناگون ذکر کرده اند، </w:t>
      </w:r>
      <w:r>
        <w:rPr>
          <w:rStyle w:val="FootnoteAnchor"/>
          <w:rtl w:val="true"/>
        </w:rPr>
        <w:footnoteReference w:id="779"/>
      </w:r>
      <w:r>
        <w:rPr>
          <w:rFonts w:ascii="IRNazanin" w:hAnsi="IRNazanin" w:eastAsia="IRNazanin"/>
          <w:color w:val="111111"/>
          <w:sz w:val="28"/>
          <w:sz w:val="28"/>
          <w:szCs w:val="28"/>
          <w:rtl w:val="true"/>
          <w:lang w:bidi="fa-IR"/>
        </w:rPr>
        <w:t xml:space="preserve">چنان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عبادت و پرستشگاه مسلمین تفسیر کنیم این معنی استفاده می شود که مسجد جایگاه دعا و عبادت خالصانه است؛ زیرا خدا ابتدا دستور می دهد که در مسجد حضور یابد آنگاه از او می خواهد که دعا و عبادت را خالصانه انجام دهد و توجه قلبی خویش را در هر عبادتی به او کنید و از ذات پاک او به سوی دیگر منحرف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قرآن کریم در جای دیگر صریحاً مسجد را جایگاه ذکر و یاد خداوند متعال شمرده و می فرماید </w:t>
      </w:r>
      <w:r>
        <w:rPr>
          <w:rFonts w:ascii="Amiri" w:hAnsi="Amiri" w:eastAsia="Amiri" w:cs="Amiri"/>
          <w:color w:val="111111"/>
          <w:sz w:val="28"/>
          <w:sz w:val="28"/>
          <w:szCs w:val="28"/>
          <w:rtl w:val="true"/>
          <w:lang w:bidi="ar-SA"/>
        </w:rPr>
        <w:t>وَمَساجِدُ يُذْكَرُ فِيهَا اسْمُ اللَّهِ كَثِيراً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مساجدی که در آن بسیار یاد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که مسجد، جایگاه حضور مؤمنان برای ذکر و تسبیح خدا است، در آیه ای دیگر از قرآن کریم نیز مورد تأکید قرار گرفته است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در خانه هایی که خداوند به تعظیم و بزرگداشت آنها فرمان داده و برده شدن نام خویش را در آن خواسته است مردانی یافت می شود که صبحگاهان و شامگاهان خدا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تجارت و معاملهای آنان را از یاد خداوند و بپای داشتن نماز و پرداخت زکات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آیات بیانی دارد که حاصل آن چنین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بالا بردن قدر و منزلت مسجد، یعنی تعظیم و بزرگداشت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عظمت و بزرگی از آن خداوند است، هر کس به همان </w:t>
      </w:r>
    </w:p>
    <w:p>
      <w:pPr>
        <w:pStyle w:val="BookText"/>
        <w:rPr/>
      </w:pPr>
      <w:r>
        <w:rPr>
          <w:rFonts w:ascii="IRNazanin" w:hAnsi="IRNazanin" w:eastAsia="IRNazanin"/>
          <w:color w:val="111111"/>
          <w:sz w:val="28"/>
          <w:sz w:val="28"/>
          <w:szCs w:val="28"/>
          <w:rtl w:val="true"/>
          <w:lang w:bidi="fa-IR"/>
        </w:rPr>
        <w:t>میزانی که با خداوند پیوند و نسبت دارد در عظمت و بزرگی با وی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تعظیم چیزی اذن می دهد در واقع با توجه به پیوند و ارتباطی است که آن چیز با خداوند متعال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تعظیم و بزرگداشت مسجد صفتی است که برای مسجد بیان شده و آن بردن نام خداوند در مسجد است</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 شود در این آیات وصفی که برای مساجد ذکر شده آن است که در مساجد نام خداوند برده می شود و مردان خدا برای تسبیح و ستایش حق تعالی در صبح و شام بدان رو می آورند</w:t>
      </w:r>
      <w:r>
        <w:rPr>
          <w:rFonts w:eastAsia="IRNazanin" w:cs="IRNazanin"/>
          <w:color w:val="111111"/>
          <w:sz w:val="28"/>
          <w:szCs w:val="28"/>
          <w:rtl w:val="true"/>
          <w:lang w:bidi="fa-IR"/>
        </w:rPr>
        <w:t xml:space="preserve">. </w:t>
      </w:r>
      <w:bookmarkStart w:id="615" w:name="pg19115_195518"/>
    </w:p>
    <w:p>
      <w:pPr>
        <w:pStyle w:val="Heading4"/>
        <w:numPr>
          <w:ilvl w:val="3"/>
          <w:numId w:val="1"/>
        </w:numPr>
        <w:rPr/>
      </w:pPr>
      <w:bookmarkStart w:id="616" w:name="__RefHeading___Toc15202646_1280447820"/>
      <w:bookmarkStart w:id="617" w:name="_Toc234"/>
      <w:bookmarkEnd w:id="615"/>
      <w:bookmarkEnd w:id="616"/>
      <w:r>
        <w:rPr>
          <w:rtl w:val="true"/>
        </w:rPr>
        <w:t>مبحث سوم</w:t>
      </w:r>
      <w:r>
        <w:rPr>
          <w:rtl w:val="true"/>
        </w:rPr>
        <w:t xml:space="preserve">: </w:t>
      </w:r>
      <w:r>
        <w:rPr>
          <w:rtl w:val="true"/>
        </w:rPr>
        <w:t>استحباب تلاوت قرآن در مسجد</w:t>
      </w:r>
      <w:bookmarkEnd w:id="617"/>
    </w:p>
    <w:p>
      <w:pPr>
        <w:pStyle w:val="BookText"/>
        <w:rPr/>
      </w:pPr>
      <w:r>
        <w:rPr>
          <w:rFonts w:ascii="IRNazanin" w:hAnsi="IRNazanin" w:eastAsia="IRNazanin"/>
          <w:color w:val="111111"/>
          <w:sz w:val="28"/>
          <w:sz w:val="28"/>
          <w:szCs w:val="28"/>
          <w:rtl w:val="true"/>
          <w:lang w:bidi="fa-IR"/>
        </w:rPr>
        <w:t>شیخ حر عاملی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و خواندن شعر در مسجد کراهت دارد و سخن گفتن به امور دنیایی نیز مکروه است ولی قرائت قرآن در آن کراهت ندارد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یکی از جلوه های یاد خدا در مسجد تلاوت قرآن است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شنیدید کسی در مسجد شعر می خواند به او بگویید خداوند دهانت را بشکند مساجد را تنها برای قرآن خواندن ساخته اند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از کتابهای سیره پیامبر چنین بر می آید که مسلمانان علاوه بر تلاوت قرآن به صورت شخصی شبها نیز پس از نماز به شکل گروهی در مسجد حاضر می شدند و به تلاوت قرآن کریم می پرداختند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در مغازی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براء عامر بن مالک که معروف به ملاعب الاسنه بود پیش پیامبر آمد و برای آن حضرت دو اسب و دو ناقه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هديه مشرک را نمی پذیرم و اسلام 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اسلام آورد نه آن را رد کرد و گفت ای محمد من آیین تو را کاری پسندیده و گرامی می بینم عشیره من پشت 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نفری از یاران خود را همراه من بفرستی امیدوارم قوم من دعوت تو را بپذیرند و از آیین تو پیروی کنند و اگر آنها به پیروی تو درآیند کارت بالا خواهد گرفت پیامبر فرمود من از جانب مردم نجد برای یاران خود بیمناکم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مترسید که من آنها را در پناه خود می گیرم و </w:t>
      </w:r>
    </w:p>
    <w:p>
      <w:pPr>
        <w:pStyle w:val="BookText"/>
        <w:rPr/>
      </w:pPr>
      <w:r>
        <w:rPr>
          <w:rFonts w:ascii="IRNazanin" w:hAnsi="IRNazanin" w:eastAsia="IRNazanin"/>
          <w:color w:val="111111"/>
          <w:sz w:val="28"/>
          <w:sz w:val="28"/>
          <w:szCs w:val="28"/>
          <w:rtl w:val="true"/>
          <w:lang w:bidi="fa-IR"/>
        </w:rPr>
        <w:t>هیچ کس از اهل نجد متعرض ایشان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انصار هفتاد مرد جوان بودند که آنها را قاریان قرآن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شبها در گوشه ای از شهر مدینه جمع می شدند نماز می گزاردند و در آیات قرآن بحث و بررسی می کردند و تا هنگام صبح بیدار بودند صبحگاه برای خانه های پیامبر آب شیرین و هیزمی که جمع کرده بودند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خانواده هایشان گمان می کردند که در مسجدند و اهل مسجد تصور می کردند که در خانه هایشان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ایشان را به کار گسیل داشت، پس همگی بیرون رفتند و در کنار چاه معونه شهید شدند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با دقت در این نقل تاریخی روشن می شود که کسانی همواره در مسجد به قرائت آموزش قرآن اشتغال داشته اند از همین رو هرگاه جوانی از این گروه شب هنگام به خانه نمی رفت خانواده اش چنین می پنداشتند که او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دیگر کتابهای سیره و حدیث نیز با اندک تفاوتی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ابن سعد آمده است که قاریان قرآن در زمان رسول خدا علاوه بر تلاوت قرآن شبها با یکدیگر جلسات آموزشی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برای مسجد آب تهیه می کردند و به هیزم جمع کردن می پرداختند و با پول آن برای اصحاب صفه و فقیران طعام می خریدند </w:t>
      </w:r>
      <w:r>
        <w:rPr>
          <w:rStyle w:val="FootnoteAnchor"/>
          <w:rtl w:val="true"/>
        </w:rPr>
        <w:footnoteReference w:id="786"/>
      </w:r>
      <w:r>
        <w:rPr>
          <w:rFonts w:ascii="IRNazanin" w:hAnsi="IRNazanin" w:eastAsia="IRNazanin"/>
          <w:color w:val="111111"/>
          <w:sz w:val="28"/>
          <w:sz w:val="28"/>
          <w:szCs w:val="28"/>
          <w:rtl w:val="true"/>
          <w:lang w:bidi="fa-IR"/>
        </w:rPr>
        <w:t>در صحیح مسلم نیز به این حادثه به نقل از انس بن مالک اشاره شده است</w:t>
      </w:r>
      <w:r>
        <w:rPr>
          <w:rFonts w:eastAsia="IRNazanin" w:cs="IRNazanin"/>
          <w:color w:val="111111"/>
          <w:sz w:val="28"/>
          <w:szCs w:val="28"/>
          <w:rtl w:val="true"/>
          <w:lang w:bidi="fa-IR"/>
        </w:rPr>
        <w:t xml:space="preserve">. </w:t>
      </w:r>
      <w:r>
        <w:rPr>
          <w:rStyle w:val="FootnoteAnchor"/>
          <w:rtl w:val="true"/>
        </w:rPr>
        <w:footnoteReference w:id="78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شواهد تاریخی به روشنی فهمیده می شود که شبها گروهی از یاران پیامبر در مسجد اجتماع می کردند و به تلاوت و آموزش قرآن 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دیرینه و پیوند ناگسستنی میان مسجد و قرآن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شایسته است روایاتی که در این زمینه وارد شده است به مهمترین آنها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قرآن دوستدار مساجد نیز هست؛ زیرا مسجد آستانه های خداوند می باشند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فضیلتی بیشتر دارد؟ پیامبر فرمود ذکر خدا و به یاد خدا بودن و این پاسخ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که در خانه ای از خانه های خدا جمع شوند و قرآن را بیاموزند و دربارۀ دانشهای قرآنی با یکدیگر بحث و گفتگو بپردازند تا آنگاه که به این کار مشغولند، مهمان خدا به شمار می آیند؛ فرشتگان با بالهای خود بر چنین قومی سایه رحمت می افکنند؟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روایت می کند که خداوند متعال گاهی اراده می کند بر همه اهل زمین عذاب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این که هیچ کسی از آنان در روی زمین باقی نماند و آنگاه به پیرمردانی نگاه کند که برای اقامه نماز عازم مسجدند و همچنین به جوانانی که قرآن می آموزند و این امر باعث می شود که خداوند به آنان رحم کند و عذاب را نازل نکند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پیامبر خدا صلی الله علیه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در خانه ای از خانه های خدا جمع شوند و قرآن بیاموزند و بین خودشان مذاکره و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ایشان سکینه و آرامش می فرستد و رحمتش ایشان را فرا می گیرد و ملائکه آنان را احاطه می کنند و خداوند از ایشان در عالم بالا یاد می کند</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ابوداود سجستانی </w:t>
      </w:r>
      <w:r>
        <w:rPr>
          <w:rStyle w:val="FootnoteAnchor"/>
          <w:rtl w:val="true"/>
        </w:rPr>
        <w:footnoteReference w:id="792"/>
      </w:r>
      <w:r>
        <w:rPr>
          <w:rFonts w:ascii="IRNazanin" w:hAnsi="IRNazanin" w:eastAsia="IRNazanin"/>
          <w:color w:val="111111"/>
          <w:sz w:val="28"/>
          <w:sz w:val="28"/>
          <w:szCs w:val="28"/>
          <w:rtl w:val="true"/>
          <w:lang w:bidi="fa-IR"/>
        </w:rPr>
        <w:t xml:space="preserve">و محمد بن یزید قزوینی </w:t>
      </w:r>
      <w:r>
        <w:rPr>
          <w:rStyle w:val="FootnoteAnchor"/>
          <w:rtl w:val="true"/>
        </w:rPr>
        <w:footnoteReference w:id="793"/>
      </w:r>
      <w:r>
        <w:rPr>
          <w:rFonts w:ascii="IRNazanin" w:hAnsi="IRNazanin" w:eastAsia="IRNazanin"/>
          <w:color w:val="111111"/>
          <w:sz w:val="28"/>
          <w:sz w:val="28"/>
          <w:szCs w:val="28"/>
          <w:rtl w:val="true"/>
          <w:lang w:bidi="fa-IR"/>
        </w:rPr>
        <w:t>نیز این حدیث را از پیامبر خدا صلی الله علیه و آله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بن عامر جهنی می گوید ما در صفه مسد النبی بودیم پیامبر خدا صلی الله علیه و آله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که صبحگاهان وارد وادی بطحان و عتیق شود و دو شتر چاقی که مایل به سفیدی می باشند دریافت کند در حالی که نه مرتکب معصیت و گناه شده و نه قطع رحم کرده است و اصحاب عرض کردند؛ یا رسول الله همه ما به این کار مایل هستیم پیامبر فرمود اگر هر کدام از شما هر روز موقع سپیده وارد مسجد شود، و دو آیه از قرآن بیاموزد، برا او از دو شتر بهتر است</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9115_195523"/>
      <w:bookmarkStart w:id="619" w:name="pg19115_195523"/>
      <w:bookmarkEnd w:id="619"/>
    </w:p>
    <w:p>
      <w:pPr>
        <w:pStyle w:val="Heading3"/>
        <w:numPr>
          <w:ilvl w:val="2"/>
          <w:numId w:val="1"/>
        </w:numPr>
        <w:rPr/>
      </w:pPr>
      <w:bookmarkStart w:id="620" w:name="pg19115_195523"/>
      <w:bookmarkStart w:id="621" w:name="__RefHeading___Toc15202648_1280447820"/>
      <w:bookmarkStart w:id="622" w:name="_Toc235"/>
      <w:bookmarkEnd w:id="620"/>
      <w:bookmarkEnd w:id="621"/>
      <w:r>
        <w:rPr>
          <w:rtl w:val="true"/>
        </w:rPr>
        <w:t>فصل دوم</w:t>
      </w:r>
      <w:r>
        <w:rPr>
          <w:rtl w:val="true"/>
        </w:rPr>
        <w:t xml:space="preserve">: </w:t>
      </w:r>
      <w:r>
        <w:rPr>
          <w:rtl w:val="true"/>
        </w:rPr>
        <w:t>اعتکاف</w:t>
      </w:r>
      <w:bookmarkEnd w:id="622"/>
    </w:p>
    <w:p>
      <w:pPr>
        <w:pStyle w:val="Heading4"/>
        <w:numPr>
          <w:ilvl w:val="3"/>
          <w:numId w:val="1"/>
        </w:numPr>
        <w:rPr/>
      </w:pPr>
      <w:bookmarkStart w:id="623" w:name="__RefHeading___Toc15202650_1280447820"/>
      <w:bookmarkStart w:id="624" w:name="_Toc236"/>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اعتکاف</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اعتکاف</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و مبطلات اعتکاف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9115_195525"/>
      <w:bookmarkStart w:id="626" w:name="pg19115_195525"/>
      <w:bookmarkEnd w:id="626"/>
    </w:p>
    <w:p>
      <w:pPr>
        <w:pStyle w:val="Heading4"/>
        <w:numPr>
          <w:ilvl w:val="3"/>
          <w:numId w:val="1"/>
        </w:numPr>
        <w:rPr/>
      </w:pPr>
      <w:bookmarkStart w:id="627" w:name="pg19115_195525"/>
      <w:bookmarkStart w:id="628" w:name="__RefHeading___Toc15202652_1280447820"/>
      <w:bookmarkStart w:id="629" w:name="_Toc237"/>
      <w:bookmarkEnd w:id="627"/>
      <w:bookmarkEnd w:id="628"/>
      <w:r>
        <w:rPr>
          <w:rtl w:val="true"/>
        </w:rPr>
        <w:t>مبحث اول</w:t>
      </w:r>
      <w:r>
        <w:rPr>
          <w:rtl w:val="true"/>
        </w:rPr>
        <w:t xml:space="preserve">: </w:t>
      </w:r>
      <w:r>
        <w:rPr>
          <w:rtl w:val="true"/>
        </w:rPr>
        <w:t>چیستی اعتکاف</w:t>
      </w:r>
      <w:bookmarkEnd w:id="629"/>
    </w:p>
    <w:p>
      <w:pPr>
        <w:pStyle w:val="Heading5"/>
        <w:numPr>
          <w:ilvl w:val="4"/>
          <w:numId w:val="1"/>
        </w:numPr>
        <w:rPr/>
      </w:pPr>
      <w:bookmarkStart w:id="630" w:name="__RefHeading___Toc15202654_1280447820"/>
      <w:bookmarkStart w:id="631" w:name="_Toc238"/>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لغت و اصطلاح</w:t>
      </w:r>
    </w:p>
    <w:p>
      <w:pPr>
        <w:pStyle w:val="BookText"/>
        <w:rPr/>
      </w:pPr>
      <w:r>
        <w:rPr>
          <w:rFonts w:ascii="IRNazanin" w:hAnsi="IRNazanin" w:eastAsia="IRNazanin"/>
          <w:color w:val="111111"/>
          <w:sz w:val="28"/>
          <w:sz w:val="28"/>
          <w:szCs w:val="28"/>
          <w:rtl w:val="true"/>
          <w:lang w:bidi="fa-IR"/>
        </w:rPr>
        <w:t xml:space="preserve">پیش از شروع بحث لازم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مورد بررسی قرار گیرد</w:t>
      </w:r>
      <w:r>
        <w:rPr>
          <w:rFonts w:eastAsia="IRNazanin" w:cs="IRNazanin"/>
          <w:color w:val="111111"/>
          <w:sz w:val="28"/>
          <w:szCs w:val="28"/>
          <w:rtl w:val="true"/>
          <w:lang w:bidi="fa-IR"/>
        </w:rPr>
        <w:t>.</w:t>
      </w:r>
    </w:p>
    <w:p>
      <w:pPr>
        <w:pStyle w:val="Heading5"/>
        <w:numPr>
          <w:ilvl w:val="4"/>
          <w:numId w:val="1"/>
        </w:numPr>
        <w:rPr/>
      </w:pPr>
      <w:bookmarkStart w:id="632" w:name="__RefHeading___Toc15202656_1280447820"/>
      <w:bookmarkStart w:id="633" w:name="_Toc239"/>
      <w:bookmarkEnd w:id="632"/>
      <w:r>
        <w:rPr>
          <w:rtl w:val="true"/>
        </w:rPr>
        <w:t>الف</w:t>
      </w:r>
      <w:r>
        <w:rPr>
          <w:rtl w:val="true"/>
        </w:rPr>
        <w:t xml:space="preserve">) </w:t>
      </w:r>
      <w:r>
        <w:rPr>
          <w:rtl w:val="true"/>
        </w:rPr>
        <w:t>مفهوم لغوى اعتكاف</w:t>
      </w:r>
      <w:bookmarkEnd w:id="633"/>
    </w:p>
    <w:p>
      <w:pPr>
        <w:pStyle w:val="BookText"/>
        <w:rPr/>
      </w:pPr>
      <w:r>
        <w:rPr>
          <w:rFonts w:ascii="IRNazanin" w:hAnsi="IRNazanin" w:eastAsia="IRNazanin"/>
          <w:color w:val="111111"/>
          <w:sz w:val="28"/>
          <w:sz w:val="28"/>
          <w:szCs w:val="28"/>
          <w:rtl w:val="true"/>
          <w:lang w:bidi="fa-IR"/>
        </w:rPr>
        <w:t>اعتکاف در لغت، از ریشه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محبوس کردن و نگه داشتن یک شی است</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معنای دیگری که برای این واژه ذکر شده عبارت است از روی آوردن به چیزی به گونه ای که از آن روی برنگردان نشود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البته برخی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به چیزی و ملازمت با آن شیء همراه با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کرده اند</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افتعال به معنی پیوستگی به چیزی داشتن و حبس کردن و در لغت درنگ کردن و ادامه دادن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بنابراین، اگر بخواهیم یک اصل برای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بیابیم، معنایی است که صاحب مقائیس برای این واژه ذکر کرده که این واژه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البته در سایر کتب لغت معانی دیگری همچون معنای بازداشتن مراقبت کردن منع نمودن و ملازمت همراه با تعظیم برای اعتکاف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معنای ریشهای عَكَفَ ماندن بر محور چیزی است که مفاهیم ملازمت، مواظبت، بازداشتن، ماندن مقابله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نتایج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ابتدا معنای لغوی اعتکاف را بیان کرده و نمونه هایی از آیات قرآن را که معنای لغوی اعتکاف در آن به کار رفته بیان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در لغت به معنای حبس بودن است و از همین معناست درنگ طولانی و همراه دائمی چیزی،بودن چه آن شیء خوب باشد و چه بد مثل آن چه که در قرآن آمده که به کفّار گفته می شود چیست این بتهایی که شما در برابر آنها دائماً زانو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 کفار و بت پرستان برابر بت های خود به اعتکاف نشسته اند</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العین معتقد است که بهتر است به جای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مخصوص شرعی استفاده شود از واژه عکف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ثلاثی مجرد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شد؛ چه آن که در قرآن کریم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نه اعتکاف</w:t>
      </w:r>
      <w:r>
        <w:rPr>
          <w:rFonts w:eastAsia="IRNazanin" w:cs="IRNazanin"/>
          <w:color w:val="111111"/>
          <w:sz w:val="28"/>
          <w:szCs w:val="28"/>
          <w:rtl w:val="true"/>
          <w:lang w:bidi="fa-IR"/>
        </w:rPr>
        <w:t xml:space="preserve">. </w:t>
      </w:r>
      <w:r>
        <w:rPr>
          <w:rStyle w:val="FootnoteAnchor"/>
          <w:rtl w:val="true"/>
        </w:rPr>
        <w:footnoteReference w:id="801"/>
      </w:r>
      <w:bookmarkStart w:id="634" w:name="pg19115_195527"/>
    </w:p>
    <w:p>
      <w:pPr>
        <w:pStyle w:val="Heading5"/>
        <w:numPr>
          <w:ilvl w:val="4"/>
          <w:numId w:val="1"/>
        </w:numPr>
        <w:rPr/>
      </w:pPr>
      <w:bookmarkStart w:id="635" w:name="__RefHeading___Toc15202658_1280447820"/>
      <w:bookmarkStart w:id="636" w:name="_Toc240"/>
      <w:bookmarkEnd w:id="634"/>
      <w:bookmarkEnd w:id="635"/>
      <w:r>
        <w:rPr>
          <w:rtl w:val="true"/>
        </w:rPr>
        <w:t>ب</w:t>
      </w:r>
      <w:r>
        <w:rPr>
          <w:rtl w:val="true"/>
        </w:rPr>
        <w:t xml:space="preserve">) </w:t>
      </w:r>
      <w:r>
        <w:rPr>
          <w:rtl w:val="true"/>
        </w:rPr>
        <w:t>مفهوم اصطلاحی اعتکاف</w:t>
      </w:r>
      <w:bookmarkEnd w:id="636"/>
    </w:p>
    <w:p>
      <w:pPr>
        <w:pStyle w:val="Heading6"/>
        <w:numPr>
          <w:ilvl w:val="5"/>
          <w:numId w:val="1"/>
        </w:numPr>
        <w:rPr/>
      </w:pPr>
      <w:bookmarkStart w:id="637" w:name="__RefHeading___Toc15202660_1280447820"/>
      <w:bookmarkStart w:id="638" w:name="_Toc241"/>
      <w:bookmarkEnd w:id="637"/>
      <w:r>
        <w:rPr/>
        <w:t>1</w:t>
      </w:r>
      <w:r>
        <w:rPr>
          <w:rtl w:val="true"/>
        </w:rPr>
        <w:t xml:space="preserve">. </w:t>
      </w:r>
      <w:r>
        <w:rPr>
          <w:rtl w:val="true"/>
        </w:rPr>
        <w:t>دیدگاه فقیهان امامیه</w:t>
      </w:r>
      <w:bookmarkEnd w:id="638"/>
    </w:p>
    <w:p>
      <w:pPr>
        <w:pStyle w:val="BookText"/>
        <w:rPr/>
      </w:pPr>
      <w:r>
        <w:rPr>
          <w:rFonts w:ascii="IRNazanin" w:hAnsi="IRNazanin" w:eastAsia="IRNazanin"/>
          <w:color w:val="111111"/>
          <w:sz w:val="28"/>
          <w:sz w:val="28"/>
          <w:szCs w:val="28"/>
          <w:rtl w:val="true"/>
          <w:lang w:bidi="fa-IR"/>
        </w:rPr>
        <w:t>محقق حلی رحمه الله در تعریف شرعی اعتکاف می گوید ماندن طولانی مدت در مسجد را گویند و پس از این،تعریف به بیان شرایط آن می پردازد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شهید اول در دروس اعتکاف اصطلاحی را این 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 در مسجد جامع برای عبادت سه روز یا بیشتر در حالی که روزه دار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صاحب جواهر رحمه الله در تعریف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شرعی آن مکث و درنگ طولانی برای عبادت و راز و نیاز با خدا در مسجد می باشد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امام خمینی رحمه الله نیز معنایی شبیه به معنای صاحب جواهر رحمه الله ارائه داده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عبارت است از ماندن در مسجد و درنگ در آن به قصد این که بندگی خدا نماید</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تعاریف فقیهان درباره اعتکاف آشکار است آن است که هدف از ماندن در مسجد، فقط و فقط برای بندگی و عبودیت می باشد و زمانی که با این قصد و نیت در مسجد حضور پیدا کنیم می توانیم بگوئیم که معتکف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ماندن در مسجد کافی نیست بلکه این ماندن باید با نیت عبادت الهی همراه بوده و </w:t>
      </w:r>
      <w:bookmarkStart w:id="639" w:name="pg19115_195528"/>
    </w:p>
    <w:p>
      <w:pPr>
        <w:pStyle w:val="BookText"/>
        <w:rPr/>
      </w:pPr>
      <w:bookmarkEnd w:id="639"/>
      <w:r>
        <w:rPr>
          <w:rFonts w:ascii="IRNazanin" w:hAnsi="IRNazanin" w:eastAsia="IRNazanin"/>
          <w:color w:val="111111"/>
          <w:sz w:val="28"/>
          <w:sz w:val="28"/>
          <w:szCs w:val="28"/>
          <w:rtl w:val="true"/>
          <w:lang w:bidi="fa-IR"/>
        </w:rPr>
        <w:t>شخص معتكف، قصد تعبّد داشته باشد هر چند همراه با قصد عبادت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اعتکاف در اصطلاح فقیهان،شیعی به معنای وقوف و ماندن در مسجد، طبق شرایط و آداب خاص شرعی و برای مدت زمانی مخصوص به منظور</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Heading6"/>
        <w:numPr>
          <w:ilvl w:val="5"/>
          <w:numId w:val="1"/>
        </w:numPr>
        <w:rPr/>
      </w:pPr>
      <w:bookmarkStart w:id="640" w:name="__RefHeading___Toc15202662_1280447820"/>
      <w:bookmarkStart w:id="641" w:name="_Toc242"/>
      <w:bookmarkEnd w:id="640"/>
      <w:r>
        <w:rPr/>
        <w:t>2</w:t>
      </w:r>
      <w:r>
        <w:rPr>
          <w:rtl w:val="true"/>
        </w:rPr>
        <w:t xml:space="preserve">. </w:t>
      </w:r>
      <w:r>
        <w:rPr>
          <w:rtl w:val="true"/>
        </w:rPr>
        <w:t>دیدگاه اهل سنت</w:t>
      </w:r>
      <w:bookmarkEnd w:id="641"/>
    </w:p>
    <w:p>
      <w:pPr>
        <w:pStyle w:val="BookText"/>
        <w:rPr/>
      </w:pPr>
      <w:r>
        <w:rPr>
          <w:rFonts w:ascii="IRNazanin" w:hAnsi="IRNazanin" w:eastAsia="IRNazanin"/>
          <w:color w:val="111111"/>
          <w:sz w:val="28"/>
          <w:sz w:val="28"/>
          <w:szCs w:val="28"/>
          <w:rtl w:val="true"/>
          <w:lang w:bidi="fa-IR"/>
        </w:rPr>
        <w:t>شافعی ها اعتکاف را این گونه معنا می کنند اعتکاف عبارت است از ماندن در مسجد از شخصی خاص همراه با نیت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حنفی ها بر این باورند که اعتکاف عبارت است از ماندن در مسجدی که نماز جماعت در آن برپا می شود همراه با روزه و نیت اعتکاف</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مالکی ها می گویند اعتکاف عبارت است از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مسلمان ممیز با مسجدی که برای همه مردم مباح است برای عبادت و همراه با روزه و انجام ندادن جماع و مقدمات،آن یک روز و یک شب یا بیشتر البته همراه با نیت کردن اعتکاف</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 ها معتقدند که اعتکاف عبارت است از ملازم مسجد بودن به خاطر اطاعت الهی به شکلی خاص از شخص مسلمانی که عاقل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صبی ممیز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آنچه موجب غسل می شود پاک باشد</w:t>
      </w:r>
      <w:r>
        <w:rPr>
          <w:rFonts w:eastAsia="IRNazanin" w:cs="IRNazanin"/>
          <w:color w:val="111111"/>
          <w:sz w:val="28"/>
          <w:szCs w:val="28"/>
          <w:rtl w:val="true"/>
          <w:lang w:bidi="fa-IR"/>
        </w:rPr>
        <w:t xml:space="preserve">.» </w:t>
      </w:r>
      <w:r>
        <w:rPr>
          <w:rStyle w:val="FootnoteAnchor"/>
          <w:rtl w:val="true"/>
        </w:rPr>
        <w:footnoteReference w:id="809"/>
      </w:r>
      <w:bookmarkStart w:id="642" w:name="pg19115_195529"/>
    </w:p>
    <w:p>
      <w:pPr>
        <w:pStyle w:val="Heading5"/>
        <w:numPr>
          <w:ilvl w:val="4"/>
          <w:numId w:val="1"/>
        </w:numPr>
        <w:rPr/>
      </w:pPr>
      <w:bookmarkStart w:id="643" w:name="__RefHeading___Toc15202664_1280447820"/>
      <w:bookmarkStart w:id="644" w:name="_Toc243"/>
      <w:bookmarkEnd w:id="642"/>
      <w:bookmarkEnd w:id="643"/>
      <w:r>
        <w:rPr>
          <w:rtl w:val="true"/>
        </w:rPr>
        <w:t>گفتار دوم</w:t>
      </w:r>
      <w:r>
        <w:rPr>
          <w:rtl w:val="true"/>
        </w:rPr>
        <w:t xml:space="preserve">: </w:t>
      </w:r>
      <w:r>
        <w:rPr>
          <w:rtl w:val="true"/>
        </w:rPr>
        <w:t>پیشینه اعتکاف</w:t>
      </w:r>
      <w:bookmarkEnd w:id="644"/>
    </w:p>
    <w:p>
      <w:pPr>
        <w:pStyle w:val="BookText"/>
        <w:rPr/>
      </w:pPr>
      <w:r>
        <w:rPr>
          <w:rFonts w:ascii="IRNazanin" w:hAnsi="IRNazanin" w:eastAsia="IRNazanin"/>
          <w:color w:val="111111"/>
          <w:sz w:val="28"/>
          <w:sz w:val="28"/>
          <w:szCs w:val="28"/>
          <w:rtl w:val="true"/>
          <w:lang w:bidi="fa-IR"/>
        </w:rPr>
        <w:t xml:space="preserve">اعتکاف پیش از اسلام نیز در بین ادیان الهی وجود داشته و اسلام نیز حکم آنرا تنفیذ کرده است با نگاهی به آیات قرآن کریم در می یابیم که اعتکاف در بین پیامبران و ادیان الهی جایگاه ویژه ای داشته است در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 که برخی از این موارد نشان از اهمیت این سنت حسنه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های اعراف آیه،</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آیههای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شعراء آیه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حج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بقره آیه های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خداوند متعال خطاب پیرامون دستور خود به حضرت ابراهیم و اسماعیل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جَعَلْنَا الْبَيْتَ مَثَابَةً لِلنَّاسِ وَأَمْناً وَ اتَّخِذُوا مِنْ مَقَامِ إِبْرَاهِيمَ مُصَلَّى وَ عَهِدْنَا إِلَى إِبْرَاهِيمَ وَ إِسْمَاعِيلَ أَنْ طَهَّرَا بَيْتِيَ لِلطَّائِفِينَ وَ الْعَاكِفِينَ وَالرُّكَّعِ السجود،</w:t>
      </w:r>
      <w:r>
        <w:rPr>
          <w:rStyle w:val="FootnoteAnchor"/>
          <w:rtl w:val="true"/>
        </w:rPr>
        <w:footnoteReference w:id="810"/>
      </w:r>
      <w:r>
        <w:rPr>
          <w:rFonts w:ascii="IRNazanin" w:hAnsi="IRNazanin" w:eastAsia="IRNazanin"/>
          <w:color w:val="111111"/>
          <w:sz w:val="28"/>
          <w:sz w:val="28"/>
          <w:szCs w:val="28"/>
          <w:rtl w:val="true"/>
          <w:lang w:bidi="fa-IR"/>
        </w:rPr>
        <w:t>و به خاطر بیاورید هنگامی که خانه کعبه را محل بازگشت و مرکز امن و امان برای مردم قرار دادیم و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از مقام ابراهیم عبادتگاهی برای خود انتخاب کنید و ما به ابراهیم و اسماعیل امر کردیم که خانه مرا برای طواف کنندگان و مجاوران و رکوع کنندگان و سجده کنندگان،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 توان چنین استنباط نمود که در شریعت حضرت ابراهیم عبادتی به نام اعتکاف یا با نامی به همین معنا وجود داشته است و خداوند متعال در ضمن این آیه می فرماید ما ابراهیم و اسماعیل را مأمور کردیم تا خانه کعبه را برای معتکفان پاکیزه و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نزدیکترین نوع اعتکاف را به اعتکافی که در شریعت اسلامی وجود دارد همین اعتکاف دانست؛ چرا که در خانه خدا یعنی مسجد برگزار می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مقدسی چون تورات و انجیل یا عهد قدیم و جدید نیز می توان علامات و اشاراتی بر مراسم یا عباداتی ملازم با خلوت نشینی و جدایی از اجتماع پیدا کرد، اما </w:t>
      </w:r>
    </w:p>
    <w:p>
      <w:pPr>
        <w:pStyle w:val="BookText"/>
        <w:rPr/>
      </w:pPr>
      <w:r>
        <w:rPr>
          <w:rFonts w:ascii="IRNazanin" w:hAnsi="IRNazanin" w:eastAsia="IRNazanin"/>
          <w:color w:val="111111"/>
          <w:sz w:val="28"/>
          <w:sz w:val="28"/>
          <w:szCs w:val="28"/>
          <w:rtl w:val="true"/>
          <w:lang w:bidi="fa-IR"/>
        </w:rPr>
        <w:t xml:space="preserve">آنچه که به طور وضوح در آیین مسیحیت رواج پیدا نمود و در ظاهر، امری شبیه به اعتکاف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خلوت نشینی گوشه گیری و پرهیز از دنیا و پرداختن به عبادت و امور اخروی همچون خدمت به مریضان صعب العلاج و امثال آن می است که یکی از رایج ترین آداب و مناسک آیین مسیحیت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w:t>
      </w:r>
    </w:p>
    <w:p>
      <w:pPr>
        <w:pStyle w:val="BookText"/>
        <w:rPr/>
      </w:pPr>
      <w:r>
        <w:rPr>
          <w:rFonts w:ascii="IRNazanin" w:hAnsi="IRNazanin" w:eastAsia="IRNazanin"/>
          <w:color w:val="111111"/>
          <w:sz w:val="28"/>
          <w:sz w:val="28"/>
          <w:szCs w:val="28"/>
          <w:rtl w:val="true"/>
          <w:lang w:bidi="fa-IR"/>
        </w:rPr>
        <w:t>به این مطلب اشاره فرموده و اجمالاً این کار مسیحیان را تأیید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فِي قُلُوبِ الَّذِينَ اتَّبَعُوهُ رَأْفَةً وَ رَحْمَةً وَرَهْبَانِيَّةً ابْتَدَعُوهَا مَا كَتَبْنَاهَا عَلَيْهِمْ إِلا ابْتِغَاءَ رِضْوَانِ اللَّهِ فَمَا رَعَوْهَا حَقَّ رِعَايَتِهَا فَآتَيْنَا الَّذِينَ آمَنُوا مِنْهُمْ أجْرَهُمْ وَكَثِيرٌ مِنْهُمْ فَاسِقُونَ</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در دل کسانی که از او عیسی بن مریم علیه السلام پیروی کردند، نرمی و مهربانی و رهبانیتی که خود بدعت گذاشتند قرار دادیم ما آن را بر آنها واجب ننمودیم، ولی خودشان برای به دست آوردن رضای خدا آن را قرار دادند ولی آن چنان که باید آن را رعایت ننمودند و از آنها بسیاری به راه فسق و تبهکاری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از این آیه کریمه استفاده می شود، مسئله رهبانیت از تعالیم حضرت مسیح علیه السلام نبوده هر چند زمینه پرهیز از دنیا و زهد گرایی در آیین آن حضرت وجود داشته است ولی گروهی از مسیحیان به خاطر رضای خدا ترک دنیا کرده و به رهبانیت روی آوردند و قرآن نیز چنین کاری را رد نمی کند، لیکن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همان سنتی را که خودشان ایجاد نموده بودند پاس نداشتند</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مطالعه تاریخ به دست می آید آن است که انبیاء و اولیاء در طول تاریخ همیشه بر حضور در اعتکاف پیش قدم بوده اند که برای نمونه به بعضی از آنان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سلیمان علیه السلام</w:t>
      </w:r>
    </w:p>
    <w:p>
      <w:pPr>
        <w:pStyle w:val="BookText"/>
        <w:rPr/>
      </w:pPr>
      <w:r>
        <w:rPr>
          <w:rFonts w:ascii="IRNazanin" w:hAnsi="IRNazanin" w:eastAsia="IRNazanin"/>
          <w:color w:val="111111"/>
          <w:sz w:val="28"/>
          <w:sz w:val="28"/>
          <w:szCs w:val="28"/>
          <w:rtl w:val="true"/>
          <w:lang w:bidi="fa-IR"/>
        </w:rPr>
        <w:t>علامه مجلسی رحمه الله به نقل از مرحوم طبرسی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سلیمان علیه السلام همیشه در مسجد بیت المقدس به مدت یک سال یا دو سال و یا یک ماه و دو ماه اعتكاف می کرد و غذا و آب خود را به آنجا می برد و در آنجا به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روایت آمده است که حتی مرگ سلیمان علیه السلام نیز در همان جا و در حال اعتکاف اتفاق افتاد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حضرت مریم علیه السلام</w:t>
      </w:r>
    </w:p>
    <w:p>
      <w:pPr>
        <w:pStyle w:val="BookText"/>
        <w:rPr/>
      </w:pPr>
      <w:r>
        <w:rPr>
          <w:rFonts w:ascii="IRNazanin" w:hAnsi="IRNazanin" w:eastAsia="IRNazanin"/>
          <w:color w:val="111111"/>
          <w:sz w:val="28"/>
          <w:sz w:val="28"/>
          <w:szCs w:val="28"/>
          <w:rtl w:val="true"/>
          <w:lang w:bidi="fa-IR"/>
        </w:rPr>
        <w:t xml:space="preserve">خداوند متعال در سوره مریم می فرماید 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را یاد کن آن هنگام که از خانواده اش جدا شد و در ناحیه شرقی بیت المقدس قرار گرفت و میان خود و آنان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علامه طباطبایی رحمه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مریم علیهما السلام از دوری نمودن از مردم روی آوردن به سنت اعتکاف بوده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پیامبر اکرم صلی الله علیه و آله پیش از اسلام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جاهلیت و پیش از بعثت حضرت رسول اکرم صلی الله علیه و آله، گروهی از </w:t>
      </w:r>
    </w:p>
    <w:p>
      <w:pPr>
        <w:pStyle w:val="BookText"/>
        <w:rPr/>
      </w:pPr>
      <w:r>
        <w:rPr>
          <w:rFonts w:ascii="IRNazanin" w:hAnsi="IRNazanin" w:eastAsia="IRNazanin"/>
          <w:color w:val="111111"/>
          <w:sz w:val="28"/>
          <w:sz w:val="28"/>
          <w:szCs w:val="28"/>
          <w:rtl w:val="true"/>
          <w:lang w:bidi="fa-IR"/>
        </w:rPr>
        <w:t>مردم حجاز از جمله پیامبر اکرم صلی الله علیه و آله و اجداد بزرگوارشان به دین حنیف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گاهی در کوه ها و غارها به عبادت خداوند یکتا می پرداختند و اعتکاف به عنوان یک عمل عبادی رایج بود حضرت محمد صلی الله علیه و آله که هنوز مبعوث به رسالت نشده بودند هر سال چند ماه را در غار حراء اعتکاف می کردند اما اعتکاف در اسلام با احکام و شرایط جدید توسط شخص پیامبر اکرم صلى الله عليه وسلم عملاً ترویج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دهه آخر ماه رمضان همیشه معتکف بود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همچنین جایگاه و اهمیت اعتکاف نزد پیامبر گرامی اسلام را باید در برخورد ایشان با این سنت اسلامی دریافت در روایات معتبر آمده است که بعد از جنگ بدر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واقع شده بود پیامبر اکرم صلی الله علیه و آله در آن سال اعتکاف نکردند و در دهه آخر ماه رمضان سال بعد معتکف شدند که یک دهه برای همان سال و یک دهه هم برای قضای سال قبل این عمل عبادی را انجام دادند</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پیامبر اکرم صلی الله علیه و آله پیش از هجرت در مسجد الحرام اعتکاف کرده باشد اطلاعی در دست نیست، اما از هجرت به مدینه بنا به روایت امام صادق علیه السلام اولین بار در دهه اول ماه،رمضان سال بعد در دهه دوم و سال بعد تا پایان عمر در دهه سوم همان ماه در مسجد معتکف گردید</w:t>
      </w:r>
      <w:r>
        <w:rPr>
          <w:rFonts w:eastAsia="IRNazanin" w:cs="IRNazanin"/>
          <w:color w:val="111111"/>
          <w:sz w:val="28"/>
          <w:szCs w:val="28"/>
          <w:rtl w:val="true"/>
          <w:lang w:bidi="fa-IR"/>
        </w:rPr>
        <w:t xml:space="preserve">. </w:t>
      </w:r>
      <w:r>
        <w:rPr>
          <w:rStyle w:val="FootnoteAnchor"/>
          <w:rtl w:val="true"/>
        </w:rPr>
        <w:footnoteReference w:id="818"/>
      </w:r>
      <w:bookmarkStart w:id="645" w:name="pg19115_195533"/>
    </w:p>
    <w:p>
      <w:pPr>
        <w:pStyle w:val="BookText"/>
        <w:rPr/>
      </w:pPr>
      <w:bookmarkEnd w:id="645"/>
      <w:r>
        <w:rPr>
          <w:rFonts w:ascii="IRNazanin" w:hAnsi="IRNazanin" w:eastAsia="IRNazanin"/>
          <w:color w:val="111111"/>
          <w:sz w:val="28"/>
          <w:sz w:val="28"/>
          <w:szCs w:val="28"/>
          <w:rtl w:val="true"/>
          <w:lang w:bidi="fa-IR"/>
        </w:rPr>
        <w:t>امیر المؤمنين علیه السلام درباره اعتکاف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همیشه در دهه آخر ماه رمضان در حال اعتکاف بود تا آنگاه که خداوند جان او را گرفت</w:t>
      </w:r>
      <w:r>
        <w:rPr>
          <w:rFonts w:eastAsia="IRNazanin" w:cs="IRNazanin"/>
          <w:color w:val="111111"/>
          <w:sz w:val="28"/>
          <w:szCs w:val="28"/>
          <w:rtl w:val="true"/>
          <w:lang w:bidi="fa-IR"/>
        </w:rPr>
        <w:t xml:space="preserve">.» </w:t>
      </w:r>
      <w:r>
        <w:rPr>
          <w:rStyle w:val="FootnoteAnchor"/>
          <w:rtl w:val="true"/>
        </w:rPr>
        <w:footnoteReference w:id="819"/>
      </w:r>
    </w:p>
    <w:p>
      <w:pPr>
        <w:pStyle w:val="Heading5"/>
        <w:numPr>
          <w:ilvl w:val="4"/>
          <w:numId w:val="1"/>
        </w:numPr>
        <w:rPr/>
      </w:pPr>
      <w:bookmarkStart w:id="646" w:name="__RefHeading___Toc15202666_1280447820"/>
      <w:bookmarkStart w:id="647" w:name="_Toc244"/>
      <w:bookmarkEnd w:id="646"/>
      <w:r>
        <w:rPr>
          <w:rtl w:val="true"/>
        </w:rPr>
        <w:t>گفتار سوم</w:t>
      </w:r>
      <w:r>
        <w:rPr>
          <w:rtl w:val="true"/>
        </w:rPr>
        <w:t xml:space="preserve">: </w:t>
      </w:r>
      <w:r>
        <w:rPr>
          <w:rtl w:val="true"/>
        </w:rPr>
        <w:t>عبادت اعتکاف در شریعت</w:t>
      </w:r>
      <w:bookmarkEnd w:id="647"/>
    </w:p>
    <w:p>
      <w:pPr>
        <w:pStyle w:val="Heading6"/>
        <w:numPr>
          <w:ilvl w:val="5"/>
          <w:numId w:val="1"/>
        </w:numPr>
        <w:rPr/>
      </w:pPr>
      <w:bookmarkStart w:id="648" w:name="__RefHeading___Toc15202668_1280447820"/>
      <w:bookmarkStart w:id="649" w:name="_Toc245"/>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شکی در مشروعیت اعتکاف نیست؛ چرا که هم در قرآن به اعتکاف اشاره شده، هم در بسیاری از روایات و هم آن که اجماع بر مشروعیت چنین عملی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برخی از این ادله خواهیم پرداخت</w:t>
      </w:r>
      <w:r>
        <w:rPr>
          <w:rFonts w:eastAsia="IRNazanin" w:cs="IRNazanin"/>
          <w:color w:val="111111"/>
          <w:sz w:val="28"/>
          <w:szCs w:val="28"/>
          <w:rtl w:val="true"/>
          <w:lang w:bidi="fa-IR"/>
        </w:rPr>
        <w:t>.</w:t>
      </w:r>
    </w:p>
    <w:p>
      <w:pPr>
        <w:pStyle w:val="Heading6"/>
        <w:numPr>
          <w:ilvl w:val="5"/>
          <w:numId w:val="1"/>
        </w:numPr>
        <w:rPr/>
      </w:pPr>
      <w:bookmarkStart w:id="650" w:name="__RefHeading___Toc15202670_1280447820"/>
      <w:bookmarkStart w:id="651" w:name="_Toc246"/>
      <w:bookmarkEnd w:id="650"/>
      <w:r>
        <w:rPr/>
        <w:t>1</w:t>
      </w:r>
      <w:r>
        <w:rPr>
          <w:rtl w:val="true"/>
        </w:rPr>
        <w:t xml:space="preserve">. </w:t>
      </w:r>
      <w:r>
        <w:rPr>
          <w:rtl w:val="true"/>
        </w:rPr>
        <w:t>اعتکاف در قرآن</w:t>
      </w:r>
      <w:bookmarkEnd w:id="651"/>
    </w:p>
    <w:p>
      <w:pPr>
        <w:pStyle w:val="Heading6"/>
        <w:numPr>
          <w:ilvl w:val="5"/>
          <w:numId w:val="1"/>
        </w:numPr>
        <w:rPr/>
      </w:pPr>
      <w:bookmarkStart w:id="652" w:name="__RefHeading___Toc15202672_1280447820"/>
      <w:bookmarkStart w:id="653" w:name="_Toc247"/>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از دو آیه قرآن مشروعیت اعتکاف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عَهِدْنَا إِلى إِبْرَاهِيمَ وَإِسْمَاعِيلَ أَنْ طَهَرا بَيْتِيَ لِلطَّائِفِينَ وَ الْعَاكِفِينَ وَ الرُّكَّعِ السُّجُودِ</w:t>
      </w:r>
      <w:r>
        <w:rPr>
          <w:rFonts w:ascii="IRNazanin" w:hAnsi="IRNazanin" w:eastAsia="IRNazanin"/>
          <w:color w:val="111111"/>
          <w:sz w:val="28"/>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و ما از ابراهیم و فرزندش اسماعیل پیمان گرفتیم که خانه مرا برای طواف کنندگان و اعتکاف کنندگان و رکوع و سجده کنندگان از هر پلیدی پاک و پاکیزه کنید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مبارکه دلالت دارد بر این که طواف، اعتکاف، رکوع و سجود در یک سیاق راستا بوده و محبوب و مطلوب پروردگارند از این رو خداوند متعال دو پیامبر عظيم الشأن خود؛ یعنی حضرت ابراهیم خلیل و اسماعیل ذبیح علیه السلام را بر مهیا نمودن و تطهیر بیت الله الحرام برای طواف کنندگان و اعتکاف کنندگان و رکوع و سجده کنندگان مأمور می کند</w:t>
      </w:r>
      <w:r>
        <w:rPr>
          <w:rFonts w:eastAsia="IRNazanin" w:cs="IRNazanin"/>
          <w:color w:val="111111"/>
          <w:sz w:val="28"/>
          <w:szCs w:val="28"/>
          <w:rtl w:val="true"/>
          <w:lang w:bidi="fa-IR"/>
        </w:rPr>
        <w:t xml:space="preserve">. </w:t>
      </w:r>
      <w:bookmarkStart w:id="654" w:name="pg19115_195534"/>
    </w:p>
    <w:p>
      <w:pPr>
        <w:pStyle w:val="BookText"/>
        <w:rPr/>
      </w:pPr>
      <w:bookmarkEnd w:id="65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تُبَاشِرُوهُنَّ وَ أَنْتُمْ عَاكِفُونَ فِي الْمَساجِدِ،</w:t>
      </w:r>
      <w:r>
        <w:rPr>
          <w:rStyle w:val="FootnoteAnchor"/>
          <w:rtl w:val="true"/>
        </w:rPr>
        <w:footnoteReference w:id="821"/>
      </w:r>
      <w:r>
        <w:rPr>
          <w:rFonts w:ascii="IRNazanin" w:hAnsi="IRNazanin" w:eastAsia="IRNazanin"/>
          <w:color w:val="111111"/>
          <w:sz w:val="28"/>
          <w:sz w:val="28"/>
          <w:szCs w:val="28"/>
          <w:rtl w:val="true"/>
          <w:lang w:bidi="fa-IR"/>
        </w:rPr>
        <w:t>و با زنان آمیزش نکنید در حالی که در مساجد به اعتکاف پرداخته اید این آیه نیز رجحان اعتکاف و عبادت بودن آن را فهمانده و ظهور در مطلوب بودن آن دارد</w:t>
      </w:r>
      <w:r>
        <w:rPr>
          <w:rFonts w:eastAsia="IRNazanin" w:cs="IRNazanin"/>
          <w:color w:val="111111"/>
          <w:sz w:val="28"/>
          <w:szCs w:val="28"/>
          <w:rtl w:val="true"/>
          <w:lang w:bidi="fa-IR"/>
        </w:rPr>
        <w:t>.</w:t>
      </w:r>
    </w:p>
    <w:p>
      <w:pPr>
        <w:pStyle w:val="Heading6"/>
        <w:numPr>
          <w:ilvl w:val="5"/>
          <w:numId w:val="1"/>
        </w:numPr>
        <w:rPr/>
      </w:pPr>
      <w:bookmarkStart w:id="655" w:name="__RefHeading___Toc15202674_1280447820"/>
      <w:bookmarkStart w:id="656" w:name="_Toc248"/>
      <w:bookmarkEnd w:id="655"/>
      <w:r>
        <w:rPr/>
        <w:t>2</w:t>
      </w:r>
      <w:r>
        <w:rPr>
          <w:rtl w:val="true"/>
        </w:rPr>
        <w:t xml:space="preserve">. </w:t>
      </w:r>
      <w:r>
        <w:rPr>
          <w:rtl w:val="true"/>
        </w:rPr>
        <w:t>روايات</w:t>
      </w:r>
      <w:bookmarkEnd w:id="656"/>
    </w:p>
    <w:p>
      <w:pPr>
        <w:pStyle w:val="BookText"/>
        <w:rPr/>
      </w:pPr>
      <w:r>
        <w:rPr>
          <w:rFonts w:ascii="IRNazanin" w:hAnsi="IRNazanin" w:eastAsia="IRNazanin"/>
          <w:color w:val="111111"/>
          <w:sz w:val="28"/>
          <w:sz w:val="28"/>
          <w:szCs w:val="28"/>
          <w:rtl w:val="true"/>
          <w:lang w:bidi="fa-IR"/>
        </w:rPr>
        <w:t xml:space="preserve">روایات بسیاری بر رجحان اعتکاف و عبادت بودن آن دلالت دارد </w:t>
      </w:r>
      <w:r>
        <w:rPr>
          <w:rStyle w:val="FootnoteAnchor"/>
          <w:rtl w:val="true"/>
        </w:rPr>
        <w:footnoteReference w:id="822"/>
      </w:r>
      <w:r>
        <w:rPr>
          <w:rFonts w:ascii="IRNazanin" w:hAnsi="IRNazanin" w:eastAsia="IRNazanin"/>
          <w:color w:val="111111"/>
          <w:sz w:val="28"/>
          <w:sz w:val="28"/>
          <w:szCs w:val="28"/>
          <w:rtl w:val="true"/>
          <w:lang w:bidi="fa-IR"/>
        </w:rPr>
        <w:t>که از باب نمونه به چند روایت اشاره می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گرامی خود نقل کرده است که پیامبر اکرم صلی الله علیه و آله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إعْتِكَافُ عَشْرِ فِي شَهْرِ رَمَضانِ تَعْدِلُ حَجَّتَيْنِ وَ عُمْرَتَيْن</w:t>
      </w:r>
      <w:r>
        <w:rPr>
          <w:rFonts w:ascii="IRNazanin" w:hAnsi="IRNazanin" w:eastAsia="IRNazanin"/>
          <w:color w:val="111111"/>
          <w:sz w:val="28"/>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ده روز اعتکاف در ماه رمضان، معادل دو حج و دو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پیامبر اکرم صلى الله عليه وسلم نیز بر این بوده که در ماه مبارک رمضان به خصوص دهه آخر،آن در مسجد معتکف می شدند این عمل پیامبر صلی الله علیه و آله به روشنی دلالت بر عبادت بودن این عمل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روایاتی که عبادت بودن اعتکاف را ثابت می کند، روایت میمون بن مهران است که می گوید امام مجتبی علیه السلام در اعتکاف بودند که مردی خدمت حضرت آمد و گفت ای پسر رسول خدا من به فلان شخص بدهکارم و توان پرداخت ندارم و او می خواهد مرا به زندان بیفکند امام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نزد من مالی وجود ندارد که بدهی تو را بپردازم آن مرد گفت پس با او صحبت کن و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 ابن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حضرت کفشش را پوشید که از مسجد خارج شود به آن حضرت عرض کردم ای پسر رسول خدا، آیا فراموش کرده اید که در حال اعتکاف به سر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معتکف نباید از مسجد خارج شود؟</w:t>
      </w:r>
      <w:r>
        <w:rPr>
          <w:rFonts w:eastAsia="IRNazanin" w:cs="IRNazanin"/>
          <w:color w:val="111111"/>
          <w:sz w:val="28"/>
          <w:szCs w:val="28"/>
          <w:rtl w:val="true"/>
          <w:lang w:bidi="fa-IR"/>
        </w:rPr>
        <w:t xml:space="preserve">) </w:t>
      </w:r>
      <w:bookmarkStart w:id="657" w:name="pg19115_195535"/>
    </w:p>
    <w:p>
      <w:pPr>
        <w:pStyle w:val="BookText"/>
        <w:rPr/>
      </w:pPr>
      <w:bookmarkEnd w:id="6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 ام ولی از پدرم شنیدم که از جدم رسول خدا حدیث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برآوردن حاجت برادر مسلمانش کوشش،کند، مثل این است که خداوند را به مقدار نه هزار سال عبادت کرده در حالی که روزهایش را روزه گرفته و شبهایش را به عبادت ایستاده باشد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روایت فوق علاوه بر این که عبادت بودن اعتکاف و مشروعیت آن را می رساند، بیانگر اهمیت برآوردن حاجت مسلمان نیز می باشد</w:t>
      </w:r>
      <w:r>
        <w:rPr>
          <w:rFonts w:eastAsia="IRNazanin" w:cs="IRNazanin"/>
          <w:color w:val="111111"/>
          <w:sz w:val="28"/>
          <w:szCs w:val="28"/>
          <w:rtl w:val="true"/>
          <w:lang w:bidi="fa-IR"/>
        </w:rPr>
        <w:t>.</w:t>
      </w:r>
    </w:p>
    <w:p>
      <w:pPr>
        <w:pStyle w:val="Heading6"/>
        <w:numPr>
          <w:ilvl w:val="5"/>
          <w:numId w:val="1"/>
        </w:numPr>
        <w:rPr/>
      </w:pPr>
      <w:bookmarkStart w:id="658" w:name="__RefHeading___Toc15202676_1280447820"/>
      <w:bookmarkStart w:id="659" w:name="_Toc249"/>
      <w:bookmarkEnd w:id="658"/>
      <w:r>
        <w:rPr/>
        <w:t>3</w:t>
      </w:r>
      <w:r>
        <w:rPr>
          <w:rtl w:val="true"/>
        </w:rPr>
        <w:t xml:space="preserve">. </w:t>
      </w:r>
      <w:r>
        <w:rPr>
          <w:rtl w:val="true"/>
        </w:rPr>
        <w:t>اجماع</w:t>
      </w:r>
      <w:bookmarkEnd w:id="659"/>
    </w:p>
    <w:p>
      <w:pPr>
        <w:pStyle w:val="BookText"/>
        <w:rPr/>
      </w:pPr>
      <w:r>
        <w:rPr>
          <w:rFonts w:ascii="IRNazanin" w:hAnsi="IRNazanin" w:eastAsia="IRNazanin"/>
          <w:color w:val="111111"/>
          <w:sz w:val="28"/>
          <w:sz w:val="28"/>
          <w:szCs w:val="28"/>
          <w:rtl w:val="true"/>
          <w:lang w:bidi="fa-IR"/>
        </w:rPr>
        <w:t xml:space="preserve">دلیل دیگر بر مشروعیت و عبادت بودن اعتکاف، اجماع و اتفاق نظر همه مسلمانان است؛ چه آن که اختلافی میان مسلمانان چه شیعه </w:t>
      </w:r>
      <w:r>
        <w:rPr>
          <w:rStyle w:val="FootnoteAnchor"/>
          <w:rtl w:val="true"/>
        </w:rPr>
        <w:footnoteReference w:id="825"/>
      </w:r>
      <w:r>
        <w:rPr>
          <w:rFonts w:ascii="IRNazanin" w:hAnsi="IRNazanin" w:eastAsia="IRNazanin"/>
          <w:color w:val="111111"/>
          <w:sz w:val="28"/>
          <w:sz w:val="28"/>
          <w:szCs w:val="28"/>
          <w:rtl w:val="true"/>
          <w:lang w:bidi="fa-IR"/>
        </w:rPr>
        <w:t xml:space="preserve">و چه اهل سنت </w:t>
      </w:r>
      <w:r>
        <w:rPr>
          <w:rStyle w:val="FootnoteAnchor"/>
          <w:rtl w:val="true"/>
        </w:rPr>
        <w:footnoteReference w:id="826"/>
      </w:r>
      <w:r>
        <w:rPr>
          <w:rFonts w:ascii="IRNazanin" w:hAnsi="IRNazanin" w:eastAsia="IRNazanin"/>
          <w:color w:val="111111"/>
          <w:sz w:val="28"/>
          <w:sz w:val="28"/>
          <w:szCs w:val="28"/>
          <w:rtl w:val="true"/>
          <w:lang w:bidi="fa-IR"/>
        </w:rPr>
        <w:t>در مشروعیت این عمل وجود ندارد</w:t>
      </w:r>
      <w:r>
        <w:rPr>
          <w:rFonts w:eastAsia="IRNazanin" w:cs="IRNazanin"/>
          <w:color w:val="111111"/>
          <w:sz w:val="28"/>
          <w:szCs w:val="28"/>
          <w:rtl w:val="true"/>
          <w:lang w:bidi="fa-IR"/>
        </w:rPr>
        <w:t>.</w:t>
      </w:r>
    </w:p>
    <w:p>
      <w:pPr>
        <w:pStyle w:val="Heading5"/>
        <w:numPr>
          <w:ilvl w:val="4"/>
          <w:numId w:val="1"/>
        </w:numPr>
        <w:rPr/>
      </w:pPr>
      <w:bookmarkStart w:id="660" w:name="__RefHeading___Toc15202678_1280447820"/>
      <w:bookmarkStart w:id="661" w:name="_Toc250"/>
      <w:bookmarkEnd w:id="660"/>
      <w:r>
        <w:rPr>
          <w:rtl w:val="true"/>
        </w:rPr>
        <w:t>گفتار چهارم</w:t>
      </w:r>
      <w:r>
        <w:rPr>
          <w:rtl w:val="true"/>
        </w:rPr>
        <w:t xml:space="preserve">: </w:t>
      </w:r>
      <w:r>
        <w:rPr>
          <w:rtl w:val="true"/>
        </w:rPr>
        <w:t>بهترین اوقات برای اعتکاف</w:t>
      </w:r>
      <w:bookmarkEnd w:id="66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ذکر پیرامون بهترین اوقات اعتکاف است؛ چه آن که اعتکاف طول سال مستحب است و گاهی اوقات با نذر یا قسم واجب می شود لیکن در برخی از اوقات انجام این عمل عبادی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عبارت است از ماه </w:t>
      </w:r>
      <w:bookmarkStart w:id="662" w:name="pg19115_195536"/>
    </w:p>
    <w:p>
      <w:pPr>
        <w:pStyle w:val="BookText"/>
        <w:rPr/>
      </w:pPr>
      <w:bookmarkEnd w:id="662"/>
      <w:r>
        <w:rPr>
          <w:rFonts w:ascii="IRNazanin" w:hAnsi="IRNazanin" w:eastAsia="IRNazanin"/>
          <w:color w:val="111111"/>
          <w:sz w:val="28"/>
          <w:sz w:val="28"/>
          <w:szCs w:val="28"/>
          <w:rtl w:val="true"/>
          <w:lang w:bidi="fa-IR"/>
        </w:rPr>
        <w:t>رمضان، به خصوص دهه آخر آن در روایات ائمه معصومین علیهم السلام وارد شده است که پیامبر اکرم صلی الله علیه و آله همیشه در ماه رمضان و در دهه آخر آن اعتکاف می فرمودند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اما این که مرسوم شده در خصوص ایام البیض ماه می کنند، ظاهراً وجه آن روایتی است که شیخ صدوق رحمه الله نقل کرده است</w:t>
      </w:r>
      <w:r>
        <w:rPr>
          <w:rFonts w:eastAsia="IRNazanin" w:cs="IRNazanin"/>
          <w:color w:val="111111"/>
          <w:sz w:val="28"/>
          <w:szCs w:val="28"/>
          <w:rtl w:val="true"/>
          <w:lang w:bidi="fa-IR"/>
        </w:rPr>
        <w:t xml:space="preserve">. </w:t>
      </w:r>
      <w:r>
        <w:rPr>
          <w:rStyle w:val="FootnoteAnchor"/>
          <w:rtl w:val="true"/>
        </w:rPr>
        <w:footnoteReference w:id="828"/>
      </w:r>
    </w:p>
    <w:p>
      <w:pPr>
        <w:pStyle w:val="Heading4"/>
        <w:numPr>
          <w:ilvl w:val="3"/>
          <w:numId w:val="1"/>
        </w:numPr>
        <w:rPr/>
      </w:pPr>
      <w:bookmarkStart w:id="663" w:name="__RefHeading___Toc15202680_1280447820"/>
      <w:bookmarkStart w:id="664" w:name="_Toc251"/>
      <w:bookmarkEnd w:id="663"/>
      <w:r>
        <w:rPr>
          <w:rtl w:val="true"/>
        </w:rPr>
        <w:t>مبحث دوم</w:t>
      </w:r>
      <w:r>
        <w:rPr>
          <w:rtl w:val="true"/>
        </w:rPr>
        <w:t xml:space="preserve">: </w:t>
      </w:r>
      <w:r>
        <w:rPr>
          <w:rtl w:val="true"/>
        </w:rPr>
        <w:t>شرایط صحت اعتکاف</w:t>
      </w:r>
      <w:bookmarkEnd w:id="664"/>
    </w:p>
    <w:p>
      <w:pPr>
        <w:pStyle w:val="Heading5"/>
        <w:numPr>
          <w:ilvl w:val="4"/>
          <w:numId w:val="1"/>
        </w:numPr>
        <w:rPr/>
      </w:pPr>
      <w:bookmarkStart w:id="665" w:name="__RefHeading___Toc15202682_1280447820"/>
      <w:bookmarkStart w:id="666" w:name="_Toc252"/>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از جمله شروطی که فقیهان امامیه از روایات استخراج کرده و در صحت اعتکاف لازم دانسته اند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روی ریا اعتکاف،کنند یا قسمتی از آن را ریایی انجام دهند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این،جهت اعتکاف با نماز فرقی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اعتکاف و توقف در مسجد قبل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مغرب روز سوم، و تعیین کنند که اعتکافشان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نذر یا غیر آن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در ایام اعتکاف،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کمتر از سه روز نباشد و اگر کمتر از سه روز نیت کنند اعتکاف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توانند بیشتر از سه روز را برای معتکف شدن نیت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در مسجد جامع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اعتکاف را باید بطور مستمر در مسجد توقف کنند و نباید از مسجد </w:t>
      </w:r>
      <w:bookmarkStart w:id="667" w:name="pg19115_195537"/>
    </w:p>
    <w:p>
      <w:pPr>
        <w:pStyle w:val="BookText"/>
        <w:rPr/>
      </w:pPr>
      <w:bookmarkEnd w:id="667"/>
      <w:r>
        <w:rPr>
          <w:rFonts w:ascii="IRNazanin" w:hAnsi="IRNazanin" w:eastAsia="IRNazanin"/>
          <w:color w:val="111111"/>
          <w:sz w:val="28"/>
          <w:sz w:val="28"/>
          <w:szCs w:val="28"/>
          <w:rtl w:val="true"/>
          <w:lang w:bidi="fa-IR"/>
        </w:rPr>
        <w:t>خارج شوند، مگر برای انجام کار ضروری؛ آن هم اگر طولانی شود به طوری که صورت اعتکاف بهم بخورد اعتکاف باطل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شوهر برای همسر و اذن والدین برای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کتاب، چون نگاه به احکام مرتبط با مسجد است، از این رو به صورت مستقل و به تفصیل وارد بحث از شرایط اعتکاف نشده و تنها شرایطی که مرتبط با مسجد است یعنی برگزاری اعتکاف در مسجد جامع مورد بررسی قرار خواهد گرفت</w:t>
      </w:r>
      <w:r>
        <w:rPr>
          <w:rFonts w:eastAsia="IRNazanin" w:cs="IRNazanin"/>
          <w:color w:val="111111"/>
          <w:sz w:val="28"/>
          <w:szCs w:val="28"/>
          <w:rtl w:val="true"/>
          <w:lang w:bidi="fa-IR"/>
        </w:rPr>
        <w:t>.</w:t>
      </w:r>
    </w:p>
    <w:p>
      <w:pPr>
        <w:pStyle w:val="Heading5"/>
        <w:numPr>
          <w:ilvl w:val="4"/>
          <w:numId w:val="1"/>
        </w:numPr>
        <w:rPr/>
      </w:pPr>
      <w:bookmarkStart w:id="668" w:name="__RefHeading___Toc15202684_1280447820"/>
      <w:bookmarkStart w:id="669" w:name="_Toc253"/>
      <w:bookmarkEnd w:id="668"/>
      <w:r>
        <w:rPr>
          <w:rtl w:val="true"/>
        </w:rPr>
        <w:t>گفتار اول</w:t>
      </w:r>
      <w:r>
        <w:rPr>
          <w:rtl w:val="true"/>
        </w:rPr>
        <w:t xml:space="preserve">: </w:t>
      </w:r>
      <w:r>
        <w:rPr>
          <w:rtl w:val="true"/>
        </w:rPr>
        <w:t>مکان اعتکاف</w:t>
      </w:r>
      <w:bookmarkEnd w:id="669"/>
    </w:p>
    <w:p>
      <w:pPr>
        <w:pStyle w:val="Heading6"/>
        <w:numPr>
          <w:ilvl w:val="5"/>
          <w:numId w:val="1"/>
        </w:numPr>
        <w:rPr/>
      </w:pPr>
      <w:bookmarkStart w:id="670" w:name="__RefHeading___Toc15202686_1280447820"/>
      <w:bookmarkStart w:id="671" w:name="_Toc254"/>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یکی از شرایط صحت اعتکاف ماندن در مسجد است که این مسئله اجماعی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در تذکره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بلاد اجماع دارند بر شرطیت مسجد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صاحب مدارک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علماء بر این مطلب اجماع دارند که اعتکاف فقط در مسجد واقع می شود و تنها اختلاف در تعیین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صاحب جواهر نیز در این باره ادعای اجماع کرده است</w:t>
      </w:r>
      <w:r>
        <w:rPr>
          <w:rFonts w:eastAsia="IRNazanin" w:cs="IRNazanin"/>
          <w:color w:val="111111"/>
          <w:sz w:val="28"/>
          <w:szCs w:val="28"/>
          <w:rtl w:val="true"/>
          <w:lang w:bidi="fa-IR"/>
        </w:rPr>
        <w:t xml:space="preserve">. </w:t>
      </w:r>
      <w:r>
        <w:rPr>
          <w:rStyle w:val="FootnoteAnchor"/>
          <w:rtl w:val="true"/>
        </w:rPr>
        <w:footnoteReference w:id="831"/>
      </w:r>
    </w:p>
    <w:p>
      <w:pPr>
        <w:pStyle w:val="Heading6"/>
        <w:numPr>
          <w:ilvl w:val="5"/>
          <w:numId w:val="1"/>
        </w:numPr>
        <w:rPr/>
      </w:pPr>
      <w:bookmarkStart w:id="672" w:name="__RefHeading___Toc15202688_1280447820"/>
      <w:bookmarkStart w:id="673" w:name="_Toc255"/>
      <w:bookmarkEnd w:id="672"/>
      <w:r>
        <w:rPr>
          <w:rtl w:val="true"/>
        </w:rPr>
        <w:t>الف</w:t>
      </w:r>
      <w:r>
        <w:rPr>
          <w:rtl w:val="true"/>
        </w:rPr>
        <w:t xml:space="preserve">) </w:t>
      </w:r>
      <w:r>
        <w:rPr>
          <w:rtl w:val="true"/>
        </w:rPr>
        <w:t>دیدگاه فقیهان امامیه</w:t>
      </w:r>
      <w:bookmarkEnd w:id="673"/>
    </w:p>
    <w:p>
      <w:pPr>
        <w:pStyle w:val="Heading6"/>
        <w:numPr>
          <w:ilvl w:val="5"/>
          <w:numId w:val="1"/>
        </w:numPr>
        <w:rPr/>
      </w:pPr>
      <w:bookmarkStart w:id="674" w:name="__RefHeading___Toc15202690_1280447820"/>
      <w:bookmarkStart w:id="675" w:name="_Toc256"/>
      <w:bookmarkEnd w:id="674"/>
      <w:r>
        <w:rPr>
          <w:rtl w:val="true"/>
        </w:rPr>
        <w:t>اشاره</w:t>
      </w:r>
      <w:bookmarkEnd w:id="67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در رابطه با مکان اعتکاف اختلاف نظر دارند که در قالب سه نظر اساسی و عمده بیان می شود</w:t>
      </w:r>
      <w:r>
        <w:rPr>
          <w:rFonts w:eastAsia="IRNazanin" w:cs="IRNazanin"/>
          <w:color w:val="111111"/>
          <w:sz w:val="28"/>
          <w:szCs w:val="28"/>
          <w:rtl w:val="true"/>
          <w:lang w:bidi="fa-IR"/>
        </w:rPr>
        <w:t xml:space="preserve">: </w:t>
      </w:r>
      <w:bookmarkStart w:id="676" w:name="pg19115_195538"/>
    </w:p>
    <w:p>
      <w:pPr>
        <w:pStyle w:val="Heading6"/>
        <w:numPr>
          <w:ilvl w:val="5"/>
          <w:numId w:val="1"/>
        </w:numPr>
        <w:rPr/>
      </w:pPr>
      <w:bookmarkStart w:id="677" w:name="__RefHeading___Toc15202692_1280447820"/>
      <w:bookmarkStart w:id="678" w:name="_Toc257"/>
      <w:bookmarkEnd w:id="676"/>
      <w:bookmarkEnd w:id="677"/>
      <w:r>
        <w:rPr/>
        <w:t>1</w:t>
      </w:r>
      <w:r>
        <w:rPr>
          <w:rtl w:val="true"/>
        </w:rPr>
        <w:t xml:space="preserve">. </w:t>
      </w:r>
      <w:r>
        <w:rPr>
          <w:rtl w:val="true"/>
        </w:rPr>
        <w:t>دیدگاه نخست</w:t>
      </w:r>
      <w:bookmarkEnd w:id="678"/>
    </w:p>
    <w:p>
      <w:pPr>
        <w:pStyle w:val="BookText"/>
        <w:rPr/>
      </w:pPr>
      <w:r>
        <w:rPr>
          <w:rFonts w:ascii="IRNazanin" w:hAnsi="IRNazanin" w:eastAsia="IRNazanin"/>
          <w:color w:val="111111"/>
          <w:sz w:val="28"/>
          <w:sz w:val="28"/>
          <w:szCs w:val="28"/>
          <w:rtl w:val="true"/>
          <w:lang w:bidi="fa-IR"/>
        </w:rPr>
        <w:t>بعضی ملاک را صدق عنوان مسجد دانسته اند و اعتکاف را در هر مسجدی صحیح می دانند این مطلب از ابن ابی عقیل عمانی نقل شده است</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ادله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مستفاد از جمع معرف باللام المساجد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تُبَاشِرُوهُنَّ وَأَنْتُمْ عَاكِفُونَ فِي الْمَسَاجِدِ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مشتمل بر </w:t>
      </w:r>
      <w:r>
        <w:rPr>
          <w:rFonts w:ascii="Amiri" w:hAnsi="Amiri" w:eastAsia="Amiri" w:cs="Amiri"/>
          <w:color w:val="111111"/>
          <w:sz w:val="28"/>
          <w:sz w:val="28"/>
          <w:szCs w:val="28"/>
          <w:rtl w:val="true"/>
          <w:lang w:bidi="ar-SA"/>
        </w:rPr>
        <w:t>لَا اعْتِكَافَ إِلَّا بِصَوْمِ</w:t>
      </w:r>
      <w:r>
        <w:rPr>
          <w:rStyle w:val="FootnoteAnchor"/>
          <w:rtl w:val="true"/>
        </w:rPr>
        <w:footnoteReference w:id="83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فِي الْمِصْرِ الَّذِي أَنْتَ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حلبی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معتکف جایز نیست که از مسجد خارج شود مگر برای حاجتی ضروری و هنگامی که خارج شد، صبر نکرده و نمی نشیند تا این که برگردد همچنین برای تشییع جنازه و عیادت بیمار می تواند خارج شود، لیکن نباید بنشیند تا این که سریع برگردد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داود بن سرحان از امام صادق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در مدینه بودم و به امام علیه السلام عرض کردم که قصد اعتکاف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و چه چیزی </w:t>
      </w:r>
      <w:bookmarkStart w:id="679" w:name="pg19115_195539"/>
    </w:p>
    <w:p>
      <w:pPr>
        <w:pStyle w:val="BookText"/>
        <w:rPr/>
      </w:pPr>
      <w:bookmarkEnd w:id="679"/>
      <w:r>
        <w:rPr>
          <w:rFonts w:ascii="IRNazanin" w:hAnsi="IRNazanin" w:eastAsia="IRNazanin"/>
          <w:color w:val="111111"/>
          <w:sz w:val="28"/>
          <w:sz w:val="28"/>
          <w:szCs w:val="28"/>
          <w:rtl w:val="true"/>
          <w:lang w:bidi="fa-IR"/>
        </w:rPr>
        <w:t>بر خودم واجب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نشو مگر برای حاجتی ضروری و اگر خارج،شدی زیر سایه ننشین تا این که به جایگاه خود برگردی</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طبق این دیدگاه تعیین مساجد اربعه یا خمسه حمل بر ذکر اکمل و افضل مصادیق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 بر استدلال به این دو روایت آن است که اطلاقی در این روایات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که در هر مسجدی می توان اعتکاف را برگزار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وجود ندارد، بلکه این دو روایت در مقام بیان احکام دیگری از اعتکاف مانند عدم خروج از محل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که بپذیریم در این روایات اطلاق وجود دارد با اخبار دیگری که درباره مکان اعتکاف وارد شده،است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فرض چشم پوشی از این دو،اشکال اعراض اصحاب و عدم فتوای فقها به مضمون آن، موجب وهن استدلال به این روایات می شود</w:t>
      </w:r>
      <w:r>
        <w:rPr>
          <w:rFonts w:eastAsia="IRNazanin" w:cs="IRNazanin"/>
          <w:color w:val="111111"/>
          <w:sz w:val="28"/>
          <w:szCs w:val="28"/>
          <w:rtl w:val="true"/>
          <w:lang w:bidi="fa-IR"/>
        </w:rPr>
        <w:t xml:space="preserve">. </w:t>
      </w:r>
      <w:r>
        <w:rPr>
          <w:rStyle w:val="FootnoteAnchor"/>
          <w:rtl w:val="true"/>
        </w:rPr>
        <w:footnoteReference w:id="838"/>
      </w:r>
    </w:p>
    <w:p>
      <w:pPr>
        <w:pStyle w:val="Heading6"/>
        <w:numPr>
          <w:ilvl w:val="5"/>
          <w:numId w:val="1"/>
        </w:numPr>
        <w:rPr/>
      </w:pPr>
      <w:bookmarkStart w:id="680" w:name="__RefHeading___Toc15202694_1280447820"/>
      <w:bookmarkStart w:id="681" w:name="_Toc258"/>
      <w:bookmarkEnd w:id="680"/>
      <w:r>
        <w:rPr/>
        <w:t>2</w:t>
      </w:r>
      <w:r>
        <w:rPr>
          <w:rtl w:val="true"/>
        </w:rPr>
        <w:t xml:space="preserve">. </w:t>
      </w:r>
      <w:r>
        <w:rPr>
          <w:rtl w:val="true"/>
        </w:rPr>
        <w:t>دیدگاه دوم</w:t>
      </w:r>
      <w:bookmarkEnd w:id="681"/>
    </w:p>
    <w:p>
      <w:pPr>
        <w:pStyle w:val="Heading6"/>
        <w:numPr>
          <w:ilvl w:val="5"/>
          <w:numId w:val="1"/>
        </w:numPr>
        <w:rPr/>
      </w:pPr>
      <w:bookmarkStart w:id="682" w:name="__RefHeading___Toc15202696_1280447820"/>
      <w:bookmarkStart w:id="683" w:name="_Toc259"/>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محل اعتکاف اختصاص به مساجد اربعه یا خمسه دارد این دیدگاه مشهور بین قدماء و برخی از متأخرین است می توان دیدگاه دوم را به سه دیدگاه جزئی تر تقسیم کرد</w:t>
      </w:r>
      <w:r>
        <w:rPr>
          <w:rFonts w:eastAsia="IRNazanin" w:cs="IRNazanin"/>
          <w:color w:val="111111"/>
          <w:sz w:val="28"/>
          <w:szCs w:val="28"/>
          <w:rtl w:val="true"/>
          <w:lang w:bidi="fa-IR"/>
        </w:rPr>
        <w:t>:</w:t>
      </w:r>
    </w:p>
    <w:p>
      <w:pPr>
        <w:pStyle w:val="Heading6"/>
        <w:numPr>
          <w:ilvl w:val="5"/>
          <w:numId w:val="1"/>
        </w:numPr>
        <w:rPr/>
      </w:pPr>
      <w:bookmarkStart w:id="684" w:name="__RefHeading___Toc15202698_1280447820"/>
      <w:bookmarkStart w:id="685" w:name="_Toc260"/>
      <w:bookmarkEnd w:id="684"/>
      <w:r>
        <w:rPr/>
        <w:t>2-1</w:t>
      </w:r>
      <w:r>
        <w:rPr>
          <w:rtl w:val="true"/>
        </w:rPr>
        <w:t xml:space="preserve">. </w:t>
      </w:r>
      <w:r>
        <w:rPr>
          <w:rtl w:val="true"/>
        </w:rPr>
        <w:t>نظرگاه اول</w:t>
      </w:r>
      <w:bookmarkEnd w:id="68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اعتکاف مساجد چهارگانه مسجد الحرام، مسجد النبی، مسجد کوفه و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فقیهانی که این نظرگاه را می پذیرند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انتصار </w:t>
      </w:r>
      <w:r>
        <w:rPr>
          <w:rStyle w:val="FootnoteAnchor"/>
          <w:rtl w:val="true"/>
        </w:rPr>
        <w:footnoteReference w:id="839"/>
      </w:r>
      <w:r>
        <w:rPr>
          <w:rFonts w:ascii="IRNazanin" w:hAnsi="IRNazanin" w:eastAsia="IRNazanin"/>
          <w:color w:val="111111"/>
          <w:sz w:val="28"/>
          <w:sz w:val="28"/>
          <w:szCs w:val="28"/>
          <w:rtl w:val="true"/>
          <w:lang w:bidi="fa-IR"/>
        </w:rPr>
        <w:t xml:space="preserve">، شیخ طوسی رحمه الله در مبسوط، </w:t>
      </w:r>
      <w:r>
        <w:rPr>
          <w:rStyle w:val="FootnoteAnchor"/>
          <w:rtl w:val="true"/>
        </w:rPr>
        <w:footnoteReference w:id="840"/>
      </w:r>
      <w:r>
        <w:rPr>
          <w:rFonts w:ascii="IRNazanin" w:hAnsi="IRNazanin" w:eastAsia="IRNazanin"/>
          <w:color w:val="111111"/>
          <w:sz w:val="28"/>
          <w:sz w:val="28"/>
          <w:szCs w:val="28"/>
          <w:rtl w:val="true"/>
          <w:lang w:bidi="fa-IR"/>
        </w:rPr>
        <w:t xml:space="preserve">خلاف </w:t>
      </w:r>
      <w:r>
        <w:rPr>
          <w:rStyle w:val="FootnoteAnchor"/>
          <w:rtl w:val="true"/>
        </w:rPr>
        <w:footnoteReference w:id="841"/>
      </w:r>
      <w:r>
        <w:rPr>
          <w:rFonts w:ascii="IRNazanin" w:hAnsi="IRNazanin" w:eastAsia="IRNazanin"/>
          <w:color w:val="111111"/>
          <w:sz w:val="28"/>
          <w:sz w:val="28"/>
          <w:szCs w:val="28"/>
          <w:rtl w:val="true"/>
          <w:lang w:bidi="fa-IR"/>
        </w:rPr>
        <w:t xml:space="preserve">و نهایه </w:t>
      </w:r>
      <w:r>
        <w:rPr>
          <w:rStyle w:val="FootnoteAnchor"/>
          <w:rtl w:val="true"/>
        </w:rPr>
        <w:footnoteReference w:id="842"/>
      </w:r>
      <w:r>
        <w:rPr>
          <w:rFonts w:ascii="IRNazanin" w:hAnsi="IRNazanin" w:eastAsia="IRNazanin"/>
          <w:color w:val="111111"/>
          <w:sz w:val="28"/>
          <w:sz w:val="28"/>
          <w:szCs w:val="28"/>
          <w:rtl w:val="true"/>
          <w:lang w:bidi="fa-IR"/>
        </w:rPr>
        <w:t xml:space="preserve">ابن براج در مهذب، </w:t>
      </w:r>
      <w:r>
        <w:rPr>
          <w:rStyle w:val="FootnoteAnchor"/>
          <w:rtl w:val="true"/>
        </w:rPr>
        <w:footnoteReference w:id="843"/>
      </w:r>
      <w:r>
        <w:rPr>
          <w:rFonts w:ascii="IRNazanin" w:hAnsi="IRNazanin" w:eastAsia="IRNazanin"/>
          <w:color w:val="111111"/>
          <w:sz w:val="28"/>
          <w:sz w:val="28"/>
          <w:szCs w:val="28"/>
          <w:rtl w:val="true"/>
          <w:lang w:bidi="fa-IR"/>
        </w:rPr>
        <w:t xml:space="preserve">ابن حمزه در وسیله، </w:t>
      </w:r>
      <w:r>
        <w:rPr>
          <w:rStyle w:val="FootnoteAnchor"/>
          <w:rtl w:val="true"/>
        </w:rPr>
        <w:footnoteReference w:id="844"/>
      </w:r>
      <w:r>
        <w:rPr>
          <w:rFonts w:ascii="IRNazanin" w:hAnsi="IRNazanin" w:eastAsia="IRNazanin"/>
          <w:color w:val="111111"/>
          <w:sz w:val="28"/>
          <w:sz w:val="28"/>
          <w:szCs w:val="28"/>
          <w:rtl w:val="true"/>
          <w:lang w:bidi="fa-IR"/>
        </w:rPr>
        <w:t xml:space="preserve">ابن زهره در غنیه، </w:t>
      </w:r>
      <w:r>
        <w:rPr>
          <w:rStyle w:val="FootnoteAnchor"/>
          <w:rtl w:val="true"/>
        </w:rPr>
        <w:footnoteReference w:id="845"/>
      </w:r>
      <w:r>
        <w:rPr>
          <w:rFonts w:ascii="IRNazanin" w:hAnsi="IRNazanin" w:eastAsia="IRNazanin"/>
          <w:color w:val="111111"/>
          <w:sz w:val="28"/>
          <w:sz w:val="28"/>
          <w:szCs w:val="28"/>
          <w:rtl w:val="true"/>
          <w:lang w:bidi="fa-IR"/>
        </w:rPr>
        <w:t xml:space="preserve">ابن ادریس در سرائر، </w:t>
      </w:r>
      <w:r>
        <w:rPr>
          <w:rStyle w:val="FootnoteAnchor"/>
          <w:rtl w:val="true"/>
        </w:rPr>
        <w:footnoteReference w:id="846"/>
      </w:r>
      <w:r>
        <w:rPr>
          <w:rFonts w:ascii="IRNazanin" w:hAnsi="IRNazanin" w:eastAsia="IRNazanin"/>
          <w:color w:val="111111"/>
          <w:sz w:val="28"/>
          <w:sz w:val="28"/>
          <w:szCs w:val="28"/>
          <w:rtl w:val="true"/>
          <w:lang w:bidi="fa-IR"/>
        </w:rPr>
        <w:t xml:space="preserve">ابن سعید حلی در الجامع، </w:t>
      </w:r>
      <w:r>
        <w:rPr>
          <w:rStyle w:val="FootnoteAnchor"/>
          <w:rtl w:val="true"/>
        </w:rPr>
        <w:footnoteReference w:id="847"/>
      </w:r>
      <w:r>
        <w:rPr>
          <w:rFonts w:ascii="IRNazanin" w:hAnsi="IRNazanin" w:eastAsia="IRNazanin"/>
          <w:color w:val="111111"/>
          <w:sz w:val="28"/>
          <w:sz w:val="28"/>
          <w:szCs w:val="28"/>
          <w:rtl w:val="true"/>
          <w:lang w:bidi="fa-IR"/>
        </w:rPr>
        <w:t xml:space="preserve">علامه حلی در منتهی، تذکره و مختلف، </w:t>
      </w:r>
      <w:r>
        <w:rPr>
          <w:rStyle w:val="FootnoteAnchor"/>
          <w:rtl w:val="true"/>
        </w:rPr>
        <w:footnoteReference w:id="848"/>
      </w:r>
      <w:r>
        <w:rPr>
          <w:rFonts w:ascii="IRNazanin" w:hAnsi="IRNazanin" w:eastAsia="IRNazanin"/>
          <w:color w:val="111111"/>
          <w:sz w:val="28"/>
          <w:sz w:val="28"/>
          <w:szCs w:val="28"/>
          <w:rtl w:val="true"/>
          <w:lang w:bidi="fa-IR"/>
        </w:rPr>
        <w:t xml:space="preserve">صاحب حدائق، </w:t>
      </w:r>
      <w:r>
        <w:rPr>
          <w:rStyle w:val="FootnoteAnchor"/>
          <w:rtl w:val="true"/>
        </w:rPr>
        <w:footnoteReference w:id="849"/>
      </w:r>
      <w:r>
        <w:rPr>
          <w:rFonts w:ascii="IRNazanin" w:hAnsi="IRNazanin" w:eastAsia="IRNazanin"/>
          <w:color w:val="111111"/>
          <w:sz w:val="28"/>
          <w:sz w:val="28"/>
          <w:szCs w:val="28"/>
          <w:rtl w:val="true"/>
          <w:lang w:bidi="fa-IR"/>
        </w:rPr>
        <w:t xml:space="preserve">صاحب ریاض، </w:t>
      </w:r>
      <w:r>
        <w:rPr>
          <w:rStyle w:val="FootnoteAnchor"/>
          <w:rtl w:val="true"/>
        </w:rPr>
        <w:footnoteReference w:id="850"/>
      </w:r>
      <w:r>
        <w:rPr>
          <w:rFonts w:ascii="IRNazanin" w:hAnsi="IRNazanin" w:eastAsia="IRNazanin"/>
          <w:color w:val="111111"/>
          <w:sz w:val="28"/>
          <w:sz w:val="28"/>
          <w:szCs w:val="28"/>
          <w:rtl w:val="true"/>
          <w:lang w:bidi="fa-IR"/>
        </w:rPr>
        <w:t>میرزای قمی در غنائم،</w:t>
      </w:r>
      <w:r>
        <w:rPr>
          <w:rStyle w:val="FootnoteAnchor"/>
          <w:rtl w:val="true"/>
        </w:rPr>
        <w:footnoteReference w:id="851"/>
      </w:r>
      <w:r>
        <w:rPr>
          <w:rFonts w:ascii="IRNazanin" w:hAnsi="IRNazanin" w:eastAsia="IRNazanin"/>
          <w:color w:val="111111"/>
          <w:sz w:val="28"/>
          <w:sz w:val="28"/>
          <w:szCs w:val="28"/>
          <w:rtl w:val="true"/>
          <w:lang w:bidi="fa-IR"/>
        </w:rPr>
        <w:t>امام خمینی در تحریر الوسیله</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مستند این دیدگاه آن است که روایاتی در این باره وارد شده که دلالت بر آن دارد که تنها در مساجدی می توان اعتکاف کرد که پیامبر یا وصی او در آن نماز به جماعت بر پا کرده باشد و در ذیل این روایت نام این چهار مسجد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المقنعه این روایت را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صحیح نیست مگر در مسجدی که نبی یا وصی او نماز جماعت خوانده باشد و پیامبر در مسجد الحرام نماز جماعت خواند در مسجد النبي، هم پیامبر و هم امیرالمؤمنین هر دو نماز بر پا کردند و در مسجد کوفه و مسجد بصره، تنها امیرالمؤمنین نماز جماعت خواند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ایشان در پایان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نماز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کردن نماز جمعه به همراه مردم است نه سایر نمازها</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عمر بن یزید که می گوید از امام صادق علیه السلام پرسیدم نظر شما درباره اعتکاف در برخی از مساجد بغداد چیست؟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صحیح نیست مگر در مسجدی که امام عادلی نماز جماعت بر چا کرده باشد و اشکالی نیست در اعتکاف کردن در مسجد کوفه و بصره مسجد مدینه و مسجد مکه</w:t>
      </w:r>
      <w:r>
        <w:rPr>
          <w:rFonts w:eastAsia="IRNazanin" w:cs="IRNazanin"/>
          <w:color w:val="111111"/>
          <w:sz w:val="28"/>
          <w:szCs w:val="28"/>
          <w:rtl w:val="true"/>
          <w:lang w:bidi="fa-IR"/>
        </w:rPr>
        <w:t xml:space="preserve">.» </w:t>
      </w:r>
      <w:r>
        <w:rPr>
          <w:rStyle w:val="FootnoteAnchor"/>
          <w:rtl w:val="true"/>
        </w:rPr>
        <w:footnoteReference w:id="855"/>
      </w:r>
      <w:bookmarkStart w:id="686" w:name="pg19115_195542"/>
    </w:p>
    <w:p>
      <w:pPr>
        <w:pStyle w:val="BookText"/>
        <w:rPr/>
      </w:pPr>
      <w:bookmarkEnd w:id="686"/>
      <w:r>
        <w:rPr>
          <w:rFonts w:ascii="IRNazanin" w:hAnsi="IRNazanin" w:eastAsia="IRNazanin"/>
          <w:color w:val="111111"/>
          <w:sz w:val="28"/>
          <w:sz w:val="28"/>
          <w:szCs w:val="28"/>
          <w:rtl w:val="true"/>
          <w:lang w:bidi="fa-IR"/>
        </w:rPr>
        <w:t>اشکال این روایات آن است که روایت اول به صورت مرسل بوده و از این جهت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فرض اعتبار،آن امکان حمل آن بر افضلیت این چهار مسجد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نیز اگر مراد از امام عدل تنها امام معصوم علیه السلام بود می شد به این روایت استدلال کرد و حال آن که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معصوم علیه السلام باشد همچنان که احتمال هم دارد مراد امام عادل از شیعه و یا عادل نزد نمازگزاران باشد و با وجود این احتمالات دیگر نمی توان بر این روایت بر مدعا استدلال کرد</w:t>
      </w:r>
      <w:r>
        <w:rPr>
          <w:rFonts w:eastAsia="IRNazanin" w:cs="IRNazanin"/>
          <w:color w:val="111111"/>
          <w:sz w:val="28"/>
          <w:szCs w:val="28"/>
          <w:rtl w:val="true"/>
          <w:lang w:bidi="fa-IR"/>
        </w:rPr>
        <w:t xml:space="preserve">. </w:t>
      </w:r>
      <w:r>
        <w:rPr>
          <w:rStyle w:val="FootnoteAnchor"/>
          <w:rtl w:val="true"/>
        </w:rPr>
        <w:footnoteReference w:id="856"/>
      </w:r>
    </w:p>
    <w:p>
      <w:pPr>
        <w:pStyle w:val="Heading6"/>
        <w:numPr>
          <w:ilvl w:val="5"/>
          <w:numId w:val="1"/>
        </w:numPr>
        <w:rPr/>
      </w:pPr>
      <w:bookmarkStart w:id="687" w:name="__RefHeading___Toc15202700_1280447820"/>
      <w:bookmarkStart w:id="688" w:name="_Toc261"/>
      <w:bookmarkEnd w:id="687"/>
      <w:r>
        <w:rPr/>
        <w:t>2-2</w:t>
      </w:r>
      <w:r>
        <w:rPr>
          <w:rtl w:val="true"/>
        </w:rPr>
        <w:t xml:space="preserve">. </w:t>
      </w:r>
      <w:r>
        <w:rPr>
          <w:rtl w:val="true"/>
        </w:rPr>
        <w:t>نظرگاه دوم</w:t>
      </w:r>
      <w:bookmarkEnd w:id="688"/>
    </w:p>
    <w:p>
      <w:pPr>
        <w:pStyle w:val="BookText"/>
        <w:rPr/>
      </w:pPr>
      <w:r>
        <w:rPr>
          <w:rFonts w:ascii="IRNazanin" w:hAnsi="IRNazanin" w:eastAsia="IRNazanin"/>
          <w:color w:val="111111"/>
          <w:sz w:val="28"/>
          <w:sz w:val="28"/>
          <w:szCs w:val="28"/>
          <w:rtl w:val="true"/>
          <w:lang w:bidi="fa-IR"/>
        </w:rPr>
        <w:t>اعتکاف تنها در مسجد الحرام مسجد النبی صلی الله علیه و آله، مسجد کوفه و مسجد مدائن جایز بوده و صحیح است این دیدگاه مربوط به پدر شیخ صدوق یعنی علی بن بابویه قمی می باشد</w:t>
      </w:r>
      <w:r>
        <w:rPr>
          <w:rFonts w:eastAsia="IRNazanin" w:cs="IRNazanin"/>
          <w:color w:val="111111"/>
          <w:sz w:val="28"/>
          <w:szCs w:val="28"/>
          <w:rtl w:val="true"/>
          <w:lang w:bidi="fa-IR"/>
        </w:rPr>
        <w:t xml:space="preserve">. </w:t>
      </w:r>
      <w:r>
        <w:rPr>
          <w:rStyle w:val="FootnoteAnchor"/>
          <w:rtl w:val="true"/>
        </w:rPr>
        <w:footnoteReference w:id="85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دیدگاه آن است که این،مساجد از جمله مساجدی است که پیامبر یا وصی نبی الله در آنجا جماعت بر پا کرده اند و در مسجد الحرام و مسجد النبی صلی الله علیه و آله ، پیامبر و در سه مسجد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النبی، مسجد کوفه و مسجد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نماز را به جماعت خوانده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البته برخی دیگر گفته اند که در مسجد مدائن امام حسن مجتبی علیه السلام نماز جماعت </w:t>
      </w:r>
      <w:r>
        <w:rPr>
          <w:rStyle w:val="FootnoteAnchor"/>
          <w:rtl w:val="true"/>
        </w:rPr>
        <w:footnoteReference w:id="859"/>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860"/>
      </w:r>
      <w:bookmarkStart w:id="689" w:name="pg19115_195543"/>
    </w:p>
    <w:p>
      <w:pPr>
        <w:pStyle w:val="BookText"/>
        <w:rPr/>
      </w:pPr>
      <w:bookmarkEnd w:id="689"/>
      <w:r>
        <w:rPr>
          <w:rFonts w:ascii="IRNazanin" w:hAnsi="IRNazanin" w:eastAsia="IRNazanin"/>
          <w:color w:val="111111"/>
          <w:sz w:val="28"/>
          <w:sz w:val="28"/>
          <w:szCs w:val="28"/>
          <w:rtl w:val="true"/>
          <w:lang w:bidi="fa-IR"/>
        </w:rPr>
        <w:t xml:space="preserve">اشکال این دیدگاه آن است که این روایت شاد بوده و در مجامع حدیثی معتبر نیز ذکر نشده است بله روایتی که می گوید امام حسن علیه السلام در مسجد مدائن نماز جماعت خواند در عوالی اللئالی به صورت مرسل ذکر شده که ضعیف به شمار می آید و در كتاب فقه الرضاء علیه السلام نماز خواندن در مسجد مدائن به امیر المؤمنين علیه السلام نسبت داده شده است </w:t>
      </w:r>
      <w:r>
        <w:rPr>
          <w:rStyle w:val="FootnoteAnchor"/>
          <w:rtl w:val="true"/>
        </w:rPr>
        <w:footnoteReference w:id="861"/>
      </w:r>
      <w:r>
        <w:rPr>
          <w:rFonts w:ascii="IRNazanin" w:hAnsi="IRNazanin" w:eastAsia="IRNazanin"/>
          <w:color w:val="111111"/>
          <w:sz w:val="28"/>
          <w:sz w:val="28"/>
          <w:szCs w:val="28"/>
          <w:rtl w:val="true"/>
          <w:lang w:bidi="fa-IR"/>
        </w:rPr>
        <w:t>که در انتساب این کتاب به امام رضا علیه السلام تأمل است و هیچ سندی نیز برای این روایت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آن است که بهتر بود به جای آن که مسجد مدائن را جایگزین مسجد بصره قرار دهد آن را نیز به چهار مسجد دیگر اضافه می کرد؛ چرا که قاعده کلی آن است که هر جا پیامبر صلی الله علیه و آله یا وصی علیه السلام نماز اقامه کرد اعتکاف در آن صحیح باشد علاوه بر مسجد الحرام مسجد النبی صلى الله عليه و اله و سلم و مسجد کوفه در مسجد بصره نیز قطعاً امام معصوم علیه السلام نماز بر پا کرده است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مسجد مدائن نیز بر فرض قبول روایت آن، باید ملحق به آن چهار مسجد دیگر می شد نه آن که بدل آورده شود</w:t>
      </w:r>
      <w:r>
        <w:rPr>
          <w:rFonts w:eastAsia="IRNazanin" w:cs="IRNazanin"/>
          <w:color w:val="111111"/>
          <w:sz w:val="28"/>
          <w:szCs w:val="28"/>
          <w:rtl w:val="true"/>
          <w:lang w:bidi="fa-IR"/>
        </w:rPr>
        <w:t>.</w:t>
      </w:r>
    </w:p>
    <w:p>
      <w:pPr>
        <w:pStyle w:val="Heading6"/>
        <w:numPr>
          <w:ilvl w:val="5"/>
          <w:numId w:val="1"/>
        </w:numPr>
        <w:rPr/>
      </w:pPr>
      <w:bookmarkStart w:id="690" w:name="__RefHeading___Toc15202702_1280447820"/>
      <w:bookmarkStart w:id="691" w:name="_Toc262"/>
      <w:bookmarkEnd w:id="690"/>
      <w:r>
        <w:rPr/>
        <w:t>2-3</w:t>
      </w:r>
      <w:r>
        <w:rPr>
          <w:rtl w:val="true"/>
        </w:rPr>
        <w:t xml:space="preserve">. </w:t>
      </w:r>
      <w:r>
        <w:rPr>
          <w:rtl w:val="true"/>
        </w:rPr>
        <w:t>نظرگاه سوم</w:t>
      </w:r>
      <w:bookmarkEnd w:id="69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تنها در این پنج مسجد 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النبي صلی الله علیه و آله، مسجد کوفه، مسجد بصره، مسجد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مربوط به شیخ </w:t>
      </w:r>
      <w:bookmarkStart w:id="692" w:name="pg19115_195544"/>
    </w:p>
    <w:p>
      <w:pPr>
        <w:pStyle w:val="BookText"/>
        <w:rPr/>
      </w:pPr>
      <w:bookmarkEnd w:id="692"/>
      <w:r>
        <w:rPr>
          <w:rFonts w:ascii="IRNazanin" w:hAnsi="IRNazanin" w:eastAsia="IRNazanin"/>
          <w:color w:val="111111"/>
          <w:sz w:val="28"/>
          <w:sz w:val="28"/>
          <w:szCs w:val="28"/>
          <w:rtl w:val="true"/>
          <w:lang w:bidi="fa-IR"/>
        </w:rPr>
        <w:t>صدوق در مقنع می باشد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مستند شیخ صدوق رحمه الله آن است که پیامبر صلی الله علیه و آله و امیر المؤمنين علیه السلام در این پنج مسجد نماز جماعت بر پا کرده اند آن چنان چه روایات نظرگاه اول و دوم دلالت بر چنین مطلبی داشت و هر مسجدی که پیامبر و یا امام علیه السلام در آن نماز جماعت به پا کنند، اعتکاف تنها در آن آن صحیح است</w:t>
      </w:r>
      <w:r>
        <w:rPr>
          <w:rFonts w:eastAsia="IRNazanin" w:cs="IRNazanin"/>
          <w:color w:val="111111"/>
          <w:sz w:val="28"/>
          <w:szCs w:val="28"/>
          <w:rtl w:val="true"/>
          <w:lang w:bidi="fa-IR"/>
        </w:rPr>
        <w:t>.</w:t>
      </w:r>
    </w:p>
    <w:p>
      <w:pPr>
        <w:pStyle w:val="Heading6"/>
        <w:numPr>
          <w:ilvl w:val="5"/>
          <w:numId w:val="1"/>
        </w:numPr>
        <w:rPr/>
      </w:pPr>
      <w:bookmarkStart w:id="693" w:name="__RefHeading___Toc15202704_1280447820"/>
      <w:bookmarkStart w:id="694" w:name="_Toc263"/>
      <w:bookmarkEnd w:id="693"/>
      <w:r>
        <w:rPr/>
        <w:t>3</w:t>
      </w:r>
      <w:r>
        <w:rPr>
          <w:rtl w:val="true"/>
        </w:rPr>
        <w:t xml:space="preserve">. </w:t>
      </w:r>
      <w:r>
        <w:rPr>
          <w:rtl w:val="true"/>
        </w:rPr>
        <w:t>دیدگاه سوم</w:t>
      </w:r>
      <w:bookmarkEnd w:id="694"/>
    </w:p>
    <w:p>
      <w:pPr>
        <w:pStyle w:val="BookText"/>
        <w:rPr/>
      </w:pPr>
      <w:r>
        <w:rPr>
          <w:rFonts w:ascii="IRNazanin" w:hAnsi="IRNazanin" w:eastAsia="IRNazanin"/>
          <w:color w:val="111111"/>
          <w:sz w:val="28"/>
          <w:sz w:val="28"/>
          <w:szCs w:val="28"/>
          <w:rtl w:val="true"/>
          <w:lang w:bidi="fa-IR"/>
        </w:rPr>
        <w:t>مکان اعتکاف، مسجد جامع است که شامل مساجد اربعه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نیز قائلین بسیاری داشته و مشهور بین متأخرین است از جمله فقیهانی که این دیدگاه را پذیرفته اند عبارتند از</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864"/>
      </w:r>
      <w:r>
        <w:rPr>
          <w:rFonts w:ascii="IRNazanin" w:hAnsi="IRNazanin" w:eastAsia="IRNazanin"/>
          <w:color w:val="111111"/>
          <w:sz w:val="28"/>
          <w:sz w:val="28"/>
          <w:szCs w:val="28"/>
          <w:rtl w:val="true"/>
          <w:lang w:bidi="fa-IR"/>
        </w:rPr>
        <w:t xml:space="preserve">محقق حلی، </w:t>
      </w:r>
      <w:r>
        <w:rPr>
          <w:rStyle w:val="FootnoteAnchor"/>
          <w:rtl w:val="true"/>
        </w:rPr>
        <w:footnoteReference w:id="865"/>
      </w:r>
      <w:r>
        <w:rPr>
          <w:rFonts w:ascii="IRNazanin" w:hAnsi="IRNazanin" w:eastAsia="IRNazanin"/>
          <w:color w:val="111111"/>
          <w:sz w:val="28"/>
          <w:sz w:val="28"/>
          <w:szCs w:val="28"/>
          <w:rtl w:val="true"/>
          <w:lang w:bidi="fa-IR"/>
        </w:rPr>
        <w:t xml:space="preserve">شهید اول، </w:t>
      </w:r>
      <w:r>
        <w:rPr>
          <w:rStyle w:val="FootnoteAnchor"/>
          <w:rtl w:val="true"/>
        </w:rPr>
        <w:footnoteReference w:id="866"/>
      </w:r>
      <w:r>
        <w:rPr>
          <w:rFonts w:ascii="IRNazanin" w:hAnsi="IRNazanin" w:eastAsia="IRNazanin"/>
          <w:color w:val="111111"/>
          <w:sz w:val="28"/>
          <w:sz w:val="28"/>
          <w:szCs w:val="28"/>
          <w:rtl w:val="true"/>
          <w:lang w:bidi="fa-IR"/>
        </w:rPr>
        <w:t xml:space="preserve">شهید ثانی، </w:t>
      </w:r>
      <w:r>
        <w:rPr>
          <w:rStyle w:val="FootnoteAnchor"/>
          <w:rtl w:val="true"/>
        </w:rPr>
        <w:footnoteReference w:id="867"/>
      </w:r>
      <w:r>
        <w:rPr>
          <w:rFonts w:ascii="IRNazanin" w:hAnsi="IRNazanin" w:eastAsia="IRNazanin"/>
          <w:color w:val="111111"/>
          <w:sz w:val="28"/>
          <w:sz w:val="28"/>
          <w:szCs w:val="28"/>
          <w:rtl w:val="true"/>
          <w:lang w:bidi="fa-IR"/>
        </w:rPr>
        <w:t>محقق ثانی،</w:t>
      </w:r>
      <w:r>
        <w:rPr>
          <w:rStyle w:val="FootnoteAnchor"/>
          <w:rtl w:val="true"/>
        </w:rPr>
        <w:footnoteReference w:id="868"/>
      </w: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869"/>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870"/>
      </w:r>
      <w:r>
        <w:rPr>
          <w:rFonts w:ascii="IRNazanin" w:hAnsi="IRNazanin" w:eastAsia="IRNazanin"/>
          <w:color w:val="111111"/>
          <w:sz w:val="28"/>
          <w:sz w:val="28"/>
          <w:szCs w:val="28"/>
          <w:rtl w:val="true"/>
          <w:lang w:bidi="fa-IR"/>
        </w:rPr>
        <w:t>شیخ بهائی،</w:t>
      </w:r>
      <w:r>
        <w:rPr>
          <w:rStyle w:val="FootnoteAnchor"/>
          <w:rtl w:val="true"/>
        </w:rPr>
        <w:footnoteReference w:id="871"/>
      </w:r>
      <w:r>
        <w:rPr>
          <w:rFonts w:ascii="IRNazanin" w:hAnsi="IRNazanin" w:eastAsia="IRNazanin"/>
          <w:color w:val="111111"/>
          <w:sz w:val="28"/>
          <w:sz w:val="28"/>
          <w:szCs w:val="28"/>
          <w:rtl w:val="true"/>
          <w:lang w:bidi="fa-IR"/>
        </w:rPr>
        <w:t>محقق سبزواری،</w:t>
      </w:r>
      <w:r>
        <w:rPr>
          <w:rStyle w:val="FootnoteAnchor"/>
          <w:rtl w:val="true"/>
        </w:rPr>
        <w:footnoteReference w:id="872"/>
      </w:r>
      <w:r>
        <w:rPr>
          <w:rFonts w:ascii="IRNazanin" w:hAnsi="IRNazanin" w:eastAsia="IRNazanin"/>
          <w:color w:val="111111"/>
          <w:sz w:val="28"/>
          <w:sz w:val="28"/>
          <w:szCs w:val="28"/>
          <w:rtl w:val="true"/>
          <w:lang w:bidi="fa-IR"/>
        </w:rPr>
        <w:t xml:space="preserve">کاشف الغطاء، </w:t>
      </w:r>
      <w:r>
        <w:rPr>
          <w:rStyle w:val="FootnoteAnchor"/>
          <w:rtl w:val="true"/>
        </w:rPr>
        <w:footnoteReference w:id="873"/>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 xml:space="preserve">نراقی، </w:t>
      </w:r>
      <w:r>
        <w:rPr>
          <w:rStyle w:val="FootnoteAnchor"/>
          <w:rtl w:val="true"/>
        </w:rPr>
        <w:footnoteReference w:id="874"/>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875"/>
      </w:r>
      <w:r>
        <w:rPr>
          <w:rFonts w:ascii="IRNazanin" w:hAnsi="IRNazanin" w:eastAsia="IRNazanin"/>
          <w:color w:val="111111"/>
          <w:sz w:val="28"/>
          <w:sz w:val="28"/>
          <w:szCs w:val="28"/>
          <w:rtl w:val="true"/>
          <w:lang w:bidi="fa-IR"/>
        </w:rPr>
        <w:t xml:space="preserve">سید یزدی، </w:t>
      </w:r>
      <w:r>
        <w:rPr>
          <w:rStyle w:val="FootnoteAnchor"/>
          <w:rtl w:val="true"/>
        </w:rPr>
        <w:footnoteReference w:id="876"/>
      </w:r>
      <w:r>
        <w:rPr>
          <w:rFonts w:ascii="IRNazanin" w:hAnsi="IRNazanin" w:eastAsia="IRNazanin"/>
          <w:color w:val="111111"/>
          <w:sz w:val="28"/>
          <w:sz w:val="28"/>
          <w:szCs w:val="28"/>
          <w:rtl w:val="true"/>
          <w:lang w:bidi="fa-IR"/>
        </w:rPr>
        <w:t xml:space="preserve">مرحوم حکیم، </w:t>
      </w:r>
      <w:r>
        <w:rPr>
          <w:rStyle w:val="FootnoteAnchor"/>
          <w:rtl w:val="true"/>
        </w:rPr>
        <w:footnoteReference w:id="877"/>
      </w:r>
      <w:r>
        <w:rPr>
          <w:rFonts w:ascii="IRNazanin" w:hAnsi="IRNazanin" w:eastAsia="IRNazanin"/>
          <w:color w:val="111111"/>
          <w:sz w:val="28"/>
          <w:sz w:val="28"/>
          <w:szCs w:val="28"/>
          <w:rtl w:val="true"/>
          <w:lang w:bidi="fa-IR"/>
        </w:rPr>
        <w:t>محقق خویی رحمه الله</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مستند این دسته از فقیهان، روایات بسیاری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برده شده </w:t>
      </w:r>
      <w:r>
        <w:rPr>
          <w:rStyle w:val="FootnoteAnchor"/>
          <w:rtl w:val="true"/>
        </w:rPr>
        <w:footnoteReference w:id="879"/>
      </w:r>
      <w:r>
        <w:rPr>
          <w:rFonts w:ascii="IRNazanin" w:hAnsi="IRNazanin" w:eastAsia="IRNazanin"/>
          <w:color w:val="111111"/>
          <w:sz w:val="28"/>
          <w:sz w:val="28"/>
          <w:szCs w:val="28"/>
          <w:rtl w:val="true"/>
          <w:lang w:bidi="fa-IR"/>
        </w:rPr>
        <w:t xml:space="preserve">و چون این روایات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مسجد خاصی در آنها ذکر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استفاضه است، به همین خاطر ابای از تخصیص یا تقیید با روایاتی دارد که در آنها نام مساجد اربعه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صحيحه حلبی از امام صادق علیه السلام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محقق نمی شود مگر با روزه در مسجد جامع</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على بن غراب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معتکف در مسجد جامع </w:t>
      </w:r>
    </w:p>
    <w:p>
      <w:pPr>
        <w:pStyle w:val="BookText"/>
        <w:rPr/>
      </w:pPr>
      <w:r>
        <w:rPr>
          <w:rFonts w:ascii="IRNazanin" w:hAnsi="IRNazanin" w:eastAsia="IRNazanin"/>
          <w:color w:val="111111"/>
          <w:sz w:val="28"/>
          <w:sz w:val="28"/>
          <w:szCs w:val="28"/>
          <w:rtl w:val="true"/>
          <w:lang w:bidi="fa-IR"/>
        </w:rPr>
        <w:t>معتکف می شود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سرحان از امام صادق علیه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امیر المؤمنين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را اعتکاف نمی دانم مگر آن که در مسجد الحرام يا مسجد الرسول صلى الله عليه و آله و سلم یا مسجد جامع برگزار شود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عبدالله بن سنان از امام صادق علیه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اعتکاف در غیر از مکه مگر آن که در مسجد رسول خدا صلی الله علیه و آله یا در مسجد دیگری از مساجد جماعت باشد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اعتکاف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انجام ندارد جایز نیست انجام اعتکاف مگر در مسجد الحرام یا مسجد الرسول صلى الله عليه وسلم یا مسجد کوفه یا مسجد جماعت و تا هنگامی که شخص در حالت اعتکاف،است باید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یکی از شرایط صحت </w:t>
      </w:r>
    </w:p>
    <w:p>
      <w:pPr>
        <w:pStyle w:val="BookText"/>
        <w:rPr/>
      </w:pPr>
      <w:r>
        <w:rPr>
          <w:rFonts w:ascii="IRNazanin" w:hAnsi="IRNazanin" w:eastAsia="IRNazanin"/>
          <w:color w:val="111111"/>
          <w:sz w:val="28"/>
          <w:sz w:val="28"/>
          <w:szCs w:val="28"/>
          <w:rtl w:val="true"/>
          <w:lang w:bidi="fa-IR"/>
        </w:rPr>
        <w:t>اعتکاف، گرفتن روزه است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بدین سان، از این اخبار استفاده می شود که آنچه در صحت اعتکاف موضوعیت داشته و ملاک در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در برخی از روایات، نام مسجد الحرام یا مسجد الرسول صلی الله علیه و آله و یا مسجد کوفه ذکر شده، موضوعیت نداشته و از باب ذکر افضل مصادیق است و نمی توان این روایات مطلق را، حمل بر روایات مقیّد کرد، بلکه باید گفت اعتکاف در هر مساجد جامعی صحیح است، لیکن در مساجد اربعه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از روایات، ابتدا نام مسجد الحرام و مسجد النبي صلی الله علیه و آله ذكر شده و ادامه عبارت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به کار برده شده که خود نشانگر آن است که ذکر نام برخی از،مساجد از جهت بیان اتم مصادیق است نه آن که اعتکاف منحصر در همان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پنج دیدگاه درباره مکان اعتکاف در میان فقیهان امامیه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در هر جا که عنوان مسجد را داشته باشد صحیح است و لازم نیست که در مساجد اربعه یا 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دیدگاه منسوب به ابن ابی عقیل عمانی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تنها در مسجد الحرام، مسجد النبی صلی الله علیه و آله، مسجد کوفه و مسجد بصره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مشهور قدما و برخی از متأخرین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تنها در مسجد الحرام، مسجد النبي صلی الله علیه و آله، مسجد کوفه و مسجد مدائن </w:t>
      </w:r>
      <w:bookmarkStart w:id="695" w:name="pg19115_195548"/>
    </w:p>
    <w:p>
      <w:pPr>
        <w:pStyle w:val="BookText"/>
        <w:rPr/>
      </w:pPr>
      <w:bookmarkEnd w:id="695"/>
      <w:r>
        <w:rPr>
          <w:rFonts w:ascii="IRNazanin" w:hAnsi="IRNazanin" w:eastAsia="IRNazanin"/>
          <w:color w:val="111111"/>
          <w:sz w:val="28"/>
          <w:sz w:val="28"/>
          <w:szCs w:val="28"/>
          <w:rtl w:val="true"/>
          <w:lang w:bidi="fa-IR"/>
        </w:rPr>
        <w:t>صحیح می باشد این دیدگاه منتسب به علی بن بابویه پدر شیخ صدوق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تنها در مسجد الحرام مسجد النبی صلی الله علیه و اله، مسجد کوفه، مسجد بصره و مسجد مدائن صحیح است این دیدگاه شیخ صدوق رحمه الله در مقنع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اعتکاف، منوط به مساجد اربعه یا خمسه نیست، بلکه اعتکاف مسجد جامعی صحیح است این دیدگاه مشهور متأخرین می باشد</w:t>
      </w:r>
      <w:r>
        <w:rPr>
          <w:rFonts w:eastAsia="IRNazanin" w:cs="IRNazanin"/>
          <w:color w:val="111111"/>
          <w:sz w:val="28"/>
          <w:szCs w:val="28"/>
          <w:rtl w:val="true"/>
          <w:lang w:bidi="fa-IR"/>
        </w:rPr>
        <w:t>.</w:t>
      </w:r>
    </w:p>
    <w:p>
      <w:pPr>
        <w:pStyle w:val="Heading6"/>
        <w:numPr>
          <w:ilvl w:val="5"/>
          <w:numId w:val="1"/>
        </w:numPr>
        <w:rPr/>
      </w:pPr>
      <w:bookmarkStart w:id="696" w:name="__RefHeading___Toc15202706_1280447820"/>
      <w:bookmarkStart w:id="697" w:name="_Toc264"/>
      <w:bookmarkEnd w:id="696"/>
      <w:r>
        <w:rPr>
          <w:rtl w:val="true"/>
        </w:rPr>
        <w:t>ب</w:t>
      </w:r>
      <w:r>
        <w:rPr>
          <w:rtl w:val="true"/>
        </w:rPr>
        <w:t xml:space="preserve">) </w:t>
      </w:r>
      <w:r>
        <w:rPr>
          <w:rtl w:val="true"/>
        </w:rPr>
        <w:t>دیدگاه اهل سنت</w:t>
      </w:r>
      <w:bookmarkEnd w:id="697"/>
    </w:p>
    <w:p>
      <w:pPr>
        <w:pStyle w:val="Heading6"/>
        <w:numPr>
          <w:ilvl w:val="5"/>
          <w:numId w:val="1"/>
        </w:numPr>
        <w:rPr/>
      </w:pPr>
      <w:bookmarkStart w:id="698" w:name="__RefHeading___Toc15202708_1280447820"/>
      <w:bookmarkStart w:id="699" w:name="_Toc265"/>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اهل سنت اجماع دارند بر این که شرط صحت اعتکاف برای مرد و خنثی در مسجد بودن است؛ چرا که در قرآن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أَنْتُمْ عَاكِفُونَ فِي الْمَسَاجِدِ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IRNazanin" w:hAnsi="IRNazanin" w:eastAsia="IRNazanin"/>
          <w:color w:val="111111"/>
          <w:sz w:val="28"/>
          <w:sz w:val="28"/>
          <w:szCs w:val="28"/>
          <w:rtl w:val="true"/>
          <w:lang w:bidi="fa-IR"/>
        </w:rPr>
        <w:t>همچنین پیامبر صلی الله علیه و آله فقط در مسجد معتکف شد و تبعیت از ایشان اقتضا دارد که بگوییم اعتکاف تنها در مسجد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میان اهل سنّت اتفاق نظر وجود دارد که اعتکاف در سه مسجد، افضل از سایر مساجد است که این سه مسجد به ترتیب فضیلت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ایشان متفق اند بر این که اعتکاف در مسجد جامع صحیح است و بعد از مساجد سه گانه، اعتکاف در آنها از سایر مساجد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ایشان در سایر مساجد غیر از مساجد جامع است</w:t>
      </w:r>
      <w:r>
        <w:rPr>
          <w:rFonts w:eastAsia="IRNazanin" w:cs="IRNazanin"/>
          <w:color w:val="111111"/>
          <w:sz w:val="28"/>
          <w:szCs w:val="28"/>
          <w:rtl w:val="true"/>
          <w:lang w:bidi="fa-IR"/>
        </w:rPr>
        <w:t>.</w:t>
      </w:r>
    </w:p>
    <w:p>
      <w:pPr>
        <w:pStyle w:val="Heading6"/>
        <w:numPr>
          <w:ilvl w:val="5"/>
          <w:numId w:val="1"/>
        </w:numPr>
        <w:rPr/>
      </w:pPr>
      <w:bookmarkStart w:id="700" w:name="__RefHeading___Toc15202710_1280447820"/>
      <w:bookmarkStart w:id="701" w:name="_Toc266"/>
      <w:bookmarkEnd w:id="700"/>
      <w:r>
        <w:rPr/>
        <w:t>1</w:t>
      </w:r>
      <w:r>
        <w:rPr>
          <w:rtl w:val="true"/>
        </w:rPr>
        <w:t>و</w:t>
      </w:r>
      <w:r>
        <w:rPr/>
        <w:t>2</w:t>
      </w:r>
      <w:r>
        <w:rPr>
          <w:rtl w:val="true"/>
        </w:rPr>
        <w:t xml:space="preserve">. </w:t>
      </w:r>
      <w:r>
        <w:rPr>
          <w:rtl w:val="true"/>
        </w:rPr>
        <w:t>مذهب حنفی و حنبلی</w:t>
      </w:r>
      <w:bookmarkEnd w:id="70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گروه معتقدند که اعتکاف تنها در مسجد جماعت صحیح است اما مراد حنفیها از مسجد،جماعت مسجدی است که امام جماعت و مؤذن داشته باشد و فرقی نمی کند که نمازهای پنجگانه در آن بر پا شود یا نه، </w:t>
      </w:r>
      <w:r>
        <w:rPr>
          <w:rStyle w:val="FootnoteAnchor"/>
          <w:rtl w:val="true"/>
        </w:rPr>
        <w:footnoteReference w:id="886"/>
      </w:r>
      <w:r>
        <w:rPr>
          <w:rFonts w:ascii="IRNazanin" w:hAnsi="IRNazanin" w:eastAsia="IRNazanin"/>
          <w:color w:val="111111"/>
          <w:sz w:val="28"/>
          <w:sz w:val="28"/>
          <w:szCs w:val="28"/>
          <w:rtl w:val="true"/>
          <w:lang w:bidi="fa-IR"/>
        </w:rPr>
        <w:t xml:space="preserve">اما حنبلی ها می گویند </w:t>
      </w:r>
      <w:bookmarkStart w:id="702" w:name="pg19115_195549"/>
    </w:p>
    <w:p>
      <w:pPr>
        <w:pStyle w:val="BookText"/>
        <w:rPr/>
      </w:pPr>
      <w:bookmarkEnd w:id="702"/>
      <w:r>
        <w:rPr>
          <w:rFonts w:ascii="IRNazanin" w:hAnsi="IRNazanin" w:eastAsia="IRNazanin"/>
          <w:color w:val="111111"/>
          <w:sz w:val="28"/>
          <w:sz w:val="28"/>
          <w:szCs w:val="28"/>
          <w:rtl w:val="true"/>
          <w:lang w:bidi="fa-IR"/>
        </w:rPr>
        <w:t>شرط صحت اعتکاف، مسجدی است که هنگام بر پایی اعتکاف در آن، نماز جماعت برگزار شود و اگر در غیر وقت اعتکاف نماز جماعت بر پا نشود، اشکالی ندارد</w:t>
      </w:r>
      <w:r>
        <w:rPr>
          <w:rFonts w:eastAsia="IRNazanin" w:cs="IRNazanin"/>
          <w:color w:val="111111"/>
          <w:sz w:val="28"/>
          <w:szCs w:val="28"/>
          <w:rtl w:val="true"/>
          <w:lang w:bidi="fa-IR"/>
        </w:rPr>
        <w:t xml:space="preserve">. </w:t>
      </w:r>
      <w:r>
        <w:rPr>
          <w:rStyle w:val="FootnoteAnchor"/>
          <w:rtl w:val="true"/>
        </w:rPr>
        <w:footnoteReference w:id="887"/>
      </w:r>
    </w:p>
    <w:p>
      <w:pPr>
        <w:pStyle w:val="Heading6"/>
        <w:numPr>
          <w:ilvl w:val="5"/>
          <w:numId w:val="1"/>
        </w:numPr>
        <w:rPr/>
      </w:pPr>
      <w:bookmarkStart w:id="703" w:name="__RefHeading___Toc15202712_1280447820"/>
      <w:bookmarkStart w:id="704" w:name="_Toc267"/>
      <w:bookmarkEnd w:id="703"/>
      <w:r>
        <w:rPr/>
        <w:t>3</w:t>
      </w:r>
      <w:r>
        <w:rPr>
          <w:rtl w:val="true"/>
        </w:rPr>
        <w:t xml:space="preserve"> </w:t>
      </w:r>
      <w:r>
        <w:rPr>
          <w:rtl w:val="true"/>
        </w:rPr>
        <w:t>و</w:t>
      </w:r>
      <w:r>
        <w:rPr/>
        <w:t>4</w:t>
      </w:r>
      <w:r>
        <w:rPr>
          <w:rtl w:val="true"/>
        </w:rPr>
        <w:t xml:space="preserve">. </w:t>
      </w:r>
      <w:r>
        <w:rPr>
          <w:rtl w:val="true"/>
        </w:rPr>
        <w:t>مذهب مالکی و شافعی</w:t>
      </w:r>
      <w:bookmarkEnd w:id="704"/>
    </w:p>
    <w:p>
      <w:pPr>
        <w:pStyle w:val="BookText"/>
        <w:rPr/>
      </w:pPr>
      <w:r>
        <w:rPr>
          <w:rFonts w:ascii="IRNazanin" w:hAnsi="IRNazanin" w:eastAsia="IRNazanin"/>
          <w:color w:val="111111"/>
          <w:sz w:val="28"/>
          <w:sz w:val="28"/>
          <w:szCs w:val="28"/>
          <w:rtl w:val="true"/>
          <w:lang w:bidi="fa-IR"/>
        </w:rPr>
        <w:t>این دو گروه بر این باورند که اعتکاف در هر مسجدی که باشد، صحیح است، لیکن،مالکی ها شرط کرده اند که اعتکاف در مسجدی باشد که برای عموم مردم مباح است یا آن که در مسجد جامع باشد برای کسانی که نماز جمعه بر آنها واجب است اما اعتکاف در مسجد خانه جایگاهی که در خانه اختصاص به نماز خواندن دارد هر چند معتکف زن،باشد صحیح نیست همچنین اعتکاف درون کعبه و در مقام صحیح نیست</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اما شافعی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معتکف گمان داشت که مسجد، تنها به عنوان مسجدیت وقف شده است و مشاع نیست، اعتکاف در آن صحیح است؛ چه برای مرد و چه برای زن، هر چند مسجد جامع نبوده یا آن که برای عموم مردم استفاده از آن مسجد مباح نباشد</w:t>
      </w:r>
      <w:r>
        <w:rPr>
          <w:rFonts w:eastAsia="IRNazanin" w:cs="IRNazanin"/>
          <w:color w:val="111111"/>
          <w:sz w:val="28"/>
          <w:szCs w:val="28"/>
          <w:rtl w:val="true"/>
          <w:lang w:bidi="fa-IR"/>
        </w:rPr>
        <w:t xml:space="preserve">. </w:t>
      </w:r>
      <w:r>
        <w:rPr>
          <w:rStyle w:val="FootnoteAnchor"/>
          <w:rtl w:val="true"/>
        </w:rPr>
        <w:footnoteReference w:id="889"/>
      </w:r>
    </w:p>
    <w:p>
      <w:pPr>
        <w:pStyle w:val="Heading6"/>
        <w:numPr>
          <w:ilvl w:val="5"/>
          <w:numId w:val="1"/>
        </w:numPr>
        <w:rPr/>
      </w:pPr>
      <w:bookmarkStart w:id="705" w:name="__RefHeading___Toc15202714_1280447820"/>
      <w:bookmarkStart w:id="706" w:name="_Toc268"/>
      <w:bookmarkEnd w:id="705"/>
      <w:r>
        <w:rPr>
          <w:rtl w:val="true"/>
        </w:rPr>
        <w:t>ج</w:t>
      </w:r>
      <w:r>
        <w:rPr>
          <w:rtl w:val="true"/>
        </w:rPr>
        <w:t xml:space="preserve">. </w:t>
      </w:r>
      <w:r>
        <w:rPr>
          <w:rtl w:val="true"/>
        </w:rPr>
        <w:t>مكان اعتكاف بانوان</w:t>
      </w:r>
      <w:bookmarkEnd w:id="706"/>
    </w:p>
    <w:p>
      <w:pPr>
        <w:pStyle w:val="Heading6"/>
        <w:numPr>
          <w:ilvl w:val="5"/>
          <w:numId w:val="1"/>
        </w:numPr>
        <w:rPr/>
      </w:pPr>
      <w:bookmarkStart w:id="707" w:name="__RefHeading___Toc15202716_1280447820"/>
      <w:bookmarkStart w:id="708" w:name="_Toc269"/>
      <w:bookmarkEnd w:id="707"/>
      <w:r>
        <w:rPr>
          <w:rtl w:val="true"/>
        </w:rPr>
        <w:t>اشاره</w:t>
      </w:r>
      <w:bookmarkEnd w:id="70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فروعات بحث مكان اعتکاف، سخن درباره محل اعتکاف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باره اختلافی میان فقیهان امامیه وجود ندارد که مکان اعتکاف مرد و زن یکی است لیکن اهل سنت در اینباره اختلاف نظر دارند که برخی مسجد بیت را کافی دانسته و برخی صحت اعتکاف بانوان را همانند،مردان، منوط به بودن در </w:t>
      </w:r>
      <w:bookmarkStart w:id="709" w:name="pg19115_195550"/>
    </w:p>
    <w:p>
      <w:pPr>
        <w:pStyle w:val="BookText"/>
        <w:rPr/>
      </w:pPr>
      <w:bookmarkEnd w:id="709"/>
      <w:r>
        <w:rPr>
          <w:rFonts w:ascii="IRNazanin" w:hAnsi="IRNazanin" w:eastAsia="IRNazanin"/>
          <w:color w:val="111111"/>
          <w:sz w:val="28"/>
          <w:sz w:val="28"/>
          <w:szCs w:val="28"/>
          <w:rtl w:val="true"/>
          <w:lang w:bidi="fa-IR"/>
        </w:rPr>
        <w:t>مسجد می دانند</w:t>
      </w:r>
      <w:r>
        <w:rPr>
          <w:rFonts w:eastAsia="IRNazanin" w:cs="IRNazanin"/>
          <w:color w:val="111111"/>
          <w:sz w:val="28"/>
          <w:szCs w:val="28"/>
          <w:rtl w:val="true"/>
          <w:lang w:bidi="fa-IR"/>
        </w:rPr>
        <w:t>.</w:t>
      </w:r>
    </w:p>
    <w:p>
      <w:pPr>
        <w:pStyle w:val="Heading6"/>
        <w:numPr>
          <w:ilvl w:val="5"/>
          <w:numId w:val="1"/>
        </w:numPr>
        <w:rPr/>
      </w:pPr>
      <w:bookmarkStart w:id="710" w:name="__RefHeading___Toc15202718_1280447820"/>
      <w:bookmarkStart w:id="711" w:name="_Toc270"/>
      <w:bookmarkEnd w:id="710"/>
      <w:r>
        <w:rPr/>
        <w:t>1</w:t>
      </w:r>
      <w:r>
        <w:rPr>
          <w:rtl w:val="true"/>
        </w:rPr>
        <w:t xml:space="preserve">. </w:t>
      </w:r>
      <w:r>
        <w:rPr>
          <w:rtl w:val="true"/>
        </w:rPr>
        <w:t>دیدگاه فقیهان امامیه</w:t>
      </w:r>
      <w:bookmarkEnd w:id="711"/>
    </w:p>
    <w:p>
      <w:pPr>
        <w:pStyle w:val="BookText"/>
        <w:rPr/>
      </w:pPr>
      <w:r>
        <w:rPr>
          <w:rFonts w:ascii="IRNazanin" w:hAnsi="IRNazanin" w:eastAsia="IRNazanin"/>
          <w:color w:val="111111"/>
          <w:sz w:val="28"/>
          <w:sz w:val="28"/>
          <w:szCs w:val="28"/>
          <w:rtl w:val="true"/>
          <w:lang w:bidi="fa-IR"/>
        </w:rPr>
        <w:t xml:space="preserve">علامه حلی رحمه الله در این باره ادعای اجماع کرده 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علمای امامیه بر مساوات بین مرد و زن در این جهت است است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صاحب جواهر رحمه الله نیز به این اجماع اشاره داشته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اجماع محصل در اینجا به دست آورد</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از جمله دلائل دیگری که ایشان ذکر می کند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اشتراک احکام میان مرد و زن؛ یعنی اصل بر آن است که احکام میان زن و مرد مشترک است مگر در مواردی که دلیلی بر خروج از این اصل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از امام صادق علیه السلام که مضمون هر دو یکی است که حضرت در ذیل این دو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زن نیز همانند مرد است</w:t>
      </w:r>
      <w:r>
        <w:rPr>
          <w:rFonts w:eastAsia="IRNazanin" w:cs="IRNazanin"/>
          <w:color w:val="111111"/>
          <w:sz w:val="28"/>
          <w:szCs w:val="28"/>
          <w:rtl w:val="true"/>
          <w:lang w:bidi="fa-IR"/>
        </w:rPr>
        <w:t xml:space="preserve">». </w:t>
      </w:r>
      <w:r>
        <w:rPr>
          <w:rStyle w:val="FootnoteAnchor"/>
          <w:rtl w:val="true"/>
        </w:rPr>
        <w:footnoteReference w:id="892"/>
      </w:r>
      <w:bookmarkStart w:id="712" w:name="pg19115_195551"/>
    </w:p>
    <w:p>
      <w:pPr>
        <w:pStyle w:val="Heading6"/>
        <w:numPr>
          <w:ilvl w:val="5"/>
          <w:numId w:val="1"/>
        </w:numPr>
        <w:rPr/>
      </w:pPr>
      <w:bookmarkStart w:id="713" w:name="__RefHeading___Toc15202720_1280447820"/>
      <w:bookmarkStart w:id="714" w:name="_Toc271"/>
      <w:bookmarkEnd w:id="712"/>
      <w:bookmarkEnd w:id="713"/>
      <w:r>
        <w:rPr/>
        <w:t>2</w:t>
      </w:r>
      <w:r>
        <w:rPr>
          <w:rtl w:val="true"/>
        </w:rPr>
        <w:t xml:space="preserve">. </w:t>
      </w:r>
      <w:r>
        <w:rPr>
          <w:rtl w:val="true"/>
        </w:rPr>
        <w:t>دیدگاه اهل سنت</w:t>
      </w:r>
      <w:bookmarkEnd w:id="714"/>
    </w:p>
    <w:p>
      <w:pPr>
        <w:pStyle w:val="Heading6"/>
        <w:numPr>
          <w:ilvl w:val="5"/>
          <w:numId w:val="1"/>
        </w:numPr>
        <w:rPr/>
      </w:pPr>
      <w:bookmarkStart w:id="715" w:name="__RefHeading___Toc15202722_1280447820"/>
      <w:bookmarkStart w:id="716" w:name="_Toc272"/>
      <w:bookmarkEnd w:id="715"/>
      <w:r>
        <w:rPr>
          <w:rtl w:val="true"/>
        </w:rPr>
        <w:t>الف</w:t>
      </w:r>
      <w:r>
        <w:rPr>
          <w:rtl w:val="true"/>
        </w:rPr>
        <w:t xml:space="preserve">. </w:t>
      </w:r>
      <w:r>
        <w:rPr>
          <w:rtl w:val="true"/>
        </w:rPr>
        <w:t>دیدگاه جمهور و شافعی در مذهب جدید</w:t>
      </w:r>
      <w:bookmarkEnd w:id="716"/>
    </w:p>
    <w:p>
      <w:pPr>
        <w:pStyle w:val="BookText"/>
        <w:rPr/>
      </w:pPr>
      <w:r>
        <w:rPr>
          <w:rFonts w:ascii="IRNazanin" w:hAnsi="IRNazanin" w:eastAsia="IRNazanin"/>
          <w:color w:val="111111"/>
          <w:sz w:val="28"/>
          <w:sz w:val="28"/>
          <w:szCs w:val="28"/>
          <w:rtl w:val="true"/>
          <w:lang w:bidi="fa-IR"/>
        </w:rPr>
        <w:t>اعتکاف زن همانند مرد است است و همان گونه که اعتکاف مرد در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مسجد، صحیح نیست اعتکاف زن نیز در غیر مسجد باطل است بنابراین اعتکاف زن در غیر مسجد صحیح نیست حتی اگر مسجد بیت باشد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از جمله دلائل ایشان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پرسیده شد که اگر زنی در مسجد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را که برای نماز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کند آیا اعتکاف او صحیح است؟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بدعتی است و مبغوض ترین امور نزد خداوند بدعتهاست</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بنابراین، اعتکاف زن تنها در مسجدی صحیح است که نماز در آن بر پا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بیت نه حقيقةً و حکماً مسجد نیست؛ زیرا تبدیل و تغییر آن برای کارآیی دیگر جایز است و جنب هم می تواند در آن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اعتکاف در مسجد بیت برای زنان صحیح بود برای یک بار هم که شده، عایشه باید این کار را انجام می داد تا جواز این کار را بفهماند </w:t>
      </w:r>
      <w:r>
        <w:rPr>
          <w:rStyle w:val="FootnoteAnchor"/>
          <w:rtl w:val="true"/>
        </w:rPr>
        <w:footnoteReference w:id="89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17" w:name="__RefHeading___Toc15202724_1280447820"/>
      <w:bookmarkStart w:id="718" w:name="_Toc273"/>
      <w:bookmarkEnd w:id="717"/>
      <w:r>
        <w:rPr>
          <w:rtl w:val="true"/>
        </w:rPr>
        <w:t>ب</w:t>
      </w:r>
      <w:r>
        <w:rPr>
          <w:rtl w:val="true"/>
        </w:rPr>
        <w:t xml:space="preserve">. </w:t>
      </w:r>
      <w:r>
        <w:rPr>
          <w:rtl w:val="true"/>
        </w:rPr>
        <w:t>مذهب حنفی و مذهب قدیم شافعی</w:t>
      </w:r>
      <w:bookmarkEnd w:id="718"/>
    </w:p>
    <w:p>
      <w:pPr>
        <w:pStyle w:val="BookText"/>
        <w:rPr/>
      </w:pPr>
      <w:r>
        <w:rPr>
          <w:rFonts w:ascii="IRNazanin" w:hAnsi="IRNazanin" w:eastAsia="IRNazanin"/>
          <w:color w:val="111111"/>
          <w:sz w:val="28"/>
          <w:sz w:val="28"/>
          <w:szCs w:val="28"/>
          <w:rtl w:val="true"/>
          <w:lang w:bidi="fa-IR"/>
        </w:rPr>
        <w:t xml:space="preserve">شافعی در مذهب قدیم </w:t>
      </w:r>
      <w:r>
        <w:rPr>
          <w:rStyle w:val="FootnoteAnchor"/>
          <w:rtl w:val="true"/>
        </w:rPr>
        <w:footnoteReference w:id="896"/>
      </w:r>
      <w:r>
        <w:rPr>
          <w:rFonts w:ascii="IRNazanin" w:hAnsi="IRNazanin" w:eastAsia="IRNazanin"/>
          <w:color w:val="111111"/>
          <w:sz w:val="28"/>
          <w:sz w:val="28"/>
          <w:szCs w:val="28"/>
          <w:rtl w:val="true"/>
          <w:lang w:bidi="fa-IR"/>
        </w:rPr>
        <w:t>بر این باور است که اعتکاف زن در مسجد بیت نیز صحیح است؛ زیرا مکان نمازگزادن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انتساب این قول به شافعی را رد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تنها یک قول برای شافعی بوده و آن این که اعتکاف زن در مسجد بیت جایز نیست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حنفی ها نیز اعتکاف در مسجد خانه را برای زن جایز دانسته و آن را افضل می دانند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از جمله ادله ای که ابو حنیفه اقامه کرده آن است که مسجد بیت، مکان فضیلت نماز خواندن زن بوده و به همین خاطر همان گونه که مسجد مکان اعتکاف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خواندن مرد در مسجد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بیت نیز محلی برای اعتکاف زن بوده و اعتکاف در آن برای زن افضل است؛ چرا که محل فضیلت نماز خواندن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 این باورند که اگر زن در مسجد جماعت معتکف شود،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ایشان اعتکاف زن در مسجد بیت افضل از مسجد قبیله و محل است و اعتکاف در مسجد قبیله افضل از مسجد اعظم است همچنین زن نمی تواند در خانه در محلی غیر از مکان نماز،خود معتکف شود و اگر در خانه محلی برای نماز خواندن اختصاص نداده است جایز نیست که در خانه معتکف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زن در مسجد خانه خود اعتکاف واجب گرفت جایز نیست که از آنجا خارج شود</w:t>
      </w:r>
      <w:r>
        <w:rPr>
          <w:rFonts w:eastAsia="IRNazanin" w:cs="IRNazanin"/>
          <w:color w:val="111111"/>
          <w:sz w:val="28"/>
          <w:szCs w:val="28"/>
          <w:rtl w:val="true"/>
          <w:lang w:bidi="fa-IR"/>
        </w:rPr>
        <w:t xml:space="preserve">. </w:t>
      </w:r>
      <w:r>
        <w:rPr>
          <w:rStyle w:val="FootnoteAnchor"/>
          <w:rtl w:val="true"/>
        </w:rPr>
        <w:footnoteReference w:id="899"/>
      </w:r>
      <w:bookmarkStart w:id="719" w:name="pg19115_195553"/>
    </w:p>
    <w:p>
      <w:pPr>
        <w:pStyle w:val="Heading6"/>
        <w:numPr>
          <w:ilvl w:val="5"/>
          <w:numId w:val="1"/>
        </w:numPr>
        <w:rPr/>
      </w:pPr>
      <w:bookmarkStart w:id="720" w:name="__RefHeading___Toc15202726_1280447820"/>
      <w:bookmarkStart w:id="721" w:name="_Toc274"/>
      <w:bookmarkEnd w:id="719"/>
      <w:bookmarkEnd w:id="720"/>
      <w:r>
        <w:rPr>
          <w:rtl w:val="true"/>
        </w:rPr>
        <w:t>د</w:t>
      </w:r>
      <w:r>
        <w:rPr>
          <w:rtl w:val="true"/>
        </w:rPr>
        <w:t xml:space="preserve">) </w:t>
      </w:r>
      <w:r>
        <w:rPr>
          <w:rtl w:val="true"/>
        </w:rPr>
        <w:t>تعريف مسجد جامع</w:t>
      </w:r>
      <w:bookmarkEnd w:id="721"/>
    </w:p>
    <w:p>
      <w:pPr>
        <w:pStyle w:val="BookText"/>
        <w:rPr/>
      </w:pPr>
      <w:r>
        <w:rPr>
          <w:rFonts w:ascii="IRNazanin" w:hAnsi="IRNazanin" w:eastAsia="IRNazanin"/>
          <w:color w:val="111111"/>
          <w:sz w:val="28"/>
          <w:sz w:val="28"/>
          <w:szCs w:val="28"/>
          <w:rtl w:val="true"/>
          <w:lang w:bidi="fa-IR"/>
        </w:rPr>
        <w:t>در تعریف مسجد جامع، تعابیر مختلفی در کلمات فقیهان به کار برده شده که می توان آنها به شرح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مسجدی است که برای بیشتر اهل بلد ساخته شده است چه در آن نماز جمعه و جماعت خوانده شود و چه آن که در آن اقامه نماز نشود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مسجدی است که برای گروه و قوم خاص یا اشخاص خاصی بنا نشده و اختصاص به قبیله و گروهی ندارد در مقابل مسجد بازار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عبارت است از مسجدی که محل اجتماع و جمع شدن مردم می باشد یا مسجدی است که بیشتر نمازگزاران برای نماز خواندن به آنجا می آیند هر چند در بعضی از اوقات یا مسجدی است که غالباً مردم را می توان در آن مسجد یافت</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مسجد اعظمی است که نماز جمعه در آن برگزار می شود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مسجدی است که جماعت در آن بر پا می شود چه نماز جمعه و چه نماز جماعتی که مخصوص به قبیله یا محله خاصی نبوده و عامه مردم شهر در آن شرکت می کنند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است که مردم در آن جمع شده و مسجد اصلی شهر به حساب می آید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مسجدی که امام و مؤذّن داشته باشد و فرقی ندارد که نمازهای پنج گانه در آن بر پا 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مسجدی است که در آن نماز جمعه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جمع بندی دیدگاه فقیهان</w:t>
      </w:r>
    </w:p>
    <w:p>
      <w:pPr>
        <w:pStyle w:val="BookText"/>
        <w:rPr/>
      </w:pPr>
      <w:r>
        <w:rPr>
          <w:rFonts w:ascii="IRNazanin" w:hAnsi="IRNazanin" w:eastAsia="IRNazanin"/>
          <w:color w:val="111111"/>
          <w:sz w:val="28"/>
          <w:sz w:val="28"/>
          <w:szCs w:val="28"/>
          <w:rtl w:val="true"/>
          <w:lang w:bidi="fa-IR"/>
        </w:rPr>
        <w:t>از مجموع تعاریف ارائه شده به دست می آید که عناصری چون بزرگ بودن، محدودیت صنفی، گروهی قومی خانوادگی و مانند آن نداشتن شخصی و اختصاصی نبودن، برگزاری نماز جمعه یا جماعت عمومی و همگانی بودن، رفت و آمد بیشتر داشتن جمعیت زیاد و معتنی به داشتن مهیا بودن برای معظم اهل بلد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تعاریف فقها به عنوان شاخص و مؤلفههای مسجد جامع آمده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وجه مشترک همه این تعاریف، جمعیت و اجتماع، عمومیت و خاص </w:t>
      </w:r>
    </w:p>
    <w:p>
      <w:pPr>
        <w:pStyle w:val="BookText"/>
        <w:rPr/>
      </w:pP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محدودیت صنفی، گروهی، قومی، خانوادگی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موارد مطرح شده هر کدام در حد عنوان مشیر و یا کاشف از این عناصر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امور نسبی بوده و عرفا در شرایط مختلف شهری و روستایی متفاوت خواهد بود چه بسا مسجدی با جمعیت دویست نفره در یک روستای کوچک و کم جمعیت جامع شناخته شود ولی همین مقدار جمعیت در یک شهر بزرگ، مصحح اطلاق مسجد جامع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نباید از نظر دور داشت که با توجه به توسعه شهرها و تفاوت و تغییر اساسی در ترکیب و بافت و ساختار جمعیتی بلاد صدر اسلام با زمان ما و اقتضائات شهرنشینی به ویژه در کلان،شهرها،ملاکهای مطرح شده در مواردی غیر قابل اجراست، مثلاً اگر در تعریف مسجد جامع قائل شویم که مسجد جامع، مسجدی است که محل اجتماع اغلب مردم،بلد یا اغلب مصلین و یا محل رفت و آمد همه گروه ها و محلات باشد و یا مراد مسجدی باشد که اجتماع مردم در آن بیش از سایر مساجد است در شرایط فعلی و در شهرهایی مانند،تهران مشهد تبریز و اصفهان، چگونه قابل محاسبه و احراز خواهد بود و آیا مثلاً در تهران مسجدی را می شناسیم که اغلب مردم یا مصلین و اهل محلات مختلف در آن اجتماع نمایند؟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که گفته شود همان قابلیت و آمادگی مسجد برای پذیرش جمع کثیری و عدم محدودیت در ورود و خروج به مسجد برای سایر مصلین و محلات کافی است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bookmarkStart w:id="722" w:name="pg19115_195556"/>
    </w:p>
    <w:p>
      <w:pPr>
        <w:pStyle w:val="Heading5"/>
        <w:numPr>
          <w:ilvl w:val="4"/>
          <w:numId w:val="1"/>
        </w:numPr>
        <w:rPr/>
      </w:pPr>
      <w:bookmarkStart w:id="723" w:name="__RefHeading___Toc15202728_1280447820"/>
      <w:bookmarkStart w:id="724" w:name="_Toc275"/>
      <w:bookmarkEnd w:id="722"/>
      <w:bookmarkEnd w:id="723"/>
      <w:r>
        <w:rPr>
          <w:rtl w:val="true"/>
        </w:rPr>
        <w:t>گفتار دوم</w:t>
      </w:r>
      <w:r>
        <w:rPr>
          <w:rtl w:val="true"/>
        </w:rPr>
        <w:t xml:space="preserve">: </w:t>
      </w:r>
      <w:r>
        <w:rPr>
          <w:rtl w:val="true"/>
        </w:rPr>
        <w:t>استمرار داشتن حضور در مسجد</w:t>
      </w:r>
      <w:bookmarkEnd w:id="724"/>
    </w:p>
    <w:p>
      <w:pPr>
        <w:pStyle w:val="Heading6"/>
        <w:numPr>
          <w:ilvl w:val="5"/>
          <w:numId w:val="1"/>
        </w:numPr>
        <w:rPr/>
      </w:pPr>
      <w:bookmarkStart w:id="725" w:name="__RefHeading___Toc15202730_1280447820"/>
      <w:bookmarkStart w:id="726" w:name="_Toc276"/>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 xml:space="preserve">یکی دیگر از شرایط صحت اعتکاف که مرتبط با مسجد می باشد، استمرار حضور در مسجد در ایام اعتکاف است </w:t>
      </w:r>
      <w:r>
        <w:rPr>
          <w:rStyle w:val="FootnoteAnchor"/>
          <w:rtl w:val="true"/>
        </w:rPr>
        <w:footnoteReference w:id="910"/>
      </w:r>
      <w:r>
        <w:rPr>
          <w:rFonts w:ascii="IRNazanin" w:hAnsi="IRNazanin" w:eastAsia="IRNazanin"/>
          <w:color w:val="111111"/>
          <w:sz w:val="28"/>
          <w:sz w:val="28"/>
          <w:szCs w:val="28"/>
          <w:rtl w:val="true"/>
          <w:lang w:bidi="fa-IR"/>
        </w:rPr>
        <w:t>و این شرط، میان فقها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رحمه الله و علامه حلی رحمه الله در این باره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از مکانی که شخص در آن معتکف شده جایز نیست مگر به خاطر ضرورت و بر این شرط اتفاق علما وجود دارد</w:t>
      </w:r>
      <w:r>
        <w:rPr>
          <w:rFonts w:eastAsia="IRNazanin" w:cs="IRNazanin"/>
          <w:color w:val="111111"/>
          <w:sz w:val="28"/>
          <w:szCs w:val="28"/>
          <w:rtl w:val="true"/>
          <w:lang w:bidi="fa-IR"/>
        </w:rPr>
        <w:t xml:space="preserve">.» </w:t>
      </w:r>
      <w:r>
        <w:rPr>
          <w:rStyle w:val="FootnoteAnchor"/>
          <w:rtl w:val="true"/>
        </w:rPr>
        <w:footnoteReference w:id="911"/>
      </w:r>
    </w:p>
    <w:p>
      <w:pPr>
        <w:pStyle w:val="Heading6"/>
        <w:numPr>
          <w:ilvl w:val="5"/>
          <w:numId w:val="1"/>
        </w:numPr>
        <w:rPr/>
      </w:pPr>
      <w:bookmarkStart w:id="727" w:name="__RefHeading___Toc15202732_1280447820"/>
      <w:bookmarkStart w:id="728" w:name="_Toc277"/>
      <w:bookmarkEnd w:id="727"/>
      <w:r>
        <w:rPr>
          <w:rtl w:val="true"/>
        </w:rPr>
        <w:t>الف</w:t>
      </w:r>
      <w:r>
        <w:rPr>
          <w:rtl w:val="true"/>
        </w:rPr>
        <w:t xml:space="preserve">) </w:t>
      </w:r>
      <w:r>
        <w:rPr>
          <w:rtl w:val="true"/>
        </w:rPr>
        <w:t>دیدگاه فقیهان امامیه</w:t>
      </w:r>
      <w:bookmarkEnd w:id="728"/>
    </w:p>
    <w:p>
      <w:pPr>
        <w:pStyle w:val="BookText"/>
        <w:rPr/>
      </w:pPr>
      <w:r>
        <w:rPr>
          <w:rFonts w:ascii="IRNazanin" w:hAnsi="IRNazanin" w:eastAsia="IRNazanin"/>
          <w:color w:val="111111"/>
          <w:sz w:val="28"/>
          <w:sz w:val="28"/>
          <w:szCs w:val="28"/>
          <w:rtl w:val="true"/>
          <w:lang w:bidi="fa-IR"/>
        </w:rPr>
        <w:t>مستند این شرط،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و صاحب جواهر نیز در اینباره ادعای اجماع منقول و اجماع محصل کرده اند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در این باره وارد شده است که از جمله آنها عبارت است از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می کند که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نباید از مسجد خارج شود مگر به خاطر ضرورتی</w:t>
      </w:r>
      <w:r>
        <w:rPr>
          <w:rFonts w:eastAsia="IRNazanin" w:cs="IRNazanin"/>
          <w:color w:val="111111"/>
          <w:sz w:val="28"/>
          <w:szCs w:val="28"/>
          <w:rtl w:val="true"/>
          <w:lang w:bidi="fa-IR"/>
        </w:rPr>
        <w:t xml:space="preserve">» </w:t>
      </w:r>
      <w:r>
        <w:rPr>
          <w:rStyle w:val="FootnoteAnchor"/>
        </w:rPr>
        <w:footnoteReference w:id="913"/>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معتکف از مسجد خارج شود مگر به خاطر حاجت ضروری</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معتکف حق ندارد از مسجد خارج شود مگر برای نماز جمعه یا تشییع جنازه یا رفع قضای حاجت</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روایات دیگری نیز شبیه به این مضامین وارد شده که صاحب وسائل یک باب را به آنها اختصاص داده است</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آن است که اگر معتکف از روی فراموشی از مسجد خارج شد مشهور فقها قائل اند به این که اعتکاف او باطل نمی شود صاحب جواهر در این باره ادعای عدم خلاف کرده است </w:t>
      </w:r>
      <w:r>
        <w:rPr>
          <w:rStyle w:val="FootnoteAnchor"/>
          <w:rtl w:val="true"/>
        </w:rPr>
        <w:footnoteReference w:id="917"/>
      </w:r>
      <w:r>
        <w:rPr>
          <w:rFonts w:ascii="IRNazanin" w:hAnsi="IRNazanin" w:eastAsia="IRNazanin"/>
          <w:color w:val="111111"/>
          <w:sz w:val="28"/>
          <w:sz w:val="28"/>
          <w:szCs w:val="28"/>
          <w:rtl w:val="true"/>
          <w:lang w:bidi="fa-IR"/>
        </w:rPr>
        <w:t xml:space="preserve">به شرط آن که بودن او در خارج از مسجد، آن قدر </w:t>
      </w:r>
      <w:bookmarkStart w:id="729" w:name="pg19115_195558"/>
    </w:p>
    <w:p>
      <w:pPr>
        <w:pStyle w:val="BookText"/>
        <w:rPr/>
      </w:pPr>
      <w:bookmarkEnd w:id="729"/>
      <w:r>
        <w:rPr>
          <w:rFonts w:ascii="IRNazanin" w:hAnsi="IRNazanin" w:eastAsia="IRNazanin"/>
          <w:color w:val="111111"/>
          <w:sz w:val="28"/>
          <w:sz w:val="28"/>
          <w:szCs w:val="28"/>
          <w:rtl w:val="true"/>
          <w:lang w:bidi="fa-IR"/>
        </w:rPr>
        <w:t>طولانی نشود که صورت اعتکاف به هم بخورد</w:t>
      </w:r>
      <w:r>
        <w:rPr>
          <w:rFonts w:eastAsia="IRNazanin" w:cs="IRNazanin"/>
          <w:color w:val="111111"/>
          <w:sz w:val="28"/>
          <w:szCs w:val="28"/>
          <w:rtl w:val="true"/>
          <w:lang w:bidi="fa-IR"/>
        </w:rPr>
        <w:t xml:space="preserve">. </w:t>
      </w:r>
      <w:r>
        <w:rPr>
          <w:rStyle w:val="FootnoteAnchor"/>
          <w:rtl w:val="true"/>
        </w:rPr>
        <w:footnoteReference w:id="918"/>
      </w:r>
    </w:p>
    <w:p>
      <w:pPr>
        <w:pStyle w:val="Heading6"/>
        <w:numPr>
          <w:ilvl w:val="5"/>
          <w:numId w:val="1"/>
        </w:numPr>
        <w:rPr/>
      </w:pPr>
      <w:bookmarkStart w:id="730" w:name="__RefHeading___Toc15202734_1280447820"/>
      <w:bookmarkStart w:id="731" w:name="_Toc278"/>
      <w:bookmarkEnd w:id="730"/>
      <w:r>
        <w:rPr>
          <w:rtl w:val="true"/>
        </w:rPr>
        <w:t>ب</w:t>
      </w:r>
      <w:r>
        <w:rPr>
          <w:rtl w:val="true"/>
        </w:rPr>
        <w:t xml:space="preserve">) </w:t>
      </w:r>
      <w:r>
        <w:rPr>
          <w:rtl w:val="true"/>
        </w:rPr>
        <w:t>دیدگاه اهل سنّت</w:t>
      </w:r>
      <w:bookmarkEnd w:id="731"/>
    </w:p>
    <w:p>
      <w:pPr>
        <w:pStyle w:val="BookText"/>
        <w:rPr/>
      </w:pPr>
      <w:r>
        <w:rPr>
          <w:rFonts w:ascii="IRNazanin" w:hAnsi="IRNazanin" w:eastAsia="IRNazanin"/>
          <w:color w:val="111111"/>
          <w:sz w:val="28"/>
          <w:sz w:val="28"/>
          <w:szCs w:val="28"/>
          <w:rtl w:val="true"/>
          <w:lang w:bidi="fa-IR"/>
        </w:rPr>
        <w:t>در میان اهل سنت نیز اتفاق نظر وجود دارد که اگر حاجت ضروری پیش آمد، خارج شدن از محل اعتکاف موجب بطلان اعتکاف نمی شود، اما اختلاف ایشان در ذكر مصداق برای حاجت است همچنین اجماع ایشان بر آن است که خروج غیر ضروری از مسجد چه برای مرد و چه برای زن و همچنین خارج شدن زن از مسجد خانه اش در اعتقاد ابوحنیفه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زن در مسجد بیت را صحیح و افضل می دانست موجب بطلان اعتکاف واجب می شود هر چند زمان خروج کم باشد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البته ابویوسف و محمد از علمای حنفی زمان فاسد شدن اعتکاف را مقید به نصف روز کرده اند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مالکیه و ابو حنیفه اعتکاف مستحب را نیز به اعتکاف واجب ملحق کرده اند</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میان اهل سنت اتفاق دیدگاه وجود دارد که خارج شدن از محل اعتکاف به سبب اکراه موجب بطلان اعتکاف نمی شود </w:t>
      </w:r>
      <w:r>
        <w:rPr>
          <w:rStyle w:val="FootnoteAnchor"/>
          <w:rtl w:val="true"/>
        </w:rPr>
        <w:footnoteReference w:id="922"/>
      </w:r>
      <w:r>
        <w:rPr>
          <w:rFonts w:ascii="IRNazanin" w:hAnsi="IRNazanin" w:eastAsia="IRNazanin"/>
          <w:color w:val="111111"/>
          <w:sz w:val="28"/>
          <w:sz w:val="28"/>
          <w:szCs w:val="28"/>
          <w:rtl w:val="true"/>
          <w:lang w:bidi="fa-IR"/>
        </w:rPr>
        <w:t>لیکن ابوحنیفه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بر خروج از مسجد موجب فاسد شدن اعتکاف نمی شود به شرط آن که </w:t>
      </w:r>
      <w:bookmarkStart w:id="732" w:name="pg19115_195559"/>
    </w:p>
    <w:p>
      <w:pPr>
        <w:pStyle w:val="BookText"/>
        <w:rPr/>
      </w:pPr>
      <w:bookmarkEnd w:id="732"/>
      <w:r>
        <w:rPr>
          <w:rFonts w:ascii="IRNazanin" w:hAnsi="IRNazanin" w:eastAsia="IRNazanin"/>
          <w:color w:val="111111"/>
          <w:sz w:val="28"/>
          <w:sz w:val="28"/>
          <w:szCs w:val="28"/>
          <w:rtl w:val="true"/>
          <w:lang w:bidi="fa-IR"/>
        </w:rPr>
        <w:t>معتکف، ساعتی را وارد مسجد دیگری شود و این کار برای معتکف مستحب است، اما اگر داخل مسجد دیگری،نشد اعتکاف او باطل است</w:t>
      </w:r>
      <w:r>
        <w:rPr>
          <w:rFonts w:eastAsia="IRNazanin" w:cs="IRNazanin"/>
          <w:color w:val="111111"/>
          <w:sz w:val="28"/>
          <w:szCs w:val="28"/>
          <w:rtl w:val="true"/>
          <w:lang w:bidi="fa-IR"/>
        </w:rPr>
        <w:t xml:space="preserve">. </w:t>
      </w:r>
      <w:r>
        <w:rPr>
          <w:rStyle w:val="FootnoteAnchor"/>
          <w:rtl w:val="true"/>
        </w:rPr>
        <w:footnoteReference w:id="923"/>
      </w:r>
    </w:p>
    <w:p>
      <w:pPr>
        <w:pStyle w:val="Heading5"/>
        <w:numPr>
          <w:ilvl w:val="4"/>
          <w:numId w:val="1"/>
        </w:numPr>
        <w:rPr/>
      </w:pPr>
      <w:bookmarkStart w:id="733" w:name="__RefHeading___Toc15202736_1280447820"/>
      <w:bookmarkStart w:id="734" w:name="_Toc279"/>
      <w:bookmarkEnd w:id="733"/>
      <w:r>
        <w:rPr>
          <w:rtl w:val="true"/>
        </w:rPr>
        <w:t>گفتار سوم</w:t>
      </w:r>
      <w:r>
        <w:rPr>
          <w:rtl w:val="true"/>
        </w:rPr>
        <w:t xml:space="preserve">: </w:t>
      </w:r>
      <w:r>
        <w:rPr>
          <w:rtl w:val="true"/>
        </w:rPr>
        <w:t>مجوزات خروج از مسجد</w:t>
      </w:r>
      <w:bookmarkEnd w:id="734"/>
    </w:p>
    <w:p>
      <w:pPr>
        <w:pStyle w:val="Heading6"/>
        <w:numPr>
          <w:ilvl w:val="5"/>
          <w:numId w:val="1"/>
        </w:numPr>
        <w:rPr/>
      </w:pPr>
      <w:bookmarkStart w:id="735" w:name="__RefHeading___Toc15202738_1280447820"/>
      <w:bookmarkStart w:id="736" w:name="_Toc280"/>
      <w:bookmarkEnd w:id="735"/>
      <w:r>
        <w:rPr>
          <w:rtl w:val="true"/>
        </w:rPr>
        <w:t>الف</w:t>
      </w:r>
      <w:r>
        <w:rPr>
          <w:rtl w:val="true"/>
        </w:rPr>
        <w:t xml:space="preserve">) </w:t>
      </w:r>
      <w:r>
        <w:rPr>
          <w:rtl w:val="true"/>
        </w:rPr>
        <w:t>دیدگاه فقیهان امامیه</w:t>
      </w:r>
      <w:bookmarkEnd w:id="736"/>
    </w:p>
    <w:p>
      <w:pPr>
        <w:pStyle w:val="Heading6"/>
        <w:numPr>
          <w:ilvl w:val="5"/>
          <w:numId w:val="1"/>
        </w:numPr>
        <w:rPr/>
      </w:pPr>
      <w:bookmarkStart w:id="737" w:name="__RefHeading___Toc15202740_1280447820"/>
      <w:bookmarkStart w:id="738" w:name="_Toc281"/>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در میان فقیهان امامیه پیرامون سبب خروج از مسجد هنگام اعتکاف، دیدگاه های متفاوتی وجود دارد</w:t>
      </w:r>
      <w:r>
        <w:rPr>
          <w:rFonts w:eastAsia="IRNazanin" w:cs="IRNazanin"/>
          <w:color w:val="111111"/>
          <w:sz w:val="28"/>
          <w:szCs w:val="28"/>
          <w:rtl w:val="true"/>
          <w:lang w:bidi="fa-IR"/>
        </w:rPr>
        <w:t>:</w:t>
      </w:r>
    </w:p>
    <w:p>
      <w:pPr>
        <w:pStyle w:val="Heading6"/>
        <w:numPr>
          <w:ilvl w:val="5"/>
          <w:numId w:val="1"/>
        </w:numPr>
        <w:rPr/>
      </w:pPr>
      <w:bookmarkStart w:id="739" w:name="__RefHeading___Toc15202742_1280447820"/>
      <w:bookmarkStart w:id="740" w:name="_Toc282"/>
      <w:bookmarkEnd w:id="739"/>
      <w:r>
        <w:rPr>
          <w:rtl w:val="true"/>
        </w:rPr>
        <w:t>دیدگاه اول</w:t>
      </w:r>
      <w:r>
        <w:rPr>
          <w:rtl w:val="true"/>
        </w:rPr>
        <w:t>:</w:t>
      </w:r>
      <w:bookmarkEnd w:id="740"/>
    </w:p>
    <w:p>
      <w:pPr>
        <w:pStyle w:val="BookText"/>
        <w:rPr/>
      </w:pPr>
      <w:r>
        <w:rPr>
          <w:rFonts w:ascii="IRNazanin" w:hAnsi="IRNazanin" w:eastAsia="IRNazanin"/>
          <w:color w:val="111111"/>
          <w:sz w:val="28"/>
          <w:sz w:val="28"/>
          <w:szCs w:val="28"/>
          <w:rtl w:val="true"/>
          <w:lang w:bidi="fa-IR"/>
        </w:rPr>
        <w:t>مجوز خروج مطلق حاجت است؛ چه دینی و چه دنیوی</w:t>
      </w:r>
      <w:r>
        <w:rPr>
          <w:rFonts w:eastAsia="IRNazanin" w:cs="IRNazanin"/>
          <w:color w:val="111111"/>
          <w:sz w:val="28"/>
          <w:szCs w:val="28"/>
          <w:rtl w:val="true"/>
          <w:lang w:bidi="fa-IR"/>
        </w:rPr>
        <w:t xml:space="preserve">. </w:t>
      </w:r>
      <w:r>
        <w:rPr>
          <w:rStyle w:val="FootnoteAnchor"/>
          <w:rtl w:val="true"/>
        </w:rPr>
        <w:footnoteReference w:id="924"/>
      </w:r>
    </w:p>
    <w:p>
      <w:pPr>
        <w:pStyle w:val="Heading6"/>
        <w:numPr>
          <w:ilvl w:val="5"/>
          <w:numId w:val="1"/>
        </w:numPr>
        <w:rPr/>
      </w:pPr>
      <w:bookmarkStart w:id="741" w:name="__RefHeading___Toc15202744_1280447820"/>
      <w:bookmarkStart w:id="742" w:name="_Toc283"/>
      <w:bookmarkEnd w:id="741"/>
      <w:r>
        <w:rPr>
          <w:rtl w:val="true"/>
        </w:rPr>
        <w:t>دیدگاه دوم</w:t>
      </w:r>
      <w:r>
        <w:rPr>
          <w:rtl w:val="true"/>
        </w:rPr>
        <w:t>:</w:t>
      </w:r>
      <w:bookmarkEnd w:id="742"/>
    </w:p>
    <w:p>
      <w:pPr>
        <w:pStyle w:val="Heading6"/>
        <w:numPr>
          <w:ilvl w:val="5"/>
          <w:numId w:val="1"/>
        </w:numPr>
        <w:rPr/>
      </w:pPr>
      <w:bookmarkStart w:id="743" w:name="__RefHeading___Toc15202746_1280447820"/>
      <w:bookmarkStart w:id="744" w:name="_Toc284"/>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مجوز خروج از مسجد، خصوص حاجت ضروری است نه هر حاجتی هر چند غیر ضروری باشد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البته ضرورت نیز گاهی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خرید مایحتاج خانه برای خانواده خود در صورتی که شخص دیگری نباشد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در مواردی که نص خاص بر جواز خروج وجود دارد هر چند حاجت ضروری،نباشد معتکف می تواند از مسجد خارج شود مانند تشییع جنازه عیادت بیمار و رفع حاجت،مؤمن اما در مواردی که نص خاص وجود،ندارد جایز نیست که معتکف از مسجد خارج شود مگر آن که قائل شویم که مجوز خروج از مسجد، مطلق حاجت دینی و دنیوی است و اختصاص به ضروریات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در تمام این مواردی که مجوز برای خروج دارد در </w:t>
      </w:r>
      <w:bookmarkStart w:id="745" w:name="pg19115_195560"/>
    </w:p>
    <w:p>
      <w:pPr>
        <w:pStyle w:val="BookText"/>
        <w:rPr/>
      </w:pPr>
      <w:bookmarkEnd w:id="745"/>
      <w:r>
        <w:rPr>
          <w:rFonts w:ascii="IRNazanin" w:hAnsi="IRNazanin" w:eastAsia="IRNazanin"/>
          <w:color w:val="111111"/>
          <w:sz w:val="28"/>
          <w:sz w:val="28"/>
          <w:szCs w:val="28"/>
          <w:rtl w:val="true"/>
          <w:lang w:bidi="fa-IR"/>
        </w:rPr>
        <w:t>صورتی مبطل اعتکاف نیست که مدت زمان خروج از،مسجد طولانی نشود وگرنه اگر مکث در خارج از مسجد طولانی شود به گونه ای که صورت اعتکاف بهم بخورد، اعتکاف باطل می شود</w:t>
      </w:r>
      <w:r>
        <w:rPr>
          <w:rFonts w:eastAsia="IRNazanin" w:cs="IRNazanin"/>
          <w:color w:val="111111"/>
          <w:sz w:val="28"/>
          <w:szCs w:val="28"/>
          <w:rtl w:val="true"/>
          <w:lang w:bidi="fa-IR"/>
        </w:rPr>
        <w:t>.</w:t>
      </w:r>
    </w:p>
    <w:p>
      <w:pPr>
        <w:pStyle w:val="Heading6"/>
        <w:numPr>
          <w:ilvl w:val="5"/>
          <w:numId w:val="1"/>
        </w:numPr>
        <w:rPr/>
      </w:pPr>
      <w:bookmarkStart w:id="746" w:name="__RefHeading___Toc15202748_1280447820"/>
      <w:bookmarkStart w:id="747" w:name="_Toc285"/>
      <w:bookmarkEnd w:id="746"/>
      <w:r>
        <w:rPr/>
        <w:t>1</w:t>
      </w:r>
      <w:r>
        <w:rPr>
          <w:rtl w:val="true"/>
        </w:rPr>
        <w:t xml:space="preserve">- </w:t>
      </w:r>
      <w:r>
        <w:rPr>
          <w:rtl w:val="true"/>
        </w:rPr>
        <w:t xml:space="preserve">ادله دیدگاه اول </w:t>
      </w:r>
      <w:r>
        <w:rPr>
          <w:rtl w:val="true"/>
        </w:rPr>
        <w:t>(</w:t>
      </w:r>
      <w:r>
        <w:rPr>
          <w:rtl w:val="true"/>
        </w:rPr>
        <w:t>مطلق حاجت</w:t>
      </w:r>
      <w:r>
        <w:rPr>
          <w:rtl w:val="true"/>
        </w:rPr>
        <w:t>)</w:t>
      </w:r>
      <w:bookmarkEnd w:id="747"/>
    </w:p>
    <w:p>
      <w:pPr>
        <w:pStyle w:val="BookText"/>
        <w:rPr/>
      </w:pPr>
      <w:r>
        <w:rPr>
          <w:rFonts w:ascii="IRNazanin" w:hAnsi="IRNazanin" w:eastAsia="IRNazanin"/>
          <w:color w:val="111111"/>
          <w:sz w:val="28"/>
          <w:sz w:val="28"/>
          <w:szCs w:val="28"/>
          <w:rtl w:val="true"/>
          <w:lang w:bidi="fa-IR"/>
        </w:rPr>
        <w:t xml:space="preserve">از جمله ادله ای که بر مجوز خروج از مسجد به خاطر مطلق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روی ضرورت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میمون بن مهران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اعتکاف بودند که مردی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به فلان شخص بدهکارم و توان پرداخت ندارم و او می خواهد مرا به زندان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نزد من مالی وجود ندارد که بدهی تو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او صحبت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کفشش را پوشید که از مسجد خارج،شود به آن حضرت عرض کردم ای پسر رسول خدا، آیا فراموش کرده اید که در حال اعتکاف به سر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معتکف نباید از مسجد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 ام، ولی از پدرم شنیدم که از جدم رسول خدا صلی الله علیه و آله حدیث کرد که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برآوردن حاجت برادر مسلمانش کوشش،کند مثل این است که خداوند را به مقدار نه هزار سال عبادت کرده در حالی که روزهایش را روزه گرفته و شبهایش را به عبادت ایستاده باشد</w:t>
      </w:r>
      <w:r>
        <w:rPr>
          <w:rFonts w:eastAsia="IRNazanin" w:cs="IRNazanin"/>
          <w:color w:val="111111"/>
          <w:sz w:val="28"/>
          <w:szCs w:val="28"/>
          <w:rtl w:val="true"/>
          <w:lang w:bidi="fa-IR"/>
        </w:rPr>
        <w:t xml:space="preserve">.» </w:t>
      </w:r>
      <w:r>
        <w:rPr>
          <w:rStyle w:val="FootnoteAnchor"/>
          <w:rtl w:val="true"/>
        </w:rPr>
        <w:footnoteReference w:id="926"/>
      </w:r>
      <w:bookmarkStart w:id="748" w:name="pg19115_195561"/>
    </w:p>
    <w:p>
      <w:pPr>
        <w:pStyle w:val="BookText"/>
        <w:rPr/>
      </w:pPr>
      <w:bookmarkEnd w:id="748"/>
      <w:r>
        <w:rPr>
          <w:rFonts w:ascii="IRNazanin" w:hAnsi="IRNazanin" w:eastAsia="IRNazanin"/>
          <w:color w:val="111111"/>
          <w:sz w:val="28"/>
          <w:sz w:val="28"/>
          <w:szCs w:val="28"/>
          <w:rtl w:val="true"/>
          <w:lang w:bidi="fa-IR"/>
        </w:rPr>
        <w:t>اشکال استدلال به این روایت آن است که این روایت، دلالت بر باطل نشدن اعتکاف به هنگام خروج از مسجد ندارد بلکه ممکن است که امام علیه السلام بنا را بر نقض اعتکاف خود گذاشته و از مسجد خارج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 ای از روایات که دلالت بر جواز خروج از مسجد هنگام اعتکاف جهت عیادت بیمار یا تشییع جنازه دارد همانند روایت حلبی که در گذشته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خارج شدن از مسجد برای امور غیر ضروری موجب بطلان اعتکاف نمی شود؛ چرا که این دو کار از امور ضروری نمی باشد، با این حال حضرت این دو را استثناء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دلیل آن است که در تعدی از این که تنها برای امور ضروری می توان از مسجد خارج شد باید دلیل خاص داشته باشیم و چون حضرت این دو امر را ذکر کرده اند و در برخی دیگر از روایات به امور دیگری نیز اشاره شده، تنها باید به مورد نص اکتفا کرده و نمی توان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علم به مناط داشتیم تعدی به امور دیگر نیز امکان داشت، لیکن چنین علمی در اینجا وجود ندارد بنابراین نمی توان پذیرفت که هر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دینی و چه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خروج از مسجد می شود</w:t>
      </w:r>
      <w:r>
        <w:rPr>
          <w:rFonts w:eastAsia="IRNazanin" w:cs="IRNazanin"/>
          <w:color w:val="111111"/>
          <w:sz w:val="28"/>
          <w:szCs w:val="28"/>
          <w:rtl w:val="true"/>
          <w:lang w:bidi="fa-IR"/>
        </w:rPr>
        <w:t>.</w:t>
      </w:r>
    </w:p>
    <w:p>
      <w:pPr>
        <w:pStyle w:val="Heading6"/>
        <w:numPr>
          <w:ilvl w:val="5"/>
          <w:numId w:val="1"/>
        </w:numPr>
        <w:rPr/>
      </w:pPr>
      <w:bookmarkStart w:id="749" w:name="__RefHeading___Toc15202750_1280447820"/>
      <w:bookmarkStart w:id="750" w:name="_Toc286"/>
      <w:bookmarkEnd w:id="749"/>
      <w:r>
        <w:rPr/>
        <w:t>2</w:t>
      </w:r>
      <w:r>
        <w:rPr>
          <w:rtl w:val="true"/>
        </w:rPr>
        <w:t xml:space="preserve">- </w:t>
      </w:r>
      <w:r>
        <w:rPr>
          <w:rtl w:val="true"/>
        </w:rPr>
        <w:t xml:space="preserve">ادله دیدگاه دوم حاجت </w:t>
      </w:r>
      <w:r>
        <w:rPr>
          <w:rtl w:val="true"/>
        </w:rPr>
        <w:t>(</w:t>
      </w:r>
      <w:r>
        <w:rPr>
          <w:rtl w:val="true"/>
        </w:rPr>
        <w:t>ضروری</w:t>
      </w:r>
      <w:r>
        <w:rPr>
          <w:rtl w:val="true"/>
        </w:rPr>
        <w:t>)</w:t>
      </w:r>
      <w:bookmarkEnd w:id="750"/>
    </w:p>
    <w:p>
      <w:pPr>
        <w:pStyle w:val="BookText"/>
        <w:rPr/>
      </w:pPr>
      <w:r>
        <w:rPr>
          <w:rFonts w:ascii="IRNazanin" w:hAnsi="IRNazanin" w:eastAsia="IRNazanin"/>
          <w:color w:val="111111"/>
          <w:sz w:val="28"/>
          <w:sz w:val="28"/>
          <w:szCs w:val="28"/>
          <w:rtl w:val="true"/>
          <w:lang w:bidi="fa-IR"/>
        </w:rPr>
        <w:t>روایاتی وارد شده که در آن، تنها حاجت ضروری به عنوان مجوز برای خروج از مسجد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عبدالله بن سنان از امام صادق علیه السلام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معتکف جز از روی ناچاری نباید از مسجد خارج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51" w:name="pg19115_195562"/>
    </w:p>
    <w:p>
      <w:pPr>
        <w:pStyle w:val="BookText"/>
        <w:rPr/>
      </w:pPr>
      <w:bookmarkEnd w:id="75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سرحان از امام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معتکف از مسجد خارج شود، مگر به خاطر حاجتی که گریزی از آن نیست</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نیز روایتی شبیه به همین مضمون از امام صادق علیه السلام نقل می کند</w:t>
      </w:r>
      <w:r>
        <w:rPr>
          <w:rFonts w:eastAsia="IRNazanin" w:cs="IRNazanin"/>
          <w:color w:val="111111"/>
          <w:sz w:val="28"/>
          <w:szCs w:val="28"/>
          <w:rtl w:val="true"/>
          <w:lang w:bidi="fa-IR"/>
        </w:rPr>
        <w:t xml:space="preserve">. </w:t>
      </w:r>
      <w:r>
        <w:rPr>
          <w:rStyle w:val="FootnoteAnchor"/>
          <w:rtl w:val="true"/>
        </w:rPr>
        <w:footnoteReference w:id="928"/>
      </w:r>
    </w:p>
    <w:p>
      <w:pPr>
        <w:pStyle w:val="Heading6"/>
        <w:numPr>
          <w:ilvl w:val="5"/>
          <w:numId w:val="1"/>
        </w:numPr>
        <w:rPr/>
      </w:pPr>
      <w:bookmarkStart w:id="752" w:name="__RefHeading___Toc15202752_1280447820"/>
      <w:bookmarkStart w:id="753" w:name="_Toc287"/>
      <w:bookmarkEnd w:id="752"/>
      <w:r>
        <w:rPr>
          <w:rtl w:val="true"/>
        </w:rPr>
        <w:t>ب</w:t>
      </w:r>
      <w:r>
        <w:rPr>
          <w:rtl w:val="true"/>
        </w:rPr>
        <w:t xml:space="preserve">) </w:t>
      </w:r>
      <w:r>
        <w:rPr>
          <w:rtl w:val="true"/>
        </w:rPr>
        <w:t>ذكر بعضی از مصادیق مجوز خروج از مسجد</w:t>
      </w:r>
      <w:bookmarkEnd w:id="753"/>
    </w:p>
    <w:p>
      <w:pPr>
        <w:pStyle w:val="Heading6"/>
        <w:numPr>
          <w:ilvl w:val="5"/>
          <w:numId w:val="1"/>
        </w:numPr>
        <w:rPr/>
      </w:pPr>
      <w:bookmarkStart w:id="754" w:name="__RefHeading___Toc15202754_1280447820"/>
      <w:bookmarkStart w:id="755" w:name="_Toc288"/>
      <w:bookmarkEnd w:id="754"/>
      <w:r>
        <w:rPr/>
        <w:t>1</w:t>
      </w:r>
      <w:r>
        <w:rPr>
          <w:rtl w:val="true"/>
        </w:rPr>
        <w:t xml:space="preserve">. </w:t>
      </w:r>
      <w:r>
        <w:rPr>
          <w:rtl w:val="true"/>
        </w:rPr>
        <w:t>غسل جنابت</w:t>
      </w:r>
      <w:bookmarkEnd w:id="755"/>
    </w:p>
    <w:p>
      <w:pPr>
        <w:pStyle w:val="BookText"/>
        <w:rPr/>
      </w:pPr>
      <w:r>
        <w:rPr>
          <w:rFonts w:ascii="IRNazanin" w:hAnsi="IRNazanin" w:eastAsia="IRNazanin"/>
          <w:color w:val="111111"/>
          <w:sz w:val="28"/>
          <w:sz w:val="28"/>
          <w:szCs w:val="28"/>
          <w:rtl w:val="true"/>
          <w:lang w:bidi="fa-IR"/>
        </w:rPr>
        <w:t xml:space="preserve">یکی از مجوزاتی که برای خروج از مسجد در کتب فقهی نام برده شده است آن است که معتکف جنب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از جنب شدن در اینجا احتلام یعنی خارج شدن منی در خواب است</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بنابراین خارج شدن از مسجد جهت غسل مستحبی جایز نیست</w:t>
      </w:r>
      <w:r>
        <w:rPr>
          <w:rFonts w:eastAsia="IRNazanin" w:cs="IRNazanin"/>
          <w:color w:val="111111"/>
          <w:sz w:val="28"/>
          <w:szCs w:val="28"/>
          <w:rtl w:val="true"/>
          <w:lang w:bidi="fa-IR"/>
        </w:rPr>
        <w:t xml:space="preserve">. </w:t>
      </w:r>
      <w:r>
        <w:rPr>
          <w:rStyle w:val="FootnoteAnchor"/>
          <w:rtl w:val="true"/>
        </w:rPr>
        <w:footnoteReference w:id="93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غسل جنابت غسل زن برای استحاضه است هر چند زن بتواند در </w:t>
      </w:r>
      <w:bookmarkStart w:id="756" w:name="pg19115_195563"/>
    </w:p>
    <w:p>
      <w:pPr>
        <w:pStyle w:val="BookText"/>
        <w:rPr/>
      </w:pPr>
      <w:bookmarkEnd w:id="756"/>
      <w:r>
        <w:rPr>
          <w:rFonts w:ascii="IRNazanin" w:hAnsi="IRNazanin" w:eastAsia="IRNazanin"/>
          <w:color w:val="111111"/>
          <w:sz w:val="28"/>
          <w:sz w:val="28"/>
          <w:szCs w:val="28"/>
          <w:rtl w:val="true"/>
          <w:lang w:bidi="fa-IR"/>
        </w:rPr>
        <w:t xml:space="preserve">مسجد بدون نجس کردن،مسجد غسل را داخل مسجد انجام دهد؛ چرا که برخی از فقها از غسل کردن مستحاضه در،مسجد به صورت مطلق منع کرده اند؛ زیرا این کار با احترام مسجد و جایگاه خاص آن منافات دارد البته صاحب مدارک احتمال داده است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نجاست مسجد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غسل مستحبی و وضو در مسجد جایز باشد</w:t>
      </w:r>
      <w:r>
        <w:rPr>
          <w:rFonts w:eastAsia="IRNazanin" w:cs="IRNazanin"/>
          <w:color w:val="111111"/>
          <w:sz w:val="28"/>
          <w:szCs w:val="28"/>
          <w:rtl w:val="true"/>
          <w:lang w:bidi="fa-IR"/>
        </w:rPr>
        <w:t xml:space="preserve">. </w:t>
      </w:r>
      <w:r>
        <w:rPr>
          <w:rStyle w:val="FootnoteAnchor"/>
          <w:rtl w:val="true"/>
        </w:rPr>
        <w:footnoteReference w:id="931"/>
      </w:r>
    </w:p>
    <w:p>
      <w:pPr>
        <w:pStyle w:val="Heading6"/>
        <w:numPr>
          <w:ilvl w:val="5"/>
          <w:numId w:val="1"/>
        </w:numPr>
        <w:rPr/>
      </w:pPr>
      <w:bookmarkStart w:id="757" w:name="__RefHeading___Toc15202756_1280447820"/>
      <w:bookmarkStart w:id="758" w:name="_Toc289"/>
      <w:bookmarkEnd w:id="757"/>
      <w:r>
        <w:rPr/>
        <w:t>2</w:t>
      </w:r>
      <w:r>
        <w:rPr>
          <w:rtl w:val="true"/>
        </w:rPr>
        <w:t xml:space="preserve">. </w:t>
      </w:r>
      <w:r>
        <w:rPr>
          <w:rtl w:val="true"/>
        </w:rPr>
        <w:t>عیادت از بیمار و تشییع جنازه</w:t>
      </w:r>
      <w:bookmarkEnd w:id="758"/>
    </w:p>
    <w:p>
      <w:pPr>
        <w:pStyle w:val="BookText"/>
        <w:rPr/>
      </w:pPr>
      <w:r>
        <w:rPr>
          <w:rFonts w:ascii="IRNazanin" w:hAnsi="IRNazanin" w:eastAsia="IRNazanin"/>
          <w:color w:val="111111"/>
          <w:sz w:val="28"/>
          <w:sz w:val="28"/>
          <w:szCs w:val="28"/>
          <w:rtl w:val="true"/>
          <w:lang w:bidi="fa-IR"/>
        </w:rPr>
        <w:t>یکی دیگر از مواردی که می توان هنگام،اعتکاف از مسجد خارج شد، عیادت بیمار و تشییع جنازه است این مورد اگرچه از موارد ضروری خروج نیست، لیکن روایت خاص در اینباره صادر شده و چون روایت صحیح است، می توان طبق آن در این دو مورد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این دو مورد یکی اجماع است که علامه حلی رحمه الله در تذکره آن را ذکر کرده است </w:t>
      </w:r>
      <w:r>
        <w:rPr>
          <w:rStyle w:val="FootnoteAnchor"/>
          <w:rtl w:val="true"/>
        </w:rPr>
        <w:footnoteReference w:id="932"/>
      </w:r>
      <w:r>
        <w:rPr>
          <w:rFonts w:ascii="IRNazanin" w:hAnsi="IRNazanin" w:eastAsia="IRNazanin"/>
          <w:color w:val="111111"/>
          <w:sz w:val="28"/>
          <w:sz w:val="28"/>
          <w:szCs w:val="28"/>
          <w:rtl w:val="true"/>
          <w:lang w:bidi="fa-IR"/>
        </w:rPr>
        <w:t>و دیگری صحیحه حلبی از امام صادق علیه السلام است که حضرت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نباید از مسجد خارج شود مگر برای تشییع جنازه و یا عیادت بیمار و نمی نشیند تا این که برگردد</w:t>
      </w:r>
      <w:r>
        <w:rPr>
          <w:rFonts w:eastAsia="IRNazanin" w:cs="IRNazanin"/>
          <w:color w:val="111111"/>
          <w:sz w:val="28"/>
          <w:szCs w:val="28"/>
          <w:rtl w:val="true"/>
          <w:lang w:bidi="fa-IR"/>
        </w:rPr>
        <w:t xml:space="preserve">» </w:t>
      </w:r>
      <w:r>
        <w:rPr>
          <w:rStyle w:val="FootnoteAnchor"/>
          <w:rtl w:val="true"/>
        </w:rPr>
        <w:footnoteReference w:id="933"/>
      </w:r>
      <w:bookmarkStart w:id="759" w:name="pg19115_195564"/>
    </w:p>
    <w:p>
      <w:pPr>
        <w:pStyle w:val="Heading6"/>
        <w:numPr>
          <w:ilvl w:val="5"/>
          <w:numId w:val="1"/>
        </w:numPr>
        <w:rPr/>
      </w:pPr>
      <w:bookmarkStart w:id="760" w:name="__RefHeading___Toc15202758_1280447820"/>
      <w:bookmarkStart w:id="761" w:name="_Toc290"/>
      <w:bookmarkEnd w:id="759"/>
      <w:bookmarkEnd w:id="760"/>
      <w:r>
        <w:rPr/>
        <w:t>3</w:t>
      </w:r>
      <w:r>
        <w:rPr>
          <w:rtl w:val="true"/>
        </w:rPr>
        <w:t xml:space="preserve">. </w:t>
      </w:r>
      <w:r>
        <w:rPr>
          <w:rtl w:val="true"/>
        </w:rPr>
        <w:t>شهادت دادن</w:t>
      </w:r>
      <w:bookmarkEnd w:id="761"/>
    </w:p>
    <w:p>
      <w:pPr>
        <w:pStyle w:val="Heading6"/>
        <w:numPr>
          <w:ilvl w:val="5"/>
          <w:numId w:val="1"/>
        </w:numPr>
        <w:rPr/>
      </w:pPr>
      <w:bookmarkStart w:id="762" w:name="__RefHeading___Toc15202760_1280447820"/>
      <w:bookmarkStart w:id="763" w:name="_Toc291"/>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یکی دیگر از مجوزات خروج از محل،اعتکاف اقامه شهادت و یا تحمل شهادت است به شرط آن که نتوان بدون خارج شدن از،مسجد شهادت داد که این خود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دادن برای معتکف متعین شده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دیگری نیز بتواند شهادت دهد و متعیّن در معتکف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براج می نویسد کسی که اقامه شهادت برای او متعین شده و از مسجد خارج می شود تا شهادت بدهد، اعتکاف او با این کار باطل نمی شود؛ چه آن که اصل جواز این کار بوده و دلیلی که منجر به علم به منع شود وجود ندارد تا ما نیز قائل به منع شویم همچنین آیه شریفه شاهدان هنگامی که برای شهادت دادن خوانده شدند نباید ابای از شهادت دادن داشته باشند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و در این آیه بین معتکف و غیر معتکف تفصیل داده نشده است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صاحب ریاض رحمه الله درباره صورت اول، ادعای اجماع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از جمله حاجاتی است که خارج شدن به خاطر آن اجازه داده شده است</w:t>
      </w:r>
      <w:r>
        <w:rPr>
          <w:rFonts w:eastAsia="IRNazanin" w:cs="IRNazanin"/>
          <w:color w:val="111111"/>
          <w:sz w:val="28"/>
          <w:szCs w:val="28"/>
          <w:rtl w:val="true"/>
          <w:lang w:bidi="fa-IR"/>
        </w:rPr>
        <w:t xml:space="preserve">. </w:t>
      </w:r>
      <w:r>
        <w:rPr>
          <w:rStyle w:val="FootnoteAnchor"/>
          <w:rtl w:val="true"/>
        </w:rPr>
        <w:footnoteReference w:id="93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اختلافی است برخی آن را مجوز برای خروج دانسته پاره ای قائل به عدم جواز خروج با وجود شاهد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فقیهانی که </w:t>
      </w:r>
    </w:p>
    <w:p>
      <w:pPr>
        <w:pStyle w:val="BookText"/>
        <w:rPr/>
      </w:pPr>
      <w:r>
        <w:rPr>
          <w:rFonts w:ascii="IRNazanin" w:hAnsi="IRNazanin" w:eastAsia="IRNazanin"/>
          <w:color w:val="111111"/>
          <w:sz w:val="28"/>
          <w:sz w:val="28"/>
          <w:szCs w:val="28"/>
          <w:rtl w:val="true"/>
          <w:lang w:bidi="fa-IR"/>
        </w:rPr>
        <w:t>جواز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خلاف، </w:t>
      </w:r>
      <w:r>
        <w:rPr>
          <w:rStyle w:val="FootnoteAnchor"/>
          <w:rtl w:val="true"/>
        </w:rPr>
        <w:footnoteReference w:id="937"/>
      </w:r>
      <w:r>
        <w:rPr>
          <w:rFonts w:ascii="IRNazanin" w:hAnsi="IRNazanin" w:eastAsia="IRNazanin"/>
          <w:color w:val="111111"/>
          <w:sz w:val="28"/>
          <w:sz w:val="28"/>
          <w:szCs w:val="28"/>
          <w:rtl w:val="true"/>
          <w:lang w:bidi="fa-IR"/>
        </w:rPr>
        <w:t xml:space="preserve">محقق حلی رحمه الله در معتبر </w:t>
      </w:r>
      <w:r>
        <w:rPr>
          <w:rStyle w:val="FootnoteAnchor"/>
          <w:rtl w:val="true"/>
        </w:rPr>
        <w:footnoteReference w:id="938"/>
      </w:r>
      <w:r>
        <w:rPr>
          <w:rFonts w:ascii="IRNazanin" w:hAnsi="IRNazanin" w:eastAsia="IRNazanin"/>
          <w:color w:val="111111"/>
          <w:sz w:val="28"/>
          <w:sz w:val="28"/>
          <w:szCs w:val="28"/>
          <w:rtl w:val="true"/>
          <w:lang w:bidi="fa-IR"/>
        </w:rPr>
        <w:t xml:space="preserve">، علامه حلی رحمه الله در تذکره و منتهی، </w:t>
      </w:r>
      <w:r>
        <w:rPr>
          <w:rStyle w:val="FootnoteAnchor"/>
          <w:rtl w:val="true"/>
        </w:rPr>
        <w:footnoteReference w:id="939"/>
      </w:r>
      <w:r>
        <w:rPr>
          <w:rFonts w:ascii="IRNazanin" w:hAnsi="IRNazanin" w:eastAsia="IRNazanin"/>
          <w:color w:val="111111"/>
          <w:sz w:val="28"/>
          <w:sz w:val="28"/>
          <w:szCs w:val="28"/>
          <w:rtl w:val="true"/>
          <w:lang w:bidi="fa-IR"/>
        </w:rPr>
        <w:t xml:space="preserve">محقق سبزواری در جامع الخلاف والوفاق، </w:t>
      </w:r>
      <w:r>
        <w:rPr>
          <w:rStyle w:val="FootnoteAnchor"/>
          <w:rtl w:val="true"/>
        </w:rPr>
        <w:footnoteReference w:id="940"/>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صاحب جواهر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علت این که اصحاب صورت عدم تعیین اقامه شهادت را نیز مجوز خروج از محل اعتکاف دانسته اند آن است که روایات مجوز مربوط به عیادت بیمار یا تشییع جنازه را دیده و برداشت ایشان این بوده که ذکر این دو مورد از باب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همین خاطر موارد بسیاری را مجوز برای خروج از محل اعتکاف ذکر کرده اند با این که نص به خصوصی در مورد آنها وارد نشده است</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اردبیلی رحمه الله از جمله فقیهانی است خروج از اعتکاف را مشروط به تعیّن و </w:t>
      </w:r>
      <w:bookmarkStart w:id="764" w:name="pg19115_195566"/>
    </w:p>
    <w:p>
      <w:pPr>
        <w:pStyle w:val="BookText"/>
        <w:rPr/>
      </w:pPr>
      <w:bookmarkEnd w:id="764"/>
      <w:r>
        <w:rPr>
          <w:rFonts w:ascii="IRNazanin" w:hAnsi="IRNazanin" w:eastAsia="IRNazanin"/>
          <w:color w:val="111111"/>
          <w:sz w:val="28"/>
          <w:sz w:val="28"/>
          <w:szCs w:val="28"/>
          <w:rtl w:val="true"/>
          <w:lang w:bidi="fa-IR"/>
        </w:rPr>
        <w:t>عدم امکان شهادت در داخل مسجد می داند</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صاحب ریاض رحمه الله نیز ابتدا در تسری حکم جواز خروج تأمل کرده و بعد می گوید مگر آن که به قیاس اولویت تمسک کنیم به این بیان که شارع تشییع جنازه و عیادت مریض را در حال اعتکاف اجازه داده است با این که این دو از مستحبّات هستند پس به طریق اولی خروج از محل اعتکاف برای ادای شهادت در صورتی که شهادت متعین هم نباشد، جایز است؛ چرا که ادای شهادت در این صورت واجب کفایی است و وقتی حکم جواز برای مستحب گذاشته می شود برای واجب کفایی به طریق اولی این حکم وجود دارد</w:t>
      </w:r>
      <w:r>
        <w:rPr>
          <w:rFonts w:eastAsia="IRNazanin" w:cs="IRNazanin"/>
          <w:color w:val="111111"/>
          <w:sz w:val="28"/>
          <w:szCs w:val="28"/>
          <w:rtl w:val="true"/>
          <w:lang w:bidi="fa-IR"/>
        </w:rPr>
        <w:t xml:space="preserve">.» </w:t>
      </w:r>
      <w:r>
        <w:rPr>
          <w:rStyle w:val="FootnoteAnchor"/>
          <w:rtl w:val="true"/>
        </w:rPr>
        <w:footnoteReference w:id="944"/>
      </w:r>
    </w:p>
    <w:p>
      <w:pPr>
        <w:pStyle w:val="Heading6"/>
        <w:numPr>
          <w:ilvl w:val="5"/>
          <w:numId w:val="1"/>
        </w:numPr>
        <w:rPr/>
      </w:pPr>
      <w:bookmarkStart w:id="765" w:name="__RefHeading___Toc15202762_1280447820"/>
      <w:bookmarkStart w:id="766" w:name="_Toc292"/>
      <w:bookmarkEnd w:id="765"/>
      <w:r>
        <w:rPr/>
        <w:t>4</w:t>
      </w:r>
      <w:r>
        <w:rPr>
          <w:rtl w:val="true"/>
        </w:rPr>
        <w:t xml:space="preserve">. </w:t>
      </w:r>
      <w:r>
        <w:rPr>
          <w:rtl w:val="true"/>
        </w:rPr>
        <w:t>رفع قضای حاجت</w:t>
      </w:r>
      <w:bookmarkEnd w:id="766"/>
    </w:p>
    <w:p>
      <w:pPr>
        <w:pStyle w:val="BookText"/>
        <w:rPr/>
      </w:pPr>
      <w:r>
        <w:rPr>
          <w:rFonts w:ascii="IRNazanin" w:hAnsi="IRNazanin" w:eastAsia="IRNazanin"/>
          <w:color w:val="111111"/>
          <w:sz w:val="28"/>
          <w:sz w:val="28"/>
          <w:szCs w:val="28"/>
          <w:rtl w:val="true"/>
          <w:lang w:bidi="fa-IR"/>
        </w:rPr>
        <w:t xml:space="preserve">از دیگر مجوزات خروج از مسجد هنگام اعتکاف رفع قضای حاجت است که مرحوم علامه در تذکره، ادعای اجماع بر این مطلب کرده است، </w:t>
      </w:r>
      <w:r>
        <w:rPr>
          <w:rStyle w:val="FootnoteAnchor"/>
          <w:rtl w:val="true"/>
        </w:rPr>
        <w:footnoteReference w:id="945"/>
      </w:r>
      <w:r>
        <w:rPr>
          <w:rFonts w:ascii="IRNazanin" w:hAnsi="IRNazanin" w:eastAsia="IRNazanin"/>
          <w:color w:val="111111"/>
          <w:sz w:val="28"/>
          <w:sz w:val="28"/>
          <w:szCs w:val="28"/>
          <w:rtl w:val="true"/>
          <w:lang w:bidi="fa-IR"/>
        </w:rPr>
        <w:t>لیکن پرسش مطرح آن است که آیا لازم است کوتاهترین مسیر برای این کار انتخاب شود یا آن که با وجود توالت نزدیکتر معتکف می تواند جای دیگری را که مسیری طولانی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انتخاب کند؟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فقیهان دیدگاه اول را انتخاب کرده و انتخاب مسیر کوتاه تر را برای این کار واجب می دانند؟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علامه حلی رحمه الله در تذکره می نویسد اگر در نزدیکی مسجد، دست شویی بود معتکف به آنجا رفته و جایز نیست که دورتر برود مگر آن که آنجا محلی است که به نوعی موجب منقصت او به شمار می آید و حیا می کند که در آنجا رفع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تواند به خانه خود برود هر چند دورتر باشد حال اگر منزل یکی از دوستان او نزدیک مسجد است و برای قضای حاجت، او را به منزل خود دعوت می کند لازم نیست که او را اجابت کند؛ چرا که به خاطر حیائی که دارد در مشقت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 تواند برای رفع قضای حاجت به منزل خود برود چه نزدیک مسجد باشد و چه دور و فاصله چه زیاد باشد و چه کم مگر آن که از مسمای اعتكاف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منزل شخص خارج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نمی تواند به آنجا برود</w:t>
      </w:r>
      <w:r>
        <w:rPr>
          <w:rFonts w:eastAsia="IRNazanin" w:cs="IRNazanin"/>
          <w:color w:val="111111"/>
          <w:sz w:val="28"/>
          <w:szCs w:val="28"/>
          <w:rtl w:val="true"/>
          <w:lang w:bidi="fa-IR"/>
        </w:rPr>
        <w:t xml:space="preserve">.» </w:t>
      </w:r>
      <w:r>
        <w:rPr>
          <w:rStyle w:val="FootnoteAnchor"/>
          <w:rtl w:val="true"/>
        </w:rPr>
        <w:footnoteReference w:id="94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منتهی نیز همین مطلب را بیان می کند</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از دیگر فقیهانی که این دیدگاه را می پذیرند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دروس، </w:t>
      </w:r>
      <w:r>
        <w:rPr>
          <w:rStyle w:val="FootnoteAnchor"/>
          <w:rtl w:val="true"/>
        </w:rPr>
        <w:footnoteReference w:id="949"/>
      </w:r>
      <w:r>
        <w:rPr>
          <w:rFonts w:ascii="IRNazanin" w:hAnsi="IRNazanin" w:eastAsia="IRNazanin"/>
          <w:color w:val="111111"/>
          <w:sz w:val="28"/>
          <w:sz w:val="28"/>
          <w:szCs w:val="28"/>
          <w:rtl w:val="true"/>
          <w:lang w:bidi="fa-IR"/>
        </w:rPr>
        <w:t xml:space="preserve">شهید ثانی در مسالک، </w:t>
      </w:r>
      <w:r>
        <w:rPr>
          <w:rStyle w:val="FootnoteAnchor"/>
          <w:rtl w:val="true"/>
        </w:rPr>
        <w:footnoteReference w:id="950"/>
      </w:r>
      <w:r>
        <w:rPr>
          <w:rFonts w:ascii="IRNazanin" w:hAnsi="IRNazanin" w:eastAsia="IRNazanin"/>
          <w:color w:val="111111"/>
          <w:sz w:val="28"/>
          <w:sz w:val="28"/>
          <w:szCs w:val="28"/>
          <w:rtl w:val="true"/>
          <w:lang w:bidi="fa-IR"/>
        </w:rPr>
        <w:t xml:space="preserve">محقق اردبیلی در مجمع، </w:t>
      </w:r>
      <w:r>
        <w:rPr>
          <w:rStyle w:val="FootnoteAnchor"/>
          <w:rtl w:val="true"/>
        </w:rPr>
        <w:footnoteReference w:id="951"/>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952"/>
      </w:r>
      <w:r>
        <w:rPr>
          <w:rFonts w:ascii="IRNazanin" w:hAnsi="IRNazanin" w:eastAsia="IRNazanin"/>
          <w:color w:val="111111"/>
          <w:sz w:val="28"/>
          <w:sz w:val="28"/>
          <w:szCs w:val="28"/>
          <w:rtl w:val="true"/>
          <w:lang w:bidi="fa-IR"/>
        </w:rPr>
        <w:t xml:space="preserve">محقق سبزواری در ذخیره المعاد،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صاحب جواهر رحمه الله تمایل به دیدگاه دوم پیدا کرده و پس از نقل کلمات فقها می نویسد تا هنگامی که معتکف از مسمای اعتکاف خارج نشده، فرقی بین مکان نزدیک یا دور وجود ندارد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از دیگر مصادیقی که در کتب فقهی به عنوان مجوز خروج از محل اعتکاف نام برده شده است عبارتند از تشییع مؤمن یعنی بدرقه کردن برادر دینی دیدار پدر و مادر، قضای حاجت مؤمنین شرکت در نماز جمعه اگر در مسجد محل اعتکاف، نماز جمعه برگزار نمی شود به دست آوردن آب 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تحصیل آن در داخل مسجد نیست</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دیگر از فقها دامنه مجوزات را بسیار گسترده کرده و موارد بسیاری را ذکر کرده اند که از جمله آنها عبارت است از یاری،مظلوم نجات دادن نفس محترم خواندن نماز میت حضور در دفن میت و مستحبّات،دفن استقبال از برادر مؤمن اخراج باد معده خارج از،مسجد هر آنچه برای معتکف مصلحت دارد همانند آوردن آب، هیزم، علف برای حیوان معتکف</w:t>
      </w:r>
      <w:r>
        <w:rPr>
          <w:rFonts w:eastAsia="IRNazanin" w:cs="IRNazanin"/>
          <w:color w:val="111111"/>
          <w:sz w:val="28"/>
          <w:szCs w:val="28"/>
          <w:rtl w:val="true"/>
          <w:lang w:bidi="fa-IR"/>
        </w:rPr>
        <w:t xml:space="preserve">. </w:t>
      </w:r>
      <w:r>
        <w:rPr>
          <w:rStyle w:val="FootnoteAnchor"/>
          <w:rtl w:val="true"/>
        </w:rPr>
        <w:footnoteReference w:id="957"/>
      </w:r>
      <w:bookmarkStart w:id="767" w:name="pg19115_195569"/>
    </w:p>
    <w:p>
      <w:pPr>
        <w:pStyle w:val="Heading6"/>
        <w:numPr>
          <w:ilvl w:val="5"/>
          <w:numId w:val="1"/>
        </w:numPr>
        <w:rPr/>
      </w:pPr>
      <w:bookmarkStart w:id="768" w:name="__RefHeading___Toc15202764_1280447820"/>
      <w:bookmarkStart w:id="769" w:name="_Toc293"/>
      <w:bookmarkEnd w:id="767"/>
      <w:bookmarkEnd w:id="768"/>
      <w:r>
        <w:rPr>
          <w:rtl w:val="true"/>
        </w:rPr>
        <w:t>ج</w:t>
      </w:r>
      <w:r>
        <w:rPr>
          <w:rtl w:val="true"/>
        </w:rPr>
        <w:t xml:space="preserve">) </w:t>
      </w:r>
      <w:r>
        <w:rPr>
          <w:rtl w:val="true"/>
        </w:rPr>
        <w:t>سبب های مجوز خروج از نگاه اهل سنّت</w:t>
      </w:r>
      <w:bookmarkEnd w:id="769"/>
    </w:p>
    <w:p>
      <w:pPr>
        <w:pStyle w:val="Heading6"/>
        <w:numPr>
          <w:ilvl w:val="5"/>
          <w:numId w:val="1"/>
        </w:numPr>
        <w:rPr/>
      </w:pPr>
      <w:bookmarkStart w:id="770" w:name="__RefHeading___Toc15202766_1280447820"/>
      <w:bookmarkStart w:id="771" w:name="_Toc294"/>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اهل سنت نیز مواردی را به عنوان مجوز برای خروج معتکف از مسجد ذکر کرده اند که از جمله آنها عبارت است از</w:t>
      </w:r>
      <w:r>
        <w:rPr>
          <w:rFonts w:eastAsia="IRNazanin" w:cs="IRNazanin"/>
          <w:color w:val="111111"/>
          <w:sz w:val="28"/>
          <w:szCs w:val="28"/>
          <w:rtl w:val="true"/>
          <w:lang w:bidi="fa-IR"/>
        </w:rPr>
        <w:t>:</w:t>
      </w:r>
    </w:p>
    <w:p>
      <w:pPr>
        <w:pStyle w:val="Heading6"/>
        <w:numPr>
          <w:ilvl w:val="5"/>
          <w:numId w:val="1"/>
        </w:numPr>
        <w:rPr/>
      </w:pPr>
      <w:bookmarkStart w:id="772" w:name="__RefHeading___Toc15202768_1280447820"/>
      <w:bookmarkStart w:id="773" w:name="_Toc295"/>
      <w:bookmarkEnd w:id="772"/>
      <w:r>
        <w:rPr/>
        <w:t>1</w:t>
      </w:r>
      <w:r>
        <w:rPr>
          <w:rtl w:val="true"/>
        </w:rPr>
        <w:t xml:space="preserve">. </w:t>
      </w:r>
      <w:r>
        <w:rPr>
          <w:rtl w:val="true"/>
        </w:rPr>
        <w:t>قضای حاجت و غسل واجب</w:t>
      </w:r>
      <w:bookmarkEnd w:id="773"/>
    </w:p>
    <w:p>
      <w:pPr>
        <w:pStyle w:val="Heading6"/>
        <w:numPr>
          <w:ilvl w:val="5"/>
          <w:numId w:val="1"/>
        </w:numPr>
        <w:rPr/>
      </w:pPr>
      <w:bookmarkStart w:id="774" w:name="__RefHeading___Toc15202770_1280447820"/>
      <w:bookmarkStart w:id="775" w:name="_Toc296"/>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جمهور فقهای اهل تسنن اتفاق نظر دارند بر این که خارج شدن از محل اعتکاف جهت تخلی و غسل واجب اعتکاف را باطل نمی کند البته به شرط آن که توقف معتکف در خارج از مسجد، بسیار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توقف طولانی در خارج از مسجد داشت اعتکاف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منذر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علم اجماع دارند بر این که معتکف می تواند برای تخلی از بول و غائط می تواند از مسجد خارج شود؛ چرا که این از موارد ضروری خروج از مسجد بوده و کسی نمی تواند بدون خارج شدن از مسجد،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اعتکاف با خارج شدن معتکف برای این کار باطل شود، اعتکاف هیچ کس نمی تواند صحیح باشد همچنین می دانیم که پیامبر ا معتکف شده و علم داریم به این که حضرت برای رفع قضای حاجت از مسجد خارج می شدند</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نیز روایت شده که پیامبر صلی الله علیه و آله هنگام اعتکاف، داخل خانه نمی شد مگر برای رفع قضای حاجت</w:t>
      </w:r>
      <w:r>
        <w:rPr>
          <w:rFonts w:eastAsia="IRNazanin" w:cs="IRNazanin"/>
          <w:color w:val="111111"/>
          <w:sz w:val="28"/>
          <w:szCs w:val="28"/>
          <w:rtl w:val="true"/>
          <w:lang w:bidi="fa-IR"/>
        </w:rPr>
        <w:t xml:space="preserve">. </w:t>
      </w:r>
      <w:r>
        <w:rPr>
          <w:rStyle w:val="FootnoteAnchor"/>
          <w:rtl w:val="true"/>
        </w:rPr>
        <w:footnoteReference w:id="959"/>
      </w:r>
      <w:bookmarkStart w:id="776" w:name="pg19115_195570"/>
    </w:p>
    <w:p>
      <w:pPr>
        <w:pStyle w:val="Heading6"/>
        <w:numPr>
          <w:ilvl w:val="5"/>
          <w:numId w:val="1"/>
        </w:numPr>
        <w:rPr/>
      </w:pPr>
      <w:bookmarkStart w:id="777" w:name="__RefHeading___Toc15202772_1280447820"/>
      <w:bookmarkStart w:id="778" w:name="_Toc297"/>
      <w:bookmarkEnd w:id="776"/>
      <w:bookmarkEnd w:id="777"/>
      <w:r>
        <w:rPr/>
        <w:t>1-1</w:t>
      </w:r>
      <w:r>
        <w:rPr>
          <w:rtl w:val="true"/>
        </w:rPr>
        <w:t xml:space="preserve">. </w:t>
      </w:r>
      <w:r>
        <w:rPr>
          <w:rtl w:val="true"/>
        </w:rPr>
        <w:t>مذهب حنفی و حنبلی</w:t>
      </w:r>
      <w:bookmarkEnd w:id="778"/>
    </w:p>
    <w:p>
      <w:pPr>
        <w:pStyle w:val="BookText"/>
        <w:rPr/>
      </w:pPr>
      <w:r>
        <w:rPr>
          <w:rFonts w:ascii="IRNazanin" w:hAnsi="IRNazanin" w:eastAsia="IRNazanin"/>
          <w:color w:val="111111"/>
          <w:sz w:val="28"/>
          <w:sz w:val="28"/>
          <w:szCs w:val="28"/>
          <w:rtl w:val="true"/>
          <w:lang w:bidi="fa-IR"/>
        </w:rPr>
        <w:t>این دو گروه بر این باورند که معتکف می تواند،غسل وضو و شست وشو در مسجد انجام دهد به شرط آن که مسجد را نجس نکند</w:t>
      </w:r>
      <w:r>
        <w:rPr>
          <w:rFonts w:eastAsia="IRNazanin" w:cs="IRNazanin"/>
          <w:color w:val="111111"/>
          <w:sz w:val="28"/>
          <w:szCs w:val="28"/>
          <w:rtl w:val="true"/>
          <w:lang w:bidi="fa-IR"/>
        </w:rPr>
        <w:t xml:space="preserve">. </w:t>
      </w:r>
      <w:r>
        <w:rPr>
          <w:rStyle w:val="FootnoteAnchor"/>
          <w:rtl w:val="true"/>
        </w:rPr>
        <w:footnoteReference w:id="960"/>
      </w:r>
    </w:p>
    <w:p>
      <w:pPr>
        <w:pStyle w:val="Heading6"/>
        <w:numPr>
          <w:ilvl w:val="5"/>
          <w:numId w:val="1"/>
        </w:numPr>
        <w:rPr/>
      </w:pPr>
      <w:bookmarkStart w:id="779" w:name="__RefHeading___Toc15202774_1280447820"/>
      <w:bookmarkStart w:id="780" w:name="_Toc298"/>
      <w:bookmarkEnd w:id="779"/>
      <w:r>
        <w:rPr/>
        <w:t>1-2</w:t>
      </w:r>
      <w:r>
        <w:rPr>
          <w:rtl w:val="true"/>
        </w:rPr>
        <w:t xml:space="preserve">. </w:t>
      </w:r>
      <w:r>
        <w:rPr>
          <w:rtl w:val="true"/>
        </w:rPr>
        <w:t>مذهب شافعی</w:t>
      </w:r>
      <w:bookmarkEnd w:id="780"/>
    </w:p>
    <w:p>
      <w:pPr>
        <w:pStyle w:val="BookText"/>
        <w:rPr/>
      </w:pPr>
      <w:r>
        <w:rPr>
          <w:rFonts w:ascii="IRNazanin" w:hAnsi="IRNazanin" w:eastAsia="IRNazanin"/>
          <w:color w:val="111111"/>
          <w:sz w:val="28"/>
          <w:sz w:val="28"/>
          <w:szCs w:val="28"/>
          <w:rtl w:val="true"/>
          <w:lang w:bidi="fa-IR"/>
        </w:rPr>
        <w:t>شافعی ها در این باره دو دیدگاه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اصح است که اگر وضو گرفتن در مسجد امکان دارد خارج شدن از مسجد برای وضو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 آن است که با امکان وضو گرفتن در مسجد، معتکف در خارج از مسجد نیز می تواند وضو بگیرد</w:t>
      </w:r>
      <w:r>
        <w:rPr>
          <w:rFonts w:eastAsia="IRNazanin" w:cs="IRNazanin"/>
          <w:color w:val="111111"/>
          <w:sz w:val="28"/>
          <w:szCs w:val="28"/>
          <w:rtl w:val="true"/>
          <w:lang w:bidi="fa-IR"/>
        </w:rPr>
        <w:t xml:space="preserve">. </w:t>
      </w:r>
      <w:r>
        <w:rPr>
          <w:rStyle w:val="FootnoteAnchor"/>
          <w:rtl w:val="true"/>
        </w:rPr>
        <w:footnoteReference w:id="961"/>
      </w:r>
    </w:p>
    <w:p>
      <w:pPr>
        <w:pStyle w:val="Heading6"/>
        <w:numPr>
          <w:ilvl w:val="5"/>
          <w:numId w:val="1"/>
        </w:numPr>
        <w:rPr/>
      </w:pPr>
      <w:bookmarkStart w:id="781" w:name="__RefHeading___Toc15202776_1280447820"/>
      <w:bookmarkStart w:id="782" w:name="_Toc299"/>
      <w:bookmarkEnd w:id="781"/>
      <w:r>
        <w:rPr/>
        <w:t>1-3</w:t>
      </w:r>
      <w:r>
        <w:rPr>
          <w:rtl w:val="true"/>
        </w:rPr>
        <w:t xml:space="preserve">. </w:t>
      </w:r>
      <w:r>
        <w:rPr>
          <w:rtl w:val="true"/>
        </w:rPr>
        <w:t>مذهب مالکی</w:t>
      </w:r>
      <w:bookmarkEnd w:id="782"/>
    </w:p>
    <w:p>
      <w:pPr>
        <w:pStyle w:val="BookText"/>
        <w:rPr/>
      </w:pPr>
      <w:r>
        <w:rPr>
          <w:rFonts w:ascii="IRNazanin" w:hAnsi="IRNazanin" w:eastAsia="IRNazanin"/>
          <w:color w:val="111111"/>
          <w:sz w:val="28"/>
          <w:sz w:val="28"/>
          <w:szCs w:val="28"/>
          <w:rtl w:val="true"/>
          <w:lang w:bidi="fa-IR"/>
        </w:rPr>
        <w:t>کراهت دارد که معتکف برای رفع قضای حاجت داخل منزلش شود و حال آن در آنجا همسرش نیز حضور دارد؛ چرا که ممکن است چیزی بر معتكف عارض شود که باطل کننده اعتکاف باشد</w:t>
      </w:r>
      <w:r>
        <w:rPr>
          <w:rFonts w:eastAsia="IRNazanin" w:cs="IRNazanin"/>
          <w:color w:val="111111"/>
          <w:sz w:val="28"/>
          <w:szCs w:val="28"/>
          <w:rtl w:val="true"/>
          <w:lang w:bidi="fa-IR"/>
        </w:rPr>
        <w:t xml:space="preserve">. </w:t>
      </w:r>
      <w:r>
        <w:rPr>
          <w:rStyle w:val="FootnoteAnchor"/>
          <w:rtl w:val="true"/>
        </w:rPr>
        <w:footnoteReference w:id="962"/>
      </w:r>
    </w:p>
    <w:p>
      <w:pPr>
        <w:pStyle w:val="Heading6"/>
        <w:numPr>
          <w:ilvl w:val="5"/>
          <w:numId w:val="1"/>
        </w:numPr>
        <w:rPr/>
      </w:pPr>
      <w:bookmarkStart w:id="783" w:name="__RefHeading___Toc15202778_1280447820"/>
      <w:bookmarkStart w:id="784" w:name="_Toc300"/>
      <w:bookmarkEnd w:id="783"/>
      <w:r>
        <w:rPr/>
        <w:t>2</w:t>
      </w:r>
      <w:r>
        <w:rPr>
          <w:rtl w:val="true"/>
        </w:rPr>
        <w:t xml:space="preserve">. </w:t>
      </w:r>
      <w:r>
        <w:rPr>
          <w:rtl w:val="true"/>
        </w:rPr>
        <w:t>خوردن و آشامیدن</w:t>
      </w:r>
      <w:bookmarkEnd w:id="78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 مالکیه و حنابله بر این باورند که اگر کسی باشد که برای معتکف خوراکی و نوشیدنی به مسجد بیاورد خارج شدن خودِ معتکف از مسجد به جهت خوردن و آشامیدن، اعتکاف را باطل می کند؛ چرا که ضرورتی در خروج از مسجد نیست اما اگر کسی را نیافت که چیزی را برای او بیاورد می تواند خارج شود؛ زیرا از موارد ضروری بوده و معتکف چاره ای جز خارج شدن از مسجد ندارد</w:t>
      </w:r>
      <w:r>
        <w:rPr>
          <w:rFonts w:eastAsia="IRNazanin" w:cs="IRNazanin"/>
          <w:color w:val="111111"/>
          <w:sz w:val="28"/>
          <w:szCs w:val="28"/>
          <w:rtl w:val="true"/>
          <w:lang w:bidi="fa-IR"/>
        </w:rPr>
        <w:t xml:space="preserve">. </w:t>
      </w:r>
      <w:r>
        <w:rPr>
          <w:rStyle w:val="FootnoteAnchor"/>
          <w:rtl w:val="true"/>
        </w:rPr>
        <w:footnoteReference w:id="963"/>
      </w:r>
      <w:bookmarkStart w:id="785" w:name="pg19115_195571"/>
    </w:p>
    <w:p>
      <w:pPr>
        <w:pStyle w:val="BookText"/>
        <w:rPr/>
      </w:pPr>
      <w:bookmarkEnd w:id="785"/>
      <w:r>
        <w:rPr>
          <w:rFonts w:ascii="IRNazanin" w:hAnsi="IRNazanin" w:eastAsia="IRNazanin"/>
          <w:color w:val="111111"/>
          <w:sz w:val="28"/>
          <w:sz w:val="28"/>
          <w:szCs w:val="28"/>
          <w:rtl w:val="true"/>
          <w:lang w:bidi="fa-IR"/>
        </w:rPr>
        <w:t>شافعی ها و قاضی از حنابله، معتقدند که خارج شدن معتکف برای خوردن جایز است؛ زیرا از خوردن در مسجد حیا می،شود همچنین جایز است خارج شدن جهت نوشیدن آب اگر در مسجد آب نباشد</w:t>
      </w:r>
      <w:r>
        <w:rPr>
          <w:rFonts w:eastAsia="IRNazanin" w:cs="IRNazanin"/>
          <w:color w:val="111111"/>
          <w:sz w:val="28"/>
          <w:szCs w:val="28"/>
          <w:rtl w:val="true"/>
          <w:lang w:bidi="fa-IR"/>
        </w:rPr>
        <w:t xml:space="preserve">. </w:t>
      </w:r>
      <w:r>
        <w:rPr>
          <w:rStyle w:val="FootnoteAnchor"/>
          <w:rtl w:val="true"/>
        </w:rPr>
        <w:footnoteReference w:id="964"/>
      </w:r>
    </w:p>
    <w:p>
      <w:pPr>
        <w:pStyle w:val="Heading6"/>
        <w:numPr>
          <w:ilvl w:val="5"/>
          <w:numId w:val="1"/>
        </w:numPr>
        <w:rPr/>
      </w:pPr>
      <w:bookmarkStart w:id="786" w:name="__RefHeading___Toc15202780_1280447820"/>
      <w:bookmarkStart w:id="787" w:name="_Toc301"/>
      <w:bookmarkEnd w:id="786"/>
      <w:r>
        <w:rPr/>
        <w:t>3</w:t>
      </w:r>
      <w:r>
        <w:rPr>
          <w:rtl w:val="true"/>
        </w:rPr>
        <w:t xml:space="preserve">. </w:t>
      </w:r>
      <w:r>
        <w:rPr>
          <w:rtl w:val="true"/>
        </w:rPr>
        <w:t>غسل جمعه و عید</w:t>
      </w:r>
      <w:bookmarkEnd w:id="787"/>
    </w:p>
    <w:p>
      <w:pPr>
        <w:pStyle w:val="Heading6"/>
        <w:numPr>
          <w:ilvl w:val="5"/>
          <w:numId w:val="1"/>
        </w:numPr>
        <w:rPr/>
      </w:pPr>
      <w:bookmarkStart w:id="788" w:name="__RefHeading___Toc15202782_1280447820"/>
      <w:bookmarkStart w:id="789" w:name="_Toc302"/>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 xml:space="preserve">مالکی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جمهور 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که معتکف می تواند برای غسل جمعه و غسل عید و همچنین به خاطر شدت گرما، از مسجد خارج شده و غسل کند و این کار موجب بطلان اعتکاف نمی شود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شافعی ها و حنبلیها بر این باورند که جایز نیست معتکف برای غسل روز جمعه و عید از مسجد خارج شود؛ چرا که این عمل واجب نبوده و مستحب است و از باب ضرورت نیز نمی باشد،بله اگر از ابتدا در نیت خود شرط کرده باشد، جایز است که از مسجد خارج شود</w:t>
      </w:r>
      <w:r>
        <w:rPr>
          <w:rFonts w:eastAsia="IRNazanin" w:cs="IRNazanin"/>
          <w:color w:val="111111"/>
          <w:sz w:val="28"/>
          <w:szCs w:val="28"/>
          <w:rtl w:val="true"/>
          <w:lang w:bidi="fa-IR"/>
        </w:rPr>
        <w:t xml:space="preserve">. </w:t>
      </w:r>
      <w:r>
        <w:rPr>
          <w:rStyle w:val="FootnoteAnchor"/>
          <w:rtl w:val="true"/>
        </w:rPr>
        <w:footnoteReference w:id="966"/>
      </w:r>
    </w:p>
    <w:p>
      <w:pPr>
        <w:pStyle w:val="Heading6"/>
        <w:numPr>
          <w:ilvl w:val="5"/>
          <w:numId w:val="1"/>
        </w:numPr>
        <w:rPr/>
      </w:pPr>
      <w:bookmarkStart w:id="790" w:name="__RefHeading___Toc15202784_1280447820"/>
      <w:bookmarkStart w:id="791" w:name="_Toc303"/>
      <w:bookmarkEnd w:id="790"/>
      <w:r>
        <w:rPr/>
        <w:t>4</w:t>
      </w:r>
      <w:r>
        <w:rPr>
          <w:rtl w:val="true"/>
        </w:rPr>
        <w:t xml:space="preserve">. </w:t>
      </w:r>
      <w:r>
        <w:rPr>
          <w:rtl w:val="true"/>
        </w:rPr>
        <w:t>نماز جمعه</w:t>
      </w:r>
      <w:bookmarkEnd w:id="791"/>
    </w:p>
    <w:p>
      <w:pPr>
        <w:pStyle w:val="BookText"/>
        <w:rPr/>
      </w:pPr>
      <w:r>
        <w:rPr>
          <w:rFonts w:ascii="IRNazanin" w:hAnsi="IRNazanin" w:eastAsia="IRNazanin"/>
          <w:color w:val="111111"/>
          <w:sz w:val="28"/>
          <w:sz w:val="28"/>
          <w:szCs w:val="28"/>
          <w:rtl w:val="true"/>
          <w:lang w:bidi="fa-IR"/>
        </w:rPr>
        <w:t>اهل سنّت معتقدند کسی که نماز جمعه بر او واجب است و اعتکاف او پشت سر است یعنی روز جمعه نیز جزء روزهای اعتکاف او قرار می گیرد و در مسجدی معتکف شده که نماز جمعه در آنجا بر پا نمی شود چنین شخصی گنهکار بوده و واجب است که جهت خواندن نماز جمعه از محل اعتکاف خود خارج شود</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محل اعتکاف خود جهت خواندن نماز جمعه خارج شد حنفیها و حنبلی ها می گویند این کار موجب بطلان اعتکاف نمی شود؛ زیرا از موارد ضروری همانند خارج شدن برای رفع قضای حاجت است</w:t>
      </w:r>
      <w:r>
        <w:rPr>
          <w:rFonts w:eastAsia="IRNazanin" w:cs="IRNazanin"/>
          <w:color w:val="111111"/>
          <w:sz w:val="28"/>
          <w:szCs w:val="28"/>
          <w:rtl w:val="true"/>
          <w:lang w:bidi="fa-IR"/>
        </w:rPr>
        <w:t xml:space="preserve">. </w:t>
      </w:r>
      <w:r>
        <w:rPr>
          <w:rStyle w:val="FootnoteAnchor"/>
          <w:rtl w:val="true"/>
        </w:rPr>
        <w:footnoteReference w:id="968"/>
      </w:r>
      <w:bookmarkStart w:id="792" w:name="pg19115_195572"/>
    </w:p>
    <w:p>
      <w:pPr>
        <w:pStyle w:val="BookText"/>
        <w:rPr/>
      </w:pPr>
      <w:bookmarkEnd w:id="792"/>
      <w:r>
        <w:rPr>
          <w:rFonts w:ascii="IRNazanin" w:hAnsi="IRNazanin" w:eastAsia="IRNazanin"/>
          <w:color w:val="111111"/>
          <w:sz w:val="28"/>
          <w:sz w:val="28"/>
          <w:szCs w:val="28"/>
          <w:rtl w:val="true"/>
          <w:lang w:bidi="fa-IR"/>
        </w:rPr>
        <w:t>بزرگانی از اهل سنت همانند سعيد بن جبير حسن بصری، نخعی، احمد عبدالملک بن ماجشون و ابن منذر نیز این دیدگاه را برگزیده اند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شافعی ها و مشهور مالکی ها معتقدند که خروج معتکف برای خواندن نماز جمعه، موجب باطل شدن اعتکاف شده و باید از ابتدا اعتکاف را از سر بگیرد؛ چرا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معتکف می توانسته از خارج شدن احتراز کند به این صورت که در مسجدی معتکف شود که مسجد جامع بوده و در آنجا نماز جمعه بر پا می شده است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حنفی ها می گویند خروج معتکف برای نماز جمعه باید در وقت زوال باشد و کسی که محل اعتکافش تا محل اقامه نماز جمعه دور است در زمانی باید شود که نماز جمعه را درک کند</w:t>
      </w:r>
      <w:r>
        <w:rPr>
          <w:rFonts w:eastAsia="IRNazanin" w:cs="IRNazanin"/>
          <w:color w:val="111111"/>
          <w:sz w:val="28"/>
          <w:szCs w:val="28"/>
          <w:rtl w:val="true"/>
          <w:lang w:bidi="fa-IR"/>
        </w:rPr>
        <w:t xml:space="preserve">. </w:t>
      </w:r>
      <w:r>
        <w:rPr>
          <w:rStyle w:val="FootnoteAnchor"/>
          <w:rtl w:val="true"/>
        </w:rPr>
        <w:footnoteReference w:id="971"/>
      </w:r>
    </w:p>
    <w:p>
      <w:pPr>
        <w:pStyle w:val="Heading6"/>
        <w:numPr>
          <w:ilvl w:val="5"/>
          <w:numId w:val="1"/>
        </w:numPr>
        <w:rPr/>
      </w:pPr>
      <w:bookmarkStart w:id="793" w:name="__RefHeading___Toc15202786_1280447820"/>
      <w:bookmarkStart w:id="794" w:name="_Toc304"/>
      <w:bookmarkEnd w:id="793"/>
      <w:r>
        <w:rPr/>
        <w:t>5</w:t>
      </w:r>
      <w:r>
        <w:rPr>
          <w:rtl w:val="true"/>
        </w:rPr>
        <w:t xml:space="preserve">. </w:t>
      </w:r>
      <w:r>
        <w:rPr>
          <w:rtl w:val="true"/>
        </w:rPr>
        <w:t>عیادت از بیمار و خواندن نماز میت</w:t>
      </w:r>
      <w:bookmarkEnd w:id="794"/>
    </w:p>
    <w:p>
      <w:pPr>
        <w:pStyle w:val="Heading6"/>
        <w:numPr>
          <w:ilvl w:val="5"/>
          <w:numId w:val="1"/>
        </w:numPr>
        <w:rPr/>
      </w:pPr>
      <w:bookmarkStart w:id="795" w:name="__RefHeading___Toc15202788_1280447820"/>
      <w:bookmarkStart w:id="796" w:name="_Toc305"/>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فقهای عامه اتفاق نظر دارند که خارج شدن از محل اعتکاف برای عیادت بیمار یا نماز میت جایز نیست؛ چرا که ضرورتی در خارج شدن در این گونه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ابتدا خارج شدن برای این دو کار را در نیت اعتکاف شرط کرده باشند حنفیه، شافعیه و حنابله می گویند خارج شدن اشکالی ندارد</w:t>
      </w:r>
      <w:r>
        <w:rPr>
          <w:rFonts w:eastAsia="IRNazanin" w:cs="IRNazanin"/>
          <w:color w:val="111111"/>
          <w:sz w:val="28"/>
          <w:szCs w:val="28"/>
          <w:rtl w:val="true"/>
          <w:lang w:bidi="fa-IR"/>
        </w:rPr>
        <w:t xml:space="preserve">. </w:t>
      </w:r>
      <w:r>
        <w:rPr>
          <w:rStyle w:val="FootnoteAnchor"/>
          <w:rtl w:val="true"/>
        </w:rPr>
        <w:footnoteReference w:id="97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آن است که این عدم جواز در صورتی است که معتکف از ابتدا به قصد عیادت بیمار و نماز میت از محل اعتکاف خود خارج شود، اما اگر برای قضای حاجت به بیرون از مسجد رفته و هنگام بازگشت به عیادت بیمار یا خواندن نماز میت مشغول شود اشکالی ندارد به شرط آن که توقف او بیرون از مسجد </w:t>
      </w:r>
      <w:bookmarkStart w:id="797" w:name="pg19115_195573"/>
    </w:p>
    <w:p>
      <w:pPr>
        <w:pStyle w:val="BookText"/>
        <w:rPr/>
      </w:pPr>
      <w:bookmarkEnd w:id="797"/>
      <w:r>
        <w:rPr>
          <w:rFonts w:ascii="IRNazanin" w:hAnsi="IRNazanin" w:eastAsia="IRNazanin"/>
          <w:color w:val="111111"/>
          <w:sz w:val="28"/>
          <w:sz w:val="28"/>
          <w:szCs w:val="28"/>
          <w:rtl w:val="true"/>
          <w:lang w:bidi="fa-IR"/>
        </w:rPr>
        <w:t>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توقف معتکف بیرون از مسجد عرفاً طول بکشد،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بیشتر از گفتن یک سلام نزد بیمار نماند؛ چرا که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حال اعتکاف برای رفع قضای حاجت داخل خانه شوم و بیمار در خانه باشد، در حالتی که راه میروم احوال او را جویا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بیشتری ندارم</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ابن داود نیز از عایشه نقل می کند که پیامبر صلی الله علیه و آله در حالی که معتکف بودند، از کنار مریضی عبور کرده و بدون آن که توقف کنند جویای احوال او شدند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ابو یوسف و محمد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بیرون از مسجد بیش از نصف روز طول نکشد، اعتکاف باطل نمی شود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مالکی ها نیز همانند جمهور فقهای عامه قائلاند به این که خارج شدن برای عیادت مریض یا نماز میت مبطل اعتکاف است لیکن اگر یکی از والدین یا هر دوی آنها بیمار شد عیادت از ایشان واجب است و این به خاطر نیکی به آنهاست که تأکید آن از اعتکاف نذری واجب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اعتکاف او باطل شده و باید قضای آن را به جا آورد</w:t>
      </w:r>
      <w:r>
        <w:rPr>
          <w:rFonts w:eastAsia="IRNazanin" w:cs="IRNazanin"/>
          <w:color w:val="111111"/>
          <w:sz w:val="28"/>
          <w:szCs w:val="28"/>
          <w:rtl w:val="true"/>
          <w:lang w:bidi="fa-IR"/>
        </w:rPr>
        <w:t xml:space="preserve">. </w:t>
      </w:r>
      <w:r>
        <w:rPr>
          <w:rStyle w:val="FootnoteAnchor"/>
          <w:rtl w:val="true"/>
        </w:rPr>
        <w:footnoteReference w:id="976"/>
      </w:r>
    </w:p>
    <w:p>
      <w:pPr>
        <w:pStyle w:val="Heading6"/>
        <w:numPr>
          <w:ilvl w:val="5"/>
          <w:numId w:val="1"/>
        </w:numPr>
        <w:rPr/>
      </w:pPr>
      <w:bookmarkStart w:id="798" w:name="__RefHeading___Toc15202790_1280447820"/>
      <w:bookmarkStart w:id="799" w:name="_Toc306"/>
      <w:bookmarkEnd w:id="798"/>
      <w:r>
        <w:rPr/>
        <w:t>6</w:t>
      </w:r>
      <w:r>
        <w:rPr>
          <w:rtl w:val="true"/>
        </w:rPr>
        <w:t xml:space="preserve">. </w:t>
      </w:r>
      <w:r>
        <w:rPr>
          <w:rtl w:val="true"/>
        </w:rPr>
        <w:t>شهادت دادن</w:t>
      </w:r>
      <w:bookmarkEnd w:id="799"/>
    </w:p>
    <w:p>
      <w:pPr>
        <w:pStyle w:val="Heading6"/>
        <w:numPr>
          <w:ilvl w:val="5"/>
          <w:numId w:val="1"/>
        </w:numPr>
        <w:rPr/>
      </w:pPr>
      <w:bookmarkStart w:id="800" w:name="__RefHeading___Toc15202792_1280447820"/>
      <w:bookmarkStart w:id="801" w:name="_Toc307"/>
      <w:bookmarkEnd w:id="800"/>
      <w:r>
        <w:rPr/>
        <w:t>6-1</w:t>
      </w:r>
      <w:r>
        <w:rPr>
          <w:rtl w:val="true"/>
        </w:rPr>
        <w:t xml:space="preserve">. </w:t>
      </w:r>
      <w:r>
        <w:rPr>
          <w:rtl w:val="true"/>
        </w:rPr>
        <w:t>مذهب حنفی و مالکی</w:t>
      </w:r>
      <w:bookmarkEnd w:id="8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 بر این باورند که خارج شدن از محل اعتکاف برای شهادت دادن، موجب باطل شدن اعتکاف می شود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مالکی ها تصریح کرده اند که اگر شهادت دادن بر کسی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شاهد دیگری غیر از او نبود یا آن که نصاب شاهدان بدون </w:t>
      </w:r>
      <w:bookmarkStart w:id="802" w:name="pg19115_195574"/>
    </w:p>
    <w:p>
      <w:pPr>
        <w:pStyle w:val="BookText"/>
        <w:rPr/>
      </w:pPr>
      <w:bookmarkEnd w:id="802"/>
      <w:r>
        <w:rPr>
          <w:rFonts w:ascii="IRNazanin" w:hAnsi="IRNazanin" w:eastAsia="IRNazanin"/>
          <w:color w:val="111111"/>
          <w:sz w:val="28"/>
          <w:sz w:val="28"/>
          <w:szCs w:val="28"/>
          <w:rtl w:val="true"/>
          <w:lang w:bidi="fa-IR"/>
        </w:rPr>
        <w:t>او ناقص می ماند در این صورت نیز نباید برای ادای شهادت از مسجد خارج شود بلکه بر او واجب است که در مسجد ادای شهادت کند به این صورت که یا قاضی در مسجد حاضر شده و شهادت او را بشنود یا آن که شهادت او را به قاضی برسانند</w:t>
      </w:r>
      <w:r>
        <w:rPr>
          <w:rFonts w:eastAsia="IRNazanin" w:cs="IRNazanin"/>
          <w:color w:val="111111"/>
          <w:sz w:val="28"/>
          <w:szCs w:val="28"/>
          <w:rtl w:val="true"/>
          <w:lang w:bidi="fa-IR"/>
        </w:rPr>
        <w:t xml:space="preserve">. </w:t>
      </w:r>
      <w:r>
        <w:rPr>
          <w:rStyle w:val="FootnoteAnchor"/>
          <w:rtl w:val="true"/>
        </w:rPr>
        <w:footnoteReference w:id="978"/>
      </w:r>
    </w:p>
    <w:p>
      <w:pPr>
        <w:pStyle w:val="Heading6"/>
        <w:numPr>
          <w:ilvl w:val="5"/>
          <w:numId w:val="1"/>
        </w:numPr>
        <w:rPr/>
      </w:pPr>
      <w:bookmarkStart w:id="803" w:name="__RefHeading___Toc15202794_1280447820"/>
      <w:bookmarkStart w:id="804" w:name="_Toc308"/>
      <w:bookmarkEnd w:id="803"/>
      <w:r>
        <w:rPr/>
        <w:t>6-2</w:t>
      </w:r>
      <w:r>
        <w:rPr>
          <w:rtl w:val="true"/>
        </w:rPr>
        <w:t xml:space="preserve">. </w:t>
      </w:r>
      <w:r>
        <w:rPr>
          <w:rtl w:val="true"/>
        </w:rPr>
        <w:t>شافعی و حنبلی</w:t>
      </w:r>
      <w:bookmarkEnd w:id="804"/>
    </w:p>
    <w:p>
      <w:pPr>
        <w:pStyle w:val="BookText"/>
        <w:rPr/>
      </w:pPr>
      <w:r>
        <w:rPr>
          <w:rFonts w:ascii="IRNazanin" w:hAnsi="IRNazanin" w:eastAsia="IRNazanin"/>
          <w:color w:val="111111"/>
          <w:sz w:val="28"/>
          <w:sz w:val="28"/>
          <w:szCs w:val="28"/>
          <w:rtl w:val="true"/>
          <w:lang w:bidi="fa-IR"/>
        </w:rPr>
        <w:t>ایشان قائلاند به این که هنگامی که ادای شهادت بر معتکف متعین شد، لازم است که برای شهادت دادن از محل اعتکاف خارج شود و اگر خارج نشود،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تحمل شهادت بر معتکف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در معتکف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سبب خارج شدن از مسجد اعتکاف او باطل نمی شود؛ زیرا خارج شدن در این موارد بر او واجب است اما اگر ادای شهادت یا تحمل شهادت متعيّن در معتکف نباشد و او از محل اعتکاف خارج شود اعتکاف او باطل می شود</w:t>
      </w:r>
      <w:r>
        <w:rPr>
          <w:rFonts w:eastAsia="IRNazanin" w:cs="IRNazanin"/>
          <w:color w:val="111111"/>
          <w:sz w:val="28"/>
          <w:szCs w:val="28"/>
          <w:rtl w:val="true"/>
          <w:lang w:bidi="fa-IR"/>
        </w:rPr>
        <w:t xml:space="preserve">. </w:t>
      </w:r>
      <w:r>
        <w:rPr>
          <w:rStyle w:val="FootnoteAnchor"/>
          <w:rtl w:val="true"/>
        </w:rPr>
        <w:footnoteReference w:id="979"/>
      </w:r>
    </w:p>
    <w:p>
      <w:pPr>
        <w:pStyle w:val="Heading6"/>
        <w:numPr>
          <w:ilvl w:val="5"/>
          <w:numId w:val="1"/>
        </w:numPr>
        <w:rPr/>
      </w:pPr>
      <w:bookmarkStart w:id="805" w:name="__RefHeading___Toc15202796_1280447820"/>
      <w:bookmarkStart w:id="806" w:name="_Toc309"/>
      <w:bookmarkEnd w:id="805"/>
      <w:r>
        <w:rPr/>
        <w:t>7</w:t>
      </w:r>
      <w:r>
        <w:rPr>
          <w:rtl w:val="true"/>
        </w:rPr>
        <w:t xml:space="preserve">. </w:t>
      </w:r>
      <w:r>
        <w:rPr>
          <w:rtl w:val="true"/>
        </w:rPr>
        <w:t>بیمار شدن معتکف</w:t>
      </w:r>
      <w:bookmarkEnd w:id="806"/>
    </w:p>
    <w:p>
      <w:pPr>
        <w:pStyle w:val="BookText"/>
        <w:rPr/>
      </w:pPr>
      <w:r>
        <w:rPr>
          <w:rFonts w:ascii="IRNazanin" w:hAnsi="IRNazanin" w:eastAsia="IRNazanin"/>
          <w:color w:val="111111"/>
          <w:sz w:val="28"/>
          <w:sz w:val="28"/>
          <w:szCs w:val="28"/>
          <w:rtl w:val="true"/>
          <w:lang w:bidi="fa-IR"/>
        </w:rPr>
        <w:t xml:space="preserve">مشهور اهل سنت بر آنند که اگر معتکف در حال اعتکاف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اگر مریضی او خفیف است به گونه ای که می تواند تحمل کند و ماندن در مسجد برای او سخت نیست مثلاً سردرد یا تب 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این صورت جایز نیست که از مسجد خارج شود و اگر خارج شود اعتکاف او باطل می شود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اما اگر بیماری او به گونه ای است که ماندن او در مسجد بسیار سخت است یا آن که نمی تواند در مسجد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نیاز به پزشک یا پرستار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دیدگاه اهل سنت مختلف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 ها می گویند خارج شدن او موجب بطلان اعتکاف می شود، </w:t>
      </w:r>
      <w:r>
        <w:rPr>
          <w:rStyle w:val="FootnoteAnchor"/>
          <w:rtl w:val="true"/>
        </w:rPr>
        <w:footnoteReference w:id="981"/>
      </w:r>
      <w:r>
        <w:rPr>
          <w:rFonts w:ascii="IRNazanin" w:hAnsi="IRNazanin" w:eastAsia="IRNazanin"/>
          <w:color w:val="111111"/>
          <w:sz w:val="28"/>
          <w:sz w:val="28"/>
          <w:szCs w:val="28"/>
          <w:rtl w:val="true"/>
          <w:lang w:bidi="fa-IR"/>
        </w:rPr>
        <w:t xml:space="preserve">اما مالکی ها و حنبلی ها معتقدند که اعتکاف او باطل نشده و موجب قطع شدن پی در پی بودن </w:t>
      </w:r>
    </w:p>
    <w:p>
      <w:pPr>
        <w:pStyle w:val="BookText"/>
        <w:rPr/>
      </w:pPr>
      <w:r>
        <w:rPr>
          <w:rFonts w:ascii="IRNazanin" w:hAnsi="IRNazanin" w:eastAsia="IRNazanin"/>
          <w:color w:val="111111"/>
          <w:sz w:val="28"/>
          <w:sz w:val="28"/>
          <w:szCs w:val="28"/>
          <w:rtl w:val="true"/>
          <w:lang w:bidi="fa-IR"/>
        </w:rPr>
        <w:t>اعتکاف نیز نمی شود؛ یعنی هنگامی که بیماری او شفا یافت بنا را بر ادامه اعتکاف می گذارد یعنی آن مقدار که برای دوره درمان در بیرون از مسجد سپری کرده، جزء اعتکاف به شمار می آید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دیدگاه اصح نزد شافعی نیز همین است؛ </w:t>
      </w:r>
      <w:r>
        <w:rPr>
          <w:rStyle w:val="FootnoteAnchor"/>
          <w:rtl w:val="true"/>
        </w:rPr>
        <w:footnoteReference w:id="983"/>
      </w:r>
      <w:r>
        <w:rPr>
          <w:rFonts w:ascii="IRNazanin" w:hAnsi="IRNazanin" w:eastAsia="IRNazanin"/>
          <w:color w:val="111111"/>
          <w:sz w:val="28"/>
          <w:sz w:val="28"/>
          <w:szCs w:val="28"/>
          <w:rtl w:val="true"/>
          <w:lang w:bidi="fa-IR"/>
        </w:rPr>
        <w:t>چه آن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بیهوشی جزء اعتکاف محسوب می شود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علاوه بر این شافعی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دزد یا آتش سوزی،نیز در معنای بیماری است</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همچنین اگر بیماری او به گونه ای است که در مسجد ماندن او، موجب کثیف شدن مسجد می شود مثلاً قی می کند در این صورت نیز خارج شدن او موجب بطلان و انقطاع اعتکاف او نمی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شخصی بیهوش شده و او را در حال بیهوشی از مسجد خارج کنند، همه اهل سنت می گویند که اعتکاف او باطل یا منقطع نمی شود؛ زیرا او به اختیار خود از مسجد خارج نشده است</w:t>
      </w:r>
      <w:r>
        <w:rPr>
          <w:rFonts w:eastAsia="IRNazanin" w:cs="IRNazanin"/>
          <w:color w:val="111111"/>
          <w:sz w:val="28"/>
          <w:szCs w:val="28"/>
          <w:rtl w:val="true"/>
          <w:lang w:bidi="fa-IR"/>
        </w:rPr>
        <w:t xml:space="preserve">. </w:t>
      </w:r>
      <w:r>
        <w:rPr>
          <w:rStyle w:val="FootnoteAnchor"/>
          <w:rtl w:val="true"/>
        </w:rPr>
        <w:footnoteReference w:id="986"/>
      </w:r>
      <w:bookmarkStart w:id="807" w:name="pg19115_195576"/>
    </w:p>
    <w:p>
      <w:pPr>
        <w:pStyle w:val="Heading4"/>
        <w:numPr>
          <w:ilvl w:val="3"/>
          <w:numId w:val="1"/>
        </w:numPr>
        <w:rPr/>
      </w:pPr>
      <w:bookmarkStart w:id="808" w:name="__RefHeading___Toc15202798_1280447820"/>
      <w:bookmarkStart w:id="809" w:name="_Toc310"/>
      <w:bookmarkEnd w:id="807"/>
      <w:bookmarkEnd w:id="808"/>
      <w:r>
        <w:rPr>
          <w:rtl w:val="true"/>
        </w:rPr>
        <w:t>مبحث سوم محرمات اعتکاف</w:t>
      </w:r>
      <w:bookmarkEnd w:id="809"/>
    </w:p>
    <w:p>
      <w:pPr>
        <w:pStyle w:val="Heading5"/>
        <w:numPr>
          <w:ilvl w:val="4"/>
          <w:numId w:val="1"/>
        </w:numPr>
        <w:rPr/>
      </w:pPr>
      <w:bookmarkStart w:id="810" w:name="__RefHeading___Toc15202800_1280447820"/>
      <w:bookmarkStart w:id="811" w:name="_Toc311"/>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انجام برخی از اعمال بر معتکف حرام بوده و برخی نیز علاوه بر حرمت تکلیفی، حرمت وضعی نیز داشته و موجب بطلان اعتکاف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ادامه ابتدا محرمات اعتکاف نزد فقیهان امامیه ذکر شده و در ذیل هر یک دیدگاه اهل سنت نیز در مورد آن خواهد آمد</w:t>
      </w:r>
      <w:r>
        <w:rPr>
          <w:rFonts w:eastAsia="IRNazanin" w:cs="IRNazanin"/>
          <w:color w:val="111111"/>
          <w:sz w:val="28"/>
          <w:szCs w:val="28"/>
          <w:rtl w:val="true"/>
          <w:lang w:bidi="fa-IR"/>
        </w:rPr>
        <w:t>.</w:t>
      </w:r>
    </w:p>
    <w:p>
      <w:pPr>
        <w:pStyle w:val="Heading5"/>
        <w:numPr>
          <w:ilvl w:val="4"/>
          <w:numId w:val="1"/>
        </w:numPr>
        <w:rPr/>
      </w:pPr>
      <w:bookmarkStart w:id="812" w:name="__RefHeading___Toc15202802_1280447820"/>
      <w:bookmarkStart w:id="813" w:name="_Toc312"/>
      <w:bookmarkEnd w:id="812"/>
      <w:r>
        <w:rPr/>
        <w:t>1</w:t>
      </w:r>
      <w:r>
        <w:rPr>
          <w:rtl w:val="true"/>
        </w:rPr>
        <w:t xml:space="preserve">. </w:t>
      </w:r>
      <w:r>
        <w:rPr>
          <w:rtl w:val="true"/>
        </w:rPr>
        <w:t>استمتاع از همسر</w:t>
      </w:r>
      <w:bookmarkEnd w:id="813"/>
    </w:p>
    <w:p>
      <w:pPr>
        <w:pStyle w:val="Heading6"/>
        <w:numPr>
          <w:ilvl w:val="5"/>
          <w:numId w:val="1"/>
        </w:numPr>
        <w:rPr/>
      </w:pPr>
      <w:bookmarkStart w:id="814" w:name="__RefHeading___Toc15202804_1280447820"/>
      <w:bookmarkStart w:id="815" w:name="_Toc313"/>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 xml:space="preserve">از جمله محرمات اعتکاف، بهره بری شهوانی از همسر است که در کتب فقهی به دو صورت مجزا مورد بحث قرار گرفته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و آمیزش،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استمتاعات غیر از جماع</w:t>
      </w:r>
      <w:r>
        <w:rPr>
          <w:rFonts w:eastAsia="IRNazanin" w:cs="IRNazanin"/>
          <w:color w:val="111111"/>
          <w:sz w:val="28"/>
          <w:szCs w:val="28"/>
          <w:rtl w:val="true"/>
          <w:lang w:bidi="fa-IR"/>
        </w:rPr>
        <w:t>.</w:t>
      </w:r>
    </w:p>
    <w:p>
      <w:pPr>
        <w:pStyle w:val="Heading6"/>
        <w:numPr>
          <w:ilvl w:val="5"/>
          <w:numId w:val="1"/>
        </w:numPr>
        <w:rPr/>
      </w:pPr>
      <w:bookmarkStart w:id="816" w:name="__RefHeading___Toc15202806_1280447820"/>
      <w:bookmarkStart w:id="817" w:name="_Toc314"/>
      <w:bookmarkEnd w:id="816"/>
      <w:r>
        <w:rPr>
          <w:rtl w:val="true"/>
        </w:rPr>
        <w:t>الف</w:t>
      </w:r>
      <w:r>
        <w:rPr>
          <w:rtl w:val="true"/>
        </w:rPr>
        <w:t xml:space="preserve">) </w:t>
      </w:r>
      <w:r>
        <w:rPr>
          <w:rtl w:val="true"/>
        </w:rPr>
        <w:t>جماع</w:t>
      </w:r>
      <w:bookmarkEnd w:id="817"/>
    </w:p>
    <w:p>
      <w:pPr>
        <w:pStyle w:val="BookText"/>
        <w:rPr/>
      </w:pPr>
      <w:r>
        <w:rPr>
          <w:rFonts w:ascii="IRNazanin" w:hAnsi="IRNazanin" w:eastAsia="IRNazanin"/>
          <w:color w:val="111111"/>
          <w:sz w:val="28"/>
          <w:sz w:val="28"/>
          <w:szCs w:val="28"/>
          <w:rtl w:val="true"/>
          <w:lang w:bidi="fa-IR"/>
        </w:rPr>
        <w:t xml:space="preserve">اجماع فقیهان شیعه بر آن است که آمیزش با همسر برای معتکف حرام است و فرقی ندارد که در روز باشد یا در شب در قُبُل باشد یا در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از پیش باشد و چه از پشت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فقیهانی که این اجماع را ذکر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طباطبائی در ریاض، </w:t>
      </w:r>
      <w:r>
        <w:rPr>
          <w:rStyle w:val="FootnoteAnchor"/>
          <w:rtl w:val="true"/>
        </w:rPr>
        <w:footnoteReference w:id="987"/>
      </w:r>
      <w:r>
        <w:rPr>
          <w:rFonts w:ascii="IRNazanin" w:hAnsi="IRNazanin" w:eastAsia="IRNazanin"/>
          <w:color w:val="111111"/>
          <w:sz w:val="28"/>
          <w:sz w:val="28"/>
          <w:szCs w:val="28"/>
          <w:rtl w:val="true"/>
          <w:lang w:bidi="fa-IR"/>
        </w:rPr>
        <w:t>محقق نراقی در مستند،</w:t>
      </w:r>
      <w:r>
        <w:rPr>
          <w:rStyle w:val="FootnoteAnchor"/>
          <w:rtl w:val="true"/>
        </w:rPr>
        <w:footnoteReference w:id="988"/>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989"/>
      </w:r>
      <w:r>
        <w:rPr>
          <w:rFonts w:ascii="IRNazanin" w:hAnsi="IRNazanin" w:eastAsia="IRNazanin"/>
          <w:color w:val="111111"/>
          <w:sz w:val="28"/>
          <w:sz w:val="28"/>
          <w:szCs w:val="28"/>
          <w:rtl w:val="true"/>
          <w:lang w:bidi="fa-IR"/>
        </w:rPr>
        <w:t>مرحوم حکیم در مستمسک</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از جمله ادله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بر حرمت این کار در حال اعتکاف</w:t>
      </w:r>
    </w:p>
    <w:p>
      <w:pPr>
        <w:pStyle w:val="BookText"/>
        <w:rPr/>
      </w:pPr>
      <w:r>
        <w:rPr>
          <w:rFonts w:ascii="IRNazanin" w:hAnsi="IRNazanin" w:eastAsia="IRNazanin"/>
          <w:color w:val="111111"/>
          <w:sz w:val="28"/>
          <w:sz w:val="28"/>
          <w:szCs w:val="28"/>
          <w:rtl w:val="true"/>
          <w:lang w:bidi="fa-IR"/>
        </w:rPr>
        <w:t>ذکر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عَاكِفُونَ فِي الْمَسَاجِد؛</w:t>
      </w:r>
      <w:r>
        <w:rPr>
          <w:rStyle w:val="FootnoteAnchor"/>
          <w:rtl w:val="true"/>
        </w:rPr>
        <w:footnoteReference w:id="991"/>
      </w:r>
      <w:r>
        <w:rPr>
          <w:rFonts w:ascii="IRNazanin" w:hAnsi="IRNazanin" w:eastAsia="IRNazanin"/>
          <w:color w:val="111111"/>
          <w:sz w:val="28"/>
          <w:sz w:val="28"/>
          <w:szCs w:val="28"/>
          <w:rtl w:val="true"/>
          <w:lang w:bidi="fa-IR"/>
        </w:rPr>
        <w:t>در حالی که در مساجد به اعتکاف پرداخته اید با زنان آمیزش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جهم می گوید 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معتکف پرسیدم که آیا می تواند با همسرش نزدیکی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در حالی که معتکف است نباید با همسر خود نزدیکی داشته باشد چه در شب و چه در روز</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بن مهران می گوید از امام صادق علیه السلام درباره معتکفی پرسیدم که با همسر خود نزدیکی 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منزله آن است که یک روز از ماه رمضان عمداً روزه خود را افطار کرده است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دو پرسش در اینجا مطرح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تحریم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معتکف، اعتکاف او نیز باطل می شود یا خیر؟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 نیز بر عهده معتکف می آید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پرسش اول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فقیهان قائل به بطلان اعتکاف نیز شدهاند که شهید ثانی </w:t>
      </w:r>
      <w:r>
        <w:rPr>
          <w:rStyle w:val="FootnoteAnchor"/>
          <w:rtl w:val="true"/>
        </w:rPr>
        <w:footnoteReference w:id="994"/>
      </w:r>
      <w:r>
        <w:rPr>
          <w:rFonts w:ascii="IRNazanin" w:hAnsi="IRNazanin" w:eastAsia="IRNazanin"/>
          <w:color w:val="111111"/>
          <w:sz w:val="28"/>
          <w:sz w:val="28"/>
          <w:szCs w:val="28"/>
          <w:rtl w:val="true"/>
          <w:lang w:bidi="fa-IR"/>
        </w:rPr>
        <w:t xml:space="preserve">و صاحب </w:t>
      </w:r>
    </w:p>
    <w:p>
      <w:pPr>
        <w:pStyle w:val="BookText"/>
        <w:rPr/>
      </w:pPr>
      <w:r>
        <w:rPr>
          <w:rFonts w:ascii="IRNazanin" w:hAnsi="IRNazanin" w:eastAsia="IRNazanin"/>
          <w:color w:val="111111"/>
          <w:sz w:val="28"/>
          <w:sz w:val="28"/>
          <w:szCs w:val="28"/>
          <w:rtl w:val="true"/>
          <w:lang w:bidi="fa-IR"/>
        </w:rPr>
        <w:t xml:space="preserve">حدائق </w:t>
      </w:r>
      <w:r>
        <w:rPr>
          <w:rStyle w:val="FootnoteAnchor"/>
          <w:rtl w:val="true"/>
        </w:rPr>
        <w:footnoteReference w:id="995"/>
      </w:r>
      <w:r>
        <w:rPr>
          <w:rFonts w:ascii="IRNazanin" w:hAnsi="IRNazanin" w:eastAsia="IRNazanin"/>
          <w:color w:val="111111"/>
          <w:sz w:val="28"/>
          <w:sz w:val="28"/>
          <w:szCs w:val="28"/>
          <w:rtl w:val="true"/>
          <w:lang w:bidi="fa-IR"/>
        </w:rPr>
        <w:t xml:space="preserve">ادعای عدم در تحریم و بطلان اعتکاف به وسیله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شب باشد و چه در روز</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فقیهانی که تصریح به بطلان اعتکاف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اسکافی، </w:t>
      </w:r>
      <w:r>
        <w:rPr>
          <w:rStyle w:val="FootnoteAnchor"/>
          <w:rtl w:val="true"/>
        </w:rPr>
        <w:footnoteReference w:id="997"/>
      </w:r>
      <w:r>
        <w:rPr>
          <w:rFonts w:ascii="IRNazanin" w:hAnsi="IRNazanin" w:eastAsia="IRNazanin"/>
          <w:color w:val="111111"/>
          <w:sz w:val="28"/>
          <w:sz w:val="28"/>
          <w:szCs w:val="28"/>
          <w:rtl w:val="true"/>
          <w:lang w:bidi="fa-IR"/>
        </w:rPr>
        <w:t xml:space="preserve">سید مرتضی، </w:t>
      </w:r>
      <w:r>
        <w:rPr>
          <w:rStyle w:val="FootnoteAnchor"/>
          <w:rtl w:val="true"/>
        </w:rPr>
        <w:footnoteReference w:id="998"/>
      </w:r>
      <w:r>
        <w:rPr>
          <w:rFonts w:ascii="IRNazanin" w:hAnsi="IRNazanin" w:eastAsia="IRNazanin"/>
          <w:color w:val="111111"/>
          <w:sz w:val="28"/>
          <w:sz w:val="28"/>
          <w:szCs w:val="28"/>
          <w:rtl w:val="true"/>
          <w:lang w:bidi="fa-IR"/>
        </w:rPr>
        <w:t xml:space="preserve">شیخ طوسی در مبسوط، </w:t>
      </w:r>
      <w:r>
        <w:rPr>
          <w:rStyle w:val="FootnoteAnchor"/>
          <w:rtl w:val="true"/>
        </w:rPr>
        <w:footnoteReference w:id="999"/>
      </w:r>
      <w:r>
        <w:rPr>
          <w:rFonts w:ascii="IRNazanin" w:hAnsi="IRNazanin" w:eastAsia="IRNazanin"/>
          <w:color w:val="111111"/>
          <w:sz w:val="28"/>
          <w:sz w:val="28"/>
          <w:szCs w:val="28"/>
          <w:rtl w:val="true"/>
          <w:lang w:bidi="fa-IR"/>
        </w:rPr>
        <w:t xml:space="preserve">ابن حمزه، </w:t>
      </w:r>
      <w:r>
        <w:rPr>
          <w:rStyle w:val="FootnoteAnchor"/>
          <w:rtl w:val="true"/>
        </w:rPr>
        <w:footnoteReference w:id="1000"/>
      </w:r>
      <w:r>
        <w:rPr>
          <w:rFonts w:ascii="IRNazanin" w:hAnsi="IRNazanin" w:eastAsia="IRNazanin"/>
          <w:color w:val="111111"/>
          <w:sz w:val="28"/>
          <w:sz w:val="28"/>
          <w:szCs w:val="28"/>
          <w:rtl w:val="true"/>
          <w:lang w:bidi="fa-IR"/>
        </w:rPr>
        <w:t xml:space="preserve">ابن زهره، </w:t>
      </w:r>
      <w:r>
        <w:rPr>
          <w:rStyle w:val="FootnoteAnchor"/>
          <w:rtl w:val="true"/>
        </w:rPr>
        <w:footnoteReference w:id="1001"/>
      </w:r>
      <w:r>
        <w:rPr>
          <w:rFonts w:ascii="IRNazanin" w:hAnsi="IRNazanin" w:eastAsia="IRNazanin"/>
          <w:color w:val="111111"/>
          <w:sz w:val="28"/>
          <w:sz w:val="28"/>
          <w:szCs w:val="28"/>
          <w:rtl w:val="true"/>
          <w:lang w:bidi="fa-IR"/>
        </w:rPr>
        <w:t xml:space="preserve">کیدری در اصباح الشیعه، </w:t>
      </w:r>
      <w:r>
        <w:rPr>
          <w:rStyle w:val="FootnoteAnchor"/>
          <w:rtl w:val="true"/>
        </w:rPr>
        <w:footnoteReference w:id="1002"/>
      </w:r>
      <w:r>
        <w:rPr>
          <w:rFonts w:ascii="IRNazanin" w:hAnsi="IRNazanin" w:eastAsia="IRNazanin"/>
          <w:color w:val="111111"/>
          <w:sz w:val="28"/>
          <w:sz w:val="28"/>
          <w:szCs w:val="28"/>
          <w:rtl w:val="true"/>
          <w:lang w:bidi="fa-IR"/>
        </w:rPr>
        <w:t>فاضل آبی در کشف الرموز،</w:t>
      </w:r>
      <w:r>
        <w:rPr>
          <w:rStyle w:val="FootnoteAnchor"/>
          <w:rtl w:val="true"/>
        </w:rPr>
        <w:footnoteReference w:id="1003"/>
      </w:r>
      <w:r>
        <w:rPr>
          <w:rFonts w:ascii="IRNazanin" w:hAnsi="IRNazanin" w:eastAsia="IRNazanin"/>
          <w:color w:val="111111"/>
          <w:sz w:val="28"/>
          <w:sz w:val="28"/>
          <w:szCs w:val="28"/>
          <w:rtl w:val="true"/>
          <w:lang w:bidi="fa-IR"/>
        </w:rPr>
        <w:t xml:space="preserve">علامه حلی در تحریر </w:t>
      </w:r>
      <w:r>
        <w:rPr>
          <w:rStyle w:val="FootnoteAnchor"/>
          <w:rtl w:val="true"/>
        </w:rPr>
        <w:footnoteReference w:id="1004"/>
      </w:r>
      <w:r>
        <w:rPr>
          <w:rFonts w:ascii="IRNazanin" w:hAnsi="IRNazanin" w:eastAsia="IRNazanin"/>
          <w:color w:val="111111"/>
          <w:sz w:val="28"/>
          <w:sz w:val="28"/>
          <w:szCs w:val="28"/>
          <w:rtl w:val="true"/>
          <w:lang w:bidi="fa-IR"/>
        </w:rPr>
        <w:t xml:space="preserve">و منتهی، </w:t>
      </w:r>
      <w:r>
        <w:rPr>
          <w:rStyle w:val="FootnoteAnchor"/>
          <w:rtl w:val="true"/>
        </w:rPr>
        <w:footnoteReference w:id="1005"/>
      </w:r>
      <w:r>
        <w:rPr>
          <w:rFonts w:ascii="IRNazanin" w:hAnsi="IRNazanin" w:eastAsia="IRNazanin"/>
          <w:color w:val="111111"/>
          <w:sz w:val="28"/>
          <w:sz w:val="28"/>
          <w:szCs w:val="28"/>
          <w:rtl w:val="true"/>
          <w:lang w:bidi="fa-IR"/>
        </w:rPr>
        <w:t xml:space="preserve">فاضل مقداد، </w:t>
      </w:r>
      <w:r>
        <w:rPr>
          <w:rStyle w:val="FootnoteAnchor"/>
          <w:rtl w:val="true"/>
        </w:rPr>
        <w:footnoteReference w:id="1006"/>
      </w:r>
      <w:r>
        <w:rPr>
          <w:rFonts w:ascii="Amiri" w:hAnsi="Amiri" w:eastAsia="Amiri" w:cs="Amiri"/>
          <w:color w:val="111111"/>
          <w:sz w:val="28"/>
          <w:sz w:val="28"/>
          <w:szCs w:val="28"/>
          <w:rtl w:val="true"/>
          <w:lang w:bidi="ar-SA"/>
        </w:rPr>
        <w:t xml:space="preserve">محقق ثاني، </w:t>
      </w:r>
      <w:r>
        <w:rPr>
          <w:rStyle w:val="FootnoteAnchor"/>
          <w:rtl w:val="true"/>
        </w:rPr>
        <w:footnoteReference w:id="1007"/>
      </w:r>
      <w:r>
        <w:rPr>
          <w:rFonts w:ascii="Amiri" w:hAnsi="Amiri" w:eastAsia="Amiri" w:cs="Amiri"/>
          <w:color w:val="111111"/>
          <w:sz w:val="28"/>
          <w:sz w:val="28"/>
          <w:szCs w:val="28"/>
          <w:rtl w:val="true"/>
          <w:lang w:bidi="ar-SA"/>
        </w:rPr>
        <w:t xml:space="preserve">كاشف الغطاء، </w:t>
      </w:r>
      <w:r>
        <w:rPr>
          <w:rStyle w:val="FootnoteAnchor"/>
          <w:rtl w:val="true"/>
        </w:rPr>
        <w:footnoteReference w:id="1008"/>
      </w:r>
      <w:r>
        <w:rPr>
          <w:rFonts w:ascii="Amiri" w:hAnsi="Amiri" w:eastAsia="Amiri" w:cs="Amiri"/>
          <w:color w:val="111111"/>
          <w:sz w:val="28"/>
          <w:sz w:val="28"/>
          <w:szCs w:val="28"/>
          <w:rtl w:val="true"/>
          <w:lang w:bidi="ar-SA"/>
        </w:rPr>
        <w:t xml:space="preserve">صاحب رياض، </w:t>
      </w:r>
      <w:r>
        <w:rPr>
          <w:rStyle w:val="FootnoteAnchor"/>
          <w:rtl w:val="true"/>
        </w:rPr>
        <w:footnoteReference w:id="1009"/>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سید یزدی در عروه، </w:t>
      </w:r>
      <w:r>
        <w:rPr>
          <w:rStyle w:val="FootnoteAnchor"/>
          <w:rtl w:val="true"/>
        </w:rPr>
        <w:footnoteReference w:id="1011"/>
      </w:r>
      <w:r>
        <w:rPr>
          <w:rFonts w:ascii="IRNazanin" w:hAnsi="IRNazanin" w:eastAsia="IRNazanin"/>
          <w:color w:val="111111"/>
          <w:sz w:val="28"/>
          <w:sz w:val="28"/>
          <w:szCs w:val="28"/>
          <w:rtl w:val="true"/>
          <w:lang w:bidi="fa-IR"/>
        </w:rPr>
        <w:t xml:space="preserve">محقق خویی، </w:t>
      </w:r>
      <w:r>
        <w:rPr>
          <w:rStyle w:val="FootnoteAnchor"/>
          <w:rtl w:val="true"/>
        </w:rPr>
        <w:footnoteReference w:id="1012"/>
      </w:r>
      <w:r>
        <w:rPr>
          <w:rFonts w:ascii="IRNazanin" w:hAnsi="IRNazanin" w:eastAsia="IRNazanin"/>
          <w:color w:val="111111"/>
          <w:sz w:val="28"/>
          <w:sz w:val="28"/>
          <w:szCs w:val="28"/>
          <w:rtl w:val="true"/>
          <w:lang w:bidi="fa-IR"/>
        </w:rPr>
        <w:t>امام خمینی رحمه الله در تحریر الوسیله</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علامه حلی رحمه الله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معتکف از روی عمد جماع کند، اجماع فقها بر آن است که اعتکاف او باطل می شود؛ زیرا تحریم وطی در عبادت، باعث بطلان و فساد آن عبادت می شود همان گونه که در حج و در صوم نیز نهی به وطی در آنها شده که اگر عمداً وطی،کند هم معصیت کرده و هم باطل است، اما اگر از روی فراموشی جماع کند اعتکاف او باطل نمی شود؛ چرا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امتى الخطأ و النسيان؛ از امت مؤاخذه نسبت به خطا و نسیان برداشته شده است یا آن که احکامی که برای سایر مکلّفین است از خاطی و ناسی برداشته شده است همچنین جماع از روی فراموشی مباشرتی است که روزه را باطل نمی کند پس اعتکاف نیز باطل نمی شود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پرسش دوم</w:t>
      </w:r>
    </w:p>
    <w:p>
      <w:pPr>
        <w:pStyle w:val="BookText"/>
        <w:rPr/>
      </w:pPr>
      <w:r>
        <w:rPr>
          <w:rFonts w:ascii="IRNazanin" w:hAnsi="IRNazanin" w:eastAsia="IRNazanin"/>
          <w:color w:val="111111"/>
          <w:sz w:val="28"/>
          <w:sz w:val="28"/>
          <w:szCs w:val="28"/>
          <w:rtl w:val="true"/>
          <w:lang w:bidi="fa-IR"/>
        </w:rPr>
        <w:t>دومین پرسش آن است که علاوه بر بطلان اعتکاف به سبب جماع، آیا کفاره نیز بر عهده معتکف می آید یا خیر؟ کیفیت و کمیت این کفاره چگونه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از این سؤال باید گفت که دیدگاه مشهور فقیهان آن است که اگر معتکف در روز این کار را انجام دهد دو کفّاره بر او واجب شده و اگر در شب این عمل را انجام دهد یک کفّاره بر عهده او می آید همچینین کفاره او همان کفاره ماه </w:t>
      </w:r>
    </w:p>
    <w:p>
      <w:pPr>
        <w:pStyle w:val="BookText"/>
        <w:rPr/>
      </w:pPr>
      <w:r>
        <w:rPr>
          <w:rFonts w:ascii="IRNazanin" w:hAnsi="IRNazanin" w:eastAsia="IRNazanin"/>
          <w:color w:val="111111"/>
          <w:sz w:val="28"/>
          <w:sz w:val="28"/>
          <w:szCs w:val="28"/>
          <w:rtl w:val="true"/>
          <w:lang w:bidi="fa-IR"/>
        </w:rPr>
        <w:t>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صورتی است که اعتکاف بر او واجب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 کرده که در ایام خاصی معتکف شود یا آن که این عمل در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اعتکاف واجب می شود انجام گیرد در غیر این صورت کفّاره بر معتکف واجب نیست</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در این باره روایات بسیاری نیز وارد شده که از جمله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بن مهران می گوید از امام صادق علیه السلام درباره شخص معتکفی پرسیدم که با همسر خود نزدیکی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شخصی است که یک روز از ماه رمضان روزه خود را افطار کرده است</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از امام صادق علیه السلام درباره کفاره مردی می پرسد که در ماه رمضان معتکف بوده و در بوده و در شب با همسر خود نزدیکی کرده است؟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کفّاره بدهد دوباره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این کار را انجام دهد؟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کفّاره بر عهده او می آید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شیخ صدوق نقل می کند که اگر جماع در حال اعتکاف در شب صورت گیرد، یک کفاره و اگر در روز واقع شود، دو کفاره بر عهده معتکف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اهل تسنن اجماع دارند بر این که معتکف اگر در مسجد محل اعتکاف جماع کند، هم مرتکب حرام شده و هم اعتکاف او باطل است حال چه این عمل در روز صورت گرفته باشد و چه در شب و چه عمداً باشد و چه از روی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فراموش کند که معتکف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تُبَاشِرُوهُنَّ وَأَنْتُمْ عَاكِفُونَ فِي الْمَسَاجِدِ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IRNazanin" w:hAnsi="IRNazanin" w:eastAsia="IRNazanin"/>
          <w:color w:val="111111"/>
          <w:sz w:val="28"/>
          <w:sz w:val="28"/>
          <w:szCs w:val="28"/>
          <w:rtl w:val="true"/>
          <w:lang w:bidi="fa-IR"/>
        </w:rPr>
        <w:t>همچنین وطی زنی که معتکف شده موجب بطلان اعتکاف او نیز می شود</w:t>
      </w:r>
      <w:r>
        <w:rPr>
          <w:rFonts w:eastAsia="IRNazanin" w:cs="IRNazanin"/>
          <w:color w:val="111111"/>
          <w:sz w:val="28"/>
          <w:szCs w:val="28"/>
          <w:rtl w:val="true"/>
          <w:lang w:bidi="fa-IR"/>
        </w:rPr>
        <w:t xml:space="preserve">. </w:t>
      </w:r>
      <w:r>
        <w:rPr>
          <w:rStyle w:val="FootnoteAnchor"/>
          <w:rtl w:val="true"/>
        </w:rPr>
        <w:footnoteReference w:id="101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شافعیه بر این باورند که حرمت جماع برای معتکف و مبطل بودن آن برای کسی است که عالم به تحریم جماع بوده و می داند که معتکف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او حرام بوده و اعتکاف چنین شخصی باطل است؛ چه در مسجد این عمل را انجام دهد و چه هنگام خروج از مسجد برای رفع قضای حاجت یا مثل آن؛ چرا که این عمل با عبادت بدنی او منافات دارد اما اگر جماع از روی فراموشی باشد، موجب بطلان اعتکاف نمی شود</w:t>
      </w:r>
      <w:r>
        <w:rPr>
          <w:rFonts w:eastAsia="IRNazanin" w:cs="IRNazanin"/>
          <w:color w:val="111111"/>
          <w:sz w:val="28"/>
          <w:szCs w:val="28"/>
          <w:rtl w:val="true"/>
          <w:lang w:bidi="fa-IR"/>
        </w:rPr>
        <w:t xml:space="preserve">. </w:t>
      </w:r>
      <w:r>
        <w:rPr>
          <w:rStyle w:val="FootnoteAnchor"/>
          <w:rtl w:val="true"/>
        </w:rPr>
        <w:footnoteReference w:id="1020"/>
      </w:r>
      <w:bookmarkStart w:id="818" w:name="pg19115_195582"/>
    </w:p>
    <w:p>
      <w:pPr>
        <w:pStyle w:val="BookText"/>
        <w:rPr/>
      </w:pPr>
      <w:bookmarkEnd w:id="818"/>
      <w:r>
        <w:rPr>
          <w:rFonts w:ascii="IRNazanin" w:hAnsi="IRNazanin" w:eastAsia="IRNazanin"/>
          <w:color w:val="111111"/>
          <w:sz w:val="28"/>
          <w:sz w:val="28"/>
          <w:szCs w:val="28"/>
          <w:rtl w:val="true"/>
          <w:lang w:bidi="fa-IR"/>
        </w:rPr>
        <w:t>در مقابل مذهب حنفی، مالکی و حنبلی بر این باورند که جماع در اعتکاف، هر چند از روی فراموشی باشد مبطل اعتکاف است؛ زیرا هر آنچه در اعتکاف حرام شمرده شده انجام عمدی یا سهوی آن مساوی است مانند خروج از مسجد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البته اهل سنت تصریح کرده اند به این که وطی همسر در مسجد، مطلقا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شخص معتکف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کرامت مسجد</w:t>
      </w:r>
      <w:r>
        <w:rPr>
          <w:rFonts w:eastAsia="IRNazanin" w:cs="IRNazanin"/>
          <w:color w:val="111111"/>
          <w:sz w:val="28"/>
          <w:szCs w:val="28"/>
          <w:rtl w:val="true"/>
          <w:lang w:bidi="fa-IR"/>
        </w:rPr>
        <w:t>.</w:t>
      </w:r>
    </w:p>
    <w:p>
      <w:pPr>
        <w:pStyle w:val="Heading5"/>
        <w:numPr>
          <w:ilvl w:val="4"/>
          <w:numId w:val="1"/>
        </w:numPr>
        <w:rPr/>
      </w:pPr>
      <w:bookmarkStart w:id="819" w:name="__RefHeading___Toc15202808_1280447820"/>
      <w:bookmarkStart w:id="820" w:name="_Toc315"/>
      <w:bookmarkEnd w:id="819"/>
      <w:r>
        <w:rPr>
          <w:rtl w:val="true"/>
        </w:rPr>
        <w:t>ب</w:t>
      </w:r>
      <w:r>
        <w:rPr>
          <w:rtl w:val="true"/>
        </w:rPr>
        <w:t xml:space="preserve">) </w:t>
      </w:r>
      <w:r>
        <w:rPr>
          <w:rtl w:val="true"/>
        </w:rPr>
        <w:t>بوسيدن يا لمس کردن همسر</w:t>
      </w:r>
      <w:bookmarkEnd w:id="820"/>
    </w:p>
    <w:p>
      <w:pPr>
        <w:pStyle w:val="Heading6"/>
        <w:numPr>
          <w:ilvl w:val="5"/>
          <w:numId w:val="1"/>
        </w:numPr>
        <w:rPr/>
      </w:pPr>
      <w:bookmarkStart w:id="821" w:name="__RefHeading___Toc15202810_1280447820"/>
      <w:bookmarkStart w:id="822" w:name="_Toc316"/>
      <w:bookmarkEnd w:id="821"/>
      <w:r>
        <w:rPr>
          <w:rtl w:val="true"/>
        </w:rPr>
        <w:t>اشاره</w:t>
      </w:r>
      <w:bookmarkEnd w:id="82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محرمات اعتکاف، لمس کردن و بوسیدن همسر است که ظاهر عبارت برخی از فقیهان همانند شیخ طوسی، </w:t>
      </w:r>
      <w:r>
        <w:rPr>
          <w:rStyle w:val="FootnoteAnchor"/>
          <w:rtl w:val="true"/>
        </w:rPr>
        <w:footnoteReference w:id="1022"/>
      </w:r>
      <w:r>
        <w:rPr>
          <w:rFonts w:ascii="IRNazanin" w:hAnsi="IRNazanin" w:eastAsia="IRNazanin"/>
          <w:color w:val="111111"/>
          <w:sz w:val="28"/>
          <w:sz w:val="28"/>
          <w:szCs w:val="28"/>
          <w:rtl w:val="true"/>
          <w:lang w:bidi="fa-IR"/>
        </w:rPr>
        <w:t xml:space="preserve">علامه طبرسی، </w:t>
      </w:r>
      <w:r>
        <w:rPr>
          <w:rStyle w:val="FootnoteAnchor"/>
          <w:rtl w:val="true"/>
        </w:rPr>
        <w:footnoteReference w:id="1023"/>
      </w:r>
      <w:r>
        <w:rPr>
          <w:rFonts w:ascii="IRNazanin" w:hAnsi="IRNazanin" w:eastAsia="IRNazanin"/>
          <w:color w:val="111111"/>
          <w:sz w:val="28"/>
          <w:sz w:val="28"/>
          <w:szCs w:val="28"/>
          <w:rtl w:val="true"/>
          <w:lang w:bidi="fa-IR"/>
        </w:rPr>
        <w:t xml:space="preserve">قطب راوندی، </w:t>
      </w:r>
      <w:r>
        <w:rPr>
          <w:rStyle w:val="FootnoteAnchor"/>
          <w:rtl w:val="true"/>
        </w:rPr>
        <w:footnoteReference w:id="1024"/>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025"/>
      </w:r>
      <w:r>
        <w:rPr>
          <w:rFonts w:ascii="IRNazanin" w:hAnsi="IRNazanin" w:eastAsia="IRNazanin"/>
          <w:color w:val="111111"/>
          <w:sz w:val="28"/>
          <w:sz w:val="28"/>
          <w:szCs w:val="28"/>
          <w:rtl w:val="true"/>
          <w:lang w:bidi="fa-IR"/>
        </w:rPr>
        <w:t xml:space="preserve">و مرحوم نراقی رحمه الله </w:t>
      </w:r>
      <w:r>
        <w:rPr>
          <w:rStyle w:val="FootnoteAnchor"/>
          <w:rtl w:val="true"/>
        </w:rPr>
        <w:footnoteReference w:id="1026"/>
      </w:r>
      <w:r>
        <w:rPr>
          <w:rFonts w:ascii="IRNazanin" w:hAnsi="IRNazanin" w:eastAsia="IRNazanin"/>
          <w:color w:val="111111"/>
          <w:sz w:val="28"/>
          <w:sz w:val="28"/>
          <w:szCs w:val="28"/>
          <w:rtl w:val="true"/>
          <w:lang w:bidi="fa-IR"/>
        </w:rPr>
        <w:t>آن است که اجماع بر حرمت این کار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البته اتفاق فقها بر آن است که اگر این دو کار همراه با شهوت باشد حرام است وگرنه اگر بدون شهوت صورت گیرد حرام نمی باشد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البته برخی همانند ابن جنيد رحمه الله ، نگاه با شهوت به همسر را ملحق به لمس و بوسیدن کرده اند </w:t>
      </w:r>
      <w:r>
        <w:rPr>
          <w:rStyle w:val="FootnoteAnchor"/>
          <w:rtl w:val="true"/>
        </w:rPr>
        <w:footnoteReference w:id="1028"/>
      </w:r>
      <w:r>
        <w:rPr>
          <w:rFonts w:ascii="IRNazanin" w:hAnsi="IRNazanin" w:eastAsia="IRNazanin"/>
          <w:color w:val="111111"/>
          <w:sz w:val="28"/>
          <w:sz w:val="28"/>
          <w:szCs w:val="28"/>
          <w:rtl w:val="true"/>
          <w:lang w:bidi="fa-IR"/>
        </w:rPr>
        <w:t xml:space="preserve">که همان گونه که مرحوم نراقی </w:t>
      </w:r>
      <w:r>
        <w:rPr>
          <w:rStyle w:val="FootnoteAnchor"/>
          <w:rtl w:val="true"/>
        </w:rPr>
        <w:footnoteReference w:id="1029"/>
      </w:r>
      <w:r>
        <w:rPr>
          <w:rFonts w:ascii="IRNazanin" w:hAnsi="IRNazanin" w:eastAsia="IRNazanin"/>
          <w:color w:val="111111"/>
          <w:sz w:val="28"/>
          <w:sz w:val="28"/>
          <w:szCs w:val="28"/>
          <w:rtl w:val="true"/>
          <w:lang w:bidi="fa-IR"/>
        </w:rPr>
        <w:t>می گوید وجهی برای چنین الحاقی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شیخ طوسی رحمه الله در تهذیب </w:t>
      </w:r>
      <w:r>
        <w:rPr>
          <w:rStyle w:val="FootnoteAnchor"/>
          <w:rtl w:val="true"/>
        </w:rPr>
        <w:footnoteReference w:id="1030"/>
      </w:r>
      <w:r>
        <w:rPr>
          <w:rFonts w:ascii="IRNazanin" w:hAnsi="IRNazanin" w:eastAsia="IRNazanin"/>
          <w:color w:val="111111"/>
          <w:sz w:val="28"/>
          <w:sz w:val="28"/>
          <w:szCs w:val="28"/>
          <w:rtl w:val="true"/>
          <w:lang w:bidi="fa-IR"/>
        </w:rPr>
        <w:t xml:space="preserve">و استبصار </w:t>
      </w:r>
      <w:r>
        <w:rPr>
          <w:rStyle w:val="FootnoteAnchor"/>
          <w:rtl w:val="true"/>
        </w:rPr>
        <w:footnoteReference w:id="1031"/>
      </w:r>
      <w:r>
        <w:rPr>
          <w:rFonts w:ascii="IRNazanin" w:hAnsi="IRNazanin" w:eastAsia="IRNazanin"/>
          <w:color w:val="111111"/>
          <w:sz w:val="28"/>
          <w:sz w:val="28"/>
          <w:szCs w:val="28"/>
          <w:rtl w:val="true"/>
          <w:lang w:bidi="fa-IR"/>
        </w:rPr>
        <w:t xml:space="preserve">آن است که این حرمت، اختصاص به جماع دارد لیکن ایشان در مبسوط تصریح دارد به این که علاوه بر جماع، سایر مسائل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تقبیل و لمس از روی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حرام است</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نکته شایان ذکر آن است که در این زمینه فرقی میان زن و مرد نیست و همان گونه که برای مرد، انجام این گونه اعمال حرام است برای زن نیز حرام می باشد</w:t>
      </w:r>
      <w:r>
        <w:rPr>
          <w:rFonts w:eastAsia="IRNazanin" w:cs="IRNazanin"/>
          <w:color w:val="111111"/>
          <w:sz w:val="28"/>
          <w:szCs w:val="28"/>
          <w:rtl w:val="true"/>
          <w:lang w:bidi="fa-IR"/>
        </w:rPr>
        <w:t xml:space="preserve">. </w:t>
      </w:r>
      <w:r>
        <w:rPr>
          <w:rStyle w:val="FootnoteAnchor"/>
          <w:rtl w:val="true"/>
        </w:rPr>
        <w:footnoteReference w:id="103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مطرح در اینجا آن است که علاوه بر حرام بودن این گونه اعمال، آیا اعتکاف باطل هم می شود یا خیر؟ در میان فقیهان امامیه دو دیدگاه وجود دارد؛ </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همانند شیخ طوسی در خلاف،</w:t>
      </w:r>
      <w:r>
        <w:rPr>
          <w:rStyle w:val="FootnoteAnchor"/>
          <w:rtl w:val="true"/>
        </w:rPr>
        <w:footnoteReference w:id="1034"/>
      </w:r>
      <w:r>
        <w:rPr>
          <w:rFonts w:ascii="IRNazanin" w:hAnsi="IRNazanin" w:eastAsia="IRNazanin"/>
          <w:color w:val="111111"/>
          <w:sz w:val="28"/>
          <w:sz w:val="28"/>
          <w:szCs w:val="28"/>
          <w:rtl w:val="true"/>
          <w:lang w:bidi="fa-IR"/>
        </w:rPr>
        <w:t xml:space="preserve">محقق حلی در معتبر، </w:t>
      </w:r>
      <w:r>
        <w:rPr>
          <w:rStyle w:val="FootnoteAnchor"/>
          <w:rtl w:val="true"/>
        </w:rPr>
        <w:footnoteReference w:id="1035"/>
      </w:r>
      <w:r>
        <w:rPr>
          <w:rFonts w:ascii="IRNazanin" w:hAnsi="IRNazanin" w:eastAsia="IRNazanin"/>
          <w:color w:val="111111"/>
          <w:sz w:val="28"/>
          <w:sz w:val="28"/>
          <w:szCs w:val="28"/>
          <w:rtl w:val="true"/>
          <w:lang w:bidi="fa-IR"/>
        </w:rPr>
        <w:t xml:space="preserve">علامه حلی رحمه الله در منتهی، تحریر و تذکره، </w:t>
      </w:r>
      <w:r>
        <w:rPr>
          <w:rStyle w:val="FootnoteAnchor"/>
          <w:rtl w:val="true"/>
        </w:rPr>
        <w:footnoteReference w:id="1036"/>
      </w:r>
      <w:r>
        <w:rPr>
          <w:rFonts w:ascii="IRNazanin" w:hAnsi="IRNazanin" w:eastAsia="IRNazanin"/>
          <w:color w:val="111111"/>
          <w:sz w:val="28"/>
          <w:sz w:val="28"/>
          <w:szCs w:val="28"/>
          <w:rtl w:val="true"/>
          <w:lang w:bidi="fa-IR"/>
        </w:rPr>
        <w:t xml:space="preserve">شهید اول رحمه الله در دروس </w:t>
      </w:r>
      <w:r>
        <w:rPr>
          <w:rStyle w:val="FootnoteAnchor"/>
          <w:rtl w:val="true"/>
        </w:rPr>
        <w:footnoteReference w:id="1037"/>
      </w:r>
      <w:r>
        <w:rPr>
          <w:rFonts w:ascii="IRNazanin" w:hAnsi="IRNazanin" w:eastAsia="IRNazanin"/>
          <w:color w:val="111111"/>
          <w:sz w:val="28"/>
          <w:sz w:val="28"/>
          <w:szCs w:val="28"/>
          <w:rtl w:val="true"/>
          <w:lang w:bidi="fa-IR"/>
        </w:rPr>
        <w:t>قائل به فساد اعتکاف شده اند؛ چرا که نهی در این موارد موجب فساد و بطلان اعتکاف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بطلان اعتکاف است که فقیهانی همانند ابن حمزه در وسیله </w:t>
      </w:r>
      <w:r>
        <w:rPr>
          <w:rStyle w:val="FootnoteAnchor"/>
          <w:rtl w:val="true"/>
        </w:rPr>
        <w:footnoteReference w:id="1038"/>
      </w:r>
      <w:r>
        <w:rPr>
          <w:rFonts w:ascii="IRNazanin" w:hAnsi="IRNazanin" w:eastAsia="IRNazanin"/>
          <w:color w:val="111111"/>
          <w:sz w:val="28"/>
          <w:sz w:val="28"/>
          <w:szCs w:val="28"/>
          <w:rtl w:val="true"/>
          <w:lang w:bidi="fa-IR"/>
        </w:rPr>
        <w:t xml:space="preserve">و علامه حلی رحمه الله در مختلف الشیعه </w:t>
      </w:r>
      <w:r>
        <w:rPr>
          <w:rStyle w:val="FootnoteAnchor"/>
          <w:rtl w:val="true"/>
        </w:rPr>
        <w:footnoteReference w:id="1039"/>
      </w:r>
      <w:r>
        <w:rPr>
          <w:rFonts w:ascii="IRNazanin" w:hAnsi="IRNazanin" w:eastAsia="IRNazanin"/>
          <w:color w:val="111111"/>
          <w:sz w:val="28"/>
          <w:sz w:val="28"/>
          <w:szCs w:val="28"/>
          <w:rtl w:val="true"/>
          <w:lang w:bidi="fa-IR"/>
        </w:rPr>
        <w:t>قائل به این دیدگاه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کلام محقق حلی در شرائع و مختصر النافع، </w:t>
      </w:r>
      <w:r>
        <w:rPr>
          <w:rStyle w:val="FootnoteAnchor"/>
          <w:rtl w:val="true"/>
        </w:rPr>
        <w:footnoteReference w:id="1040"/>
      </w:r>
      <w:r>
        <w:rPr>
          <w:rFonts w:ascii="IRNazanin" w:hAnsi="IRNazanin" w:eastAsia="IRNazanin"/>
          <w:color w:val="111111"/>
          <w:sz w:val="28"/>
          <w:sz w:val="28"/>
          <w:szCs w:val="28"/>
          <w:rtl w:val="true"/>
          <w:lang w:bidi="fa-IR"/>
        </w:rPr>
        <w:t xml:space="preserve">و ظاهر عبارت علامه در قواعد و ارشاد و تبصره، </w:t>
      </w:r>
      <w:r>
        <w:rPr>
          <w:rStyle w:val="FootnoteAnchor"/>
          <w:rtl w:val="true"/>
        </w:rPr>
        <w:footnoteReference w:id="1041"/>
      </w:r>
      <w:r>
        <w:rPr>
          <w:rFonts w:ascii="IRNazanin" w:hAnsi="IRNazanin" w:eastAsia="IRNazanin"/>
          <w:color w:val="111111"/>
          <w:sz w:val="28"/>
          <w:sz w:val="28"/>
          <w:szCs w:val="28"/>
          <w:rtl w:val="true"/>
          <w:lang w:bidi="fa-IR"/>
        </w:rPr>
        <w:t>پذیرش دیدگاه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دلیل دیدگاه نخست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تُبَاشِرُوهُنَّ وَ أَنْتُمْ عَاكِفُونَ فِي الْمَسَاجِدِ</w:t>
      </w:r>
      <w:r>
        <w:rPr>
          <w:rStyle w:val="FootnoteAnchor"/>
          <w:rtl w:val="true"/>
        </w:rPr>
        <w:footnoteReference w:id="1042"/>
      </w:r>
      <w:r>
        <w:rPr>
          <w:rFonts w:ascii="IRNazanin" w:hAnsi="IRNazanin" w:eastAsia="IRNazanin"/>
          <w:color w:val="111111"/>
          <w:sz w:val="28"/>
          <w:sz w:val="28"/>
          <w:szCs w:val="28"/>
          <w:rtl w:val="true"/>
          <w:lang w:bidi="fa-IR"/>
        </w:rPr>
        <w:t xml:space="preserve">است به این بیان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در آیه شریفه، اعم از وطی و مقدّمات وطى مثل لمس و تقبیل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جماع اعتکاف را باطل می کند مقدمات آن نیز مبطل اعتکاف است</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دلیل آن است که مراد از آیه،شریفه تنها جماع است نه مطلق مباشرت؛ چرا که مباشرت در لغت به معنای چسباندن پوست به پوست است، لیکن </w:t>
      </w:r>
      <w:bookmarkStart w:id="823" w:name="pg19115_195585"/>
    </w:p>
    <w:p>
      <w:pPr>
        <w:pStyle w:val="BookText"/>
        <w:rPr/>
      </w:pPr>
      <w:bookmarkEnd w:id="823"/>
      <w:r>
        <w:rPr>
          <w:rFonts w:ascii="IRNazanin" w:hAnsi="IRNazanin" w:eastAsia="IRNazanin"/>
          <w:color w:val="111111"/>
          <w:sz w:val="28"/>
          <w:sz w:val="28"/>
          <w:szCs w:val="28"/>
          <w:rtl w:val="true"/>
          <w:lang w:bidi="fa-IR"/>
        </w:rPr>
        <w:t>این کلمه گاهی کنایه از جماع است و گاهی کنایه از جماع و مقدمات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مراد از مباشرت در آیه شریفه معنای لغوی نیست، بلکه معنای کنایی است؛ چرا که آیه شریفه پس از این آیات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با همسرانتان در شب روزهایی که روزه می 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دانست که شما به خود خیانت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توبۀ شما را پذیرفت و شما را بخشید اکنون با آنها آمیزش کنید و آنچه را خدا برای شما مقرر،داشته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نمایید و بخورید و 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 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مساجد به اعتکاف پرداخته اید با زنان آمیزش نکنید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در صدر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آیه دو بار تکرار شده به همان معنای جماع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بطلان اعتکاف به سبب تقبیل و لمس وجود ندارد</w:t>
      </w:r>
      <w:r>
        <w:rPr>
          <w:rFonts w:eastAsia="IRNazanin" w:cs="IRNazanin"/>
          <w:color w:val="111111"/>
          <w:sz w:val="28"/>
          <w:szCs w:val="28"/>
          <w:rtl w:val="true"/>
          <w:lang w:bidi="fa-IR"/>
        </w:rPr>
        <w:t>.</w:t>
      </w:r>
    </w:p>
    <w:p>
      <w:pPr>
        <w:pStyle w:val="Heading6"/>
        <w:numPr>
          <w:ilvl w:val="5"/>
          <w:numId w:val="1"/>
        </w:numPr>
        <w:rPr/>
      </w:pPr>
      <w:bookmarkStart w:id="824" w:name="__RefHeading___Toc15202812_1280447820"/>
      <w:bookmarkStart w:id="825" w:name="_Toc317"/>
      <w:bookmarkEnd w:id="824"/>
      <w:r>
        <w:rPr>
          <w:rtl w:val="true"/>
        </w:rPr>
        <w:t>دیدگاه اهل سنت</w:t>
      </w:r>
      <w:bookmarkEnd w:id="825"/>
    </w:p>
    <w:p>
      <w:pPr>
        <w:pStyle w:val="Heading6"/>
        <w:numPr>
          <w:ilvl w:val="5"/>
          <w:numId w:val="1"/>
        </w:numPr>
        <w:rPr/>
      </w:pPr>
      <w:bookmarkStart w:id="826" w:name="__RefHeading___Toc15202814_1280447820"/>
      <w:bookmarkStart w:id="827" w:name="_Toc318"/>
      <w:bookmarkEnd w:id="826"/>
      <w:r>
        <w:rPr/>
        <w:t>1</w:t>
      </w:r>
      <w:r>
        <w:rPr>
          <w:rtl w:val="true"/>
        </w:rPr>
        <w:t xml:space="preserve">. </w:t>
      </w:r>
      <w:r>
        <w:rPr>
          <w:rtl w:val="true"/>
        </w:rPr>
        <w:t>مذهب حنفی، حنبلی و شافعی</w:t>
      </w:r>
      <w:bookmarkEnd w:id="82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 ها و حنبلی ها معتقدند که لمس کردن و بوسیدن از روی شهوت اعتکاف را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 شافعیها می گویند اظهر آن است که اگر معتکف این کار را انجام داد و منی از او خارج شد اعتکاف او باطل است اما اگر انزال صورت نگرفت، اعتکاف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شافعیه دو قول دیگر نیز دارد که یکی باطل شدن اعتکاف مطلقا است چه انزال صورت بگیرد و چه انزال نشود و قول دیگر، عدم </w:t>
      </w:r>
      <w:bookmarkStart w:id="828" w:name="pg19115_195586"/>
    </w:p>
    <w:p>
      <w:pPr>
        <w:pStyle w:val="BookText"/>
        <w:rPr/>
      </w:pPr>
      <w:bookmarkEnd w:id="828"/>
      <w:r>
        <w:rPr>
          <w:rFonts w:ascii="IRNazanin" w:hAnsi="IRNazanin" w:eastAsia="IRNazanin"/>
          <w:color w:val="111111"/>
          <w:sz w:val="28"/>
          <w:sz w:val="28"/>
          <w:szCs w:val="28"/>
          <w:rtl w:val="true"/>
          <w:lang w:bidi="fa-IR"/>
        </w:rPr>
        <w:t>بطلان مطلقا است</w:t>
      </w:r>
      <w:r>
        <w:rPr>
          <w:rFonts w:eastAsia="IRNazanin" w:cs="IRNazanin"/>
          <w:color w:val="111111"/>
          <w:sz w:val="28"/>
          <w:szCs w:val="28"/>
          <w:rtl w:val="true"/>
          <w:lang w:bidi="fa-IR"/>
        </w:rPr>
        <w:t xml:space="preserve">. </w:t>
      </w:r>
      <w:r>
        <w:rPr>
          <w:rStyle w:val="FootnoteAnchor"/>
          <w:rtl w:val="true"/>
        </w:rPr>
        <w:footnoteReference w:id="1045"/>
      </w:r>
    </w:p>
    <w:p>
      <w:pPr>
        <w:pStyle w:val="Heading6"/>
        <w:numPr>
          <w:ilvl w:val="5"/>
          <w:numId w:val="1"/>
        </w:numPr>
        <w:rPr/>
      </w:pPr>
      <w:bookmarkStart w:id="829" w:name="__RefHeading___Toc15202816_1280447820"/>
      <w:bookmarkStart w:id="830" w:name="_Toc319"/>
      <w:bookmarkEnd w:id="829"/>
      <w:r>
        <w:rPr/>
        <w:t>2</w:t>
      </w:r>
      <w:r>
        <w:rPr>
          <w:rtl w:val="true"/>
        </w:rPr>
        <w:t xml:space="preserve">. </w:t>
      </w:r>
      <w:r>
        <w:rPr>
          <w:rtl w:val="true"/>
        </w:rPr>
        <w:t>مذهب مالکی</w:t>
      </w:r>
      <w:bookmarkEnd w:id="830"/>
    </w:p>
    <w:p>
      <w:pPr>
        <w:pStyle w:val="BookText"/>
        <w:rPr/>
      </w:pPr>
      <w:r>
        <w:rPr>
          <w:rFonts w:ascii="IRNazanin" w:hAnsi="IRNazanin" w:eastAsia="IRNazanin"/>
          <w:color w:val="111111"/>
          <w:sz w:val="28"/>
          <w:sz w:val="28"/>
          <w:szCs w:val="28"/>
          <w:rtl w:val="true"/>
          <w:lang w:bidi="fa-IR"/>
        </w:rPr>
        <w:t>مالکی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معتکف همسر خود را ببوسد یا لمس کرده یا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قصد لذت بردن، اعتکاف او باطل است و باید از ابتدا اعتکاف خود را از سر بگیرد اما اگر دختر بچه ای را ببوسد البته نه از روی شهوت یا آن که همسر خود را به خاطر خداحافظی یا از روی رحمت و مهربانی ببوسد و قصد لذت بردن جنسی نداشته باشد اعتکاف او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شهوت در،بوسیدن آن است که جاهایی از بدن همسر خود غیر از دهان او را ببوسد و قصد شهوت نکند اما اگر دهان او را ببوسد، دیگر قصد لذت جویی شرط نیست و اعتکاف باطل می شود؛ چرا که این کار از مقدمات جماع به شمار می آید</w:t>
      </w:r>
      <w:r>
        <w:rPr>
          <w:rFonts w:eastAsia="IRNazanin" w:cs="IRNazanin"/>
          <w:color w:val="111111"/>
          <w:sz w:val="28"/>
          <w:szCs w:val="28"/>
          <w:rtl w:val="true"/>
          <w:lang w:bidi="fa-IR"/>
        </w:rPr>
        <w:t xml:space="preserve">. </w:t>
      </w:r>
      <w:r>
        <w:rPr>
          <w:rStyle w:val="FootnoteAnchor"/>
          <w:rtl w:val="true"/>
        </w:rPr>
        <w:footnoteReference w:id="1046"/>
      </w:r>
    </w:p>
    <w:p>
      <w:pPr>
        <w:pStyle w:val="Heading5"/>
        <w:numPr>
          <w:ilvl w:val="4"/>
          <w:numId w:val="1"/>
        </w:numPr>
        <w:rPr/>
      </w:pPr>
      <w:bookmarkStart w:id="831" w:name="__RefHeading___Toc15202818_1280447820"/>
      <w:bookmarkStart w:id="832" w:name="_Toc320"/>
      <w:bookmarkEnd w:id="831"/>
      <w:r>
        <w:rPr/>
        <w:t>2</w:t>
      </w:r>
      <w:r>
        <w:rPr>
          <w:rtl w:val="true"/>
        </w:rPr>
        <w:t xml:space="preserve">. </w:t>
      </w:r>
      <w:r>
        <w:rPr>
          <w:rtl w:val="true"/>
        </w:rPr>
        <w:t>استمناء</w:t>
      </w:r>
      <w:bookmarkEnd w:id="832"/>
    </w:p>
    <w:p>
      <w:pPr>
        <w:pStyle w:val="Heading6"/>
        <w:numPr>
          <w:ilvl w:val="5"/>
          <w:numId w:val="1"/>
        </w:numPr>
        <w:rPr/>
      </w:pPr>
      <w:bookmarkStart w:id="833" w:name="__RefHeading___Toc15202820_1280447820"/>
      <w:bookmarkStart w:id="834" w:name="_Toc321"/>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فقیهان امامیه تصریح دارند به این که هر آنچه روزه را باطل کند، اگر هنگام اعتکاف در روز اتفاق بیفتد اعتکاف را نیز باطل می کند؛ چرا که روزه شرط صحت اعتکاف است و اگر روزه باطل،شود اعتکاف نیز باطل می گردد</w:t>
      </w:r>
      <w:r>
        <w:rPr>
          <w:rFonts w:eastAsia="IRNazanin" w:cs="IRNazanin"/>
          <w:color w:val="111111"/>
          <w:sz w:val="28"/>
          <w:szCs w:val="28"/>
          <w:rtl w:val="true"/>
          <w:lang w:bidi="fa-IR"/>
        </w:rPr>
        <w:t xml:space="preserve">. </w:t>
      </w:r>
      <w:r>
        <w:rPr>
          <w:rStyle w:val="FootnoteAnchor"/>
          <w:rtl w:val="true"/>
        </w:rPr>
        <w:footnoteReference w:id="104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اگر استمناء در شب انجام شود درباره باطل شدن یا باطل نشدن اعتکاف </w:t>
      </w:r>
    </w:p>
    <w:p>
      <w:pPr>
        <w:pStyle w:val="BookText"/>
        <w:rPr/>
      </w:pPr>
      <w:r>
        <w:rPr>
          <w:rFonts w:ascii="IRNazanin" w:hAnsi="IRNazanin" w:eastAsia="IRNazanin"/>
          <w:color w:val="111111"/>
          <w:sz w:val="28"/>
          <w:sz w:val="28"/>
          <w:szCs w:val="28"/>
          <w:rtl w:val="true"/>
          <w:lang w:bidi="fa-IR"/>
        </w:rPr>
        <w:t>دو دیدگاه اصلی وجود دارد؛</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نیز ملحق به جماع است و همانگونه که جماع اعتکاف را باطل می کند استمناء نیز باطل کننده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فقیهانی که این دیدگاه را می پذیرند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048"/>
      </w:r>
      <w:r>
        <w:rPr>
          <w:rFonts w:ascii="IRNazanin" w:hAnsi="IRNazanin" w:eastAsia="IRNazanin"/>
          <w:color w:val="111111"/>
          <w:sz w:val="28"/>
          <w:sz w:val="28"/>
          <w:szCs w:val="28"/>
          <w:rtl w:val="true"/>
          <w:lang w:bidi="fa-IR"/>
        </w:rPr>
        <w:t xml:space="preserve">، ابن حمزه، </w:t>
      </w:r>
      <w:r>
        <w:rPr>
          <w:rStyle w:val="FootnoteAnchor"/>
          <w:rtl w:val="true"/>
        </w:rPr>
        <w:footnoteReference w:id="1049"/>
      </w:r>
      <w:r>
        <w:rPr>
          <w:rFonts w:ascii="IRNazanin" w:hAnsi="IRNazanin" w:eastAsia="IRNazanin"/>
          <w:color w:val="111111"/>
          <w:sz w:val="28"/>
          <w:sz w:val="28"/>
          <w:szCs w:val="28"/>
          <w:rtl w:val="true"/>
          <w:lang w:bidi="fa-IR"/>
        </w:rPr>
        <w:t xml:space="preserve">سید یزدی، </w:t>
      </w:r>
      <w:r>
        <w:rPr>
          <w:rStyle w:val="FootnoteAnchor"/>
          <w:rtl w:val="true"/>
        </w:rPr>
        <w:footnoteReference w:id="1050"/>
      </w:r>
      <w:r>
        <w:rPr>
          <w:rFonts w:ascii="IRNazanin" w:hAnsi="IRNazanin" w:eastAsia="IRNazanin"/>
          <w:color w:val="111111"/>
          <w:sz w:val="28"/>
          <w:sz w:val="28"/>
          <w:szCs w:val="28"/>
          <w:rtl w:val="true"/>
          <w:lang w:bidi="fa-IR"/>
        </w:rPr>
        <w:t>مرحوم حکیم،</w:t>
      </w:r>
      <w:r>
        <w:rPr>
          <w:rStyle w:val="FootnoteAnchor"/>
          <w:rtl w:val="true"/>
        </w:rPr>
        <w:footnoteReference w:id="1051"/>
      </w:r>
      <w:r>
        <w:rPr>
          <w:rFonts w:ascii="IRNazanin" w:hAnsi="IRNazanin" w:eastAsia="IRNazanin"/>
          <w:color w:val="111111"/>
          <w:sz w:val="28"/>
          <w:sz w:val="28"/>
          <w:szCs w:val="28"/>
          <w:rtl w:val="true"/>
          <w:lang w:bidi="fa-IR"/>
        </w:rPr>
        <w:t xml:space="preserve">محقق خویی، </w:t>
      </w:r>
      <w:r>
        <w:rPr>
          <w:rStyle w:val="FootnoteAnchor"/>
          <w:rtl w:val="true"/>
        </w:rPr>
        <w:footnoteReference w:id="1052"/>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در خلاف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معتکف در روز جماع کند یا استمناء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انجام دهد دو کفّاره بر او واجب می شود و اگر در شب ای کار را انجام دهد یک کفّاره بر عهده او آمده و اعتکاف او نیز باطل می شود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محقق خویی نیز در مستند از برخی از نصوص استفاده کرده و استمناء را به منزله جماع قرار داده است</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بر معتکف حرام است اما موجب بطلان اعتکاف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فقیهانی همانند شهید ثانی، </w:t>
      </w:r>
      <w:r>
        <w:rPr>
          <w:rStyle w:val="FootnoteAnchor"/>
          <w:rtl w:val="true"/>
        </w:rPr>
        <w:footnoteReference w:id="1056"/>
      </w:r>
      <w:r>
        <w:rPr>
          <w:rFonts w:ascii="IRNazanin" w:hAnsi="IRNazanin" w:eastAsia="IRNazanin"/>
          <w:color w:val="111111"/>
          <w:sz w:val="28"/>
          <w:sz w:val="28"/>
          <w:szCs w:val="28"/>
          <w:rtl w:val="true"/>
          <w:lang w:bidi="fa-IR"/>
        </w:rPr>
        <w:t xml:space="preserve">محدث کاشانی، </w:t>
      </w:r>
      <w:r>
        <w:rPr>
          <w:rStyle w:val="FootnoteAnchor"/>
          <w:rtl w:val="true"/>
        </w:rPr>
        <w:footnoteReference w:id="1057"/>
      </w:r>
      <w:r>
        <w:rPr>
          <w:rFonts w:ascii="IRNazanin" w:hAnsi="IRNazanin" w:eastAsia="IRNazanin"/>
          <w:color w:val="111111"/>
          <w:sz w:val="28"/>
          <w:sz w:val="28"/>
          <w:szCs w:val="28"/>
          <w:rtl w:val="true"/>
          <w:lang w:bidi="fa-IR"/>
        </w:rPr>
        <w:t xml:space="preserve">محقق سبزواری، </w:t>
      </w:r>
      <w:r>
        <w:rPr>
          <w:rStyle w:val="FootnoteAnchor"/>
          <w:rtl w:val="true"/>
        </w:rPr>
        <w:footnoteReference w:id="1058"/>
      </w:r>
      <w:r>
        <w:rPr>
          <w:rFonts w:ascii="IRNazanin" w:hAnsi="IRNazanin" w:eastAsia="IRNazanin"/>
          <w:color w:val="111111"/>
          <w:sz w:val="28"/>
          <w:sz w:val="28"/>
          <w:szCs w:val="28"/>
          <w:rtl w:val="true"/>
          <w:lang w:bidi="fa-IR"/>
        </w:rPr>
        <w:t xml:space="preserve">سید طباطبائی </w:t>
      </w:r>
      <w:r>
        <w:rPr>
          <w:rStyle w:val="FootnoteAnchor"/>
          <w:rtl w:val="true"/>
        </w:rPr>
        <w:footnoteReference w:id="1059"/>
      </w:r>
      <w:r>
        <w:rPr>
          <w:rFonts w:ascii="IRNazanin" w:hAnsi="IRNazanin" w:eastAsia="IRNazanin"/>
          <w:color w:val="111111"/>
          <w:sz w:val="28"/>
          <w:sz w:val="28"/>
          <w:szCs w:val="28"/>
          <w:rtl w:val="true"/>
          <w:lang w:bidi="fa-IR"/>
        </w:rPr>
        <w:t>و فاضل نراقی رحمه الله</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خلاصه آن که، شکی در حرمت استمناء در روز برای معتکف و بطلان اعتکاف نیست هر چند استمناء به صورت حلال باشد؛ چرا که موجب بطلان صوم می شود و شرط صحت اعتکاف روزه است اما بر حرمت استمناء در شب در حال اعتکاف سه دلیل می توان اقامه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شیخ طوسی رحمه الله در خلاف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حرمت استمناء نسبت به لمس و تقبیل با شهوت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 هر چند با حلال موجب می شود که شخص از مسجد خارج شود تا غسل انجام دهد و این مبطل اعتکاف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ادله مناقشاتی وجود دارد از جمله آن که اجماع، منقول بوده و اجماع منقول حجیت ندارد بویژه آن که این اجماع مدرکی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قیاس استمناء به تقبیل و لمس همسر اشتباه است و این اولویت،نیز غیر قطعی است</w:t>
      </w:r>
      <w:r>
        <w:rPr>
          <w:rFonts w:eastAsia="IRNazanin" w:cs="IRNazanin"/>
          <w:color w:val="111111"/>
          <w:sz w:val="28"/>
          <w:szCs w:val="28"/>
          <w:rtl w:val="true"/>
          <w:lang w:bidi="fa-IR"/>
        </w:rPr>
        <w:t xml:space="preserve">. </w:t>
      </w:r>
      <w:bookmarkStart w:id="835" w:name="pg19115_195589"/>
    </w:p>
    <w:p>
      <w:pPr>
        <w:pStyle w:val="BookText"/>
        <w:rPr/>
      </w:pPr>
      <w:bookmarkEnd w:id="835"/>
      <w:r>
        <w:rPr>
          <w:rFonts w:ascii="IRNazanin" w:hAnsi="IRNazanin" w:eastAsia="IRNazanin"/>
          <w:color w:val="111111"/>
          <w:sz w:val="28"/>
          <w:sz w:val="28"/>
          <w:szCs w:val="28"/>
          <w:rtl w:val="true"/>
          <w:lang w:bidi="fa-IR"/>
        </w:rPr>
        <w:t>خارج شدن برای غسل نیز از موارد خارج شدن ضروری است که لطمه ای به صحت اعتکاف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062"/>
      </w:r>
      <w:r>
        <w:rPr>
          <w:rFonts w:ascii="IRNazanin" w:hAnsi="IRNazanin" w:eastAsia="IRNazanin"/>
          <w:color w:val="111111"/>
          <w:sz w:val="28"/>
          <w:sz w:val="28"/>
          <w:szCs w:val="28"/>
          <w:rtl w:val="true"/>
          <w:lang w:bidi="fa-IR"/>
        </w:rPr>
        <w:t>نیز این ادله حرمت را نمی پذیرد</w:t>
      </w:r>
      <w:r>
        <w:rPr>
          <w:rFonts w:eastAsia="IRNazanin" w:cs="IRNazanin"/>
          <w:color w:val="111111"/>
          <w:sz w:val="28"/>
          <w:szCs w:val="28"/>
          <w:rtl w:val="true"/>
          <w:lang w:bidi="fa-IR"/>
        </w:rPr>
        <w:t xml:space="preserve">. </w:t>
      </w:r>
      <w:r>
        <w:rPr>
          <w:rStyle w:val="FootnoteAnchor"/>
          <w:rtl w:val="true"/>
        </w:rPr>
        <w:footnoteReference w:id="1063"/>
      </w:r>
    </w:p>
    <w:p>
      <w:pPr>
        <w:pStyle w:val="Heading6"/>
        <w:numPr>
          <w:ilvl w:val="5"/>
          <w:numId w:val="1"/>
        </w:numPr>
        <w:rPr/>
      </w:pPr>
      <w:bookmarkStart w:id="836" w:name="__RefHeading___Toc15202822_1280447820"/>
      <w:bookmarkStart w:id="837" w:name="_Toc322"/>
      <w:bookmarkEnd w:id="836"/>
      <w:r>
        <w:rPr>
          <w:rtl w:val="true"/>
        </w:rPr>
        <w:t>دیدگاه اهل سنّت</w:t>
      </w:r>
      <w:bookmarkEnd w:id="837"/>
    </w:p>
    <w:p>
      <w:pPr>
        <w:pStyle w:val="BookText"/>
        <w:rPr/>
      </w:pPr>
      <w:r>
        <w:rPr>
          <w:rFonts w:ascii="IRNazanin" w:hAnsi="IRNazanin" w:eastAsia="IRNazanin"/>
          <w:color w:val="111111"/>
          <w:sz w:val="28"/>
          <w:sz w:val="28"/>
          <w:szCs w:val="28"/>
          <w:rtl w:val="true"/>
          <w:lang w:bidi="fa-IR"/>
        </w:rPr>
        <w:t>تمامی اهل سنت معتقدند که استمناء با دست از مبطلات اعتکاف می باشد، اما استمناء با نگاه کردن و فکر کردن حنفیها و حنبلیها معتقدند که اعتکاف باطل نمی شود اما مالکیه و شافعیه می گویند اعتکاف را باطل می کند؛ چرا که شرط طهارت از حدث وجود ندارد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مالکیه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با فکر کردن و نگاه کردن صورت بگیرد، اعتکاف باطل است؛ چه در روز باشد و چه در شب و چه عمداً باشد و چه از روی فراموشی، اما شافعیه تفصیل داده و می گویند در صورتی که انزال با نگاه و فکر، عادت معتکف بوده، اعتکاف او باطل است اما اگر چنین عادتی نداشته است و انزال صورت گرفت اعتکاف او صحیح است</w:t>
      </w:r>
      <w:r>
        <w:rPr>
          <w:rFonts w:eastAsia="IRNazanin" w:cs="IRNazanin"/>
          <w:color w:val="111111"/>
          <w:sz w:val="28"/>
          <w:szCs w:val="28"/>
          <w:rtl w:val="true"/>
          <w:lang w:bidi="fa-IR"/>
        </w:rPr>
        <w:t xml:space="preserve">. </w:t>
      </w:r>
      <w:r>
        <w:rPr>
          <w:rStyle w:val="FootnoteAnchor"/>
          <w:rtl w:val="true"/>
        </w:rPr>
        <w:footnoteReference w:id="1065"/>
      </w:r>
    </w:p>
    <w:p>
      <w:pPr>
        <w:pStyle w:val="Heading5"/>
        <w:numPr>
          <w:ilvl w:val="4"/>
          <w:numId w:val="1"/>
        </w:numPr>
        <w:rPr/>
      </w:pPr>
      <w:bookmarkStart w:id="838" w:name="__RefHeading___Toc15202824_1280447820"/>
      <w:bookmarkStart w:id="839" w:name="_Toc323"/>
      <w:bookmarkEnd w:id="838"/>
      <w:r>
        <w:rPr/>
        <w:t>3</w:t>
      </w:r>
      <w:r>
        <w:rPr>
          <w:rtl w:val="true"/>
        </w:rPr>
        <w:t xml:space="preserve">. </w:t>
      </w:r>
      <w:r>
        <w:rPr>
          <w:rtl w:val="true"/>
        </w:rPr>
        <w:t>خرید و فروش</w:t>
      </w:r>
      <w:bookmarkEnd w:id="839"/>
    </w:p>
    <w:p>
      <w:pPr>
        <w:pStyle w:val="Heading6"/>
        <w:numPr>
          <w:ilvl w:val="5"/>
          <w:numId w:val="1"/>
        </w:numPr>
        <w:rPr/>
      </w:pPr>
      <w:bookmarkStart w:id="840" w:name="__RefHeading___Toc15202826_1280447820"/>
      <w:bookmarkStart w:id="841" w:name="_Toc324"/>
      <w:bookmarkEnd w:id="840"/>
      <w:r>
        <w:rPr>
          <w:rtl w:val="true"/>
        </w:rPr>
        <w:t>اشاره</w:t>
      </w:r>
      <w:bookmarkEnd w:id="8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محرمات بر معتکف خرید و فروش هنگام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در این باره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تحریم بیع و شراء، دیدگاه علمای امامیه و اکثر عامه است؛ چرا که در صحیحه ابوعبیده از این کار نهی شده است</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از جمله ادله ای که بر تحریم این کار در حال اعتکاف ذکر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که سید مرتضی در انتصار، </w:t>
      </w:r>
      <w:r>
        <w:rPr>
          <w:rStyle w:val="FootnoteAnchor"/>
          <w:rtl w:val="true"/>
        </w:rPr>
        <w:footnoteReference w:id="1067"/>
      </w:r>
      <w:r>
        <w:rPr>
          <w:rFonts w:ascii="IRNazanin" w:hAnsi="IRNazanin" w:eastAsia="IRNazanin"/>
          <w:color w:val="111111"/>
          <w:sz w:val="28"/>
          <w:sz w:val="28"/>
          <w:szCs w:val="28"/>
          <w:rtl w:val="true"/>
          <w:lang w:bidi="fa-IR"/>
        </w:rPr>
        <w:t xml:space="preserve">محقق سبزواری در ذخیره المعاد، </w:t>
      </w:r>
      <w:r>
        <w:rPr>
          <w:rStyle w:val="FootnoteAnchor"/>
          <w:rtl w:val="true"/>
        </w:rPr>
        <w:footnoteReference w:id="1068"/>
      </w:r>
      <w:r>
        <w:rPr>
          <w:rFonts w:ascii="IRNazanin" w:hAnsi="IRNazanin" w:eastAsia="IRNazanin"/>
          <w:color w:val="111111"/>
          <w:sz w:val="28"/>
          <w:sz w:val="28"/>
          <w:szCs w:val="28"/>
          <w:rtl w:val="true"/>
          <w:lang w:bidi="fa-IR"/>
        </w:rPr>
        <w:t xml:space="preserve">صاحب حدائق، </w:t>
      </w:r>
      <w:r>
        <w:rPr>
          <w:rStyle w:val="FootnoteAnchor"/>
          <w:rtl w:val="true"/>
        </w:rPr>
        <w:footnoteReference w:id="1069"/>
      </w:r>
      <w:r>
        <w:rPr>
          <w:rFonts w:ascii="IRNazanin" w:hAnsi="IRNazanin" w:eastAsia="IRNazanin"/>
          <w:color w:val="111111"/>
          <w:sz w:val="28"/>
          <w:sz w:val="28"/>
          <w:szCs w:val="28"/>
          <w:rtl w:val="true"/>
          <w:lang w:bidi="fa-IR"/>
        </w:rPr>
        <w:t xml:space="preserve">محقق نراقی </w:t>
      </w:r>
      <w:r>
        <w:rPr>
          <w:rStyle w:val="FootnoteAnchor"/>
          <w:rtl w:val="true"/>
        </w:rPr>
        <w:footnoteReference w:id="1070"/>
      </w:r>
      <w:r>
        <w:rPr>
          <w:rFonts w:ascii="IRNazanin" w:hAnsi="IRNazanin" w:eastAsia="IRNazanin"/>
          <w:color w:val="111111"/>
          <w:sz w:val="28"/>
          <w:sz w:val="28"/>
          <w:szCs w:val="28"/>
          <w:rtl w:val="true"/>
          <w:lang w:bidi="fa-IR"/>
        </w:rPr>
        <w:t xml:space="preserve">و صاحب جواهر رحمه الله </w:t>
      </w:r>
      <w:r>
        <w:rPr>
          <w:rStyle w:val="FootnoteAnchor"/>
          <w:rtl w:val="true"/>
        </w:rPr>
        <w:footnoteReference w:id="1071"/>
      </w:r>
      <w:r>
        <w:rPr>
          <w:rFonts w:ascii="IRNazanin" w:hAnsi="IRNazanin" w:eastAsia="IRNazanin"/>
          <w:color w:val="111111"/>
          <w:sz w:val="28"/>
          <w:sz w:val="28"/>
          <w:szCs w:val="28"/>
          <w:rtl w:val="true"/>
          <w:lang w:bidi="fa-IR"/>
        </w:rPr>
        <w:t>ادعای عدم خلاف، بلکه اجماع بر این مطلب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ابوعبیده حذاء از امام باقر علیه السلام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معتکف، الله نه بوی عطر استشمام می کند و نه از بوییدن گلهای خوشبو لذت می برد، جدال نمی کند و بیع و شراء انجام نمی دهد</w:t>
      </w:r>
      <w:r>
        <w:rPr>
          <w:rFonts w:eastAsia="IRNazanin" w:cs="IRNazanin"/>
          <w:color w:val="111111"/>
          <w:sz w:val="28"/>
          <w:szCs w:val="28"/>
          <w:rtl w:val="true"/>
          <w:lang w:bidi="fa-IR"/>
        </w:rPr>
        <w:t xml:space="preserve">.» </w:t>
      </w:r>
      <w:r>
        <w:rPr>
          <w:rStyle w:val="FootnoteAnchor"/>
          <w:rtl w:val="true"/>
        </w:rPr>
        <w:footnoteReference w:id="107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مرحوم نراقی دلالت روایت را بر محرم بودن این فعل هنگام اعتکاف نپذیرفته است و می نویسد اگر اجماع را بپذیریم حرمت این فعل </w:t>
      </w:r>
      <w:bookmarkStart w:id="842" w:name="pg19115_195591"/>
    </w:p>
    <w:p>
      <w:pPr>
        <w:pStyle w:val="BookText"/>
        <w:rPr/>
      </w:pPr>
      <w:bookmarkEnd w:id="842"/>
      <w:r>
        <w:rPr>
          <w:rFonts w:ascii="IRNazanin" w:hAnsi="IRNazanin" w:eastAsia="IRNazanin"/>
          <w:color w:val="111111"/>
          <w:sz w:val="28"/>
          <w:sz w:val="28"/>
          <w:szCs w:val="28"/>
          <w:rtl w:val="true"/>
          <w:lang w:bidi="fa-IR"/>
        </w:rPr>
        <w:t>ثابت می شود و گرنه کراهت این فعل اظهر است</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دو پرسش مهم در اینجا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عقود تجارات دیگر و کارهایی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خیاطی، 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بیع و شراء هنگام اعتکاف حرام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علاوه بر محرم بودن خرید و فروش این فعل مبطل اعتکاف نیز می باشد یا خیر؟</w:t>
      </w:r>
    </w:p>
    <w:p>
      <w:pPr>
        <w:pStyle w:val="Heading6"/>
        <w:numPr>
          <w:ilvl w:val="5"/>
          <w:numId w:val="1"/>
        </w:numPr>
        <w:rPr/>
      </w:pPr>
      <w:bookmarkStart w:id="843" w:name="__RefHeading___Toc15202828_1280447820"/>
      <w:bookmarkStart w:id="844" w:name="_Toc325"/>
      <w:bookmarkEnd w:id="843"/>
      <w:r>
        <w:rPr>
          <w:rtl w:val="true"/>
        </w:rPr>
        <w:t>الف</w:t>
      </w:r>
      <w:r>
        <w:rPr>
          <w:rtl w:val="true"/>
        </w:rPr>
        <w:t xml:space="preserve">) </w:t>
      </w:r>
      <w:r>
        <w:rPr>
          <w:rtl w:val="true"/>
        </w:rPr>
        <w:t>بررسى حكم عقود مختلف در حال اعتکاف</w:t>
      </w:r>
      <w:bookmarkEnd w:id="844"/>
    </w:p>
    <w:p>
      <w:pPr>
        <w:pStyle w:val="BookText"/>
        <w:rPr/>
      </w:pPr>
      <w:r>
        <w:rPr>
          <w:rFonts w:ascii="IRNazanin" w:hAnsi="IRNazanin" w:eastAsia="IRNazanin"/>
          <w:color w:val="111111"/>
          <w:sz w:val="28"/>
          <w:sz w:val="28"/>
          <w:szCs w:val="28"/>
          <w:rtl w:val="true"/>
          <w:lang w:bidi="fa-IR"/>
        </w:rPr>
        <w:t>در پاسخ از پرسش اول باید گفت که در میان فقیهان امامیه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ذکر بیع و شراء در،روایت از باب ذکر مثال و مصداقی بوده و خود آنها خصوصیت نداشته است،بنابراین می توان قائل شد به این که مطلق تجارت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انتصار می نویسد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مواردی که امامیه منفرد به آن است این که معتکف نمی تواند بیع و شراء و تجارت انجام دهد و مالک نیز در این زمینه موافق با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دلیل خود را یکی اجماع دانسته و دیگری این می داند کسی که از تجارت دوری كند يقيناً اعتکاف او باطل نمی شود اما اگر کسی از تجارت اجتناب نکند، یقین به </w:t>
      </w:r>
    </w:p>
    <w:p>
      <w:pPr>
        <w:pStyle w:val="BookText"/>
        <w:rPr/>
      </w:pPr>
      <w:r>
        <w:rPr>
          <w:rFonts w:ascii="IRNazanin" w:hAnsi="IRNazanin" w:eastAsia="IRNazanin"/>
          <w:color w:val="111111"/>
          <w:sz w:val="28"/>
          <w:sz w:val="28"/>
          <w:szCs w:val="28"/>
          <w:rtl w:val="true"/>
          <w:lang w:bidi="fa-IR"/>
        </w:rPr>
        <w:t>عدم بطلان اعتکاف او نداریم</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ظاهر کلام ابن زهره آن است که این دیدگاه را برگزیده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معتکف، در هر حال جایز نیست که تجارت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علامه حلی رحمه الله در تذکره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منع از هر آنچه اقتضای اشتغال را داشته و مساوی با بیع است مثل اجاره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آن است که انجام صنائعی که معتکف را از عبادت مشغول به خود می کند،نیز حرام باشد مانند،خیاطت مگر آن که ضرورت ایجاب کند؛ زیرا انجام این امور نیز اشتغال محسوب می شود</w:t>
      </w:r>
      <w:r>
        <w:rPr>
          <w:rFonts w:eastAsia="IRNazanin" w:cs="IRNazanin"/>
          <w:color w:val="111111"/>
          <w:sz w:val="28"/>
          <w:szCs w:val="28"/>
          <w:rtl w:val="true"/>
          <w:lang w:bidi="fa-IR"/>
        </w:rPr>
        <w:t xml:space="preserve">.» </w:t>
      </w:r>
      <w:r>
        <w:rPr>
          <w:rStyle w:val="FootnoteAnchor"/>
          <w:rtl w:val="true"/>
        </w:rPr>
        <w:footnoteReference w:id="107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منتهی نیز نهی را شامل تمام تجارات می داند و علت تحریم را، مفهوم اولویت سایر اشتغالات نسبت به بیع و شراء می داند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دیدگاه دوم ذکر بیع و شراء در روایت خصوصیت داشته و نمی توان از آن به سایر تجارات تعدی کرد صاحب مدارک در اشکال به کلام مرحوم علامه در منتهی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منطوق نهی از بیع و شراء و نه مفهوم آن اقتضای نهی از سایر اشتغالات دنیوی نمی کند،بله ممکن است از طریق علت مستنبطه </w:t>
      </w:r>
      <w:r>
        <w:rPr>
          <w:rStyle w:val="FootnoteAnchor"/>
          <w:rtl w:val="true"/>
        </w:rPr>
        <w:footnoteReference w:id="1078"/>
      </w:r>
      <w:r>
        <w:rPr>
          <w:rFonts w:ascii="IRNazanin" w:hAnsi="IRNazanin" w:eastAsia="IRNazanin"/>
          <w:color w:val="111111"/>
          <w:sz w:val="28"/>
          <w:sz w:val="28"/>
          <w:szCs w:val="28"/>
          <w:rtl w:val="true"/>
          <w:lang w:bidi="fa-IR"/>
        </w:rPr>
        <w:t>دلالت بر حرمت سایر اشتغالات کند که نزد ما غیر معتبر است</w:t>
      </w:r>
      <w:r>
        <w:rPr>
          <w:rFonts w:eastAsia="IRNazanin" w:cs="IRNazanin"/>
          <w:color w:val="111111"/>
          <w:sz w:val="28"/>
          <w:szCs w:val="28"/>
          <w:rtl w:val="true"/>
          <w:lang w:bidi="fa-IR"/>
        </w:rPr>
        <w:t xml:space="preserve">.» </w:t>
      </w:r>
      <w:r>
        <w:rPr>
          <w:rStyle w:val="FootnoteAnchor"/>
          <w:rtl w:val="true"/>
        </w:rPr>
        <w:footnoteReference w:id="107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محقق خویی بدان اشاره دارد آن است که در اینجا باید بین اموری که منبع کسب درآمد و اشتغال است با سایر امور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خیاطی لباس برای خودِ شخص نه به عنوان کسب و کار فرق گذاشت به این صورت که در اولی می توان گفت که با توجه به ادعای اجماع در انتصار و غنیه و شهرت بین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مطلق تجارت در حالت اعتکاف اگر نگوییم که اقواست لا اقل از </w:t>
      </w:r>
    </w:p>
    <w:p>
      <w:pPr>
        <w:pStyle w:val="BookText"/>
        <w:rPr/>
      </w:pPr>
      <w:r>
        <w:rPr>
          <w:rFonts w:ascii="IRNazanin" w:hAnsi="IRNazanin" w:eastAsia="IRNazanin"/>
          <w:color w:val="111111"/>
          <w:sz w:val="28"/>
          <w:sz w:val="28"/>
          <w:szCs w:val="28"/>
          <w:rtl w:val="true"/>
          <w:lang w:bidi="fa-IR"/>
        </w:rPr>
        <w:t>مواردی است که باید احتیاط کرد دیدگاه سید یزدی نیز چنین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همچنین ظن قوی به عدم خصوصیت در بیع و شراء و ذکر این دو از باب این که اغلب در اسباب تجارت است، نیز مؤید دیگر بر این مدعا است</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حرمت وجود نداشته اصل عدم حرمت است صاحب جواهر رحمه الله شمول نهی را تنها برای بیع و شراء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ادریس از بیع و شراء تعدی کرده و حرمت را شامل هر </w:t>
      </w:r>
      <w:bookmarkStart w:id="845" w:name="pg19115_195595"/>
    </w:p>
    <w:p>
      <w:pPr>
        <w:pStyle w:val="BookText"/>
        <w:rPr/>
      </w:pPr>
      <w:bookmarkEnd w:id="845"/>
      <w:r>
        <w:rPr>
          <w:rFonts w:ascii="IRNazanin" w:hAnsi="IRNazanin" w:eastAsia="IRNazanin"/>
          <w:color w:val="111111"/>
          <w:sz w:val="28"/>
          <w:sz w:val="28"/>
          <w:szCs w:val="28"/>
          <w:rtl w:val="true"/>
          <w:lang w:bidi="fa-IR"/>
        </w:rPr>
        <w:t>مباحی می داند که احتیاجی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اشکال این سخن روشن بوده و در الحاق صلح و اجاره و امثال این موارد به بیع و شراء نیز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اقتصار بر بیع و شراء دارای وجه است</w:t>
      </w:r>
      <w:r>
        <w:rPr>
          <w:rFonts w:eastAsia="IRNazanin" w:cs="IRNazanin"/>
          <w:color w:val="111111"/>
          <w:sz w:val="28"/>
          <w:szCs w:val="28"/>
          <w:rtl w:val="true"/>
          <w:lang w:bidi="fa-IR"/>
        </w:rPr>
        <w:t xml:space="preserve">.» </w:t>
      </w:r>
      <w:r>
        <w:rPr>
          <w:rStyle w:val="FootnoteAnchor"/>
          <w:rtl w:val="true"/>
        </w:rPr>
        <w:footnoteReference w:id="1083"/>
      </w:r>
    </w:p>
    <w:p>
      <w:pPr>
        <w:pStyle w:val="Heading6"/>
        <w:numPr>
          <w:ilvl w:val="5"/>
          <w:numId w:val="1"/>
        </w:numPr>
        <w:rPr/>
      </w:pPr>
      <w:bookmarkStart w:id="846" w:name="__RefHeading___Toc15202830_1280447820"/>
      <w:bookmarkStart w:id="847" w:name="_Toc326"/>
      <w:bookmarkEnd w:id="846"/>
      <w:r>
        <w:rPr>
          <w:rtl w:val="true"/>
        </w:rPr>
        <w:t>ب</w:t>
      </w:r>
      <w:r>
        <w:rPr>
          <w:rtl w:val="true"/>
        </w:rPr>
        <w:t xml:space="preserve">. </w:t>
      </w:r>
      <w:r>
        <w:rPr>
          <w:rtl w:val="true"/>
        </w:rPr>
        <w:t>بررسی بطلان اعتکاف به سبب بيع و شراء</w:t>
      </w:r>
      <w:bookmarkEnd w:id="847"/>
    </w:p>
    <w:p>
      <w:pPr>
        <w:pStyle w:val="Heading6"/>
        <w:numPr>
          <w:ilvl w:val="5"/>
          <w:numId w:val="1"/>
        </w:numPr>
        <w:rPr/>
      </w:pPr>
      <w:bookmarkStart w:id="848" w:name="__RefHeading___Toc15202832_1280447820"/>
      <w:bookmarkStart w:id="849" w:name="_Toc327"/>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دومین سؤال آن است که علاوه بر محرم بودن خرید و فروش، آیا این فعل مبطل اعتکاف نیز می باشد یا خیر؟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دیدگاه در این باره وجود دارد؛ برخی از فقیهان همانند ابن ادریس در سرائر </w:t>
      </w:r>
      <w:r>
        <w:rPr>
          <w:rStyle w:val="FootnoteAnchor"/>
          <w:rtl w:val="true"/>
        </w:rPr>
        <w:footnoteReference w:id="1084"/>
      </w:r>
      <w:r>
        <w:rPr>
          <w:rFonts w:ascii="IRNazanin" w:hAnsi="IRNazanin" w:eastAsia="IRNazanin"/>
          <w:color w:val="111111"/>
          <w:sz w:val="28"/>
          <w:sz w:val="28"/>
          <w:szCs w:val="28"/>
          <w:rtl w:val="true"/>
          <w:lang w:bidi="fa-IR"/>
        </w:rPr>
        <w:t xml:space="preserve">قائل به بطلان اعتکاف هستند و برخی دیگر همانند شیخ طوسی رحمه الله در مبسوط، </w:t>
      </w:r>
      <w:r>
        <w:rPr>
          <w:rStyle w:val="FootnoteAnchor"/>
          <w:rtl w:val="true"/>
        </w:rPr>
        <w:footnoteReference w:id="1085"/>
      </w:r>
      <w:r>
        <w:rPr>
          <w:rFonts w:ascii="IRNazanin" w:hAnsi="IRNazanin" w:eastAsia="IRNazanin"/>
          <w:color w:val="111111"/>
          <w:sz w:val="28"/>
          <w:sz w:val="28"/>
          <w:szCs w:val="28"/>
          <w:rtl w:val="true"/>
          <w:lang w:bidi="fa-IR"/>
        </w:rPr>
        <w:t xml:space="preserve">علامه در تذکره و منتهی </w:t>
      </w:r>
      <w:r>
        <w:rPr>
          <w:rStyle w:val="FootnoteAnchor"/>
          <w:rtl w:val="true"/>
        </w:rPr>
        <w:footnoteReference w:id="1086"/>
      </w:r>
      <w:r>
        <w:rPr>
          <w:rFonts w:ascii="IRNazanin" w:hAnsi="IRNazanin" w:eastAsia="IRNazanin"/>
          <w:color w:val="111111"/>
          <w:sz w:val="28"/>
          <w:sz w:val="28"/>
          <w:szCs w:val="28"/>
          <w:rtl w:val="true"/>
          <w:lang w:bidi="fa-IR"/>
        </w:rPr>
        <w:t xml:space="preserve">، محقق اردبیلی </w:t>
      </w:r>
      <w:r>
        <w:rPr>
          <w:rStyle w:val="FootnoteAnchor"/>
          <w:rtl w:val="true"/>
        </w:rPr>
        <w:footnoteReference w:id="1087"/>
      </w:r>
      <w:r>
        <w:rPr>
          <w:rFonts w:ascii="IRNazanin" w:hAnsi="IRNazanin" w:eastAsia="IRNazanin"/>
          <w:color w:val="111111"/>
          <w:sz w:val="28"/>
          <w:sz w:val="28"/>
          <w:szCs w:val="28"/>
          <w:rtl w:val="true"/>
          <w:lang w:bidi="fa-IR"/>
        </w:rPr>
        <w:t>قائل به عدم بطلان اعتکاف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850" w:name="pg19115_195596"/>
    </w:p>
    <w:p>
      <w:pPr>
        <w:pStyle w:val="BookText"/>
        <w:rPr/>
      </w:pPr>
      <w:bookmarkEnd w:id="850"/>
      <w:r>
        <w:rPr>
          <w:rFonts w:ascii="IRNazanin" w:hAnsi="IRNazanin" w:eastAsia="IRNazanin"/>
          <w:color w:val="111111"/>
          <w:sz w:val="28"/>
          <w:sz w:val="28"/>
          <w:szCs w:val="28"/>
          <w:rtl w:val="true"/>
          <w:lang w:bidi="fa-IR"/>
        </w:rPr>
        <w:t>جمله ادله ای که می توان بر عدم بطلان اعتکاف اقامه کرد، استصحاب صحت اعتکاف و عدم دلیل بر بطلان اعتکاف در صورت بیع و شراء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فقیهان همانند محقق خویی رحمه الله دیدگاه سومی را برگزیده و تنها قائل به بطلان اعتکاف شده اند نه حرمت آن</w:t>
      </w:r>
      <w:r>
        <w:rPr>
          <w:rFonts w:eastAsia="IRNazanin" w:cs="IRNazanin"/>
          <w:color w:val="111111"/>
          <w:sz w:val="28"/>
          <w:szCs w:val="28"/>
          <w:rtl w:val="true"/>
          <w:lang w:bidi="fa-IR"/>
        </w:rPr>
        <w:t xml:space="preserve">. </w:t>
      </w:r>
      <w:r>
        <w:rPr>
          <w:rStyle w:val="FootnoteAnchor"/>
          <w:rtl w:val="true"/>
        </w:rPr>
        <w:footnoteReference w:id="1088"/>
      </w:r>
    </w:p>
    <w:p>
      <w:pPr>
        <w:pStyle w:val="Heading6"/>
        <w:numPr>
          <w:ilvl w:val="5"/>
          <w:numId w:val="1"/>
        </w:numPr>
        <w:rPr/>
      </w:pPr>
      <w:bookmarkStart w:id="851" w:name="__RefHeading___Toc15202834_1280447820"/>
      <w:bookmarkStart w:id="852" w:name="_Toc328"/>
      <w:bookmarkEnd w:id="851"/>
      <w:r>
        <w:rPr>
          <w:rtl w:val="true"/>
        </w:rPr>
        <w:t>دیدگاه اهل سنت</w:t>
      </w:r>
      <w:bookmarkEnd w:id="852"/>
    </w:p>
    <w:p>
      <w:pPr>
        <w:pStyle w:val="Heading6"/>
        <w:numPr>
          <w:ilvl w:val="5"/>
          <w:numId w:val="1"/>
        </w:numPr>
        <w:rPr/>
      </w:pPr>
      <w:bookmarkStart w:id="853" w:name="__RefHeading___Toc15202836_1280447820"/>
      <w:bookmarkStart w:id="854" w:name="_Toc329"/>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همه اهل سنّت معتقدند که اگر شخص معتکف به خاطر بیع و شراء از مسجد خارج شود اعتکاف او باطل است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لیکن بحث در آن است که آیا خرید و فروش یا سایر عقود در مسجد هنگام اعتکاف حرام است یا جایز؟</w:t>
      </w:r>
    </w:p>
    <w:p>
      <w:pPr>
        <w:pStyle w:val="Heading6"/>
        <w:numPr>
          <w:ilvl w:val="5"/>
          <w:numId w:val="1"/>
        </w:numPr>
        <w:rPr/>
      </w:pPr>
      <w:bookmarkStart w:id="855" w:name="__RefHeading___Toc15202838_1280447820"/>
      <w:bookmarkStart w:id="856" w:name="_Toc330"/>
      <w:bookmarkEnd w:id="855"/>
      <w:r>
        <w:rPr/>
        <w:t>1</w:t>
      </w:r>
      <w:r>
        <w:rPr>
          <w:rtl w:val="true"/>
        </w:rPr>
        <w:t xml:space="preserve">. </w:t>
      </w:r>
      <w:r>
        <w:rPr>
          <w:rtl w:val="true"/>
        </w:rPr>
        <w:t>مذهب حنفی</w:t>
      </w:r>
      <w:bookmarkEnd w:id="856"/>
    </w:p>
    <w:p>
      <w:pPr>
        <w:pStyle w:val="BookText"/>
        <w:rPr/>
      </w:pPr>
      <w:r>
        <w:rPr>
          <w:rFonts w:ascii="IRNazanin" w:hAnsi="IRNazanin" w:eastAsia="IRNazanin"/>
          <w:color w:val="111111"/>
          <w:sz w:val="28"/>
          <w:sz w:val="28"/>
          <w:szCs w:val="28"/>
          <w:rtl w:val="true"/>
          <w:lang w:bidi="fa-IR"/>
        </w:rPr>
        <w:t>حنفیها و همچنین شافعی ها معتقدند که عقد بیع و عقد نکاح برای معتکف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برطرف کردن احتیاجات خود معتکف،است کراهت هم ندارد، اما اگر برای تجارت است، کراهت دارد</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حنفی ها تصریح دارند به این که احضار مبیع در مسجد حرام است؛ زیرا شأن مسجد بالاتر از این امور است</w:t>
      </w:r>
      <w:r>
        <w:rPr>
          <w:rFonts w:eastAsia="IRNazanin" w:cs="IRNazanin"/>
          <w:color w:val="111111"/>
          <w:sz w:val="28"/>
          <w:szCs w:val="28"/>
          <w:rtl w:val="true"/>
          <w:lang w:bidi="fa-IR"/>
        </w:rPr>
        <w:t xml:space="preserve">. </w:t>
      </w:r>
      <w:r>
        <w:rPr>
          <w:rStyle w:val="FootnoteAnchor"/>
          <w:rtl w:val="true"/>
        </w:rPr>
        <w:footnoteReference w:id="1091"/>
      </w:r>
    </w:p>
    <w:p>
      <w:pPr>
        <w:pStyle w:val="Heading6"/>
        <w:numPr>
          <w:ilvl w:val="5"/>
          <w:numId w:val="1"/>
        </w:numPr>
        <w:rPr/>
      </w:pPr>
      <w:bookmarkStart w:id="857" w:name="__RefHeading___Toc15202840_1280447820"/>
      <w:bookmarkStart w:id="858" w:name="_Toc331"/>
      <w:bookmarkEnd w:id="857"/>
      <w:r>
        <w:rPr/>
        <w:t>2</w:t>
      </w:r>
      <w:r>
        <w:rPr>
          <w:rtl w:val="true"/>
        </w:rPr>
        <w:t xml:space="preserve">. </w:t>
      </w:r>
      <w:r>
        <w:rPr>
          <w:rtl w:val="true"/>
        </w:rPr>
        <w:t>مذهب شافعی</w:t>
      </w:r>
      <w:bookmarkEnd w:id="85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خیاطت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برای معتکف کراهت ندارد البته به شرط آن که زیاد نباشد اما اگر زیاد باشد کراهت دارد؛ چرا که </w:t>
      </w:r>
      <w:bookmarkStart w:id="859" w:name="pg19115_195597"/>
    </w:p>
    <w:p>
      <w:pPr>
        <w:pStyle w:val="BookText"/>
        <w:rPr/>
      </w:pPr>
      <w:bookmarkEnd w:id="859"/>
      <w:r>
        <w:rPr>
          <w:rFonts w:ascii="IRNazanin" w:hAnsi="IRNazanin" w:eastAsia="IRNazanin"/>
          <w:color w:val="111111"/>
          <w:sz w:val="28"/>
          <w:sz w:val="28"/>
          <w:szCs w:val="28"/>
          <w:rtl w:val="true"/>
          <w:lang w:bidi="fa-IR"/>
        </w:rPr>
        <w:t>مسجد احترام داشته و این کار با احترام مسجد منافات دارد به جز کتابت علم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زیاد از آن نیز کراهت ندارد؛ چرا که کتابت علم در حقیقت طاعتی است برای تعلیم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معتکف خیاطت و معاوضات دیگر مثل بيع و شراء را پیشه خود قرار دهد بدون آن که احتیاج داشته باشد در این صورت خیاطت کراهت دارد هر چند کم باشد</w:t>
      </w:r>
      <w:r>
        <w:rPr>
          <w:rFonts w:eastAsia="IRNazanin" w:cs="IRNazanin"/>
          <w:color w:val="111111"/>
          <w:sz w:val="28"/>
          <w:szCs w:val="28"/>
          <w:rtl w:val="true"/>
          <w:lang w:bidi="fa-IR"/>
        </w:rPr>
        <w:t xml:space="preserve">. </w:t>
      </w:r>
      <w:r>
        <w:rPr>
          <w:rStyle w:val="FootnoteAnchor"/>
          <w:rtl w:val="true"/>
        </w:rPr>
        <w:footnoteReference w:id="1092"/>
      </w:r>
    </w:p>
    <w:p>
      <w:pPr>
        <w:pStyle w:val="Heading6"/>
        <w:numPr>
          <w:ilvl w:val="5"/>
          <w:numId w:val="1"/>
        </w:numPr>
        <w:rPr/>
      </w:pPr>
      <w:bookmarkStart w:id="860" w:name="__RefHeading___Toc15202842_1280447820"/>
      <w:bookmarkStart w:id="861" w:name="_Toc332"/>
      <w:bookmarkEnd w:id="860"/>
      <w:r>
        <w:rPr/>
        <w:t>3</w:t>
      </w:r>
      <w:r>
        <w:rPr>
          <w:rtl w:val="true"/>
        </w:rPr>
        <w:t xml:space="preserve">. </w:t>
      </w:r>
      <w:r>
        <w:rPr>
          <w:rtl w:val="true"/>
        </w:rPr>
        <w:t>مذهب حنبلی</w:t>
      </w:r>
      <w:bookmarkEnd w:id="861"/>
    </w:p>
    <w:p>
      <w:pPr>
        <w:pStyle w:val="Heading6"/>
        <w:numPr>
          <w:ilvl w:val="5"/>
          <w:numId w:val="1"/>
        </w:numPr>
        <w:rPr/>
      </w:pPr>
      <w:bookmarkStart w:id="862" w:name="__RefHeading___Toc15202844_1280447820"/>
      <w:bookmarkStart w:id="863" w:name="_Toc333"/>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حنابله معتقدند که بیع و شراء برای معتکف جایز نیست مگر به خاطر ضرورتی که در این صورت باید در خارج از مسجد بدون آن که توقف کند، بیع و شراء را انجام دهد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ایشان می گویند درآمدزایی با انجام صنعت گری در مسجد حرام است مثل خیاطت و غیر آن و در حرمت آن فرقی میان کم یا زیاد احتیاج داشتن یا غیر آن وجود ندارد</w:t>
      </w:r>
      <w:r>
        <w:rPr>
          <w:rFonts w:eastAsia="IRNazanin" w:cs="IRNazanin"/>
          <w:color w:val="111111"/>
          <w:sz w:val="28"/>
          <w:szCs w:val="28"/>
          <w:rtl w:val="true"/>
          <w:lang w:bidi="fa-IR"/>
        </w:rPr>
        <w:t xml:space="preserve">. </w:t>
      </w:r>
      <w:r>
        <w:rPr>
          <w:rStyle w:val="FootnoteAnchor"/>
          <w:rtl w:val="true"/>
        </w:rPr>
        <w:footnoteReference w:id="1094"/>
      </w:r>
    </w:p>
    <w:p>
      <w:pPr>
        <w:pStyle w:val="Heading6"/>
        <w:numPr>
          <w:ilvl w:val="5"/>
          <w:numId w:val="1"/>
        </w:numPr>
        <w:rPr/>
      </w:pPr>
      <w:bookmarkStart w:id="864" w:name="__RefHeading___Toc15202846_1280447820"/>
      <w:bookmarkStart w:id="865" w:name="_Toc334"/>
      <w:bookmarkEnd w:id="864"/>
      <w:r>
        <w:rPr/>
        <w:t>4</w:t>
      </w:r>
      <w:r>
        <w:rPr>
          <w:rtl w:val="true"/>
        </w:rPr>
        <w:t xml:space="preserve">. </w:t>
      </w:r>
      <w:r>
        <w:rPr>
          <w:rtl w:val="true"/>
        </w:rPr>
        <w:t>مذهب مالکی</w:t>
      </w:r>
      <w:bookmarkEnd w:id="8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معتقدند که معتکف می تواند برای خود یا کسانی که تحت ولایت او هستند، عقد نکاح بخواند البته در داخل مسجد بدون آن که طول بکشد و گرنه مکروه است</w:t>
      </w:r>
      <w:r>
        <w:rPr>
          <w:rFonts w:eastAsia="IRNazanin" w:cs="IRNazanin"/>
          <w:color w:val="111111"/>
          <w:sz w:val="28"/>
          <w:szCs w:val="28"/>
          <w:rtl w:val="true"/>
          <w:lang w:bidi="fa-IR"/>
        </w:rPr>
        <w:t xml:space="preserve">. </w:t>
      </w:r>
      <w:r>
        <w:rPr>
          <w:rStyle w:val="FootnoteAnchor"/>
          <w:rtl w:val="true"/>
        </w:rPr>
        <w:footnoteReference w:id="1095"/>
      </w:r>
      <w:bookmarkStart w:id="866" w:name="pg19115_195598"/>
    </w:p>
    <w:p>
      <w:pPr>
        <w:pStyle w:val="BookText"/>
        <w:rPr/>
      </w:pPr>
      <w:bookmarkEnd w:id="866"/>
      <w:r>
        <w:rPr>
          <w:rFonts w:ascii="IRNazanin" w:hAnsi="IRNazanin" w:eastAsia="IRNazanin"/>
          <w:color w:val="111111"/>
          <w:sz w:val="28"/>
          <w:sz w:val="28"/>
          <w:szCs w:val="28"/>
          <w:rtl w:val="true"/>
          <w:lang w:bidi="fa-IR"/>
        </w:rPr>
        <w:t>ایشان می گویند کتابت برای معتکف هر چند قرآن یا نوشتن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صورت زیاد بودن کراهت دارد و اگر کم باشد کراهت ندارد هر چند ترک این کار بهتر است</w:t>
      </w:r>
      <w:r>
        <w:rPr>
          <w:rFonts w:eastAsia="IRNazanin" w:cs="IRNazanin"/>
          <w:color w:val="111111"/>
          <w:sz w:val="28"/>
          <w:szCs w:val="28"/>
          <w:rtl w:val="true"/>
          <w:lang w:bidi="fa-IR"/>
        </w:rPr>
        <w:t xml:space="preserve">. </w:t>
      </w:r>
      <w:r>
        <w:rPr>
          <w:rStyle w:val="FootnoteAnchor"/>
          <w:rtl w:val="true"/>
        </w:rPr>
        <w:footnoteReference w:id="1096"/>
      </w:r>
    </w:p>
    <w:p>
      <w:pPr>
        <w:pStyle w:val="Heading5"/>
        <w:numPr>
          <w:ilvl w:val="4"/>
          <w:numId w:val="1"/>
        </w:numPr>
        <w:rPr/>
      </w:pPr>
      <w:bookmarkStart w:id="867" w:name="__RefHeading___Toc15202848_1280447820"/>
      <w:bookmarkStart w:id="868" w:name="_Toc335"/>
      <w:bookmarkEnd w:id="867"/>
      <w:r>
        <w:rPr/>
        <w:t>4</w:t>
      </w:r>
      <w:r>
        <w:rPr>
          <w:rtl w:val="true"/>
        </w:rPr>
        <w:t xml:space="preserve">. </w:t>
      </w:r>
      <w:r>
        <w:rPr>
          <w:rtl w:val="true"/>
        </w:rPr>
        <w:t>بوییدن عطر و گلهای خوشبو</w:t>
      </w:r>
      <w:bookmarkEnd w:id="868"/>
    </w:p>
    <w:p>
      <w:pPr>
        <w:pStyle w:val="Heading6"/>
        <w:numPr>
          <w:ilvl w:val="5"/>
          <w:numId w:val="1"/>
        </w:numPr>
        <w:rPr/>
      </w:pPr>
      <w:bookmarkStart w:id="869" w:name="__RefHeading___Toc15202850_1280447820"/>
      <w:bookmarkStart w:id="870" w:name="_Toc336"/>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 xml:space="preserve">یکی دیگر از محرمات اعتکاف بوییدن عطر و گلهای خوشبو است که بیشتر فقیهان امامیه این کار را بر معتکف حرام می دانند، </w:t>
      </w:r>
      <w:r>
        <w:rPr>
          <w:rStyle w:val="FootnoteAnchor"/>
          <w:rtl w:val="true"/>
        </w:rPr>
        <w:footnoteReference w:id="1097"/>
      </w:r>
      <w:r>
        <w:rPr>
          <w:rFonts w:ascii="IRNazanin" w:hAnsi="IRNazanin" w:eastAsia="IRNazanin"/>
          <w:color w:val="111111"/>
          <w:sz w:val="28"/>
          <w:sz w:val="28"/>
          <w:szCs w:val="28"/>
          <w:rtl w:val="true"/>
          <w:lang w:bidi="fa-IR"/>
        </w:rPr>
        <w:t>لیکن شیخ طوسی رحمه الله در کتاب مبسوط قائل به جواز این کار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معتکف جایز است که عقد نکاح خوانده و درباره معیشت و شغل خود تأمل و فکر کرده و به حساب رسی برپردازد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از غذاهای پاک خورده و عطر استشمام کند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با این حال ایشان در دو کتاب خلاف </w:t>
      </w:r>
      <w:r>
        <w:rPr>
          <w:rStyle w:val="FootnoteAnchor"/>
          <w:rtl w:val="true"/>
        </w:rPr>
        <w:footnoteReference w:id="1099"/>
      </w:r>
      <w:r>
        <w:rPr>
          <w:rFonts w:ascii="IRNazanin" w:hAnsi="IRNazanin" w:eastAsia="IRNazanin"/>
          <w:color w:val="111111"/>
          <w:sz w:val="28"/>
          <w:sz w:val="28"/>
          <w:szCs w:val="28"/>
          <w:rtl w:val="true"/>
          <w:lang w:bidi="fa-IR"/>
        </w:rPr>
        <w:t xml:space="preserve">و نهایه </w:t>
      </w:r>
      <w:r>
        <w:rPr>
          <w:rStyle w:val="FootnoteAnchor"/>
          <w:rtl w:val="true"/>
        </w:rPr>
        <w:footnoteReference w:id="1100"/>
      </w:r>
      <w:r>
        <w:rPr>
          <w:rFonts w:ascii="IRNazanin" w:hAnsi="IRNazanin" w:eastAsia="IRNazanin"/>
          <w:color w:val="111111"/>
          <w:sz w:val="28"/>
          <w:sz w:val="28"/>
          <w:szCs w:val="28"/>
          <w:rtl w:val="true"/>
          <w:lang w:bidi="fa-IR"/>
        </w:rPr>
        <w:t>قائل به حرمت این عمل در حال اعتکاف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رحمه الله دیدگاه شیخ طوسی رحمه الله در مبسوط را واضح الضعف می داند؛ چرا که مرحوم شیخ در </w:t>
      </w:r>
    </w:p>
    <w:p>
      <w:pPr>
        <w:pStyle w:val="BookText"/>
        <w:rPr/>
      </w:pPr>
      <w:r>
        <w:rPr>
          <w:rFonts w:ascii="IRNazanin" w:hAnsi="IRNazanin" w:eastAsia="IRNazanin"/>
          <w:color w:val="111111"/>
          <w:sz w:val="28"/>
          <w:sz w:val="28"/>
          <w:szCs w:val="28"/>
          <w:rtl w:val="true"/>
          <w:lang w:bidi="fa-IR"/>
        </w:rPr>
        <w:t>کتاب خلاف ادعای اجماع بر حرمت این عمل کرده است</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از جمله ادله ای که حرمت این عمل استفاده می 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که شیخ طوسی رحمه الله در خلاف ادعا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ابوعبیده حذاء از امام باقر علیه السلام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معتکف، عطر را استشمام نمی کند و با استشمام گلهای خوشبو لذت نمی برد</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آن است که برخی از فقیهان همانند صاحب جواهر </w:t>
      </w:r>
      <w:r>
        <w:rPr>
          <w:rStyle w:val="FootnoteAnchor"/>
          <w:rtl w:val="true"/>
        </w:rPr>
        <w:footnoteReference w:id="1103"/>
      </w:r>
      <w:r>
        <w:rPr>
          <w:rFonts w:ascii="IRNazanin" w:hAnsi="IRNazanin" w:eastAsia="IRNazanin"/>
          <w:color w:val="111111"/>
          <w:sz w:val="28"/>
          <w:sz w:val="28"/>
          <w:szCs w:val="28"/>
          <w:rtl w:val="true"/>
          <w:lang w:bidi="fa-IR"/>
        </w:rPr>
        <w:t xml:space="preserve">و محقق خویی رحمه الله، </w:t>
      </w:r>
      <w:r>
        <w:rPr>
          <w:rStyle w:val="FootnoteAnchor"/>
          <w:rtl w:val="true"/>
        </w:rPr>
        <w:footnoteReference w:id="1104"/>
      </w:r>
      <w:r>
        <w:rPr>
          <w:rFonts w:ascii="IRNazanin" w:hAnsi="IRNazanin" w:eastAsia="IRNazanin"/>
          <w:color w:val="111111"/>
          <w:sz w:val="28"/>
          <w:sz w:val="28"/>
          <w:szCs w:val="28"/>
          <w:rtl w:val="true"/>
          <w:lang w:bidi="fa-IR"/>
        </w:rPr>
        <w:t>قصد لذت بردن را در حرمت این عمل شرط دانسته اند و گفته اند بوییدن عطر برای مثلاً اختبار نه به قصد تلذذ برای معتکف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فرقی میان اقسام عطر از این جهت که در لباس باشد یا در غذا یا در غیر اینها وجود ندارد </w:t>
      </w:r>
      <w:bookmarkStart w:id="871" w:name="pg19115_195600"/>
    </w:p>
    <w:p>
      <w:pPr>
        <w:pStyle w:val="Heading6"/>
        <w:numPr>
          <w:ilvl w:val="5"/>
          <w:numId w:val="1"/>
        </w:numPr>
        <w:rPr/>
      </w:pPr>
      <w:bookmarkStart w:id="872" w:name="__RefHeading___Toc15202852_1280447820"/>
      <w:bookmarkStart w:id="873" w:name="_Toc337"/>
      <w:bookmarkEnd w:id="871"/>
      <w:bookmarkEnd w:id="872"/>
      <w:r>
        <w:rPr>
          <w:rtl w:val="true"/>
        </w:rPr>
        <w:t>دیدگاه اهل سنت</w:t>
      </w:r>
      <w:bookmarkEnd w:id="873"/>
    </w:p>
    <w:p>
      <w:pPr>
        <w:pStyle w:val="BookText"/>
        <w:rPr/>
      </w:pPr>
      <w:r>
        <w:rPr>
          <w:rFonts w:ascii="IRNazanin" w:hAnsi="IRNazanin" w:eastAsia="IRNazanin"/>
          <w:color w:val="111111"/>
          <w:sz w:val="28"/>
          <w:sz w:val="28"/>
          <w:szCs w:val="28"/>
          <w:rtl w:val="true"/>
          <w:lang w:bidi="fa-IR"/>
        </w:rPr>
        <w:t>مالکی ها و شافعی های بر این باورند که استفاده از انواع عطر برای معتکف جایز است چه در شب باشد و چه در روز مالکی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چه زن باشد و چه مرد</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همچنین گرفتن ناخن و کوتاه کردن شوارب را نیز جایز می دانند، البته مالکیه جواز این کار را مقید کرده به این که معتکف هنگامی که برای عذری از مسجد خارج می شود این کار را خارج از مسجد انجام دهد اما تراشیدن سر مالکیه آن را برای معتکف مکروه می دانند مگر آن که ضرر داشته باشد که در این صورت حرام است</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شافعیه تصریح دارند به این که پوشیدن لباس نیکو هنگام اعتکاف جایز است؛ به دليل اصالة الاباحه</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حنابله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معتکف، از پوشیدن لباس بلند و همچنین لذت بردن از مباحاتی که قبل از اعتکاف لذت بردن از آنها جایز است، اجتناب کند و عطر زدن برای او کراهت دارد</w:t>
      </w:r>
      <w:r>
        <w:rPr>
          <w:rFonts w:eastAsia="IRNazanin" w:cs="IRNazanin"/>
          <w:color w:val="111111"/>
          <w:sz w:val="28"/>
          <w:szCs w:val="28"/>
          <w:rtl w:val="true"/>
          <w:lang w:bidi="fa-IR"/>
        </w:rPr>
        <w:t xml:space="preserve">. </w:t>
      </w:r>
      <w:r>
        <w:rPr>
          <w:rStyle w:val="FootnoteAnchor"/>
          <w:rtl w:val="true"/>
        </w:rPr>
        <w:footnoteReference w:id="1108"/>
      </w:r>
    </w:p>
    <w:p>
      <w:pPr>
        <w:pStyle w:val="Heading5"/>
        <w:numPr>
          <w:ilvl w:val="4"/>
          <w:numId w:val="1"/>
        </w:numPr>
        <w:rPr/>
      </w:pPr>
      <w:bookmarkStart w:id="874" w:name="__RefHeading___Toc15202854_1280447820"/>
      <w:bookmarkStart w:id="875" w:name="_Toc338"/>
      <w:bookmarkEnd w:id="874"/>
      <w:r>
        <w:rPr/>
        <w:t>5</w:t>
      </w:r>
      <w:r>
        <w:rPr>
          <w:rtl w:val="true"/>
        </w:rPr>
        <w:t xml:space="preserve">. </w:t>
      </w:r>
      <w:r>
        <w:rPr>
          <w:rtl w:val="true"/>
        </w:rPr>
        <w:t>بحث و مجادله کردن</w:t>
      </w:r>
      <w:bookmarkEnd w:id="875"/>
    </w:p>
    <w:p>
      <w:pPr>
        <w:pStyle w:val="Heading6"/>
        <w:numPr>
          <w:ilvl w:val="5"/>
          <w:numId w:val="1"/>
        </w:numPr>
        <w:rPr/>
      </w:pPr>
      <w:bookmarkStart w:id="876" w:name="__RefHeading___Toc15202856_1280447820"/>
      <w:bookmarkStart w:id="877" w:name="_Toc339"/>
      <w:bookmarkEnd w:id="876"/>
      <w:r>
        <w:rPr>
          <w:rtl w:val="true"/>
        </w:rPr>
        <w:t>اشاره</w:t>
      </w:r>
      <w:bookmarkEnd w:id="87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محرمات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ممارات در لغت به معنای مجادله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می باشد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شهید ثانی معنای اصطلاحی ممارات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بر یکی از امور دنیوی یا دینی است برای غالب شدن و اثبات برتری و فضیلت شخص بر دیگری همان گونه که بسیار اتفاق می افتد کسانی که نام خود را عالم می گذارند این گونه عمل می کنند که این عمل در غیر اعتکاف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هدف از جدال در مسئله،علمی اظهار حق و جلوگیری از اشتباه طرف مقابل باشد، از بالاترین طاعتها به شمار می آید،بنابراین مرز میان جدال مستحب و واجب با جدال حرام نیت شخص است</w:t>
      </w:r>
      <w:r>
        <w:rPr>
          <w:rFonts w:eastAsia="IRNazanin" w:cs="IRNazanin"/>
          <w:color w:val="111111"/>
          <w:sz w:val="28"/>
          <w:szCs w:val="28"/>
          <w:rtl w:val="true"/>
          <w:lang w:bidi="fa-IR"/>
        </w:rPr>
        <w:t xml:space="preserve">.» </w:t>
      </w:r>
      <w:r>
        <w:rPr>
          <w:rStyle w:val="FootnoteAnchor"/>
          <w:rtl w:val="true"/>
        </w:rPr>
        <w:footnoteReference w:id="111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1111"/>
      </w:r>
      <w:r>
        <w:rPr>
          <w:rFonts w:ascii="IRNazanin" w:hAnsi="IRNazanin" w:eastAsia="IRNazanin"/>
          <w:color w:val="111111"/>
          <w:sz w:val="28"/>
          <w:sz w:val="28"/>
          <w:szCs w:val="28"/>
          <w:rtl w:val="true"/>
          <w:lang w:bidi="fa-IR"/>
        </w:rPr>
        <w:t xml:space="preserve">و مرحوم حکیم </w:t>
      </w:r>
      <w:r>
        <w:rPr>
          <w:rStyle w:val="FootnoteAnchor"/>
          <w:rtl w:val="true"/>
        </w:rPr>
        <w:footnoteReference w:id="1112"/>
      </w:r>
      <w:r>
        <w:rPr>
          <w:rFonts w:ascii="IRNazanin" w:hAnsi="IRNazanin" w:eastAsia="IRNazanin"/>
          <w:color w:val="111111"/>
          <w:sz w:val="28"/>
          <w:sz w:val="28"/>
          <w:szCs w:val="28"/>
          <w:rtl w:val="true"/>
          <w:lang w:bidi="fa-IR"/>
        </w:rPr>
        <w:t>نیز درباره حرمت این عمل در اعتکاف،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ای که بر حرمت این عمل استناد شده است، روایت ابوعبیده حذاء از امام باقر علیه السلام است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معتکف باید از آن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13"/>
      </w:r>
      <w:bookmarkStart w:id="878" w:name="pg19115_195602"/>
    </w:p>
    <w:p>
      <w:pPr>
        <w:pStyle w:val="Heading6"/>
        <w:numPr>
          <w:ilvl w:val="5"/>
          <w:numId w:val="1"/>
        </w:numPr>
        <w:rPr/>
      </w:pPr>
      <w:bookmarkStart w:id="879" w:name="__RefHeading___Toc15202858_1280447820"/>
      <w:bookmarkStart w:id="880" w:name="_Toc340"/>
      <w:bookmarkEnd w:id="878"/>
      <w:bookmarkEnd w:id="879"/>
      <w:r>
        <w:rPr>
          <w:rtl w:val="true"/>
        </w:rPr>
        <w:t>دیدگاه اهل سنت</w:t>
      </w:r>
      <w:bookmarkEnd w:id="880"/>
    </w:p>
    <w:p>
      <w:pPr>
        <w:pStyle w:val="BookText"/>
        <w:rPr/>
      </w:pPr>
      <w:r>
        <w:rPr>
          <w:rFonts w:ascii="IRNazanin" w:hAnsi="IRNazanin" w:eastAsia="IRNazanin"/>
          <w:color w:val="111111"/>
          <w:sz w:val="28"/>
          <w:sz w:val="28"/>
          <w:szCs w:val="28"/>
          <w:rtl w:val="true"/>
          <w:lang w:bidi="fa-IR"/>
        </w:rPr>
        <w:t>حنابله می گویند مستحب است که معتکف مشغول به افعالی شود که موجب تقرب به خداوند است همانند نماز تلاوت قرآن و ذکر خداوند متعال همچنین مستحب است ترک اموری که هیچ فایده ای برای او ندارد همانند جدال و مراء و زیاد حرف زدن؛ چرا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اسلام المرء تركه ما لا يعنيه</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همچنین این کار در غیر اعتکاف نیز کراهت دارد، پس در اعتکاف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طریق اولی مکروه است</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حنفی ها معتقدند که اعتکاف با جدال کردن باطل نمی شود</w:t>
      </w:r>
      <w:r>
        <w:rPr>
          <w:rFonts w:eastAsia="IRNazanin" w:cs="IRNazanin"/>
          <w:color w:val="111111"/>
          <w:sz w:val="28"/>
          <w:szCs w:val="28"/>
          <w:rtl w:val="true"/>
          <w:lang w:bidi="fa-IR"/>
        </w:rPr>
        <w:t xml:space="preserve">. </w:t>
      </w:r>
      <w:r>
        <w:rPr>
          <w:rStyle w:val="FootnoteAnchor"/>
          <w:rtl w:val="true"/>
        </w:rPr>
        <w:footnoteReference w:id="1116"/>
      </w:r>
    </w:p>
    <w:p>
      <w:pPr>
        <w:pStyle w:val="Heading5"/>
        <w:numPr>
          <w:ilvl w:val="4"/>
          <w:numId w:val="1"/>
        </w:numPr>
        <w:rPr/>
      </w:pPr>
      <w:bookmarkStart w:id="881" w:name="__RefHeading___Toc15202860_1280447820"/>
      <w:bookmarkStart w:id="882" w:name="_Toc341"/>
      <w:bookmarkEnd w:id="881"/>
      <w:r>
        <w:rPr/>
        <w:t>6</w:t>
      </w:r>
      <w:r>
        <w:rPr>
          <w:rtl w:val="true"/>
        </w:rPr>
        <w:t xml:space="preserve">. </w:t>
      </w:r>
      <w:r>
        <w:rPr>
          <w:rtl w:val="true"/>
        </w:rPr>
        <w:t>انجام هر آنچه بر روزه دار حرام است</w:t>
      </w:r>
      <w:bookmarkEnd w:id="88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انجام آن بر روزه دار حرام است انجام آن بر معتکف نیز حرام می باشد؛ چرا که موجب بطلان روزه و در نتیجه بطلان اعتکاف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اموری از قبیل،خوردن،آشامیدن ارتماس و غیره در روز بر معتکف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اعتکاف واجب باشد مثل آن که با نذر یا قسم اعتکاف واجب شده باشد یا آن که در روز سوم اعتکاف باشد و یا آن که اعتکاف در ماه رمضان واقع شود</w:t>
      </w:r>
      <w:r>
        <w:rPr>
          <w:rFonts w:eastAsia="IRNazanin" w:cs="IRNazanin"/>
          <w:color w:val="111111"/>
          <w:sz w:val="28"/>
          <w:szCs w:val="28"/>
          <w:rtl w:val="true"/>
          <w:lang w:bidi="fa-IR"/>
        </w:rPr>
        <w:t xml:space="preserve">. </w:t>
      </w:r>
      <w:r>
        <w:rPr>
          <w:rStyle w:val="FootnoteAnchor"/>
          <w:rtl w:val="true"/>
        </w:rPr>
        <w:footnoteReference w:id="1117"/>
      </w:r>
      <w:bookmarkStart w:id="883" w:name="pg19115_195603"/>
    </w:p>
    <w:p>
      <w:pPr>
        <w:pStyle w:val="Heading3"/>
        <w:numPr>
          <w:ilvl w:val="2"/>
          <w:numId w:val="1"/>
        </w:numPr>
        <w:rPr/>
      </w:pPr>
      <w:bookmarkStart w:id="884" w:name="__RefHeading___Toc15202862_1280447820"/>
      <w:bookmarkStart w:id="885" w:name="_Toc342"/>
      <w:bookmarkEnd w:id="883"/>
      <w:bookmarkEnd w:id="884"/>
      <w:r>
        <w:rPr>
          <w:rtl w:val="true"/>
        </w:rPr>
        <w:t>فصل سوم</w:t>
      </w:r>
      <w:r>
        <w:rPr>
          <w:rtl w:val="true"/>
        </w:rPr>
        <w:t xml:space="preserve">: </w:t>
      </w:r>
      <w:r>
        <w:rPr>
          <w:rtl w:val="true"/>
        </w:rPr>
        <w:t>استفاده از مسجد جهت امور غیر مرتبط با کاربری مسجد</w:t>
      </w:r>
      <w:bookmarkEnd w:id="885"/>
    </w:p>
    <w:p>
      <w:pPr>
        <w:pStyle w:val="Heading4"/>
        <w:numPr>
          <w:ilvl w:val="3"/>
          <w:numId w:val="1"/>
        </w:numPr>
        <w:rPr/>
      </w:pPr>
      <w:bookmarkStart w:id="886" w:name="__RefHeading___Toc15202864_1280447820"/>
      <w:bookmarkStart w:id="887" w:name="_Toc343"/>
      <w:bookmarkEnd w:id="886"/>
      <w:r>
        <w:rPr>
          <w:rtl w:val="true"/>
        </w:rPr>
        <w:t>اشاره</w:t>
      </w:r>
      <w:bookmarkEnd w:id="887"/>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اجرای حدود در مسجد</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خواندن در مسجد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مکروهات مرتبط با کاربری مسجد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19115_195605"/>
      <w:bookmarkStart w:id="889" w:name="pg19115_195605"/>
      <w:bookmarkEnd w:id="889"/>
    </w:p>
    <w:p>
      <w:pPr>
        <w:pStyle w:val="Heading4"/>
        <w:numPr>
          <w:ilvl w:val="3"/>
          <w:numId w:val="1"/>
        </w:numPr>
        <w:rPr/>
      </w:pPr>
      <w:bookmarkStart w:id="890" w:name="pg19115_195605"/>
      <w:bookmarkStart w:id="891" w:name="__RefHeading___Toc15202866_1280447820"/>
      <w:bookmarkStart w:id="892" w:name="_Toc344"/>
      <w:bookmarkEnd w:id="890"/>
      <w:bookmarkEnd w:id="891"/>
      <w:r>
        <w:rPr>
          <w:rtl w:val="true"/>
        </w:rPr>
        <w:t>مبحث اول</w:t>
      </w:r>
      <w:r>
        <w:rPr>
          <w:rtl w:val="true"/>
        </w:rPr>
        <w:t xml:space="preserve">: </w:t>
      </w:r>
      <w:r>
        <w:rPr>
          <w:rtl w:val="true"/>
        </w:rPr>
        <w:t>قضاوت و اجرای حدود در مسجد</w:t>
      </w:r>
      <w:bookmarkEnd w:id="892"/>
    </w:p>
    <w:p>
      <w:pPr>
        <w:pStyle w:val="Heading5"/>
        <w:numPr>
          <w:ilvl w:val="4"/>
          <w:numId w:val="1"/>
        </w:numPr>
        <w:rPr/>
      </w:pPr>
      <w:bookmarkStart w:id="893" w:name="__RefHeading___Toc15202868_1280447820"/>
      <w:bookmarkStart w:id="894" w:name="_Toc345"/>
      <w:bookmarkEnd w:id="893"/>
      <w:r>
        <w:rPr>
          <w:rtl w:val="true"/>
        </w:rPr>
        <w:t>گفتار اول</w:t>
      </w:r>
      <w:r>
        <w:rPr>
          <w:rtl w:val="true"/>
        </w:rPr>
        <w:t xml:space="preserve">: </w:t>
      </w:r>
      <w:r>
        <w:rPr>
          <w:rtl w:val="true"/>
        </w:rPr>
        <w:t>قضاوت در مسجد</w:t>
      </w:r>
      <w:bookmarkEnd w:id="894"/>
    </w:p>
    <w:p>
      <w:pPr>
        <w:pStyle w:val="Heading6"/>
        <w:numPr>
          <w:ilvl w:val="5"/>
          <w:numId w:val="1"/>
        </w:numPr>
        <w:rPr/>
      </w:pPr>
      <w:bookmarkStart w:id="895" w:name="__RefHeading___Toc15202870_1280447820"/>
      <w:bookmarkStart w:id="896" w:name="_Toc346"/>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یکی از اعمال و رفتار مرتبط با مسجد که در کتب فقهی مورد بحث قرار گرفته و بسیاری از فقهای امامیه قائل به کراهت این عمل در مسجد شده اند قضاوت کردن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باید دید که مقصود از احکام که در روایات از آن نهی شده و در کلمات فقها از آن به إنفاذ الاحكام تعبير شده به چه معناست؟</w:t>
      </w:r>
    </w:p>
    <w:p>
      <w:pPr>
        <w:pStyle w:val="BookText"/>
        <w:rPr/>
      </w:pPr>
      <w:r>
        <w:rPr>
          <w:rFonts w:ascii="IRNazanin" w:hAnsi="IRNazanin" w:eastAsia="IRNazanin"/>
          <w:color w:val="111111"/>
          <w:sz w:val="28"/>
          <w:sz w:val="28"/>
          <w:szCs w:val="28"/>
          <w:rtl w:val="true"/>
          <w:lang w:bidi="fa-IR"/>
        </w:rPr>
        <w:t>روشن است که مقصود از این تعابیر بیان احکام شرعی مربوط به حدود و قضا و یادگیری آنها نیست؛ چرا که این کار در مسجد نه تنها کراهت ندارد، بلکه مطلوب نیز می باشد بلکه مراد قضاوت و حکم حاکم به معنای حل و فصل مخاصمات و قطع نزاع می باشد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به طور کلی چهار دیدگاه پیرامون قضاوت در مسجد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مطلقا،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كراهت مطلقا،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در صورتی که این کار در مسجد همیشگی باشد وگرنه مکروه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p>
    <w:p>
      <w:pPr>
        <w:pStyle w:val="Heading6"/>
        <w:numPr>
          <w:ilvl w:val="5"/>
          <w:numId w:val="1"/>
        </w:numPr>
        <w:rPr/>
      </w:pPr>
      <w:bookmarkStart w:id="897" w:name="__RefHeading___Toc15202872_1280447820"/>
      <w:bookmarkStart w:id="898" w:name="_Toc347"/>
      <w:bookmarkEnd w:id="897"/>
      <w:r>
        <w:rPr>
          <w:rtl w:val="true"/>
        </w:rPr>
        <w:t>الف</w:t>
      </w:r>
      <w:r>
        <w:rPr>
          <w:rtl w:val="true"/>
        </w:rPr>
        <w:t xml:space="preserve">) </w:t>
      </w:r>
      <w:r>
        <w:rPr>
          <w:rtl w:val="true"/>
        </w:rPr>
        <w:t>دیدگاه اول</w:t>
      </w:r>
      <w:r>
        <w:rPr>
          <w:rtl w:val="true"/>
        </w:rPr>
        <w:t xml:space="preserve">: </w:t>
      </w:r>
      <w:r>
        <w:rPr>
          <w:rtl w:val="true"/>
        </w:rPr>
        <w:t>کراهت</w:t>
      </w:r>
      <w:bookmarkEnd w:id="898"/>
    </w:p>
    <w:p>
      <w:pPr>
        <w:pStyle w:val="Heading6"/>
        <w:numPr>
          <w:ilvl w:val="5"/>
          <w:numId w:val="1"/>
        </w:numPr>
        <w:rPr/>
      </w:pPr>
      <w:bookmarkStart w:id="899" w:name="__RefHeading___Toc15202874_1280447820"/>
      <w:bookmarkStart w:id="900" w:name="_Toc348"/>
      <w:bookmarkEnd w:id="899"/>
      <w:r>
        <w:rPr>
          <w:rtl w:val="true"/>
        </w:rPr>
        <w:t>اشاره</w:t>
      </w:r>
      <w:bookmarkEnd w:id="90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فقیهان امامیه عده زیادی قائل به کراهت قضاوت کردن در مسجد شده اند که از جمله آنها عبارتند از؛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رحمه الله در مبسوط </w:t>
      </w:r>
      <w:r>
        <w:rPr>
          <w:rStyle w:val="FootnoteAnchor"/>
          <w:rtl w:val="true"/>
        </w:rPr>
        <w:footnoteReference w:id="1119"/>
      </w:r>
      <w:r>
        <w:rPr>
          <w:rFonts w:ascii="Amiri" w:hAnsi="Amiri" w:eastAsia="Amiri" w:cs="Amiri"/>
          <w:color w:val="111111"/>
          <w:sz w:val="28"/>
          <w:sz w:val="28"/>
          <w:szCs w:val="28"/>
          <w:rtl w:val="true"/>
          <w:lang w:bidi="ar-SA"/>
        </w:rPr>
        <w:t xml:space="preserve">و النهاية، </w:t>
      </w:r>
      <w:r>
        <w:rPr>
          <w:rStyle w:val="FootnoteAnchor"/>
          <w:rtl w:val="true"/>
        </w:rPr>
        <w:footnoteReference w:id="1120"/>
      </w:r>
      <w:r>
        <w:rPr>
          <w:rFonts w:ascii="IRNazanin" w:hAnsi="IRNazanin" w:eastAsia="IRNazanin"/>
          <w:color w:val="111111"/>
          <w:sz w:val="28"/>
          <w:sz w:val="28"/>
          <w:szCs w:val="28"/>
          <w:rtl w:val="true"/>
          <w:lang w:bidi="fa-IR"/>
        </w:rPr>
        <w:t xml:space="preserve">محقق حلی رحمه الله در شرائع الاسلام، </w:t>
      </w:r>
      <w:r>
        <w:rPr>
          <w:rStyle w:val="FootnoteAnchor"/>
          <w:rtl w:val="true"/>
        </w:rPr>
        <w:footnoteReference w:id="1121"/>
      </w:r>
      <w:r>
        <w:rPr>
          <w:rFonts w:ascii="IRNazanin" w:hAnsi="IRNazanin" w:eastAsia="IRNazanin"/>
          <w:color w:val="111111"/>
          <w:sz w:val="28"/>
          <w:sz w:val="28"/>
          <w:szCs w:val="28"/>
          <w:rtl w:val="true"/>
          <w:lang w:bidi="fa-IR"/>
        </w:rPr>
        <w:t xml:space="preserve">مختصر النافع </w:t>
      </w:r>
      <w:r>
        <w:rPr>
          <w:rStyle w:val="FootnoteAnchor"/>
          <w:rtl w:val="true"/>
        </w:rPr>
        <w:footnoteReference w:id="1122"/>
      </w:r>
      <w:r>
        <w:rPr>
          <w:rFonts w:ascii="IRNazanin" w:hAnsi="IRNazanin" w:eastAsia="IRNazanin"/>
          <w:color w:val="111111"/>
          <w:sz w:val="28"/>
          <w:sz w:val="28"/>
          <w:szCs w:val="28"/>
          <w:rtl w:val="true"/>
          <w:lang w:bidi="fa-IR"/>
        </w:rPr>
        <w:t xml:space="preserve">و معتبر، </w:t>
      </w:r>
      <w:r>
        <w:rPr>
          <w:rStyle w:val="FootnoteAnchor"/>
          <w:rtl w:val="true"/>
        </w:rPr>
        <w:footnoteReference w:id="1123"/>
      </w:r>
      <w:r>
        <w:rPr>
          <w:rFonts w:ascii="IRNazanin" w:hAnsi="IRNazanin" w:eastAsia="IRNazanin"/>
          <w:color w:val="111111"/>
          <w:sz w:val="28"/>
          <w:sz w:val="28"/>
          <w:szCs w:val="28"/>
          <w:rtl w:val="true"/>
          <w:lang w:bidi="fa-IR"/>
        </w:rPr>
        <w:t xml:space="preserve">علامه حلی رحمه الله در منتهی المطلب، </w:t>
      </w:r>
      <w:r>
        <w:rPr>
          <w:rStyle w:val="FootnoteAnchor"/>
          <w:rtl w:val="true"/>
        </w:rPr>
        <w:footnoteReference w:id="1124"/>
      </w:r>
      <w:r>
        <w:rPr>
          <w:rFonts w:ascii="IRNazanin" w:hAnsi="IRNazanin" w:eastAsia="IRNazanin"/>
          <w:color w:val="111111"/>
          <w:sz w:val="28"/>
          <w:sz w:val="28"/>
          <w:szCs w:val="28"/>
          <w:rtl w:val="true"/>
          <w:lang w:bidi="fa-IR"/>
        </w:rPr>
        <w:t xml:space="preserve">تحریر، </w:t>
      </w:r>
      <w:r>
        <w:rPr>
          <w:rStyle w:val="FootnoteAnchor"/>
          <w:rtl w:val="true"/>
        </w:rPr>
        <w:footnoteReference w:id="1125"/>
      </w:r>
      <w:r>
        <w:rPr>
          <w:rFonts w:ascii="Amiri" w:hAnsi="Amiri" w:eastAsia="Amiri" w:cs="Amiri"/>
          <w:color w:val="111111"/>
          <w:sz w:val="28"/>
          <w:sz w:val="28"/>
          <w:szCs w:val="28"/>
          <w:rtl w:val="true"/>
          <w:lang w:bidi="ar-SA"/>
        </w:rPr>
        <w:t xml:space="preserve">نهاية الإحكام، </w:t>
      </w:r>
      <w:r>
        <w:rPr>
          <w:rStyle w:val="FootnoteAnchor"/>
          <w:rtl w:val="true"/>
        </w:rPr>
        <w:footnoteReference w:id="1126"/>
      </w:r>
      <w:r>
        <w:rPr>
          <w:rFonts w:ascii="Amiri" w:hAnsi="Amiri" w:eastAsia="Amiri" w:cs="Amiri"/>
          <w:color w:val="111111"/>
          <w:sz w:val="28"/>
          <w:sz w:val="28"/>
          <w:szCs w:val="28"/>
          <w:rtl w:val="true"/>
          <w:lang w:bidi="ar-SA"/>
        </w:rPr>
        <w:t xml:space="preserve">تلخيص المرام </w:t>
      </w:r>
      <w:r>
        <w:rPr>
          <w:rStyle w:val="FootnoteAnchor"/>
          <w:rtl w:val="true"/>
        </w:rPr>
        <w:footnoteReference w:id="1127"/>
      </w:r>
      <w:r>
        <w:rPr>
          <w:rFonts w:ascii="Amiri" w:hAnsi="Amiri" w:eastAsia="Amiri" w:cs="Amiri"/>
          <w:color w:val="111111"/>
          <w:sz w:val="28"/>
          <w:sz w:val="28"/>
          <w:szCs w:val="28"/>
          <w:rtl w:val="true"/>
          <w:lang w:bidi="ar-SA"/>
        </w:rPr>
        <w:t xml:space="preserve">و تبصرة المتعلمين </w:t>
      </w:r>
      <w:r>
        <w:rPr>
          <w:rStyle w:val="FootnoteAnchor"/>
          <w:rtl w:val="true"/>
        </w:rPr>
        <w:footnoteReference w:id="1128"/>
      </w:r>
      <w:r>
        <w:rPr>
          <w:rFonts w:ascii="IRNazanin" w:hAnsi="IRNazanin" w:eastAsia="IRNazanin"/>
          <w:color w:val="111111"/>
          <w:sz w:val="28"/>
          <w:sz w:val="28"/>
          <w:szCs w:val="28"/>
          <w:rtl w:val="true"/>
          <w:lang w:bidi="fa-IR"/>
        </w:rPr>
        <w:t xml:space="preserve">و ارشاد الاذهان، </w:t>
      </w:r>
      <w:r>
        <w:rPr>
          <w:rStyle w:val="FootnoteAnchor"/>
          <w:rtl w:val="true"/>
        </w:rPr>
        <w:footnoteReference w:id="1129"/>
      </w:r>
      <w:r>
        <w:rPr>
          <w:rFonts w:ascii="IRNazanin" w:hAnsi="IRNazanin" w:eastAsia="IRNazanin"/>
          <w:color w:val="111111"/>
          <w:sz w:val="28"/>
          <w:sz w:val="28"/>
          <w:szCs w:val="28"/>
          <w:rtl w:val="true"/>
          <w:lang w:bidi="fa-IR"/>
        </w:rPr>
        <w:t xml:space="preserve">شهید اول رحمه الله در دروس </w:t>
      </w:r>
      <w:r>
        <w:rPr>
          <w:rStyle w:val="FootnoteAnchor"/>
          <w:rtl w:val="true"/>
        </w:rPr>
        <w:footnoteReference w:id="1130"/>
      </w:r>
      <w:r>
        <w:rPr>
          <w:rFonts w:ascii="Amiri" w:hAnsi="Amiri" w:eastAsia="Amiri" w:cs="Amiri"/>
          <w:color w:val="111111"/>
          <w:sz w:val="28"/>
          <w:sz w:val="28"/>
          <w:szCs w:val="28"/>
          <w:rtl w:val="true"/>
          <w:lang w:bidi="ar-SA"/>
        </w:rPr>
        <w:t xml:space="preserve">لمعة </w:t>
      </w:r>
      <w:r>
        <w:rPr>
          <w:rStyle w:val="FootnoteAnchor"/>
          <w:rtl w:val="true"/>
        </w:rPr>
        <w:footnoteReference w:id="1131"/>
      </w:r>
      <w:r>
        <w:rPr>
          <w:rFonts w:ascii="IRNazanin" w:hAnsi="IRNazanin" w:eastAsia="IRNazanin"/>
          <w:color w:val="111111"/>
          <w:sz w:val="28"/>
          <w:sz w:val="28"/>
          <w:szCs w:val="28"/>
          <w:rtl w:val="true"/>
          <w:lang w:bidi="fa-IR"/>
        </w:rPr>
        <w:t xml:space="preserve">و نفلیه، </w:t>
      </w:r>
      <w:r>
        <w:rPr>
          <w:rStyle w:val="FootnoteAnchor"/>
          <w:rtl w:val="true"/>
        </w:rPr>
        <w:footnoteReference w:id="1132"/>
      </w:r>
      <w:r>
        <w:rPr>
          <w:rFonts w:ascii="IRNazanin" w:hAnsi="IRNazanin" w:eastAsia="IRNazanin"/>
          <w:color w:val="111111"/>
          <w:sz w:val="28"/>
          <w:sz w:val="28"/>
          <w:szCs w:val="28"/>
          <w:rtl w:val="true"/>
          <w:lang w:bidi="fa-IR"/>
        </w:rPr>
        <w:t xml:space="preserve">شهید ثانی رحمه الله در مسالک، </w:t>
      </w:r>
      <w:r>
        <w:rPr>
          <w:rStyle w:val="FootnoteAnchor"/>
          <w:rtl w:val="true"/>
        </w:rPr>
        <w:footnoteReference w:id="1133"/>
      </w:r>
      <w:r>
        <w:rPr>
          <w:rFonts w:ascii="IRNazanin" w:hAnsi="IRNazanin" w:eastAsia="IRNazanin"/>
          <w:color w:val="111111"/>
          <w:sz w:val="28"/>
          <w:sz w:val="28"/>
          <w:szCs w:val="28"/>
          <w:rtl w:val="true"/>
          <w:lang w:bidi="fa-IR"/>
        </w:rPr>
        <w:t>محقق اردبیلی رحمه الله در مجمع الفائده و البرهان،</w:t>
      </w:r>
      <w:r>
        <w:rPr>
          <w:rStyle w:val="FootnoteAnchor"/>
          <w:rtl w:val="true"/>
        </w:rPr>
        <w:footnoteReference w:id="1134"/>
      </w:r>
      <w:r>
        <w:rPr>
          <w:rFonts w:ascii="IRNazanin" w:hAnsi="IRNazanin" w:eastAsia="IRNazanin"/>
          <w:color w:val="111111"/>
          <w:sz w:val="28"/>
          <w:sz w:val="28"/>
          <w:szCs w:val="28"/>
          <w:rtl w:val="true"/>
          <w:lang w:bidi="fa-IR"/>
        </w:rPr>
        <w:t xml:space="preserve">مرحوم سبزواری در کفایه الاحکام </w:t>
      </w:r>
      <w:r>
        <w:rPr>
          <w:rStyle w:val="FootnoteAnchor"/>
          <w:rtl w:val="true"/>
        </w:rPr>
        <w:footnoteReference w:id="1135"/>
      </w:r>
      <w:r>
        <w:rPr>
          <w:rFonts w:ascii="IRNazanin" w:hAnsi="IRNazanin" w:eastAsia="IRNazanin"/>
          <w:color w:val="111111"/>
          <w:sz w:val="28"/>
          <w:sz w:val="28"/>
          <w:szCs w:val="28"/>
          <w:rtl w:val="true"/>
          <w:lang w:bidi="fa-IR"/>
        </w:rPr>
        <w:t>و دیگر کتب فقهی</w:t>
      </w:r>
      <w:r>
        <w:rPr>
          <w:rFonts w:eastAsia="IRNazanin" w:cs="IRNazanin"/>
          <w:color w:val="111111"/>
          <w:sz w:val="28"/>
          <w:szCs w:val="28"/>
          <w:rtl w:val="true"/>
          <w:lang w:bidi="fa-IR"/>
        </w:rPr>
        <w:t xml:space="preserve">. </w:t>
      </w:r>
      <w:r>
        <w:rPr>
          <w:rStyle w:val="FootnoteAnchor"/>
          <w:rtl w:val="true"/>
        </w:rPr>
        <w:footnoteReference w:id="1136"/>
      </w:r>
      <w:bookmarkStart w:id="901" w:name="pg19115_195607"/>
    </w:p>
    <w:p>
      <w:pPr>
        <w:pStyle w:val="Heading6"/>
        <w:numPr>
          <w:ilvl w:val="5"/>
          <w:numId w:val="1"/>
        </w:numPr>
        <w:rPr/>
      </w:pPr>
      <w:bookmarkStart w:id="902" w:name="__RefHeading___Toc15202876_1280447820"/>
      <w:bookmarkStart w:id="903" w:name="_Toc349"/>
      <w:bookmarkEnd w:id="901"/>
      <w:bookmarkEnd w:id="902"/>
      <w:r>
        <w:rPr>
          <w:rtl w:val="true"/>
        </w:rPr>
        <w:t>ادله دیدگاه نخست</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حضرت فرمود در،مساجدتان از قضاوت کردن و اجرای حدود خودداری کنید</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شبیه به این روایت از پیامبر اکرم صلی الله علیه و آله نیز نقل شده است</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تعلیلی که در برخی از روایت وارد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بنيَت</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انّما وُضِعَت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0"/>
      </w:r>
      <w:r>
        <w:rPr>
          <w:rFonts w:ascii="IRNazanin" w:hAnsi="IRNazanin" w:eastAsia="IRNazanin"/>
          <w:color w:val="111111"/>
          <w:sz w:val="28"/>
          <w:sz w:val="28"/>
          <w:szCs w:val="28"/>
          <w:rtl w:val="true"/>
          <w:lang w:bidi="fa-IR"/>
        </w:rPr>
        <w:t>چرا که هدف اصلی از بنای مسجد در شریعت اسلامی، اختصاص محلی برای،پرستش عبادت و یاد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قضاوت کردن هر چند از شرافت و ارزش والایی برخوردار است اما انجام آن در مسجد با این هدف اصلی منافات داشته و در نتیجه مکروه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کردن در مسجد معمولاً به همراه مشاجره و بالا بردن صداست که انجام این امور در خصوص مسجد نهی شده و مناسب با جایگاه مسجد نیست</w:t>
      </w:r>
      <w:r>
        <w:rPr>
          <w:rFonts w:eastAsia="IRNazanin" w:cs="IRNazanin"/>
          <w:color w:val="111111"/>
          <w:sz w:val="28"/>
          <w:szCs w:val="28"/>
          <w:rtl w:val="true"/>
          <w:lang w:bidi="fa-IR"/>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توجه به دو نکته که صاحب جواهر رحمه الله به آن اشاره دارد در اینجا لازم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احتیاط در رعایت قول به کراهت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قضاوت پیامبر صلی الله علیه و آله و حضرت امیر علیه السلام با قضاوت دیگران متفاوت است؛ چرا که ایشان مصون از خطا و اشتباه در واقع هستند و حکمی به غیر حکم الهی نمی کنند و در حکم کردن اتباع شهوات نمی کنند خلاف ما که از هیچ یک از این مسائل در امان نیستیم</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اشارهبرخی از فقها، قائل به عدم کراهت قضاوت در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فقیهان عبارتند از؛ شیخ طوسی رحمه الله در خلاف </w:t>
      </w:r>
      <w:r>
        <w:rPr>
          <w:rStyle w:val="FootnoteAnchor"/>
          <w:rtl w:val="true"/>
        </w:rPr>
        <w:footnoteReference w:id="1143"/>
      </w:r>
      <w:r>
        <w:rPr>
          <w:rFonts w:ascii="IRNazanin" w:hAnsi="IRNazanin" w:eastAsia="IRNazanin"/>
          <w:color w:val="111111"/>
          <w:sz w:val="28"/>
          <w:sz w:val="28"/>
          <w:szCs w:val="28"/>
          <w:rtl w:val="true"/>
          <w:lang w:bidi="fa-IR"/>
        </w:rPr>
        <w:t xml:space="preserve">و در باب قضاء کتاب مبسوط، </w:t>
      </w:r>
      <w:r>
        <w:rPr>
          <w:rStyle w:val="FootnoteAnchor"/>
          <w:rtl w:val="true"/>
        </w:rPr>
        <w:footnoteReference w:id="1144"/>
      </w:r>
      <w:r>
        <w:rPr>
          <w:rFonts w:ascii="IRNazanin" w:hAnsi="IRNazanin" w:eastAsia="IRNazanin"/>
          <w:color w:val="111111"/>
          <w:sz w:val="28"/>
          <w:sz w:val="28"/>
          <w:szCs w:val="28"/>
          <w:rtl w:val="true"/>
          <w:lang w:bidi="fa-IR"/>
        </w:rPr>
        <w:t xml:space="preserve">ابن ادریس در سرائر، </w:t>
      </w:r>
      <w:r>
        <w:rPr>
          <w:rStyle w:val="FootnoteAnchor"/>
          <w:rtl w:val="true"/>
        </w:rPr>
        <w:footnoteReference w:id="1145"/>
      </w:r>
      <w:r>
        <w:rPr>
          <w:rFonts w:ascii="IRNazanin" w:hAnsi="IRNazanin" w:eastAsia="IRNazanin"/>
          <w:color w:val="111111"/>
          <w:sz w:val="28"/>
          <w:sz w:val="28"/>
          <w:szCs w:val="28"/>
          <w:rtl w:val="true"/>
          <w:lang w:bidi="fa-IR"/>
        </w:rPr>
        <w:t xml:space="preserve">علامه حلی رحمه الله در مختلف الشيعة، </w:t>
      </w:r>
      <w:r>
        <w:rPr>
          <w:rStyle w:val="FootnoteAnchor"/>
          <w:rtl w:val="true"/>
        </w:rPr>
        <w:footnoteReference w:id="1146"/>
      </w:r>
      <w:r>
        <w:rPr>
          <w:rFonts w:ascii="IRNazanin" w:hAnsi="IRNazanin" w:eastAsia="IRNazanin"/>
          <w:color w:val="111111"/>
          <w:sz w:val="28"/>
          <w:sz w:val="28"/>
          <w:szCs w:val="28"/>
          <w:rtl w:val="true"/>
          <w:lang w:bidi="fa-IR"/>
        </w:rPr>
        <w:t xml:space="preserve">محقق ثانى رحمه الله در جامع المقاصد </w:t>
      </w:r>
      <w:r>
        <w:rPr>
          <w:rStyle w:val="FootnoteAnchor"/>
          <w:rtl w:val="true"/>
        </w:rPr>
        <w:footnoteReference w:id="1147"/>
      </w:r>
      <w:r>
        <w:rPr>
          <w:rFonts w:ascii="IRNazanin" w:hAnsi="IRNazanin" w:eastAsia="IRNazanin"/>
          <w:color w:val="111111"/>
          <w:sz w:val="28"/>
          <w:sz w:val="28"/>
          <w:szCs w:val="28"/>
          <w:rtl w:val="true"/>
          <w:lang w:bidi="fa-IR"/>
        </w:rPr>
        <w:t xml:space="preserve">صاحب جواهر رحمه الله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باید توجه داشت همان گونه که سید عاملی رحمه الله در مفتاح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گوید قائل به کراهت مطلقاً یعنی چه قضاوت به صورت دائمی در مسجد و چه قضاوت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اوقات بسیار کم است</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دیدگاه دوم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کردن از امور عبادی است و مسجد نیز محل چنین اموری است</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محلی به نام 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آن، امیرالمؤمنین علی علیه السلام به قضاوت و صدور حکم می پرداخته است</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در این نیست که پیامبر صلی الله علیه و آله در مسجد، به قضاوت می پرداخت و حال آن که اگر قضاوت در مسجد کراهت داشت پیامبر صلی الله علیه و آله و این کار را در مسجد انجام نمی داد</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طرفین دعوا به مشاجره و تکذیب یکدیگر پرداخته و صدای خود را بالا می برند با این که از این کار نهی شدهاند اقتضای کراهت قضاوت کردن در مسجد را برای حاکم ندارد در حالی که انفاذ حکم برای حاکم، في نفسه مستحب یا واجب است قضاوت معروف حضرت داود علیه السلام نیز در مسجد بوده است</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کشف اللثام </w:t>
      </w:r>
      <w:r>
        <w:rPr>
          <w:rStyle w:val="FootnoteAnchor"/>
          <w:rtl w:val="true"/>
        </w:rPr>
        <w:footnoteReference w:id="1154"/>
      </w:r>
      <w:r>
        <w:rPr>
          <w:rFonts w:ascii="IRNazanin" w:hAnsi="IRNazanin" w:eastAsia="IRNazanin"/>
          <w:color w:val="111111"/>
          <w:sz w:val="28"/>
          <w:sz w:val="28"/>
          <w:szCs w:val="28"/>
          <w:rtl w:val="true"/>
          <w:lang w:bidi="fa-IR"/>
        </w:rPr>
        <w:t>نقل شده که امیر المؤمنین علیه السلام آگاهی یافت بر این که شریح قاضی، در خانه خود به قضاوت می پردازد حضرت او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در مسجد بنشین و قضاوت کن؛ چرا که در خانه نشستن، موجب وهن</w:t>
      </w:r>
      <w:r>
        <w:rPr>
          <w:rFonts w:eastAsia="IRNazanin" w:cs="IRNazanin"/>
          <w:color w:val="111111"/>
          <w:sz w:val="28"/>
          <w:szCs w:val="28"/>
          <w:rtl w:val="true"/>
          <w:lang w:bidi="fa-IR"/>
        </w:rPr>
        <w:t xml:space="preserve">) </w:t>
      </w:r>
      <w:bookmarkStart w:id="904" w:name="pg19115_195610"/>
    </w:p>
    <w:p>
      <w:pPr>
        <w:pStyle w:val="BookText"/>
        <w:rPr/>
      </w:pPr>
      <w:bookmarkEnd w:id="904"/>
      <w:r>
        <w:rPr>
          <w:rFonts w:ascii="IRNazanin" w:hAnsi="IRNazanin" w:eastAsia="IRNazanin"/>
          <w:color w:val="111111"/>
          <w:sz w:val="28"/>
          <w:sz w:val="28"/>
          <w:szCs w:val="28"/>
          <w:rtl w:val="true"/>
          <w:lang w:bidi="fa-IR"/>
        </w:rPr>
        <w:t>قاضی می شود</w:t>
      </w:r>
      <w:r>
        <w:rPr>
          <w:rFonts w:eastAsia="IRNazanin" w:cs="IRNazanin"/>
          <w:color w:val="111111"/>
          <w:sz w:val="28"/>
          <w:szCs w:val="28"/>
          <w:rtl w:val="true"/>
          <w:lang w:bidi="fa-IR"/>
        </w:rPr>
        <w:t xml:space="preserve">.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ذکر آن است که علاوه بر این دو دیدگاه دو قول دیگر نیز پیرامون قضاوت کردن در مسجد میان فقها وجود دارد؛</w:t>
      </w:r>
    </w:p>
    <w:p>
      <w:pPr>
        <w:pStyle w:val="Heading6"/>
        <w:numPr>
          <w:ilvl w:val="5"/>
          <w:numId w:val="1"/>
        </w:numPr>
        <w:rPr/>
      </w:pPr>
      <w:bookmarkStart w:id="905" w:name="__RefHeading___Toc15202878_1280447820"/>
      <w:bookmarkStart w:id="906" w:name="_Toc350"/>
      <w:bookmarkEnd w:id="905"/>
      <w:r>
        <w:rPr>
          <w:rtl w:val="true"/>
        </w:rPr>
        <w:t>ج</w:t>
      </w:r>
      <w:r>
        <w:rPr>
          <w:rtl w:val="true"/>
        </w:rPr>
        <w:t xml:space="preserve">) </w:t>
      </w:r>
      <w:r>
        <w:rPr>
          <w:rtl w:val="true"/>
        </w:rPr>
        <w:t>دیدگاه سوم</w:t>
      </w:r>
      <w:r>
        <w:rPr>
          <w:rtl w:val="true"/>
        </w:rPr>
        <w:t xml:space="preserve">: </w:t>
      </w:r>
      <w:r>
        <w:rPr>
          <w:rtl w:val="true"/>
        </w:rPr>
        <w:t>تفصیل</w:t>
      </w:r>
      <w:bookmarkEnd w:id="906"/>
    </w:p>
    <w:p>
      <w:pPr>
        <w:pStyle w:val="BookText"/>
        <w:rPr/>
      </w:pPr>
      <w:r>
        <w:rPr>
          <w:rFonts w:ascii="IRNazanin" w:hAnsi="IRNazanin" w:eastAsia="IRNazanin"/>
          <w:color w:val="111111"/>
          <w:sz w:val="28"/>
          <w:sz w:val="28"/>
          <w:szCs w:val="28"/>
          <w:rtl w:val="true"/>
          <w:lang w:bidi="fa-IR"/>
        </w:rPr>
        <w:t xml:space="preserve">برخی بر این باورند که اگر قضاوت در مسجد همیشگی باشد یعنی مسجد را به عنوان محلی برای قضاوت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کراهت دارد و گرنه برای چند مرتبه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فقیهانی که این دیدگاه را پذیرفته اند عبارتند از؛</w:t>
      </w:r>
    </w:p>
    <w:p>
      <w:pPr>
        <w:pStyle w:val="BookText"/>
        <w:rPr/>
      </w:pPr>
      <w:r>
        <w:rPr>
          <w:rFonts w:ascii="IRNazanin" w:hAnsi="IRNazanin" w:eastAsia="IRNazanin"/>
          <w:color w:val="111111"/>
          <w:sz w:val="28"/>
          <w:sz w:val="28"/>
          <w:szCs w:val="28"/>
          <w:rtl w:val="true"/>
          <w:lang w:bidi="fa-IR"/>
        </w:rPr>
        <w:t>علامه حلی رحمه الله در قواعد الاحکام،</w:t>
      </w:r>
      <w:r>
        <w:rPr>
          <w:rStyle w:val="FootnoteAnchor"/>
          <w:rtl w:val="true"/>
        </w:rPr>
        <w:footnoteReference w:id="1156"/>
      </w:r>
      <w:r>
        <w:rPr>
          <w:rFonts w:ascii="IRNazanin" w:hAnsi="IRNazanin" w:eastAsia="IRNazanin"/>
          <w:color w:val="111111"/>
          <w:sz w:val="28"/>
          <w:sz w:val="28"/>
          <w:szCs w:val="28"/>
          <w:rtl w:val="true"/>
          <w:lang w:bidi="fa-IR"/>
        </w:rPr>
        <w:t xml:space="preserve">مرحوم فیض در مفاتيح الشرائع، </w:t>
      </w:r>
      <w:r>
        <w:rPr>
          <w:rStyle w:val="FootnoteAnchor"/>
          <w:rtl w:val="true"/>
        </w:rPr>
        <w:footnoteReference w:id="1157"/>
      </w:r>
      <w:r>
        <w:rPr>
          <w:rFonts w:ascii="IRNazanin" w:hAnsi="IRNazanin" w:eastAsia="IRNazanin"/>
          <w:color w:val="111111"/>
          <w:sz w:val="28"/>
          <w:sz w:val="28"/>
          <w:szCs w:val="28"/>
          <w:rtl w:val="true"/>
          <w:lang w:bidi="fa-IR"/>
        </w:rPr>
        <w:t xml:space="preserve">شهید اول رحمه الله در البیان، </w:t>
      </w:r>
      <w:r>
        <w:rPr>
          <w:rStyle w:val="FootnoteAnchor"/>
          <w:rtl w:val="true"/>
        </w:rPr>
        <w:footnoteReference w:id="1158"/>
      </w:r>
      <w:r>
        <w:rPr>
          <w:rFonts w:ascii="IRNazanin" w:hAnsi="IRNazanin" w:eastAsia="IRNazanin"/>
          <w:color w:val="111111"/>
          <w:sz w:val="28"/>
          <w:sz w:val="28"/>
          <w:szCs w:val="28"/>
          <w:rtl w:val="true"/>
          <w:lang w:bidi="fa-IR"/>
        </w:rPr>
        <w:t xml:space="preserve">شهید ثانی رحمه الله در حاشیه الارشاد، </w:t>
      </w:r>
      <w:r>
        <w:rPr>
          <w:rStyle w:val="FootnoteAnchor"/>
          <w:rtl w:val="true"/>
        </w:rPr>
        <w:footnoteReference w:id="1159"/>
      </w:r>
      <w:r>
        <w:rPr>
          <w:rFonts w:ascii="IRNazanin" w:hAnsi="IRNazanin" w:eastAsia="IRNazanin"/>
          <w:color w:val="111111"/>
          <w:sz w:val="28"/>
          <w:sz w:val="28"/>
          <w:szCs w:val="28"/>
          <w:rtl w:val="true"/>
          <w:lang w:bidi="fa-IR"/>
        </w:rPr>
        <w:t>فاضل هندی در کشف اللثام،</w:t>
      </w:r>
      <w:r>
        <w:rPr>
          <w:rStyle w:val="FootnoteAnchor"/>
          <w:rtl w:val="true"/>
        </w:rPr>
        <w:footnoteReference w:id="1160"/>
      </w:r>
      <w:r>
        <w:rPr>
          <w:rFonts w:ascii="IRNazanin" w:hAnsi="IRNazanin" w:eastAsia="IRNazanin"/>
          <w:color w:val="111111"/>
          <w:sz w:val="28"/>
          <w:sz w:val="28"/>
          <w:szCs w:val="28"/>
          <w:rtl w:val="true"/>
          <w:lang w:bidi="fa-IR"/>
        </w:rPr>
        <w:t>سید یزدی رحمه الله در عروه</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نیز معتقدند که انجام قضاوت در مسجد نه تنها مکروه نیست، بلکه </w:t>
      </w:r>
      <w:bookmarkStart w:id="907" w:name="pg19115_195611"/>
    </w:p>
    <w:p>
      <w:pPr>
        <w:pStyle w:val="BookText"/>
        <w:rPr/>
      </w:pPr>
      <w:bookmarkEnd w:id="907"/>
      <w:r>
        <w:rPr>
          <w:rFonts w:ascii="IRNazanin" w:hAnsi="IRNazanin" w:eastAsia="IRNazanin"/>
          <w:color w:val="111111"/>
          <w:sz w:val="28"/>
          <w:sz w:val="28"/>
          <w:szCs w:val="28"/>
          <w:rtl w:val="true"/>
          <w:lang w:bidi="fa-IR"/>
        </w:rPr>
        <w:t xml:space="preserve">مستحب می باشد از جمله این فقها عبارتند از؛ شیخ مفید رحمه الله در المقنعة، </w:t>
      </w:r>
      <w:r>
        <w:rPr>
          <w:rStyle w:val="FootnoteAnchor"/>
          <w:rtl w:val="true"/>
        </w:rPr>
        <w:footnoteReference w:id="1163"/>
      </w:r>
      <w:r>
        <w:rPr>
          <w:rFonts w:ascii="IRNazanin" w:hAnsi="IRNazanin" w:eastAsia="IRNazanin"/>
          <w:color w:val="111111"/>
          <w:sz w:val="28"/>
          <w:sz w:val="28"/>
          <w:szCs w:val="28"/>
          <w:rtl w:val="true"/>
          <w:lang w:bidi="fa-IR"/>
        </w:rPr>
        <w:t xml:space="preserve">ابو الصلاح حلبی در الکافی فی الفقه، </w:t>
      </w:r>
      <w:r>
        <w:rPr>
          <w:rStyle w:val="FootnoteAnchor"/>
          <w:rtl w:val="true"/>
        </w:rPr>
        <w:footnoteReference w:id="1164"/>
      </w:r>
      <w:r>
        <w:rPr>
          <w:rFonts w:ascii="IRNazanin" w:hAnsi="IRNazanin" w:eastAsia="IRNazanin"/>
          <w:color w:val="111111"/>
          <w:sz w:val="28"/>
          <w:sz w:val="28"/>
          <w:szCs w:val="28"/>
          <w:rtl w:val="true"/>
          <w:lang w:bidi="fa-IR"/>
        </w:rPr>
        <w:t xml:space="preserve">مرحوم سلّار در مراسم، </w:t>
      </w:r>
      <w:r>
        <w:rPr>
          <w:rStyle w:val="FootnoteAnchor"/>
          <w:rtl w:val="true"/>
        </w:rPr>
        <w:footnoteReference w:id="1165"/>
      </w:r>
      <w:r>
        <w:rPr>
          <w:rFonts w:ascii="IRNazanin" w:hAnsi="IRNazanin" w:eastAsia="IRNazanin"/>
          <w:color w:val="111111"/>
          <w:sz w:val="28"/>
          <w:sz w:val="28"/>
          <w:szCs w:val="28"/>
          <w:rtl w:val="true"/>
          <w:lang w:bidi="fa-IR"/>
        </w:rPr>
        <w:t xml:space="preserve">قطب راوندی، </w:t>
      </w:r>
      <w:r>
        <w:rPr>
          <w:rStyle w:val="FootnoteAnchor"/>
          <w:rtl w:val="true"/>
        </w:rPr>
        <w:footnoteReference w:id="1166"/>
      </w:r>
      <w:r>
        <w:rPr>
          <w:rFonts w:ascii="IRNazanin" w:hAnsi="IRNazanin" w:eastAsia="IRNazanin"/>
          <w:color w:val="111111"/>
          <w:sz w:val="28"/>
          <w:sz w:val="28"/>
          <w:szCs w:val="28"/>
          <w:rtl w:val="true"/>
          <w:lang w:bidi="fa-IR"/>
        </w:rPr>
        <w:t xml:space="preserve">ابن ادریس حلی در سرائر، </w:t>
      </w:r>
      <w:r>
        <w:rPr>
          <w:rStyle w:val="FootnoteAnchor"/>
          <w:rtl w:val="true"/>
        </w:rPr>
        <w:footnoteReference w:id="1167"/>
      </w:r>
      <w:r>
        <w:rPr>
          <w:rFonts w:ascii="IRNazanin" w:hAnsi="IRNazanin" w:eastAsia="IRNazanin"/>
          <w:color w:val="111111"/>
          <w:sz w:val="28"/>
          <w:sz w:val="28"/>
          <w:szCs w:val="28"/>
          <w:rtl w:val="true"/>
          <w:lang w:bidi="fa-IR"/>
        </w:rPr>
        <w:t>قاضی ابن براج در کامل</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خلاصه آن،که چهار دیدگاه درباره قضاوت کردن در مسجد، در میان کلمات فقیهان امامیه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قضاوت در مسجد مطلقا کراهت دارد؛ چه این که مسجد را به عنوان محلی برای این کار قرار دهیم و به صورت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اوقات این عمل در مسجد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همیشگی باشد كراهت داشته و گرنه مکروه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این عمل در مسجد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دائمی و چه در برخی از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کردن در مسجد نه تنها مکروه نیست بلکه مستحب می باشد</w:t>
      </w:r>
      <w:r>
        <w:rPr>
          <w:rFonts w:eastAsia="IRNazanin" w:cs="IRNazanin"/>
          <w:color w:val="111111"/>
          <w:sz w:val="28"/>
          <w:szCs w:val="28"/>
          <w:rtl w:val="true"/>
          <w:lang w:bidi="fa-IR"/>
        </w:rPr>
        <w:t xml:space="preserve">. </w:t>
      </w:r>
      <w:r>
        <w:rPr>
          <w:rStyle w:val="FootnoteAnchor"/>
          <w:rtl w:val="true"/>
        </w:rPr>
        <w:footnoteReference w:id="1169"/>
      </w:r>
    </w:p>
    <w:p>
      <w:pPr>
        <w:pStyle w:val="Heading6"/>
        <w:numPr>
          <w:ilvl w:val="5"/>
          <w:numId w:val="1"/>
        </w:numPr>
        <w:rPr/>
      </w:pPr>
      <w:bookmarkStart w:id="908" w:name="__RefHeading___Toc15202880_1280447820"/>
      <w:bookmarkStart w:id="909" w:name="_Toc351"/>
      <w:bookmarkEnd w:id="908"/>
      <w:r>
        <w:rPr>
          <w:rtl w:val="true"/>
        </w:rPr>
        <w:t>ه</w:t>
      </w:r>
      <w:r>
        <w:rPr>
          <w:rtl w:val="true"/>
        </w:rPr>
        <w:t xml:space="preserve">-) </w:t>
      </w:r>
      <w:r>
        <w:rPr>
          <w:rtl w:val="true"/>
        </w:rPr>
        <w:t>دیدگاه اهل سنت</w:t>
      </w:r>
      <w:bookmarkEnd w:id="909"/>
    </w:p>
    <w:p>
      <w:pPr>
        <w:pStyle w:val="Heading6"/>
        <w:numPr>
          <w:ilvl w:val="5"/>
          <w:numId w:val="1"/>
        </w:numPr>
        <w:rPr/>
      </w:pPr>
      <w:bookmarkStart w:id="910" w:name="__RefHeading___Toc15202882_1280447820"/>
      <w:bookmarkStart w:id="911" w:name="_Toc352"/>
      <w:bookmarkEnd w:id="910"/>
      <w:r>
        <w:rPr/>
        <w:t>1</w:t>
      </w:r>
      <w:r>
        <w:rPr>
          <w:rtl w:val="true"/>
        </w:rPr>
        <w:t xml:space="preserve">. </w:t>
      </w:r>
      <w:r>
        <w:rPr>
          <w:rtl w:val="true"/>
        </w:rPr>
        <w:t>مذهب شافعی</w:t>
      </w:r>
      <w:bookmarkEnd w:id="911"/>
    </w:p>
    <w:p>
      <w:pPr>
        <w:pStyle w:val="Heading6"/>
        <w:numPr>
          <w:ilvl w:val="5"/>
          <w:numId w:val="1"/>
        </w:numPr>
        <w:rPr/>
      </w:pPr>
      <w:bookmarkStart w:id="912" w:name="__RefHeading___Toc15202884_1280447820"/>
      <w:bookmarkStart w:id="913" w:name="_Toc353"/>
      <w:bookmarkEnd w:id="912"/>
      <w:r>
        <w:rPr>
          <w:rtl w:val="true"/>
        </w:rPr>
        <w:t>اشاره</w:t>
      </w:r>
      <w:bookmarkEnd w:id="91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ها بر این باورند که قرار دادن مسجد به عنوان محلی برای قضاوت </w:t>
      </w:r>
      <w:bookmarkStart w:id="914" w:name="pg19115_195612"/>
    </w:p>
    <w:p>
      <w:pPr>
        <w:pStyle w:val="BookText"/>
        <w:rPr/>
      </w:pPr>
      <w:bookmarkEnd w:id="914"/>
      <w:r>
        <w:rPr>
          <w:rFonts w:ascii="IRNazanin" w:hAnsi="IRNazanin" w:eastAsia="IRNazanin"/>
          <w:color w:val="111111"/>
          <w:sz w:val="28"/>
          <w:sz w:val="28"/>
          <w:szCs w:val="28"/>
          <w:rtl w:val="true"/>
          <w:lang w:bidi="fa-IR"/>
        </w:rPr>
        <w:t>کراهت دارد، چرا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خود را از چند چیز دور نگاه دارید که یکی از آن موارد بر پا کردن حدود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قضاوت، معمولاً همراه با همهمه و بالا رفتن صداست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نیاز به حضور بچه ها و دیوانگان برای حضور در مجلس قضاوت است و حال آن که سزاوار است که مسجد از امثال این امور دور نگه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صورتی که قاضی برای نماز خواندن یا امور دیگری به مسجد آمد و برای رفع خصومت به او مراجعه،شد قضاوت کردن و فصل خصومت او مانعی ندارد و عمل خلفاء نیز بر همین وجه توجیه می شود</w:t>
      </w:r>
      <w:r>
        <w:rPr>
          <w:rFonts w:eastAsia="IRNazanin" w:cs="IRNazanin"/>
          <w:color w:val="111111"/>
          <w:sz w:val="28"/>
          <w:szCs w:val="28"/>
          <w:rtl w:val="true"/>
          <w:lang w:bidi="fa-IR"/>
        </w:rPr>
        <w:t xml:space="preserve">. </w:t>
      </w:r>
      <w:r>
        <w:rPr>
          <w:rStyle w:val="FootnoteAnchor"/>
          <w:rtl w:val="true"/>
        </w:rPr>
        <w:footnoteReference w:id="1171"/>
      </w:r>
    </w:p>
    <w:p>
      <w:pPr>
        <w:pStyle w:val="Heading6"/>
        <w:numPr>
          <w:ilvl w:val="5"/>
          <w:numId w:val="1"/>
        </w:numPr>
        <w:rPr/>
      </w:pPr>
      <w:bookmarkStart w:id="915" w:name="__RefHeading___Toc15202886_1280447820"/>
      <w:bookmarkStart w:id="916" w:name="_Toc354"/>
      <w:bookmarkEnd w:id="915"/>
      <w:r>
        <w:rPr/>
        <w:t>2</w:t>
      </w:r>
      <w:r>
        <w:rPr>
          <w:rtl w:val="true"/>
        </w:rPr>
        <w:t>و</w:t>
      </w:r>
      <w:r>
        <w:rPr/>
        <w:t>3</w:t>
      </w:r>
      <w:r>
        <w:rPr>
          <w:rtl w:val="true"/>
        </w:rPr>
        <w:t xml:space="preserve">. </w:t>
      </w:r>
      <w:r>
        <w:rPr>
          <w:rtl w:val="true"/>
        </w:rPr>
        <w:t>مذهب حنفی و حنبلی</w:t>
      </w:r>
      <w:bookmarkEnd w:id="91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 قضاوت کردن در مسجد را اجازه دادند و معتقدند که قاضی می تواند در مسجد نشسته و حکم کند؛ چرا که دسترسی به قاضی برای مردم راحت تر است و آسانتر می توانند جهت رفع خصومت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پیامبر صلی الله علیه و آله </w:t>
      </w:r>
      <w:r>
        <w:rPr>
          <w:rStyle w:val="FootnoteAnchor"/>
          <w:rtl w:val="true"/>
        </w:rPr>
        <w:footnoteReference w:id="1172"/>
      </w:r>
      <w:r>
        <w:rPr>
          <w:rFonts w:ascii="IRNazanin" w:hAnsi="IRNazanin" w:eastAsia="IRNazanin"/>
          <w:color w:val="111111"/>
          <w:sz w:val="28"/>
          <w:sz w:val="28"/>
          <w:szCs w:val="28"/>
          <w:rtl w:val="true"/>
          <w:lang w:bidi="fa-IR"/>
        </w:rPr>
        <w:t xml:space="preserve">و خلفاء </w:t>
      </w:r>
      <w:r>
        <w:rPr>
          <w:rStyle w:val="FootnoteAnchor"/>
          <w:rtl w:val="true"/>
        </w:rPr>
        <w:footnoteReference w:id="1173"/>
      </w:r>
      <w:r>
        <w:rPr>
          <w:rFonts w:ascii="IRNazanin" w:hAnsi="IRNazanin" w:eastAsia="IRNazanin"/>
          <w:color w:val="111111"/>
          <w:sz w:val="28"/>
          <w:sz w:val="28"/>
          <w:szCs w:val="28"/>
          <w:rtl w:val="true"/>
          <w:lang w:bidi="fa-IR"/>
        </w:rPr>
        <w:t>نیز بین متخاصمین در مسجد قضاوت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917" w:name="pg19115_195613"/>
    </w:p>
    <w:p>
      <w:pPr>
        <w:pStyle w:val="BookText"/>
        <w:rPr/>
      </w:pPr>
      <w:bookmarkEnd w:id="917"/>
      <w:r>
        <w:rPr>
          <w:rFonts w:ascii="IRNazanin" w:hAnsi="IRNazanin" w:eastAsia="IRNazanin"/>
          <w:color w:val="111111"/>
          <w:sz w:val="28"/>
          <w:sz w:val="28"/>
          <w:szCs w:val="28"/>
          <w:rtl w:val="true"/>
          <w:lang w:bidi="fa-IR"/>
        </w:rPr>
        <w:t>اگر کسی غریب باشد مکان قاضی برای او مشتبه نشده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زن حائض یا نفساء برای شکایت به قاضی مراجعه کرد، قاضی باید به درب مسجد برود تا به شکایت ایشان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شکایت پیرامون مسئله ای بود که قاضی باید از مسجد خارج می شد مثلاً شکایت درباره حیوانی است در این صورت نیز قاضی برای مشاهده باید از مسجد خارج شود</w:t>
      </w:r>
      <w:r>
        <w:rPr>
          <w:rFonts w:eastAsia="IRNazanin" w:cs="IRNazanin"/>
          <w:color w:val="111111"/>
          <w:sz w:val="28"/>
          <w:szCs w:val="28"/>
          <w:rtl w:val="true"/>
          <w:lang w:bidi="fa-IR"/>
        </w:rPr>
        <w:t xml:space="preserve">. </w:t>
      </w:r>
      <w:r>
        <w:rPr>
          <w:rStyle w:val="FootnoteAnchor"/>
          <w:rtl w:val="true"/>
        </w:rPr>
        <w:footnoteReference w:id="1174"/>
      </w:r>
    </w:p>
    <w:p>
      <w:pPr>
        <w:pStyle w:val="Heading6"/>
        <w:numPr>
          <w:ilvl w:val="5"/>
          <w:numId w:val="1"/>
        </w:numPr>
        <w:rPr/>
      </w:pPr>
      <w:bookmarkStart w:id="918" w:name="__RefHeading___Toc15202888_1280447820"/>
      <w:bookmarkStart w:id="919" w:name="_Toc355"/>
      <w:bookmarkEnd w:id="918"/>
      <w:r>
        <w:rPr/>
        <w:t>4</w:t>
      </w:r>
      <w:r>
        <w:rPr>
          <w:rtl w:val="true"/>
        </w:rPr>
        <w:t xml:space="preserve">. </w:t>
      </w:r>
      <w:r>
        <w:rPr>
          <w:rtl w:val="true"/>
        </w:rPr>
        <w:t>مذهب مالکی</w:t>
      </w:r>
      <w:bookmarkEnd w:id="919"/>
    </w:p>
    <w:p>
      <w:pPr>
        <w:pStyle w:val="BookText"/>
        <w:rPr/>
      </w:pPr>
      <w:r>
        <w:rPr>
          <w:rFonts w:ascii="IRNazanin" w:hAnsi="IRNazanin" w:eastAsia="IRNazanin"/>
          <w:color w:val="111111"/>
          <w:sz w:val="28"/>
          <w:sz w:val="28"/>
          <w:szCs w:val="28"/>
          <w:rtl w:val="true"/>
          <w:lang w:bidi="fa-IR"/>
        </w:rPr>
        <w:t>دو دیدگاه برای مالکیها در مسئله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قاضی در آستان و درگاه مسجد بنشیند تا این که کافر و حائض نیز بتوانند برای طرح دعوی به او مراجعه کنند و کراهت دارد که در خود مسجد نشسته و قضاوت کند این نظر مالک در واضحه است</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قاضی در خود مسجد نشسته و به قضاوت بپردازد؛ چرا که قضاوت در مسجد، حق بوده و از قدیم این کار انجام می شده همان گونه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تسوّروا المحراب</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وارد شده است که دو متخاصم، در محراب مسجد بر حضرت داود علیه السلام وارد شدند تا او رفع خصومت کند این دیدگاه مالک در المدونه الکبری </w:t>
      </w:r>
      <w:r>
        <w:rPr>
          <w:rStyle w:val="FootnoteAnchor"/>
          <w:rtl w:val="true"/>
        </w:rPr>
        <w:footnoteReference w:id="1177"/>
      </w:r>
      <w:r>
        <w:rPr>
          <w:rFonts w:ascii="IRNazanin" w:hAnsi="IRNazanin" w:eastAsia="IRNazanin"/>
          <w:color w:val="111111"/>
          <w:sz w:val="28"/>
          <w:sz w:val="28"/>
          <w:szCs w:val="28"/>
          <w:rtl w:val="true"/>
          <w:lang w:bidi="fa-IR"/>
        </w:rPr>
        <w:t xml:space="preserve">است که دسوقی می گوید آنچه در کتاب واضحه ذکر شده دیدگاه اول بر همین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استحباب قضاوت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xml:space="preserve">. </w:t>
      </w:r>
      <w:r>
        <w:rPr>
          <w:rStyle w:val="FootnoteAnchor"/>
          <w:rtl w:val="true"/>
        </w:rPr>
        <w:footnoteReference w:id="1178"/>
      </w:r>
    </w:p>
    <w:p>
      <w:pPr>
        <w:pStyle w:val="Heading5"/>
        <w:numPr>
          <w:ilvl w:val="4"/>
          <w:numId w:val="1"/>
        </w:numPr>
        <w:rPr/>
      </w:pPr>
      <w:bookmarkStart w:id="920" w:name="__RefHeading___Toc15202890_1280447820"/>
      <w:bookmarkStart w:id="921" w:name="_Toc356"/>
      <w:bookmarkEnd w:id="920"/>
      <w:r>
        <w:rPr>
          <w:rtl w:val="true"/>
        </w:rPr>
        <w:t>گفتار دوم</w:t>
      </w:r>
      <w:r>
        <w:rPr>
          <w:rtl w:val="true"/>
        </w:rPr>
        <w:t xml:space="preserve">: </w:t>
      </w:r>
      <w:r>
        <w:rPr>
          <w:rtl w:val="true"/>
        </w:rPr>
        <w:t>اجرای حدود در مسجد</w:t>
      </w:r>
      <w:bookmarkEnd w:id="921"/>
    </w:p>
    <w:p>
      <w:pPr>
        <w:pStyle w:val="Heading6"/>
        <w:numPr>
          <w:ilvl w:val="5"/>
          <w:numId w:val="1"/>
        </w:numPr>
        <w:rPr/>
      </w:pPr>
      <w:bookmarkStart w:id="922" w:name="__RefHeading___Toc15202892_1280447820"/>
      <w:bookmarkStart w:id="923" w:name="_Toc357"/>
      <w:bookmarkEnd w:id="922"/>
      <w:r>
        <w:rPr>
          <w:rtl w:val="true"/>
        </w:rPr>
        <w:t>اشاره</w:t>
      </w:r>
      <w:bookmarkEnd w:id="92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فقیهان امامیه، دو دیدگاه پیرامون اقامه و اجرای حدود و تعزیرات در </w:t>
      </w:r>
      <w:bookmarkStart w:id="924" w:name="pg19115_195614"/>
    </w:p>
    <w:p>
      <w:pPr>
        <w:pStyle w:val="BookText"/>
        <w:rPr/>
      </w:pPr>
      <w:bookmarkEnd w:id="924"/>
      <w:r>
        <w:rPr>
          <w:rFonts w:ascii="IRNazanin" w:hAnsi="IRNazanin" w:eastAsia="IRNazanin"/>
          <w:color w:val="111111"/>
          <w:sz w:val="28"/>
          <w:sz w:val="28"/>
          <w:szCs w:val="28"/>
          <w:rtl w:val="true"/>
          <w:lang w:bidi="fa-IR"/>
        </w:rPr>
        <w:t>مسجد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 اند که اجرای حدود در مسجد،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نیز قائل به حرمت این کار در مسجد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فقها دیدگاه نخست را پذیرفته اند حتی شیخ طوسی در خلاف ادعای اجماع بر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میان اهل سنت به جز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سید عاملی رحمه الله در مفتاح الکرامه این قول را نسبت به جمهور اصحاب امامیه می دهد</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در مقابل، تنها عده کمی از فقها همانند شیخ مفید قائل به حرمت این عمل شده اند</w:t>
      </w:r>
      <w:r>
        <w:rPr>
          <w:rFonts w:eastAsia="IRNazanin" w:cs="IRNazanin"/>
          <w:color w:val="111111"/>
          <w:sz w:val="28"/>
          <w:szCs w:val="28"/>
          <w:rtl w:val="true"/>
          <w:lang w:bidi="fa-IR"/>
        </w:rPr>
        <w:t xml:space="preserve">. </w:t>
      </w:r>
      <w:r>
        <w:rPr>
          <w:rStyle w:val="FootnoteAnchor"/>
          <w:rtl w:val="true"/>
        </w:rPr>
        <w:footnoteReference w:id="1181"/>
      </w:r>
    </w:p>
    <w:p>
      <w:pPr>
        <w:pStyle w:val="Heading6"/>
        <w:numPr>
          <w:ilvl w:val="5"/>
          <w:numId w:val="1"/>
        </w:numPr>
        <w:rPr/>
      </w:pPr>
      <w:bookmarkStart w:id="925" w:name="__RefHeading___Toc15202894_1280447820"/>
      <w:bookmarkStart w:id="926" w:name="_Toc358"/>
      <w:bookmarkEnd w:id="925"/>
      <w:r>
        <w:rPr>
          <w:rtl w:val="true"/>
        </w:rPr>
        <w:t>الف</w:t>
      </w:r>
      <w:r>
        <w:rPr>
          <w:rtl w:val="true"/>
        </w:rPr>
        <w:t xml:space="preserve">) </w:t>
      </w:r>
      <w:r>
        <w:rPr>
          <w:rtl w:val="true"/>
        </w:rPr>
        <w:t>ادله قائلین به حرمت</w:t>
      </w:r>
      <w:bookmarkEnd w:id="9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مساجدتان از قضاوت کردن و اجرای حدود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شبیه به این،روایت از پیامبر اکرم صلی الله علیه و آله نیز نقل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927" w:name="pg19115_195615"/>
    </w:p>
    <w:p>
      <w:pPr>
        <w:pStyle w:val="BookText"/>
        <w:rPr/>
      </w:pPr>
      <w:bookmarkEnd w:id="9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است از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در مساجد اجرا نمی شود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روایت در کتاب دعائم الاسلام از امیر المؤمنین له نقل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از برپایی حدود در مساجد نهی فرمود</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حدود قتل است که قطعاً موجب نجاست مسجد می شود و نجس کردن مسجد، قطعاً حرام است</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رحمه الله در ذکری می گوید اصحاب گفته اند که اجرای قصاص در مسجد به خاطر وجود مصلحت، جایز است البته به شرط این که زیر اندازی انداخته شود تا از نجس نشدن مسجد اطمینان داشته باشیم</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صاحب مفتاح الکرامه پس از نقل کلام شهید می نویسد این که شهید انداختن زیرانداز را شرط می کند اشاره دارد به این که اگر این کار انجام نشود این کار نزد ایشان حرام است</w:t>
      </w:r>
      <w:r>
        <w:rPr>
          <w:rFonts w:eastAsia="IRNazanin" w:cs="IRNazanin"/>
          <w:color w:val="111111"/>
          <w:sz w:val="28"/>
          <w:szCs w:val="28"/>
          <w:rtl w:val="true"/>
          <w:lang w:bidi="fa-IR"/>
        </w:rPr>
        <w:t xml:space="preserve">. </w:t>
      </w:r>
      <w:r>
        <w:rPr>
          <w:rStyle w:val="FootnoteAnchor"/>
          <w:rtl w:val="true"/>
        </w:rPr>
        <w:footnoteReference w:id="1186"/>
      </w:r>
    </w:p>
    <w:p>
      <w:pPr>
        <w:pStyle w:val="Heading6"/>
        <w:numPr>
          <w:ilvl w:val="5"/>
          <w:numId w:val="1"/>
        </w:numPr>
        <w:rPr/>
      </w:pPr>
      <w:bookmarkStart w:id="928" w:name="__RefHeading___Toc15202896_1280447820"/>
      <w:bookmarkStart w:id="929" w:name="_Toc359"/>
      <w:bookmarkEnd w:id="928"/>
      <w:r>
        <w:rPr>
          <w:rtl w:val="true"/>
        </w:rPr>
        <w:t>ب</w:t>
      </w:r>
      <w:r>
        <w:rPr>
          <w:rtl w:val="true"/>
        </w:rPr>
        <w:t xml:space="preserve">) </w:t>
      </w:r>
      <w:r>
        <w:rPr>
          <w:rtl w:val="true"/>
        </w:rPr>
        <w:t>ادله قول به کراهت</w:t>
      </w:r>
      <w:bookmarkEnd w:id="929"/>
    </w:p>
    <w:p>
      <w:pPr>
        <w:pStyle w:val="BookText"/>
        <w:rPr/>
      </w:pPr>
      <w:r>
        <w:rPr>
          <w:rFonts w:ascii="IRNazanin" w:hAnsi="IRNazanin" w:eastAsia="IRNazanin"/>
          <w:color w:val="111111"/>
          <w:sz w:val="28"/>
          <w:sz w:val="28"/>
          <w:szCs w:val="28"/>
          <w:rtl w:val="true"/>
          <w:lang w:bidi="fa-IR"/>
        </w:rPr>
        <w:t>قائلین به کراهت ابتدا باید حرمت این عمل را نفی کرده و بعد به بیان ادله کراهت بپردازند ادله نفی حرمت اجرای حدود در مسجد عبارت است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داریم که آیا اجرای حدود در مسجد حرام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w:t>
      </w:r>
      <w:bookmarkStart w:id="930" w:name="pg19115_195616"/>
    </w:p>
    <w:p>
      <w:pPr>
        <w:pStyle w:val="BookText"/>
        <w:rPr/>
      </w:pPr>
      <w:bookmarkEnd w:id="930"/>
      <w:r>
        <w:rPr>
          <w:rFonts w:ascii="IRNazanin" w:hAnsi="IRNazanin" w:eastAsia="IRNazanin"/>
          <w:color w:val="111111"/>
          <w:sz w:val="28"/>
          <w:sz w:val="28"/>
          <w:szCs w:val="28"/>
          <w:rtl w:val="true"/>
          <w:lang w:bidi="fa-IR"/>
        </w:rPr>
        <w:t>اصل تکلیف در شبهه تحریمیه داریم؟ در اینجا باید برائت جاری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برای اثبات حرمت این عمل در مسجد ذکر شد، از جهت سند هر دو طریق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سند از جهت دلالت اصحاب از این دو روايت، إعراض کرده اند که موجب وهن روایت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ادله کراهت عبارت است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اجماع از شیخ طوسی رحمه الله در کتاب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خروج حدث و خبث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غالباً همراه بالا بردن صدا و کلام لغو و بیهوده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در مسجد موجب حواس پرتی نمازگزاران می شود</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صاحب مفتاح الکرامه می گوید حتی کسانی که قائل به حرمت ادخال نجاست غیر مسری به مسجد هستند نیز قائل به کراهت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ممکن است بر اثر اجرای حد خون یا دیگر نجاسات از بدن شخص خارج شود و مسجد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حکم اولیه اجرای حدود در مسجد، کراهت است مطلقاً؛ چه مسجد نجس شود و نجس نشود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حدودی مانند قتل اما از این حکم مواردی که موجب نجس شدن مسجد می،شود استثناء شده و اجرای آن حدود در مسجد حرام است</w:t>
      </w:r>
      <w:r>
        <w:rPr>
          <w:rFonts w:eastAsia="IRNazanin" w:cs="IRNazanin"/>
          <w:color w:val="111111"/>
          <w:sz w:val="28"/>
          <w:szCs w:val="28"/>
          <w:rtl w:val="true"/>
          <w:lang w:bidi="fa-IR"/>
        </w:rPr>
        <w:t xml:space="preserve">. </w:t>
      </w:r>
      <w:r>
        <w:rPr>
          <w:rStyle w:val="FootnoteAnchor"/>
          <w:rtl w:val="true"/>
        </w:rPr>
        <w:footnoteReference w:id="1188"/>
      </w:r>
    </w:p>
    <w:p>
      <w:pPr>
        <w:pStyle w:val="Heading6"/>
        <w:numPr>
          <w:ilvl w:val="5"/>
          <w:numId w:val="1"/>
        </w:numPr>
        <w:rPr/>
      </w:pPr>
      <w:bookmarkStart w:id="931" w:name="__RefHeading___Toc15202898_1280447820"/>
      <w:bookmarkStart w:id="932" w:name="_Toc360"/>
      <w:bookmarkEnd w:id="931"/>
      <w:r>
        <w:rPr>
          <w:rtl w:val="true"/>
        </w:rPr>
        <w:t>ج</w:t>
      </w:r>
      <w:r>
        <w:rPr>
          <w:rtl w:val="true"/>
        </w:rPr>
        <w:t xml:space="preserve">) </w:t>
      </w:r>
      <w:r>
        <w:rPr>
          <w:rtl w:val="true"/>
        </w:rPr>
        <w:t>دیدگاه اهل سنت</w:t>
      </w:r>
      <w:bookmarkEnd w:id="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w:t>
      </w:r>
      <w:r>
        <w:rPr>
          <w:rStyle w:val="FootnoteAnchor"/>
          <w:rtl w:val="true"/>
        </w:rPr>
        <w:footnoteReference w:id="118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اتفاق و اجماع دارند بر این که اجرای حدود در مسجد، جایز نیست</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دلائلی که در کتب ایشان بر حرمت این عمل در مسجد ذکر شده، عبارت است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تعظيم مساجد واجب است و اجرای حدود در مسجد با تعظیم جایگاه مسجد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هنگام اجرای حد، از شخصی که حد بر او جاری می شود نجاستی خارج شود مثل این که مثلاً با زدن شلاق بر او پوست او شکافته شده و خون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مسجد نجس شود و نجس کردن مسجد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 این باره از پیامبر صلی الله علیه و آله وارد شده است و حضرت نهی فرمود از این که حدود در مسجد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تُقَامُ الْحُدُودُ فِي الْمَسَاجِدِ</w:t>
      </w:r>
      <w:r>
        <w:rPr>
          <w:rStyle w:val="FootnoteAnchor"/>
          <w:rtl w:val="true"/>
        </w:rPr>
        <w:footnoteReference w:id="1191"/>
      </w:r>
      <w:r>
        <w:rPr>
          <w:rFonts w:ascii="IRNazanin" w:hAnsi="IRNazanin" w:eastAsia="IRNazanin"/>
          <w:color w:val="111111"/>
          <w:sz w:val="28"/>
          <w:sz w:val="28"/>
          <w:szCs w:val="28"/>
          <w:rtl w:val="true"/>
          <w:lang w:bidi="fa-IR"/>
        </w:rPr>
        <w:t xml:space="preserve">يا روایت حکیم بن حزام </w:t>
      </w:r>
      <w:r>
        <w:rPr>
          <w:rFonts w:ascii="Amiri" w:hAnsi="Amiri" w:eastAsia="Amiri" w:cs="Amiri"/>
          <w:color w:val="111111"/>
          <w:sz w:val="28"/>
          <w:sz w:val="28"/>
          <w:szCs w:val="28"/>
          <w:rtl w:val="true"/>
          <w:lang w:bidi="ar-SA"/>
        </w:rPr>
        <w:t>انَّ النَّبِىِّ صلی اللَّهِ علیه وَ آلِهِ نَهَى عَنْ أَقَامَتِ الْحَدُّ فِي الْمَسَاجِدِ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البته از ابو حنیفه نقل شده که این کار را جایز دانسته و می گوید هنگام اجرای حد در مسجد، زیر اندازی انداخته می شود تا این که اگر نجاستی از شخص محدود حادث شد روی آن بریزد و زمین مسجد نجس نشود</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به دو دلیل استناد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باعث منع بیشتر شخص محدود از انجام مجدد کار خود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جزء حقوق الله است و،مساجد مخصوص این حقوق است مانند سایر </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ذکر آن است که مالکیه و شافعیه به صورت مطلق از این کار در مسجد منع نکرده اند بلکه اقامه حدود و تعزیرات خفیف را در مسجد جایز دانسته اند، اما حدودی که با اجرای آن در مسجد ایمن از نجاست مسجد نیستیم، جایز نمی دانند</w:t>
      </w:r>
      <w:r>
        <w:rPr>
          <w:rFonts w:eastAsia="IRNazanin" w:cs="IRNazanin"/>
          <w:color w:val="111111"/>
          <w:sz w:val="28"/>
          <w:szCs w:val="28"/>
          <w:rtl w:val="true"/>
          <w:lang w:bidi="fa-IR"/>
        </w:rPr>
        <w:t xml:space="preserve">. </w:t>
      </w:r>
      <w:r>
        <w:rPr>
          <w:rStyle w:val="FootnoteAnchor"/>
          <w:rtl w:val="true"/>
        </w:rPr>
        <w:footnoteReference w:id="1194"/>
      </w:r>
      <w:bookmarkStart w:id="933" w:name="pg19115_195619"/>
    </w:p>
    <w:p>
      <w:pPr>
        <w:pStyle w:val="Heading4"/>
        <w:numPr>
          <w:ilvl w:val="3"/>
          <w:numId w:val="1"/>
        </w:numPr>
        <w:rPr/>
      </w:pPr>
      <w:bookmarkStart w:id="934" w:name="__RefHeading___Toc15202900_1280447820"/>
      <w:bookmarkStart w:id="935" w:name="_Toc361"/>
      <w:bookmarkEnd w:id="933"/>
      <w:bookmarkEnd w:id="934"/>
      <w:r>
        <w:rPr>
          <w:rtl w:val="true"/>
        </w:rPr>
        <w:t>مبحث دوم</w:t>
      </w:r>
      <w:r>
        <w:rPr>
          <w:rtl w:val="true"/>
        </w:rPr>
        <w:t xml:space="preserve">: </w:t>
      </w:r>
      <w:r>
        <w:rPr>
          <w:rtl w:val="true"/>
        </w:rPr>
        <w:t>شعر خواندن در مسجد</w:t>
      </w:r>
      <w:bookmarkEnd w:id="935"/>
    </w:p>
    <w:p>
      <w:pPr>
        <w:pStyle w:val="Heading5"/>
        <w:numPr>
          <w:ilvl w:val="4"/>
          <w:numId w:val="1"/>
        </w:numPr>
        <w:rPr/>
      </w:pPr>
      <w:bookmarkStart w:id="936" w:name="__RefHeading___Toc15202902_1280447820"/>
      <w:bookmarkStart w:id="937" w:name="_Toc362"/>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 xml:space="preserve">یکی دیگر از کارهایی که انجام آن در مسجد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شعر خواندن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لغویین به معنای بالا بردن صدا برای خواندن شعر معنا کرده اند</w:t>
      </w:r>
      <w:r>
        <w:rPr>
          <w:rFonts w:eastAsia="IRNazanin" w:cs="IRNazanin"/>
          <w:color w:val="111111"/>
          <w:sz w:val="28"/>
          <w:szCs w:val="28"/>
          <w:rtl w:val="true"/>
          <w:lang w:bidi="fa-IR"/>
        </w:rPr>
        <w:t xml:space="preserve">). </w:t>
      </w:r>
      <w:r>
        <w:rPr>
          <w:rStyle w:val="FootnoteAnchor"/>
          <w:rtl w:val="true"/>
        </w:rPr>
        <w:footnoteReference w:id="1195"/>
      </w:r>
    </w:p>
    <w:p>
      <w:pPr>
        <w:pStyle w:val="Heading5"/>
        <w:numPr>
          <w:ilvl w:val="4"/>
          <w:numId w:val="1"/>
        </w:numPr>
        <w:rPr/>
      </w:pPr>
      <w:bookmarkStart w:id="938" w:name="__RefHeading___Toc15202904_1280447820"/>
      <w:bookmarkStart w:id="939" w:name="_Toc363"/>
      <w:bookmarkEnd w:id="938"/>
      <w:r>
        <w:rPr>
          <w:rtl w:val="true"/>
        </w:rPr>
        <w:t>الف</w:t>
      </w:r>
      <w:r>
        <w:rPr>
          <w:rtl w:val="true"/>
        </w:rPr>
        <w:t xml:space="preserve">) </w:t>
      </w:r>
      <w:r>
        <w:rPr>
          <w:rtl w:val="true"/>
        </w:rPr>
        <w:t>دیدگاه فقیهان امامیه</w:t>
      </w:r>
      <w:bookmarkEnd w:id="939"/>
    </w:p>
    <w:p>
      <w:pPr>
        <w:pStyle w:val="Heading6"/>
        <w:numPr>
          <w:ilvl w:val="5"/>
          <w:numId w:val="1"/>
        </w:numPr>
        <w:rPr/>
      </w:pPr>
      <w:bookmarkStart w:id="940" w:name="__RefHeading___Toc15202906_1280447820"/>
      <w:bookmarkStart w:id="941" w:name="_Toc364"/>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در این مسئله سه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تفصیل میان،کراهت اباحه و استحباب</w:t>
      </w:r>
      <w:r>
        <w:rPr>
          <w:rFonts w:eastAsia="IRNazanin" w:cs="IRNazanin"/>
          <w:color w:val="111111"/>
          <w:sz w:val="28"/>
          <w:szCs w:val="28"/>
          <w:rtl w:val="true"/>
          <w:lang w:bidi="fa-IR"/>
        </w:rPr>
        <w:t>.</w:t>
      </w:r>
    </w:p>
    <w:p>
      <w:pPr>
        <w:pStyle w:val="Heading6"/>
        <w:numPr>
          <w:ilvl w:val="5"/>
          <w:numId w:val="1"/>
        </w:numPr>
        <w:rPr/>
      </w:pPr>
      <w:bookmarkStart w:id="942" w:name="__RefHeading___Toc15202908_1280447820"/>
      <w:bookmarkStart w:id="943" w:name="_Toc365"/>
      <w:bookmarkEnd w:id="942"/>
      <w:r>
        <w:rPr/>
        <w:t>1</w:t>
      </w:r>
      <w:r>
        <w:rPr>
          <w:rtl w:val="true"/>
        </w:rPr>
        <w:t xml:space="preserve">. </w:t>
      </w:r>
      <w:r>
        <w:rPr>
          <w:rtl w:val="true"/>
        </w:rPr>
        <w:t>دیدگاه نخست</w:t>
      </w:r>
      <w:r>
        <w:rPr>
          <w:rtl w:val="true"/>
        </w:rPr>
        <w:t xml:space="preserve">: </w:t>
      </w:r>
      <w:r>
        <w:rPr>
          <w:rtl w:val="true"/>
        </w:rPr>
        <w:t>کراهت</w:t>
      </w:r>
      <w:bookmarkEnd w:id="943"/>
    </w:p>
    <w:p>
      <w:pPr>
        <w:pStyle w:val="Heading6"/>
        <w:numPr>
          <w:ilvl w:val="5"/>
          <w:numId w:val="1"/>
        </w:numPr>
        <w:rPr/>
      </w:pPr>
      <w:bookmarkStart w:id="944" w:name="__RefHeading___Toc15202910_1280447820"/>
      <w:bookmarkStart w:id="945" w:name="_Toc366"/>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بسیاری از فقیهان امامیه، به مکروه بودن آن تصریح کرده اند؛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شیخ طوسی رحمه الله در نهایه </w:t>
      </w:r>
      <w:r>
        <w:rPr>
          <w:rStyle w:val="FootnoteAnchor"/>
          <w:rtl w:val="true"/>
        </w:rPr>
        <w:footnoteReference w:id="1196"/>
      </w:r>
      <w:r>
        <w:rPr>
          <w:rFonts w:ascii="IRNazanin" w:hAnsi="IRNazanin" w:eastAsia="IRNazanin"/>
          <w:color w:val="111111"/>
          <w:sz w:val="28"/>
          <w:sz w:val="28"/>
          <w:szCs w:val="28"/>
          <w:rtl w:val="true"/>
          <w:lang w:bidi="fa-IR"/>
        </w:rPr>
        <w:t xml:space="preserve">و مبسوط، </w:t>
      </w:r>
      <w:r>
        <w:rPr>
          <w:rStyle w:val="FootnoteAnchor"/>
          <w:rtl w:val="true"/>
        </w:rPr>
        <w:footnoteReference w:id="1197"/>
      </w:r>
      <w:r>
        <w:rPr>
          <w:rFonts w:ascii="IRNazanin" w:hAnsi="IRNazanin" w:eastAsia="IRNazanin"/>
          <w:color w:val="111111"/>
          <w:sz w:val="28"/>
          <w:sz w:val="28"/>
          <w:szCs w:val="28"/>
          <w:rtl w:val="true"/>
          <w:lang w:bidi="fa-IR"/>
        </w:rPr>
        <w:t xml:space="preserve">ابن ادریس در سرائر، </w:t>
      </w:r>
      <w:r>
        <w:rPr>
          <w:rStyle w:val="FootnoteAnchor"/>
          <w:rtl w:val="true"/>
        </w:rPr>
        <w:footnoteReference w:id="1198"/>
      </w:r>
      <w:r>
        <w:rPr>
          <w:rFonts w:ascii="IRNazanin" w:hAnsi="IRNazanin" w:eastAsia="IRNazanin"/>
          <w:color w:val="111111"/>
          <w:sz w:val="28"/>
          <w:sz w:val="28"/>
          <w:szCs w:val="28"/>
          <w:rtl w:val="true"/>
          <w:lang w:bidi="fa-IR"/>
        </w:rPr>
        <w:t xml:space="preserve">محقق حلی رحمه الله در مختصر النافع </w:t>
      </w:r>
      <w:r>
        <w:rPr>
          <w:rStyle w:val="FootnoteAnchor"/>
          <w:rtl w:val="true"/>
        </w:rPr>
        <w:footnoteReference w:id="1199"/>
      </w:r>
      <w:r>
        <w:rPr>
          <w:rFonts w:ascii="IRNazanin" w:hAnsi="IRNazanin" w:eastAsia="IRNazanin"/>
          <w:color w:val="111111"/>
          <w:sz w:val="28"/>
          <w:sz w:val="28"/>
          <w:szCs w:val="28"/>
          <w:rtl w:val="true"/>
          <w:lang w:bidi="fa-IR"/>
        </w:rPr>
        <w:t xml:space="preserve">و شرائع </w:t>
      </w:r>
      <w:r>
        <w:rPr>
          <w:rStyle w:val="FootnoteAnchor"/>
          <w:rtl w:val="true"/>
        </w:rPr>
        <w:footnoteReference w:id="1200"/>
      </w:r>
      <w:r>
        <w:rPr>
          <w:rFonts w:ascii="IRNazanin" w:hAnsi="IRNazanin" w:eastAsia="IRNazanin"/>
          <w:color w:val="111111"/>
          <w:sz w:val="28"/>
          <w:sz w:val="28"/>
          <w:szCs w:val="28"/>
          <w:rtl w:val="true"/>
          <w:lang w:bidi="fa-IR"/>
        </w:rPr>
        <w:t xml:space="preserve">، علامه حلی رحمه الله در تحریر، </w:t>
      </w:r>
      <w:r>
        <w:rPr>
          <w:rStyle w:val="FootnoteAnchor"/>
          <w:rtl w:val="true"/>
        </w:rPr>
        <w:footnoteReference w:id="1201"/>
      </w:r>
      <w:r>
        <w:rPr>
          <w:rFonts w:ascii="IRNazanin" w:hAnsi="IRNazanin" w:eastAsia="IRNazanin"/>
          <w:color w:val="111111"/>
          <w:sz w:val="28"/>
          <w:sz w:val="28"/>
          <w:szCs w:val="28"/>
          <w:rtl w:val="true"/>
          <w:lang w:bidi="fa-IR"/>
        </w:rPr>
        <w:t xml:space="preserve">منتهی المطلب، </w:t>
      </w:r>
      <w:r>
        <w:rPr>
          <w:rStyle w:val="FootnoteAnchor"/>
          <w:rtl w:val="true"/>
        </w:rPr>
        <w:footnoteReference w:id="1202"/>
      </w:r>
      <w:bookmarkStart w:id="946" w:name="pg19115_195620"/>
    </w:p>
    <w:p>
      <w:pPr>
        <w:pStyle w:val="BookText"/>
        <w:rPr/>
      </w:pPr>
      <w:bookmarkEnd w:id="946"/>
      <w:r>
        <w:rPr>
          <w:rFonts w:ascii="Amiri" w:hAnsi="Amiri" w:eastAsia="Amiri" w:cs="Amiri"/>
          <w:color w:val="111111"/>
          <w:sz w:val="28"/>
          <w:sz w:val="28"/>
          <w:szCs w:val="28"/>
          <w:rtl w:val="true"/>
          <w:lang w:bidi="ar-SA"/>
        </w:rPr>
        <w:t xml:space="preserve">نهايه الإحكام، </w:t>
      </w:r>
      <w:r>
        <w:rPr>
          <w:rStyle w:val="FootnoteAnchor"/>
          <w:rtl w:val="true"/>
        </w:rPr>
        <w:footnoteReference w:id="1203"/>
      </w:r>
      <w:r>
        <w:rPr>
          <w:rFonts w:ascii="IRNazanin" w:hAnsi="IRNazanin" w:eastAsia="IRNazanin"/>
          <w:color w:val="111111"/>
          <w:sz w:val="28"/>
          <w:sz w:val="28"/>
          <w:szCs w:val="28"/>
          <w:rtl w:val="true"/>
          <w:lang w:bidi="fa-IR"/>
        </w:rPr>
        <w:t xml:space="preserve">ارشاد </w:t>
      </w:r>
      <w:r>
        <w:rPr>
          <w:rStyle w:val="FootnoteAnchor"/>
          <w:rtl w:val="true"/>
        </w:rPr>
        <w:footnoteReference w:id="1204"/>
      </w:r>
      <w:r>
        <w:rPr>
          <w:rFonts w:ascii="IRNazanin" w:hAnsi="IRNazanin" w:eastAsia="IRNazanin"/>
          <w:color w:val="111111"/>
          <w:sz w:val="28"/>
          <w:sz w:val="28"/>
          <w:szCs w:val="28"/>
          <w:rtl w:val="true"/>
          <w:lang w:bidi="fa-IR"/>
        </w:rPr>
        <w:t xml:space="preserve">و تذکره، </w:t>
      </w:r>
      <w:r>
        <w:rPr>
          <w:rStyle w:val="FootnoteAnchor"/>
          <w:rtl w:val="true"/>
        </w:rPr>
        <w:footnoteReference w:id="1205"/>
      </w:r>
      <w:r>
        <w:rPr>
          <w:rFonts w:ascii="IRNazanin" w:hAnsi="IRNazanin" w:eastAsia="IRNazanin"/>
          <w:color w:val="111111"/>
          <w:sz w:val="28"/>
          <w:sz w:val="28"/>
          <w:szCs w:val="28"/>
          <w:rtl w:val="true"/>
          <w:lang w:bidi="fa-IR"/>
        </w:rPr>
        <w:t>شهید اول در ذکری،</w:t>
      </w:r>
      <w:r>
        <w:rPr>
          <w:rStyle w:val="FootnoteAnchor"/>
          <w:rtl w:val="true"/>
        </w:rPr>
        <w:footnoteReference w:id="1206"/>
      </w:r>
      <w:r>
        <w:rPr>
          <w:rFonts w:ascii="IRNazanin" w:hAnsi="IRNazanin" w:eastAsia="IRNazanin"/>
          <w:color w:val="111111"/>
          <w:sz w:val="28"/>
          <w:sz w:val="28"/>
          <w:szCs w:val="28"/>
          <w:rtl w:val="true"/>
          <w:lang w:bidi="fa-IR"/>
        </w:rPr>
        <w:t xml:space="preserve">دروس </w:t>
      </w:r>
      <w:r>
        <w:rPr>
          <w:rStyle w:val="FootnoteAnchor"/>
          <w:rtl w:val="true"/>
        </w:rPr>
        <w:footnoteReference w:id="1207"/>
      </w:r>
      <w:r>
        <w:rPr>
          <w:rFonts w:ascii="IRNazanin" w:hAnsi="IRNazanin" w:eastAsia="IRNazanin"/>
          <w:color w:val="111111"/>
          <w:sz w:val="28"/>
          <w:sz w:val="28"/>
          <w:szCs w:val="28"/>
          <w:rtl w:val="true"/>
          <w:lang w:bidi="fa-IR"/>
        </w:rPr>
        <w:t xml:space="preserve">و لمعه، </w:t>
      </w:r>
      <w:r>
        <w:rPr>
          <w:rStyle w:val="FootnoteAnchor"/>
          <w:rtl w:val="true"/>
        </w:rPr>
        <w:footnoteReference w:id="1208"/>
      </w:r>
      <w:r>
        <w:rPr>
          <w:rFonts w:ascii="IRNazanin" w:hAnsi="IRNazanin" w:eastAsia="IRNazanin"/>
          <w:color w:val="111111"/>
          <w:sz w:val="28"/>
          <w:sz w:val="28"/>
          <w:szCs w:val="28"/>
          <w:rtl w:val="true"/>
          <w:lang w:bidi="fa-IR"/>
        </w:rPr>
        <w:t xml:space="preserve">محقق ثانی در جامع المقاصد، </w:t>
      </w:r>
      <w:r>
        <w:rPr>
          <w:rStyle w:val="FootnoteAnchor"/>
          <w:rtl w:val="true"/>
        </w:rPr>
        <w:footnoteReference w:id="1209"/>
      </w:r>
      <w:r>
        <w:rPr>
          <w:rFonts w:ascii="IRNazanin" w:hAnsi="IRNazanin" w:eastAsia="IRNazanin"/>
          <w:color w:val="111111"/>
          <w:sz w:val="28"/>
          <w:sz w:val="28"/>
          <w:szCs w:val="28"/>
          <w:rtl w:val="true"/>
          <w:lang w:bidi="fa-IR"/>
        </w:rPr>
        <w:t>سید عاملی در مدارک الاحکام</w:t>
      </w:r>
      <w:r>
        <w:rPr>
          <w:rFonts w:eastAsia="IRNazanin" w:cs="IRNazanin"/>
          <w:color w:val="111111"/>
          <w:sz w:val="28"/>
          <w:szCs w:val="28"/>
          <w:rtl w:val="true"/>
          <w:lang w:bidi="fa-IR"/>
        </w:rPr>
        <w:t xml:space="preserve">. </w:t>
      </w:r>
      <w:r>
        <w:rPr>
          <w:rStyle w:val="FootnoteAnchor"/>
          <w:rtl w:val="true"/>
        </w:rPr>
        <w:footnoteReference w:id="1210"/>
      </w:r>
    </w:p>
    <w:p>
      <w:pPr>
        <w:pStyle w:val="Heading6"/>
        <w:numPr>
          <w:ilvl w:val="5"/>
          <w:numId w:val="1"/>
        </w:numPr>
        <w:rPr/>
      </w:pPr>
      <w:bookmarkStart w:id="947" w:name="__RefHeading___Toc15202912_1280447820"/>
      <w:bookmarkStart w:id="948" w:name="_Toc367"/>
      <w:bookmarkEnd w:id="947"/>
      <w:r>
        <w:rPr>
          <w:rtl w:val="true"/>
        </w:rPr>
        <w:t>ادله کراهت خواندن شعر در مسجد</w:t>
      </w:r>
      <w:bookmarkEnd w:id="948"/>
    </w:p>
    <w:p>
      <w:pPr>
        <w:pStyle w:val="BookText"/>
        <w:rPr/>
      </w:pPr>
      <w:r>
        <w:rPr>
          <w:rFonts w:ascii="IRNazanin" w:hAnsi="IRNazanin" w:eastAsia="IRNazanin"/>
          <w:color w:val="111111"/>
          <w:sz w:val="28"/>
          <w:sz w:val="28"/>
          <w:szCs w:val="28"/>
          <w:rtl w:val="true"/>
          <w:lang w:bidi="fa-IR"/>
        </w:rPr>
        <w:t>در این باره برخی از روایات نیز وارد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روایت شده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در مسجد شعر می خواند بگویید خداوند دهانت را خُرد کند؛ چرا که مساجد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قرآن خواندن ساخته شده است</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از پدرانش از نقل شده که رسول اکرم صلی الله علیه و آله از شعر خواندن در مسجد نهی کردند</w:t>
      </w:r>
      <w:r>
        <w:rPr>
          <w:rFonts w:eastAsia="IRNazanin" w:cs="IRNazanin"/>
          <w:color w:val="111111"/>
          <w:sz w:val="28"/>
          <w:szCs w:val="28"/>
          <w:rtl w:val="true"/>
          <w:lang w:bidi="fa-IR"/>
        </w:rPr>
        <w:t xml:space="preserve">. </w:t>
      </w:r>
      <w:r>
        <w:rPr>
          <w:rStyle w:val="FootnoteAnchor"/>
          <w:rtl w:val="true"/>
        </w:rPr>
        <w:footnoteReference w:id="121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روایت، تصریح به شعرخوانی نشده است لیکن تعبیر به قصه گویی </w:t>
      </w:r>
      <w:bookmarkStart w:id="949" w:name="pg19115_195621"/>
    </w:p>
    <w:p>
      <w:pPr>
        <w:pStyle w:val="BookText"/>
        <w:rPr/>
      </w:pPr>
      <w:bookmarkEnd w:id="949"/>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قصه گویی نیز به نوعی هم مضمون با اشعاری است که در آن زمان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دید که مردی در مسجد برای مردم قصه می گوید پس او را با شلاق زده و از مسجد بیرون کرد</w:t>
      </w:r>
      <w:r>
        <w:rPr>
          <w:rFonts w:eastAsia="IRNazanin" w:cs="IRNazanin"/>
          <w:color w:val="111111"/>
          <w:sz w:val="28"/>
          <w:szCs w:val="28"/>
          <w:rtl w:val="true"/>
          <w:lang w:bidi="fa-IR"/>
        </w:rPr>
        <w:t xml:space="preserve">. </w:t>
      </w:r>
      <w:r>
        <w:rPr>
          <w:rStyle w:val="FootnoteAnchor"/>
          <w:rtl w:val="true"/>
        </w:rPr>
        <w:footnoteReference w:id="1213"/>
      </w:r>
    </w:p>
    <w:p>
      <w:pPr>
        <w:pStyle w:val="Heading6"/>
        <w:numPr>
          <w:ilvl w:val="5"/>
          <w:numId w:val="1"/>
        </w:numPr>
        <w:rPr/>
      </w:pPr>
      <w:bookmarkStart w:id="950" w:name="__RefHeading___Toc15202914_1280447820"/>
      <w:bookmarkStart w:id="951" w:name="_Toc368"/>
      <w:bookmarkEnd w:id="950"/>
      <w:r>
        <w:rPr/>
        <w:t>2</w:t>
      </w:r>
      <w:r>
        <w:rPr>
          <w:rtl w:val="true"/>
        </w:rPr>
        <w:t xml:space="preserve">. </w:t>
      </w:r>
      <w:r>
        <w:rPr>
          <w:rtl w:val="true"/>
        </w:rPr>
        <w:t>دیدگاه دوم</w:t>
      </w:r>
      <w:r>
        <w:rPr>
          <w:rtl w:val="true"/>
        </w:rPr>
        <w:t xml:space="preserve">: </w:t>
      </w:r>
      <w:r>
        <w:rPr>
          <w:rtl w:val="true"/>
        </w:rPr>
        <w:t>اباحه</w:t>
      </w:r>
      <w:bookmarkEnd w:id="951"/>
    </w:p>
    <w:p>
      <w:pPr>
        <w:pStyle w:val="Heading6"/>
        <w:numPr>
          <w:ilvl w:val="5"/>
          <w:numId w:val="1"/>
        </w:numPr>
        <w:rPr/>
      </w:pPr>
      <w:bookmarkStart w:id="952" w:name="__RefHeading___Toc15202916_1280447820"/>
      <w:bookmarkStart w:id="953" w:name="_Toc369"/>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نکته قابل توجه آن که ممکن است از تعابیر در این،روایات، حرمت شعر خواندن در مسجد استفاده می شود لیکن باید دقت داشت که این کار در مسجد حرام نیست؛ زیرا برخی از،روایات نص در عدم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روایت علی بن جعفر که می گوید از امام کاظم علیه السلام پرسیدم آیا شایسته است که در مسجد شعر خوانده شود؟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214"/>
      </w:r>
    </w:p>
    <w:p>
      <w:pPr>
        <w:pStyle w:val="Heading6"/>
        <w:numPr>
          <w:ilvl w:val="5"/>
          <w:numId w:val="1"/>
        </w:numPr>
        <w:rPr/>
      </w:pPr>
      <w:bookmarkStart w:id="954" w:name="__RefHeading___Toc15202918_1280447820"/>
      <w:bookmarkStart w:id="955" w:name="_Toc370"/>
      <w:bookmarkEnd w:id="954"/>
      <w:r>
        <w:rPr>
          <w:rtl w:val="true"/>
        </w:rPr>
        <w:t>راه های جمع میان روایات</w:t>
      </w:r>
      <w:bookmarkEnd w:id="955"/>
    </w:p>
    <w:p>
      <w:pPr>
        <w:pStyle w:val="BookText"/>
        <w:rPr/>
      </w:pPr>
      <w:r>
        <w:rPr>
          <w:rFonts w:ascii="IRNazanin" w:hAnsi="IRNazanin" w:eastAsia="IRNazanin"/>
          <w:color w:val="111111"/>
          <w:sz w:val="28"/>
          <w:sz w:val="28"/>
          <w:szCs w:val="28"/>
          <w:rtl w:val="true"/>
          <w:lang w:bidi="fa-IR"/>
        </w:rPr>
        <w:t>حال باید دید که جمع میان این دو طائفه از روایات چگونه است؟ دو وجه جمع برای این روایات ذکر شده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کاظم علیه السلام، نفی حرمت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کراهت؛ </w:t>
      </w:r>
      <w:r>
        <w:rPr>
          <w:rStyle w:val="FootnoteAnchor"/>
          <w:rtl w:val="true"/>
        </w:rPr>
        <w:footnoteReference w:id="1215"/>
      </w:r>
      <w:r>
        <w:rPr>
          <w:rFonts w:ascii="IRNazanin" w:hAnsi="IRNazanin" w:eastAsia="IRNazanin"/>
          <w:color w:val="111111"/>
          <w:sz w:val="28"/>
          <w:sz w:val="28"/>
          <w:szCs w:val="28"/>
          <w:rtl w:val="true"/>
          <w:lang w:bidi="fa-IR"/>
        </w:rPr>
        <w:t>یعنی به خاطر روایت علی بن جعفر روایات ناهیه حمل بر کراهت می شوند</w:t>
      </w:r>
      <w:r>
        <w:rPr>
          <w:rFonts w:eastAsia="IRNazanin" w:cs="IRNazanin"/>
          <w:color w:val="111111"/>
          <w:sz w:val="28"/>
          <w:szCs w:val="28"/>
          <w:rtl w:val="true"/>
          <w:lang w:bidi="fa-IR"/>
        </w:rPr>
        <w:t xml:space="preserve">. </w:t>
      </w:r>
      <w:bookmarkStart w:id="956" w:name="pg19115_195622"/>
    </w:p>
    <w:p>
      <w:pPr>
        <w:pStyle w:val="BookText"/>
        <w:rPr/>
      </w:pPr>
      <w:bookmarkEnd w:id="956"/>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نفی کراهت است نه نفی حرمت؛ یعنی شعر خواندن در مسجد حتی کراهت هم،ندارد لیکن باید دید که روایات ناهیه از شعر خواندن در مسجد را چگونه باید توجیه کرد؟</w:t>
      </w:r>
    </w:p>
    <w:p>
      <w:pPr>
        <w:pStyle w:val="BookText"/>
        <w:rPr/>
      </w:pPr>
      <w:r>
        <w:rPr>
          <w:rFonts w:ascii="IRNazanin" w:hAnsi="IRNazanin" w:eastAsia="IRNazanin"/>
          <w:color w:val="111111"/>
          <w:sz w:val="28"/>
          <w:sz w:val="28"/>
          <w:szCs w:val="28"/>
          <w:rtl w:val="true"/>
          <w:lang w:bidi="fa-IR"/>
        </w:rPr>
        <w:t>شهید اول رحمه الله در ذکری می گوید بعید نیست روایاتی که بر جواز انشاد شعر دلالت دارد مانند روایت علی بن جعفر حمل بر اشعاری کنیم که با الفاظ کم، حاوی معانی و منافع بسیاری باشد نظیر اشعاری که مشتمل بر حکمت و موعظه باشد یا ابیاتی که شاهد بر معنای لغتی از لغات قرآن یا روایات پیامبر اکرم صلی الله علیه و آله یا اشعاری شبیه به آنها باشد همچنین روایاتی که منع از شعر خواندن در مسجد می کند، حمل بر دیگر اشعار می شود؛ زیرا روایاتی نقل شده که در محضر پیامبر صلی الله علیه و آله در مسجد اشعاری خوانده شده اما ایشان انکار نکرده اند</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7" w:name="__RefHeading___Toc15202920_1280447820"/>
      <w:bookmarkStart w:id="958" w:name="_Toc371"/>
      <w:bookmarkEnd w:id="957"/>
      <w:r>
        <w:rPr/>
        <w:t>3</w:t>
      </w:r>
      <w:r>
        <w:rPr>
          <w:rtl w:val="true"/>
        </w:rPr>
        <w:t xml:space="preserve">. </w:t>
      </w:r>
      <w:r>
        <w:rPr>
          <w:rtl w:val="true"/>
        </w:rPr>
        <w:t>دیدگاه سوم</w:t>
      </w:r>
      <w:r>
        <w:rPr>
          <w:rtl w:val="true"/>
        </w:rPr>
        <w:t xml:space="preserve">: </w:t>
      </w:r>
      <w:r>
        <w:rPr>
          <w:rtl w:val="true"/>
        </w:rPr>
        <w:t>تفصیل</w:t>
      </w:r>
      <w:bookmarkEnd w:id="958"/>
    </w:p>
    <w:p>
      <w:pPr>
        <w:pStyle w:val="Heading6"/>
        <w:numPr>
          <w:ilvl w:val="5"/>
          <w:numId w:val="1"/>
        </w:numPr>
        <w:rPr/>
      </w:pPr>
      <w:bookmarkStart w:id="959" w:name="__RefHeading___Toc15202922_1280447820"/>
      <w:bookmarkStart w:id="960" w:name="_Toc372"/>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محقق ثانی رحمه الله نیز پس از تأیید این وجه جمع دایره اشعاری که خواندن آن در مسجد کراهت ندارد را افزوده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سنخ از اشعار، ابیاتی که مشتمل بر هر گونه موعظه مدح پیامبر صلی الله علیه و آله و ائمه علیهم السلام و یا مرثیه بر حضرت سید الشهداء علیه السلام باشد نیز ملحق می شود؛ زیرا سرودن و خواندن این گونه از اشعار عبادت است و با هدف ساخت مساجد که محل عبادت است منافاتی ندارد و از گذشته تاکنون گذشتگان این کار را انجام می دادند و فقیهان انکار نمی کردند</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رحمه الله نیز پس از ذکر کلام ذکری و جامع المقاصد می نویسد این کلام دور از صواب نیست و می توان نهی وارد شده در کلام پیامبر صلی الله علیه و آله را، حمل بر غالب اشعار عرب نمود که نوعاً در وصف دنیا و زینتهای دنیوی داشته و با وضع مسجد </w:t>
      </w:r>
      <w:bookmarkStart w:id="961" w:name="pg19115_195623"/>
    </w:p>
    <w:p>
      <w:pPr>
        <w:pStyle w:val="BookText"/>
        <w:rPr/>
      </w:pPr>
      <w:bookmarkEnd w:id="961"/>
      <w:r>
        <w:rPr>
          <w:rFonts w:ascii="IRNazanin" w:hAnsi="IRNazanin" w:eastAsia="IRNazanin"/>
          <w:color w:val="111111"/>
          <w:sz w:val="28"/>
          <w:sz w:val="28"/>
          <w:szCs w:val="28"/>
          <w:rtl w:val="true"/>
          <w:lang w:bidi="fa-IR"/>
        </w:rPr>
        <w:t>برای عبادت منافات دارد</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علامه مجلسی رحمه الله در بحار الانوار نیز پس از ذکر کلام شهید در ذکری می گوید آنچه ذکر شد، خالی از قوت نیست و امیر المؤمنین علیه السلام در خطبه های خویش که غالباً در مسجد ایراد می شد به ابیاتی از اشعار شاعران استشهاد می نمود و نیز شاعران مداح مانند حسان در حضور ائمه علیهم السلام اشعار خود را می خواندند که نشانگر آن است که مدح ائمه علیهم السلام خود عبادتی بزرگ است و مسجد نیز جایگاه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روایات ناهیه اشعار باطل و بی فایده است</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بنابراین، اگر اشعاری با موضوع وعظ و نصیحت و یا مدح پیامبر صلی الله علیه و آله و اهل بیت علیهم السلام یا مرثیه سید الشهداء صلی الله علیه و اله در مسجد خوانده شود از تحت روایات ناهیه خارج بوده و کراهت هم ندارد بلکه دارای ثواب بسیاری است؛ چنان که روایات بسیاری درباره ثواب شعر گفتن در مدح ائمه علیهم السلام و رثاء امام حسین علیه السلام وارد شده است</w:t>
      </w:r>
      <w:r>
        <w:rPr>
          <w:rFonts w:eastAsia="IRNazanin" w:cs="IRNazanin"/>
          <w:color w:val="111111"/>
          <w:sz w:val="28"/>
          <w:szCs w:val="28"/>
          <w:rtl w:val="true"/>
          <w:lang w:bidi="fa-IR"/>
        </w:rPr>
        <w:t>.</w:t>
      </w:r>
    </w:p>
    <w:p>
      <w:pPr>
        <w:pStyle w:val="Heading6"/>
        <w:numPr>
          <w:ilvl w:val="5"/>
          <w:numId w:val="1"/>
        </w:numPr>
        <w:rPr/>
      </w:pPr>
      <w:bookmarkStart w:id="962" w:name="__RefHeading___Toc15202924_1280447820"/>
      <w:bookmarkStart w:id="963" w:name="_Toc373"/>
      <w:bookmarkEnd w:id="962"/>
      <w:r>
        <w:rPr>
          <w:rtl w:val="true"/>
        </w:rPr>
        <w:t>ادله قول به استحباب خواندن اشعار شایسته در مسجد</w:t>
      </w:r>
      <w:bookmarkEnd w:id="963"/>
    </w:p>
    <w:p>
      <w:pPr>
        <w:pStyle w:val="BookText"/>
        <w:rPr/>
      </w:pPr>
      <w:r>
        <w:rPr>
          <w:rFonts w:ascii="IRNazanin" w:hAnsi="IRNazanin" w:eastAsia="IRNazanin"/>
          <w:color w:val="111111"/>
          <w:sz w:val="28"/>
          <w:sz w:val="28"/>
          <w:szCs w:val="28"/>
          <w:rtl w:val="true"/>
          <w:lang w:bidi="fa-IR"/>
        </w:rPr>
        <w:t>ادله قول سوم، روایاتی است که می توان آنها را به دو دسته تقسیم کرد؛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مقدار ثواب شعر گفتن و شعر خواندن برای اهل بیت علیهم السلام ذکر شده است مانند؛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عبد الله بن مفضّل از امام صادق علیه السلام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ما یک بیت شعر بگوید، خداوند متعال در بهشت برای او خانه ای بنا می کند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درباره ما یک بیت شعر نمی گوید مگر آن که </w:t>
      </w:r>
    </w:p>
    <w:p>
      <w:pPr>
        <w:pStyle w:val="BookText"/>
        <w:rPr/>
      </w:pPr>
      <w:r>
        <w:rPr>
          <w:rFonts w:ascii="IRNazanin" w:hAnsi="IRNazanin" w:eastAsia="IRNazanin"/>
          <w:color w:val="111111"/>
          <w:sz w:val="28"/>
          <w:sz w:val="28"/>
          <w:szCs w:val="28"/>
          <w:rtl w:val="true"/>
          <w:lang w:bidi="fa-IR"/>
        </w:rPr>
        <w:t>مورد تأیید روح القدس قرار می گیرد</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امام حسین علیه السلام، یک بیت شعر بگوید و گریه کند و دیگران را به گریه درآورد بهشت برای او و گریه کنندگان است</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جهم می گوید شنیدم که 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شعری در مدح ما نمی گوید مگر آن که خداوند شهری در بهشت برای او بنا می کند که وسعت،آن هفت برابر دنیاست و در آن خانه همه فرشتگان مقرب الهی و تمام انبیاء مرسل به زیارت او می آیند</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برخی از شاعران مانند کمیت بن زید، جعفر بن عفان طائی ابو عماره منشد و ابوهارون مکفوف از طرف ائمه علیهم السلام مورد تشویق قرار گرفته اند</w:t>
      </w:r>
      <w:r>
        <w:rPr>
          <w:rFonts w:eastAsia="IRNazanin" w:cs="IRNazanin"/>
          <w:color w:val="111111"/>
          <w:sz w:val="28"/>
          <w:szCs w:val="28"/>
          <w:rtl w:val="true"/>
          <w:lang w:bidi="fa-IR"/>
        </w:rPr>
        <w:t xml:space="preserve">. </w:t>
      </w:r>
      <w:r>
        <w:rPr>
          <w:rStyle w:val="FootnoteAnchor"/>
          <w:rtl w:val="true"/>
        </w:rPr>
        <w:footnoteReference w:id="122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روایاتی که در مورد فضیلت شعر گفتن و شعر خواندن درباره ائمه علیهم السلام وارد شده، نمی توان گفت که خواندن چنین اشعاری در مساجد، کراهت دارد بلکه با توجه به این اخبار روایات ناهیه از شعر خواندن در مساجد تخصیص می خورد؛ یعنی شعر خواندن در،مساجد کراهت دارد مگر خواندن </w:t>
      </w:r>
      <w:bookmarkStart w:id="964" w:name="pg19115_195625"/>
    </w:p>
    <w:p>
      <w:pPr>
        <w:pStyle w:val="BookText"/>
        <w:rPr/>
      </w:pPr>
      <w:bookmarkEnd w:id="964"/>
      <w:r>
        <w:rPr>
          <w:rFonts w:ascii="IRNazanin" w:hAnsi="IRNazanin" w:eastAsia="IRNazanin"/>
          <w:color w:val="111111"/>
          <w:sz w:val="28"/>
          <w:sz w:val="28"/>
          <w:szCs w:val="28"/>
          <w:rtl w:val="true"/>
          <w:lang w:bidi="fa-IR"/>
        </w:rPr>
        <w:t>اشعاری که به نوعی عبادت باشند مانند اشعار موعظه یا مدح اهل بیت علیهم السلامع یا مرثیه امام حسین علیه السلام</w:t>
      </w:r>
      <w:r>
        <w:rPr>
          <w:rFonts w:eastAsia="IRNazanin" w:cs="IRNazanin"/>
          <w:color w:val="111111"/>
          <w:sz w:val="28"/>
          <w:szCs w:val="28"/>
          <w:rtl w:val="true"/>
          <w:lang w:bidi="fa-IR"/>
        </w:rPr>
        <w:t>.</w:t>
      </w:r>
    </w:p>
    <w:p>
      <w:pPr>
        <w:pStyle w:val="Heading5"/>
        <w:numPr>
          <w:ilvl w:val="4"/>
          <w:numId w:val="1"/>
        </w:numPr>
        <w:rPr/>
      </w:pPr>
      <w:bookmarkStart w:id="965" w:name="__RefHeading___Toc15202926_1280447820"/>
      <w:bookmarkStart w:id="966" w:name="_Toc374"/>
      <w:bookmarkEnd w:id="965"/>
      <w:r>
        <w:rPr>
          <w:rtl w:val="true"/>
        </w:rPr>
        <w:t>ب</w:t>
      </w:r>
      <w:r>
        <w:rPr>
          <w:rtl w:val="true"/>
        </w:rPr>
        <w:t xml:space="preserve">) </w:t>
      </w:r>
      <w:r>
        <w:rPr>
          <w:rtl w:val="true"/>
        </w:rPr>
        <w:t>دیدگاه فقیهان اهل سنّت</w:t>
      </w:r>
      <w:bookmarkEnd w:id="966"/>
    </w:p>
    <w:p>
      <w:pPr>
        <w:pStyle w:val="Heading6"/>
        <w:numPr>
          <w:ilvl w:val="5"/>
          <w:numId w:val="1"/>
        </w:numPr>
        <w:rPr/>
      </w:pPr>
      <w:bookmarkStart w:id="967" w:name="__RefHeading___Toc15202928_1280447820"/>
      <w:bookmarkStart w:id="968" w:name="_Toc375"/>
      <w:bookmarkEnd w:id="967"/>
      <w:r>
        <w:rPr/>
        <w:t>1</w:t>
      </w:r>
      <w:r>
        <w:rPr>
          <w:rtl w:val="true"/>
        </w:rPr>
        <w:t xml:space="preserve">. </w:t>
      </w:r>
      <w:r>
        <w:rPr>
          <w:rtl w:val="true"/>
        </w:rPr>
        <w:t>مذهب حنفی</w:t>
      </w:r>
      <w:bookmarkEnd w:id="968"/>
    </w:p>
    <w:p>
      <w:pPr>
        <w:pStyle w:val="BookText"/>
        <w:rPr/>
      </w:pPr>
      <w:r>
        <w:rPr>
          <w:rFonts w:ascii="IRNazanin" w:hAnsi="IRNazanin" w:eastAsia="IRNazanin"/>
          <w:color w:val="111111"/>
          <w:sz w:val="28"/>
          <w:sz w:val="28"/>
          <w:szCs w:val="28"/>
          <w:rtl w:val="true"/>
          <w:lang w:bidi="fa-IR"/>
        </w:rPr>
        <w:t>حنفی ها، چهار حکم برای شعر خواندن در مسجد بیان کرده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شعری که در مسجد خوانده می شود مشتمل بر موعظه، حکمت، ذکر نعمتهای الهی صفت متقین و شبیه آنها،باشد در این صورت خواندن چنین شعری در مسجد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شعر، مشتمل بر تاریخ امت های گذشته آثار گذشتگان، گذر زمان و امثال اینها باشد، مباح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مشتمل بر مسخره کردن و هجو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مشتمل بر وصف اعضای بدن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موها، پاها، گونه صورت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تهییج شهوت نشود مکروه است و گرنه حرام می باشد</w:t>
      </w:r>
      <w:r>
        <w:rPr>
          <w:rFonts w:eastAsia="IRNazanin" w:cs="IRNazanin"/>
          <w:color w:val="111111"/>
          <w:sz w:val="28"/>
          <w:szCs w:val="28"/>
          <w:rtl w:val="true"/>
          <w:lang w:bidi="fa-IR"/>
        </w:rPr>
        <w:t xml:space="preserve">. </w:t>
      </w:r>
      <w:r>
        <w:rPr>
          <w:rStyle w:val="FootnoteAnchor"/>
          <w:rtl w:val="true"/>
        </w:rPr>
        <w:footnoteReference w:id="1226"/>
      </w:r>
    </w:p>
    <w:p>
      <w:pPr>
        <w:pStyle w:val="Heading6"/>
        <w:numPr>
          <w:ilvl w:val="5"/>
          <w:numId w:val="1"/>
        </w:numPr>
        <w:rPr/>
      </w:pPr>
      <w:bookmarkStart w:id="969" w:name="__RefHeading___Toc15202930_1280447820"/>
      <w:bookmarkStart w:id="970" w:name="_Toc376"/>
      <w:bookmarkEnd w:id="969"/>
      <w:r>
        <w:rPr/>
        <w:t>2</w:t>
      </w:r>
      <w:r>
        <w:rPr>
          <w:rtl w:val="true"/>
        </w:rPr>
        <w:t xml:space="preserve">. </w:t>
      </w:r>
      <w:r>
        <w:rPr>
          <w:rtl w:val="true"/>
        </w:rPr>
        <w:t>مذهب حنبلی</w:t>
      </w:r>
      <w:bookmarkEnd w:id="970"/>
    </w:p>
    <w:p>
      <w:pPr>
        <w:pStyle w:val="BookText"/>
        <w:rPr/>
      </w:pPr>
      <w:r>
        <w:rPr>
          <w:rFonts w:ascii="IRNazanin" w:hAnsi="IRNazanin" w:eastAsia="IRNazanin"/>
          <w:color w:val="111111"/>
          <w:sz w:val="28"/>
          <w:sz w:val="28"/>
          <w:szCs w:val="28"/>
          <w:rtl w:val="true"/>
          <w:lang w:bidi="fa-IR"/>
        </w:rPr>
        <w:t>حنبلی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برای مدح پیامبر اسلام صلی الله علیه و آله و امثال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موارد جایز و غیر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در مسجد مباح است</w:t>
      </w:r>
      <w:r>
        <w:rPr>
          <w:rFonts w:eastAsia="IRNazanin" w:cs="IRNazanin"/>
          <w:color w:val="111111"/>
          <w:sz w:val="28"/>
          <w:szCs w:val="28"/>
          <w:rtl w:val="true"/>
          <w:lang w:bidi="fa-IR"/>
        </w:rPr>
        <w:t xml:space="preserve">. </w:t>
      </w:r>
      <w:r>
        <w:rPr>
          <w:rStyle w:val="FootnoteAnchor"/>
          <w:rtl w:val="true"/>
        </w:rPr>
        <w:footnoteReference w:id="1227"/>
      </w:r>
    </w:p>
    <w:p>
      <w:pPr>
        <w:pStyle w:val="Heading6"/>
        <w:numPr>
          <w:ilvl w:val="5"/>
          <w:numId w:val="1"/>
        </w:numPr>
        <w:rPr/>
      </w:pPr>
      <w:bookmarkStart w:id="971" w:name="__RefHeading___Toc15202932_1280447820"/>
      <w:bookmarkStart w:id="972" w:name="_Toc377"/>
      <w:bookmarkEnd w:id="971"/>
      <w:r>
        <w:rPr/>
        <w:t>3</w:t>
      </w:r>
      <w:r>
        <w:rPr>
          <w:rtl w:val="true"/>
        </w:rPr>
        <w:t xml:space="preserve">. </w:t>
      </w:r>
      <w:r>
        <w:rPr>
          <w:rtl w:val="true"/>
        </w:rPr>
        <w:t>مذهب مالكي</w:t>
      </w:r>
      <w:bookmarkEnd w:id="97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 ها معتقدند انشاد شعر در،مسجد اگر متضمن حمد و ثنای الهی باشد یا در مقام ثنای پیامبر صلی الله علیه و آله باشد یا آن که موجب ترغیب و تشویق بر یک عمل خیری </w:t>
      </w:r>
      <w:bookmarkStart w:id="973" w:name="pg19115_195626"/>
    </w:p>
    <w:p>
      <w:pPr>
        <w:pStyle w:val="BookText"/>
        <w:rPr/>
      </w:pPr>
      <w:bookmarkEnd w:id="973"/>
      <w:r>
        <w:rPr>
          <w:rFonts w:ascii="IRNazanin" w:hAnsi="IRNazanin" w:eastAsia="IRNazanin"/>
          <w:color w:val="111111"/>
          <w:sz w:val="28"/>
          <w:sz w:val="28"/>
          <w:szCs w:val="28"/>
          <w:rtl w:val="true"/>
          <w:lang w:bidi="fa-IR"/>
        </w:rPr>
        <w:t>شود، نیکوست و اگر غیر از این موارد باشد جایز نیست</w:t>
      </w:r>
      <w:r>
        <w:rPr>
          <w:rFonts w:eastAsia="IRNazanin" w:cs="IRNazanin"/>
          <w:color w:val="111111"/>
          <w:sz w:val="28"/>
          <w:szCs w:val="28"/>
          <w:rtl w:val="true"/>
          <w:lang w:bidi="fa-IR"/>
        </w:rPr>
        <w:t xml:space="preserve">. </w:t>
      </w:r>
      <w:r>
        <w:rPr>
          <w:rStyle w:val="FootnoteAnchor"/>
          <w:rtl w:val="true"/>
        </w:rPr>
        <w:footnoteReference w:id="1228"/>
      </w:r>
    </w:p>
    <w:p>
      <w:pPr>
        <w:pStyle w:val="Heading6"/>
        <w:numPr>
          <w:ilvl w:val="5"/>
          <w:numId w:val="1"/>
        </w:numPr>
        <w:rPr/>
      </w:pPr>
      <w:bookmarkStart w:id="974" w:name="__RefHeading___Toc15202934_1280447820"/>
      <w:bookmarkStart w:id="975" w:name="_Toc378"/>
      <w:bookmarkEnd w:id="974"/>
      <w:r>
        <w:rPr/>
        <w:t>4</w:t>
      </w:r>
      <w:r>
        <w:rPr>
          <w:rtl w:val="true"/>
        </w:rPr>
        <w:t xml:space="preserve">. </w:t>
      </w:r>
      <w:r>
        <w:rPr>
          <w:rtl w:val="true"/>
        </w:rPr>
        <w:t>مذهب شافعی</w:t>
      </w:r>
      <w:bookmarkEnd w:id="97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قائلند به این که انشاد شعر در مسجد اگر مشتمل بر موعظه و نصیحت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مواردی که مخالف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موجب تشویش خاطر نشود جایز است و گرنه حرام است</w:t>
      </w:r>
      <w:r>
        <w:rPr>
          <w:rFonts w:eastAsia="IRNazanin" w:cs="IRNazanin"/>
          <w:color w:val="111111"/>
          <w:sz w:val="28"/>
          <w:szCs w:val="28"/>
          <w:rtl w:val="true"/>
          <w:lang w:bidi="fa-IR"/>
        </w:rPr>
        <w:t xml:space="preserve">. </w:t>
      </w:r>
      <w:r>
        <w:rPr>
          <w:rStyle w:val="FootnoteAnchor"/>
          <w:rtl w:val="true"/>
        </w:rPr>
        <w:footnoteReference w:id="1229"/>
      </w:r>
      <w:bookmarkStart w:id="976" w:name="pg19115_195627"/>
    </w:p>
    <w:p>
      <w:pPr>
        <w:pStyle w:val="Heading4"/>
        <w:numPr>
          <w:ilvl w:val="3"/>
          <w:numId w:val="1"/>
        </w:numPr>
        <w:rPr/>
      </w:pPr>
      <w:bookmarkStart w:id="977" w:name="__RefHeading___Toc15202936_1280447820"/>
      <w:bookmarkStart w:id="978" w:name="_Toc379"/>
      <w:bookmarkEnd w:id="976"/>
      <w:bookmarkEnd w:id="977"/>
      <w:r>
        <w:rPr>
          <w:rtl w:val="true"/>
        </w:rPr>
        <w:t>مبحث سوم</w:t>
      </w:r>
      <w:r>
        <w:rPr>
          <w:rtl w:val="true"/>
        </w:rPr>
        <w:t xml:space="preserve">: </w:t>
      </w:r>
      <w:r>
        <w:rPr>
          <w:rtl w:val="true"/>
        </w:rPr>
        <w:t>مکروهات مرتبط با کاربری مسجد</w:t>
      </w:r>
      <w:bookmarkEnd w:id="978"/>
    </w:p>
    <w:p>
      <w:pPr>
        <w:pStyle w:val="Heading5"/>
        <w:numPr>
          <w:ilvl w:val="4"/>
          <w:numId w:val="1"/>
        </w:numPr>
        <w:rPr/>
      </w:pPr>
      <w:bookmarkStart w:id="979" w:name="__RefHeading___Toc15202938_1280447820"/>
      <w:bookmarkStart w:id="980" w:name="_Toc380"/>
      <w:bookmarkEnd w:id="979"/>
      <w:r>
        <w:rPr>
          <w:rtl w:val="true"/>
        </w:rPr>
        <w:t>گفتار اول</w:t>
      </w:r>
      <w:r>
        <w:rPr>
          <w:rtl w:val="true"/>
        </w:rPr>
        <w:t xml:space="preserve">: </w:t>
      </w:r>
      <w:r>
        <w:rPr>
          <w:rtl w:val="true"/>
        </w:rPr>
        <w:t>اعلام گمشده در مسجد</w:t>
      </w:r>
      <w:bookmarkEnd w:id="980"/>
    </w:p>
    <w:p>
      <w:pPr>
        <w:pStyle w:val="Heading6"/>
        <w:numPr>
          <w:ilvl w:val="5"/>
          <w:numId w:val="1"/>
        </w:numPr>
        <w:rPr/>
      </w:pPr>
      <w:bookmarkStart w:id="981" w:name="__RefHeading___Toc15202940_1280447820"/>
      <w:bookmarkStart w:id="982" w:name="_Toc381"/>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 xml:space="preserve">یکی از مکروهات مرتبط با کارکرد مسجد آن است که اشیاء گمشده را در مسجد اعلام نمایند تا اگر کسی پیدا کرد آن را به صاحبش بر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این کار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نشدان الضالة</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اگر کسی چیزی را پیدا کرد، در مسجد اعلام کند تا صاحب آن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انشاد الضالة</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یابنده اعلام،کند انشاد خواهد بود و اگر مالک اعلام کند، نشدان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إنشاداً من الواجد و نشداناً من المالك</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چنین عملی هم در روایات مورد نکوهش و مذمّت واقع شده است و هم مشهور فقیهان فتوا به کراهت چنین عملی در مسجد داده اند </w:t>
      </w:r>
      <w:r>
        <w:rPr>
          <w:rStyle w:val="FootnoteAnchor"/>
          <w:rtl w:val="true"/>
        </w:rPr>
        <w:footnoteReference w:id="1233"/>
      </w:r>
      <w:r>
        <w:rPr>
          <w:rFonts w:ascii="IRNazanin" w:hAnsi="IRNazanin" w:eastAsia="IRNazanin"/>
          <w:color w:val="111111"/>
          <w:sz w:val="28"/>
          <w:sz w:val="28"/>
          <w:szCs w:val="28"/>
          <w:rtl w:val="true"/>
          <w:lang w:bidi="fa-IR"/>
        </w:rPr>
        <w:t>که از جمله ادله ایشان، این روایات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در الفقیه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شنید که شخصی گمشده خود را در مسجد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او بگویید خدا آن را به تو</w:t>
      </w:r>
    </w:p>
    <w:p>
      <w:pPr>
        <w:pStyle w:val="BookText"/>
        <w:rPr/>
      </w:pPr>
      <w:r>
        <w:rPr>
          <w:rFonts w:ascii="IRNazanin" w:hAnsi="IRNazanin" w:eastAsia="IRNazanin"/>
          <w:color w:val="111111"/>
          <w:sz w:val="28"/>
          <w:sz w:val="28"/>
          <w:szCs w:val="28"/>
          <w:rtl w:val="true"/>
          <w:lang w:bidi="fa-IR"/>
        </w:rPr>
        <w:t xml:space="preserve">بر نگرداند؛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تو در شأن مسجد نبوده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برای اموری غیر از این بنا شده اند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روایتی را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ارسول خدا صلی الله علیه و آله نهی کرد از این که در مسجد گمشده اعلام شود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رحمه الله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خود را از اموری از جمله اعلام گمشده دور نگهدارید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البته باید توجه داشت که در روایتی امام کاظم علیه السلام فرموده است که این کار اشکال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در کتاب تهذیب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بن جعفر علیه السلام درباره شیء گمشده می پرسد که آیا می توان آن را در مسجد اعلام کرد؟ حضرت می فرماید اشکالی ندارد</w:t>
      </w:r>
      <w:r>
        <w:rPr>
          <w:rFonts w:eastAsia="IRNazanin" w:cs="IRNazanin"/>
          <w:color w:val="111111"/>
          <w:sz w:val="28"/>
          <w:szCs w:val="28"/>
          <w:rtl w:val="true"/>
          <w:lang w:bidi="fa-IR"/>
        </w:rPr>
        <w:t xml:space="preserve">. </w:t>
      </w:r>
      <w:r>
        <w:rPr>
          <w:rStyle w:val="FootnoteAnchor"/>
          <w:rtl w:val="true"/>
        </w:rPr>
        <w:footnoteReference w:id="1237"/>
      </w:r>
      <w:bookmarkStart w:id="983" w:name="pg19115_195629"/>
    </w:p>
    <w:p>
      <w:pPr>
        <w:pStyle w:val="BookText"/>
        <w:rPr/>
      </w:pPr>
      <w:bookmarkEnd w:id="983"/>
      <w:r>
        <w:rPr>
          <w:rFonts w:ascii="IRNazanin" w:hAnsi="IRNazanin" w:eastAsia="IRNazanin"/>
          <w:color w:val="111111"/>
          <w:sz w:val="28"/>
          <w:sz w:val="28"/>
          <w:szCs w:val="28"/>
          <w:rtl w:val="true"/>
          <w:lang w:bidi="fa-IR"/>
        </w:rPr>
        <w:t>جمع این روایت با روایات دیگر آن است که این عمل، مکروه است</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ممکن است در اینجا پرسشی به ذهن خطور کند و آن این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شخصی که چیزی را پیدا می کند باید به مقدار مشخصی در مجامع عمومی اعلام کند و یکی از این مجامع عمومی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این بحث اعلام کردن شیء پیدا شده در،مسجد از مکروهات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چگونه با یکدیگر جمع می شود؟</w:t>
      </w:r>
    </w:p>
    <w:p>
      <w:pPr>
        <w:pStyle w:val="BookText"/>
        <w:rPr/>
      </w:pPr>
      <w:r>
        <w:rPr>
          <w:rFonts w:ascii="IRNazanin" w:hAnsi="IRNazanin" w:eastAsia="IRNazanin"/>
          <w:color w:val="111111"/>
          <w:sz w:val="28"/>
          <w:sz w:val="28"/>
          <w:szCs w:val="28"/>
          <w:rtl w:val="true"/>
          <w:lang w:bidi="fa-IR"/>
        </w:rPr>
        <w:t xml:space="preserve">در پاسخ باید گفت فقها به این نکته نیز توجه داشته و بیان فرموده اند برای این که دو حق ادا شود یعنی هم اعلام کرده باشد و هم مکروهی انجام ندهد، جلوی درب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مسجد نبوده و محل رفت و آمد مردم و یکی از مجامع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که چیزی را پیدا کرده است</w:t>
      </w:r>
      <w:r>
        <w:rPr>
          <w:rFonts w:eastAsia="IRNazanin" w:cs="IRNazanin"/>
          <w:color w:val="111111"/>
          <w:sz w:val="28"/>
          <w:szCs w:val="28"/>
          <w:rtl w:val="true"/>
          <w:lang w:bidi="fa-IR"/>
        </w:rPr>
        <w:t xml:space="preserve">. </w:t>
      </w:r>
      <w:r>
        <w:rPr>
          <w:rStyle w:val="FootnoteAnchor"/>
          <w:rtl w:val="true"/>
        </w:rPr>
        <w:footnoteReference w:id="1239"/>
      </w:r>
    </w:p>
    <w:p>
      <w:pPr>
        <w:pStyle w:val="Heading6"/>
        <w:numPr>
          <w:ilvl w:val="5"/>
          <w:numId w:val="1"/>
        </w:numPr>
        <w:rPr/>
      </w:pPr>
      <w:bookmarkStart w:id="984" w:name="__RefHeading___Toc15202942_1280447820"/>
      <w:bookmarkStart w:id="985" w:name="_Toc382"/>
      <w:bookmarkEnd w:id="984"/>
      <w:r>
        <w:rPr>
          <w:rtl w:val="true"/>
        </w:rPr>
        <w:t>دیدگاه اهل سنت</w:t>
      </w:r>
      <w:bookmarkEnd w:id="98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کراهت در میان اهل تسنن نیز اتفاقی است و تنها فقیهان شافعی در این مسئله قائل به تفصیل شدهاند به این صورت که اگر اعلام شیء گمشده در مسجد، موجب پریشانی و حواس پرتی نمازگزاران یا بیداری کسانی که در مسجد خوابند نشود، کراهت دارد و گرنه حرام است البته این حکم در غیر مسجد الحرام است اما در مسجد الحرام انشاد الضاله کراهت هم ندارد؛ زیرا مسجد الحرام محل تجمع مردم است</w:t>
      </w:r>
      <w:r>
        <w:rPr>
          <w:rFonts w:eastAsia="IRNazanin" w:cs="IRNazanin"/>
          <w:color w:val="111111"/>
          <w:sz w:val="28"/>
          <w:szCs w:val="28"/>
          <w:rtl w:val="true"/>
          <w:lang w:bidi="fa-IR"/>
        </w:rPr>
        <w:t xml:space="preserve">. </w:t>
      </w:r>
      <w:r>
        <w:rPr>
          <w:rStyle w:val="FootnoteAnchor"/>
          <w:rtl w:val="true"/>
        </w:rPr>
        <w:footnoteReference w:id="1240"/>
      </w:r>
      <w:bookmarkStart w:id="986" w:name="pg19115_195630"/>
    </w:p>
    <w:p>
      <w:pPr>
        <w:pStyle w:val="Heading5"/>
        <w:numPr>
          <w:ilvl w:val="4"/>
          <w:numId w:val="1"/>
        </w:numPr>
        <w:rPr/>
      </w:pPr>
      <w:bookmarkStart w:id="987" w:name="__RefHeading___Toc15202944_1280447820"/>
      <w:bookmarkStart w:id="988" w:name="_Toc383"/>
      <w:bookmarkEnd w:id="986"/>
      <w:bookmarkEnd w:id="987"/>
      <w:r>
        <w:rPr>
          <w:rtl w:val="true"/>
        </w:rPr>
        <w:t>گفتار دوم</w:t>
      </w:r>
      <w:r>
        <w:rPr>
          <w:rtl w:val="true"/>
        </w:rPr>
        <w:t xml:space="preserve">: </w:t>
      </w:r>
      <w:r>
        <w:rPr>
          <w:rtl w:val="true"/>
        </w:rPr>
        <w:t>خوابیدن در مسجد</w:t>
      </w:r>
      <w:bookmarkEnd w:id="988"/>
    </w:p>
    <w:p>
      <w:pPr>
        <w:pStyle w:val="Heading6"/>
        <w:numPr>
          <w:ilvl w:val="5"/>
          <w:numId w:val="1"/>
        </w:numPr>
        <w:rPr/>
      </w:pPr>
      <w:bookmarkStart w:id="989" w:name="__RefHeading___Toc15202946_1280447820"/>
      <w:bookmarkStart w:id="990" w:name="_Toc384"/>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 xml:space="preserve">یکی دیگر از مکروهات مرتبط با کارکرد،مسجد خوابیدن در مسجد بویژه مسجد الحرام و مسجد النبی، می باشد؛ چرا که این کار با عظمت و جایگاه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آن است که درباره خوابیدن در مسجد دو بحث مطرح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خوابیدن در مسجد حرام است یا مکروه؟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کراهت خوابیدن در مسجد چیست؟</w:t>
      </w:r>
    </w:p>
    <w:p>
      <w:pPr>
        <w:pStyle w:val="Heading6"/>
        <w:numPr>
          <w:ilvl w:val="5"/>
          <w:numId w:val="1"/>
        </w:numPr>
        <w:rPr/>
      </w:pPr>
      <w:bookmarkStart w:id="991" w:name="__RefHeading___Toc15202948_1280447820"/>
      <w:bookmarkStart w:id="992" w:name="_Toc385"/>
      <w:bookmarkEnd w:id="991"/>
      <w:r>
        <w:rPr>
          <w:rtl w:val="true"/>
        </w:rPr>
        <w:t>الف</w:t>
      </w:r>
      <w:r>
        <w:rPr>
          <w:rtl w:val="true"/>
        </w:rPr>
        <w:t xml:space="preserve">) </w:t>
      </w:r>
      <w:r>
        <w:rPr>
          <w:rtl w:val="true"/>
        </w:rPr>
        <w:t>بررسی جواز خوابیدن در مسجد</w:t>
      </w:r>
      <w:bookmarkEnd w:id="992"/>
    </w:p>
    <w:p>
      <w:pPr>
        <w:pStyle w:val="BookText"/>
        <w:rPr/>
      </w:pPr>
      <w:r>
        <w:rPr>
          <w:rFonts w:ascii="IRNazanin" w:hAnsi="IRNazanin" w:eastAsia="IRNazanin"/>
          <w:color w:val="111111"/>
          <w:sz w:val="28"/>
          <w:sz w:val="28"/>
          <w:szCs w:val="28"/>
          <w:rtl w:val="true"/>
          <w:lang w:bidi="fa-IR"/>
        </w:rPr>
        <w:t xml:space="preserve">منشأ این شبهه که خوابیدن در مسجد حرام است ممکن است برخی از روایات به صورت عام باشد که اشاره به جایگاه و عظمت مسجد،دارد مثل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لغير هذا بنيت</w:t>
      </w:r>
      <w:r>
        <w:rPr>
          <w:rFonts w:eastAsia="IRNazanin" w:cs="IRNazanin"/>
          <w:color w:val="111111"/>
          <w:sz w:val="28"/>
          <w:szCs w:val="28"/>
          <w:rtl w:val="true"/>
          <w:lang w:bidi="fa-IR"/>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انما وضعت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2"/>
      </w:r>
      <w:r>
        <w:rPr>
          <w:rFonts w:ascii="IRNazanin" w:hAnsi="IRNazanin" w:eastAsia="IRNazanin"/>
          <w:color w:val="111111"/>
          <w:sz w:val="28"/>
          <w:sz w:val="28"/>
          <w:szCs w:val="28"/>
          <w:rtl w:val="true"/>
          <w:lang w:bidi="fa-IR"/>
        </w:rPr>
        <w:t>یا روایات خاصی باشد که در این باره وارد شده،است مثل این روایت؛</w:t>
      </w:r>
    </w:p>
    <w:p>
      <w:pPr>
        <w:pStyle w:val="BookText"/>
        <w:rPr/>
      </w:pPr>
      <w:r>
        <w:rPr>
          <w:rFonts w:ascii="Amiri" w:hAnsi="Amiri" w:eastAsia="Amiri" w:cs="Amiri"/>
          <w:color w:val="111111"/>
          <w:sz w:val="28"/>
          <w:sz w:val="28"/>
          <w:szCs w:val="28"/>
          <w:rtl w:val="true"/>
          <w:lang w:bidi="ar-SA"/>
        </w:rPr>
        <w:t>عَنِ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فِي الْمَسْجِدِ بِغَيْرِ عُدْرِ ابْتَلَاهُ اللَّهُ بَدَاء لَا زَوَالَ لَهُ</w:t>
      </w:r>
      <w:r>
        <w:rPr>
          <w:rStyle w:val="FootnoteAnchor"/>
          <w:rtl w:val="true"/>
        </w:rPr>
        <w:footnoteReference w:id="1243"/>
      </w:r>
      <w:r>
        <w:rPr>
          <w:rFonts w:ascii="IRNazanin" w:hAnsi="IRNazanin" w:eastAsia="IRNazanin"/>
          <w:color w:val="111111"/>
          <w:sz w:val="28"/>
          <w:sz w:val="28"/>
          <w:szCs w:val="28"/>
          <w:rtl w:val="true"/>
          <w:lang w:bidi="fa-IR"/>
        </w:rPr>
        <w:t xml:space="preserve"> کسی که بدون عذر در مسجد،بخوابد خداوند او را به دردی مبتلا کند که هیچ دوائی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مخالف بودن با اصل وضع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مکانی است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شبهه حرمت را محکم تر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پاسخ باید گفت اول آن که، شبهه در اینجا یک شبهه تحریمه و شک در اصل تکلیف است و اینجا محل جریان اصاله البرائه می باشد که البته این اصل </w:t>
      </w:r>
    </w:p>
    <w:p>
      <w:pPr>
        <w:pStyle w:val="BookText"/>
        <w:rPr/>
      </w:pPr>
      <w:r>
        <w:rPr>
          <w:rFonts w:ascii="IRNazanin" w:hAnsi="IRNazanin" w:eastAsia="IRNazanin"/>
          <w:color w:val="111111"/>
          <w:sz w:val="28"/>
          <w:sz w:val="28"/>
          <w:szCs w:val="28"/>
          <w:rtl w:val="true"/>
          <w:lang w:bidi="fa-IR"/>
        </w:rPr>
        <w:t>مؤید با فتوای مشهور فقهاست</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دوم آن که، اجماع قولی و فعلی بر جواز و عدم حرمت خوابیدن در مسجد وجود دارد چنانچه صاحب کشف اللثام چنین ادعایی دارد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سوم آن که، روایات دیگری وجود دارد که تصریح به جواز خوابیدن در مسجد دارد، مانند؛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بن وهب می گوید از امام صادق علیه السلام پرسیدم آیا می توان در مسجد الحرام و مسجد النبی صلى الله عليه وسلم خوابید؟ حضرت فرمود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آنجا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می توانند بخوابند</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 خود امام کاظم علیه السلام درباره خواب در مسجد الحرام می پرسد؟ حضرت در پاسخ می فرماید اشکالی ندارد در ادامه از خواب در مسجد النبي صلی الله علیه و آله سؤال می کند؟ حضرت می فرماید این کار صحیح نیست</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عبد الخالق می گوید از امام صادق علیه السلام درباره خواب در مسجد الحرام سؤال کردم؟ حضرت فرمود آیا مردم چاره ای جز خوابیدن در مسجد الحرام </w:t>
      </w:r>
    </w:p>
    <w:p>
      <w:pPr>
        <w:pStyle w:val="BookText"/>
        <w:rPr/>
      </w:pPr>
      <w:r>
        <w:rPr>
          <w:rFonts w:ascii="IRNazanin" w:hAnsi="IRNazanin" w:eastAsia="IRNazanin"/>
          <w:color w:val="111111"/>
          <w:sz w:val="28"/>
          <w:sz w:val="28"/>
          <w:szCs w:val="28"/>
          <w:rtl w:val="true"/>
          <w:lang w:bidi="fa-IR"/>
        </w:rPr>
        <w:t>دارند این کار اشکالی ندارد</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 گوید از امام باقر علیه السلام پرسیدم نظر شما درباره خواب در مساجد چیست؟ حضرت فرمود اشکال ندارد مگر در دو مسجد؛ مسجد الحرام و مسجد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اختصاص به مسجد الحرام و مسجد النبي صلی الله علیه و آله دارند چنان که در متن روایات هم آمده مردم به دلیل ناچاری می توانند در این دو مسجد بخوابند اما در سایر مساجد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 از امام باقر علیه السلام نشان می دهد که خوابیدن در هیچ مسجدی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خوابیدن در مسجد حتى مسجد الحرام و مسجد النبی صلی الله علیه و آله، اشکالی نداشته و حرام نیست بحث بعدی آن است که آیا خوابیدن در مسجد، کراهت دارد یا خیر؟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ادله کراهت خوابیدن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ای که می توان برای کراهت خوابیدن در مسجد برشمرد، عبارت است از</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این کار با تکریم جایگاه مسجد است که در روایات نیز به جایگاه</w:t>
      </w:r>
    </w:p>
    <w:p>
      <w:pPr>
        <w:pStyle w:val="BookText"/>
        <w:rPr/>
      </w:pPr>
      <w:r>
        <w:rPr>
          <w:rFonts w:ascii="Amiri" w:hAnsi="Amiri" w:eastAsia="Amiri" w:cs="Amiri"/>
          <w:color w:val="111111"/>
          <w:sz w:val="28"/>
          <w:sz w:val="28"/>
          <w:szCs w:val="28"/>
          <w:rtl w:val="true"/>
          <w:lang w:bidi="ar-SA"/>
        </w:rPr>
        <w:t>رفیع مسجد اشاره 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نُصِبَتِ الْمَسَاجِدُ لِلْقُرْآنِ، يا أَنَّهَا إِنَّمَا وُضِعَتْ لِلْقُرْآن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ترس از خروج خبث یا حدث وجود دارد همان گونه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کودکان یا دیوانگان نیز چنین ترسی وجود دارد بلکه وضعیت شخص خواب بدتر از آنهاست</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می توان به فتوای مشهور فقها بلکه بالاتر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قدما و متأخرین بر حکم به کراهت در کلام ایشان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بر،کراهت برخی از روایاتی است که در خصوص کراهت خوابیدن در مسجد وارد شده است از جمله؛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از امام صادق علیه السلام درباره این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وَأَنْتُمْ سُکاری</w:t>
      </w:r>
      <w:r>
        <w:rPr>
          <w:rFonts w:ascii="IRNazanin" w:hAnsi="IRNazanin" w:eastAsia="IRNazanin"/>
          <w:color w:val="111111"/>
          <w:sz w:val="28"/>
          <w:sz w:val="28"/>
          <w:szCs w:val="28"/>
          <w:rtl w:val="true"/>
          <w:lang w:bidi="fa-IR"/>
        </w:rPr>
        <w:t xml:space="preserve"> می پرسد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مستی خواب است؛ </w:t>
      </w:r>
      <w:r>
        <w:rPr>
          <w:rStyle w:val="FootnoteAnchor"/>
          <w:rtl w:val="true"/>
        </w:rPr>
        <w:footnoteReference w:id="1251"/>
      </w:r>
      <w:r>
        <w:rPr>
          <w:rFonts w:ascii="IRNazanin" w:hAnsi="IRNazanin" w:eastAsia="IRNazanin"/>
          <w:color w:val="111111"/>
          <w:sz w:val="28"/>
          <w:sz w:val="28"/>
          <w:szCs w:val="28"/>
          <w:rtl w:val="true"/>
          <w:lang w:bidi="fa-IR"/>
        </w:rPr>
        <w:t xml:space="preserve">یعنی به مساجد نزدیک نشوید در حالی که خواب شما را فرا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استدلال به این روایت در صورتی صحیح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بدانیم همان گونه که فاضل مقداد به این مطلب تصریح کرده است</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نتیجه آن که خوابیدن در مسجد از اعمالی است که با اهداف والای 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است برای عبادت و پرستش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بوده 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این کراهت در مسجد الحرام و مسجد النبي صلی الله علیه و آله بیشتر و مؤكَّدتر می باشد؛ چرا که احترام این دو مسجد لازم تر است </w:t>
      </w:r>
      <w:r>
        <w:rPr>
          <w:rStyle w:val="FootnoteAnchor"/>
          <w:rtl w:val="true"/>
        </w:rPr>
        <w:footnoteReference w:id="1253"/>
      </w:r>
      <w:r>
        <w:rPr>
          <w:rFonts w:ascii="IRNazanin" w:hAnsi="IRNazanin" w:eastAsia="IRNazanin"/>
          <w:color w:val="111111"/>
          <w:sz w:val="28"/>
          <w:sz w:val="28"/>
          <w:szCs w:val="28"/>
          <w:rtl w:val="true"/>
          <w:lang w:bidi="fa-IR"/>
        </w:rPr>
        <w:t>و در روایات نیز از خوابیدن در این دو مسجد، به صورت خاص نهی شده است مانند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 گوید از امام باقر علیه السلام پرسیدم نظر شما درباره خواب در مساجد چیست؟ حضرت فرمود اشکال ندارد مگر در دو مسجد؛ مسجد الحرام و مسجد النبي صلی الله علیه و آله</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 از امام صادق علیه السلام از پیامبر صلی الله علیه و آله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مسجد من نمی 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خبر در مقام انشاء است؛ یعنی کسی در مسجد من نباید بخوابد</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باید در نظر داشت آن است که خوابیدن در مسجد در شرایط </w:t>
      </w:r>
    </w:p>
    <w:p>
      <w:pPr>
        <w:pStyle w:val="BookText"/>
        <w:rPr/>
      </w:pPr>
      <w:r>
        <w:rPr>
          <w:rFonts w:ascii="IRNazanin" w:hAnsi="IRNazanin" w:eastAsia="IRNazanin"/>
          <w:color w:val="111111"/>
          <w:sz w:val="28"/>
          <w:sz w:val="28"/>
          <w:szCs w:val="28"/>
          <w:rtl w:val="true"/>
          <w:lang w:bidi="fa-IR"/>
        </w:rPr>
        <w:t>اضطراری مثل نداشتن جایی برای خواب یا برای افراد فقیری که هیچ منزل و مأوایی جز مسجد،ندارند کراهت ندارد به این مطلب در برخی از روایات نیز اشاره شده است، 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بن وهب می گوید از امام صادق علیه السلام پرسیدم آیا می توان در مسجد الحرام و مسجد النبی صلى الله عليه و آله و سلم خوابید؟ حضرت فرمود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آنجا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می توانند بخوابند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 افراد بی بضاعت در زمان پیامبر صلی لله علیه و آله، در مسجد بیتوته می کردند</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عبد الخالق می گوید از امام صادق علیه السلام درباره خواب در مسجد الحرام سؤال کردم؟ حضرت فرمود آیا مردم چاره ای جز خوابیدن در مسجد الحرام دارند این کار اشکالی ندارد</w:t>
      </w:r>
      <w:r>
        <w:rPr>
          <w:rFonts w:eastAsia="IRNazanin" w:cs="IRNazanin"/>
          <w:color w:val="111111"/>
          <w:sz w:val="28"/>
          <w:szCs w:val="28"/>
          <w:rtl w:val="true"/>
          <w:lang w:bidi="fa-IR"/>
        </w:rPr>
        <w:t xml:space="preserve">. </w:t>
      </w:r>
      <w:r>
        <w:rPr>
          <w:rStyle w:val="FootnoteAnchor"/>
          <w:rtl w:val="true"/>
        </w:rPr>
        <w:footnoteReference w:id="125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خوابیدن در مسجد در شرایط اضطراری یا برای کسانی که سرپناهی جز مسجد ندارند کراهت ندارد</w:t>
      </w:r>
      <w:r>
        <w:rPr>
          <w:rFonts w:eastAsia="IRNazanin" w:cs="IRNazanin"/>
          <w:color w:val="111111"/>
          <w:sz w:val="28"/>
          <w:szCs w:val="28"/>
          <w:rtl w:val="true"/>
          <w:lang w:bidi="fa-IR"/>
        </w:rPr>
        <w:t xml:space="preserve">. </w:t>
      </w:r>
      <w:bookmarkStart w:id="993" w:name="pg19115_195636"/>
    </w:p>
    <w:p>
      <w:pPr>
        <w:pStyle w:val="Heading6"/>
        <w:numPr>
          <w:ilvl w:val="5"/>
          <w:numId w:val="1"/>
        </w:numPr>
        <w:rPr/>
      </w:pPr>
      <w:bookmarkStart w:id="994" w:name="__RefHeading___Toc15202950_1280447820"/>
      <w:bookmarkStart w:id="995" w:name="_Toc386"/>
      <w:bookmarkEnd w:id="993"/>
      <w:bookmarkEnd w:id="994"/>
      <w:r>
        <w:rPr>
          <w:rtl w:val="true"/>
        </w:rPr>
        <w:t>ج</w:t>
      </w:r>
      <w:r>
        <w:rPr>
          <w:rtl w:val="true"/>
        </w:rPr>
        <w:t xml:space="preserve">. </w:t>
      </w:r>
      <w:r>
        <w:rPr>
          <w:rtl w:val="true"/>
        </w:rPr>
        <w:t>دیدگاه اهل سنت</w:t>
      </w:r>
      <w:bookmarkEnd w:id="995"/>
    </w:p>
    <w:p>
      <w:pPr>
        <w:pStyle w:val="Heading6"/>
        <w:numPr>
          <w:ilvl w:val="5"/>
          <w:numId w:val="1"/>
        </w:numPr>
        <w:rPr/>
      </w:pPr>
      <w:bookmarkStart w:id="996" w:name="__RefHeading___Toc15202952_1280447820"/>
      <w:bookmarkStart w:id="997" w:name="_Toc387"/>
      <w:bookmarkEnd w:id="996"/>
      <w:r>
        <w:rPr>
          <w:rtl w:val="true"/>
        </w:rPr>
        <w:t>اشاره</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w:t>
      </w:r>
      <w:r>
        <w:rPr>
          <w:rStyle w:val="FootnoteAnchor"/>
          <w:rtl w:val="true"/>
        </w:rPr>
        <w:footnoteReference w:id="1259"/>
      </w:r>
    </w:p>
    <w:p>
      <w:pPr>
        <w:pStyle w:val="Heading6"/>
        <w:numPr>
          <w:ilvl w:val="5"/>
          <w:numId w:val="1"/>
        </w:numPr>
        <w:rPr/>
      </w:pPr>
      <w:bookmarkStart w:id="998" w:name="__RefHeading___Toc15202954_1280447820"/>
      <w:bookmarkStart w:id="999" w:name="_Toc388"/>
      <w:bookmarkEnd w:id="998"/>
      <w:r>
        <w:rPr/>
        <w:t>1</w:t>
      </w:r>
      <w:r>
        <w:rPr>
          <w:rtl w:val="true"/>
        </w:rPr>
        <w:t xml:space="preserve">. </w:t>
      </w:r>
      <w:r>
        <w:rPr>
          <w:rtl w:val="true"/>
        </w:rPr>
        <w:t>مذهب حنفی</w:t>
      </w:r>
      <w:bookmarkEnd w:id="999"/>
    </w:p>
    <w:p>
      <w:pPr>
        <w:pStyle w:val="BookText"/>
        <w:rPr/>
      </w:pPr>
      <w:r>
        <w:rPr>
          <w:rFonts w:ascii="IRNazanin" w:hAnsi="IRNazanin" w:eastAsia="IRNazanin"/>
          <w:color w:val="111111"/>
          <w:sz w:val="28"/>
          <w:sz w:val="28"/>
          <w:szCs w:val="28"/>
          <w:rtl w:val="true"/>
          <w:lang w:bidi="fa-IR"/>
        </w:rPr>
        <w:t>حنفی ها قائل اند به این که خوابیدن در مسجد كراهت دارد مگر برای غریب و معتکف که برای این دو دسته خوابیدن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البته ایشان راهی برای رهایی از کراهت پیشنهاد کنند و آن این که هر کس می خواهد در مسجد بخوابد نیت اعتکاف کند و اعمال معتکف را انجام دهد که در این صورت خواب او دیگر خواب مکروه نیست</w:t>
      </w:r>
      <w:r>
        <w:rPr>
          <w:rFonts w:eastAsia="IRNazanin" w:cs="IRNazanin"/>
          <w:color w:val="111111"/>
          <w:sz w:val="28"/>
          <w:szCs w:val="28"/>
          <w:rtl w:val="true"/>
          <w:lang w:bidi="fa-IR"/>
        </w:rPr>
        <w:t xml:space="preserve">. </w:t>
      </w:r>
      <w:r>
        <w:rPr>
          <w:rStyle w:val="FootnoteAnchor"/>
          <w:rtl w:val="true"/>
        </w:rPr>
        <w:footnoteReference w:id="1260"/>
      </w:r>
    </w:p>
    <w:p>
      <w:pPr>
        <w:pStyle w:val="Heading6"/>
        <w:numPr>
          <w:ilvl w:val="5"/>
          <w:numId w:val="1"/>
        </w:numPr>
        <w:rPr/>
      </w:pPr>
      <w:bookmarkStart w:id="1000" w:name="__RefHeading___Toc15202956_1280447820"/>
      <w:bookmarkStart w:id="1001" w:name="_Toc389"/>
      <w:bookmarkEnd w:id="1000"/>
      <w:r>
        <w:rPr/>
        <w:t>2</w:t>
      </w:r>
      <w:r>
        <w:rPr>
          <w:rtl w:val="true"/>
        </w:rPr>
        <w:t xml:space="preserve">. </w:t>
      </w:r>
      <w:r>
        <w:rPr>
          <w:rtl w:val="true"/>
        </w:rPr>
        <w:t>مذهب شافعی</w:t>
      </w:r>
      <w:bookmarkEnd w:id="1001"/>
    </w:p>
    <w:p>
      <w:pPr>
        <w:pStyle w:val="BookText"/>
        <w:rPr/>
      </w:pPr>
      <w:r>
        <w:rPr>
          <w:rFonts w:ascii="IRNazanin" w:hAnsi="IRNazanin" w:eastAsia="IRNazanin"/>
          <w:color w:val="111111"/>
          <w:sz w:val="28"/>
          <w:sz w:val="28"/>
          <w:szCs w:val="28"/>
          <w:rtl w:val="true"/>
          <w:lang w:bidi="fa-IR"/>
        </w:rPr>
        <w:t xml:space="preserve">شافعی ها بر این باورند که خوابیدن در مسجد کراهت ندارد مگر آن که موجب حواس پرتی افراد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مثل آن که شخص هنگام خواب خروپف کند</w:t>
      </w:r>
      <w:r>
        <w:rPr>
          <w:rFonts w:eastAsia="IRNazanin" w:cs="IRNazanin"/>
          <w:color w:val="111111"/>
          <w:sz w:val="28"/>
          <w:szCs w:val="28"/>
          <w:rtl w:val="true"/>
          <w:lang w:bidi="fa-IR"/>
        </w:rPr>
        <w:t xml:space="preserve">. </w:t>
      </w:r>
      <w:r>
        <w:rPr>
          <w:rStyle w:val="FootnoteAnchor"/>
          <w:rtl w:val="true"/>
        </w:rPr>
        <w:footnoteReference w:id="1261"/>
      </w:r>
    </w:p>
    <w:p>
      <w:pPr>
        <w:pStyle w:val="Heading6"/>
        <w:numPr>
          <w:ilvl w:val="5"/>
          <w:numId w:val="1"/>
        </w:numPr>
        <w:rPr/>
      </w:pPr>
      <w:bookmarkStart w:id="1002" w:name="__RefHeading___Toc15202958_1280447820"/>
      <w:bookmarkStart w:id="1003" w:name="_Toc390"/>
      <w:bookmarkEnd w:id="1002"/>
      <w:r>
        <w:rPr/>
        <w:t>3</w:t>
      </w:r>
      <w:r>
        <w:rPr>
          <w:rtl w:val="true"/>
        </w:rPr>
        <w:t xml:space="preserve">. </w:t>
      </w:r>
      <w:r>
        <w:rPr>
          <w:rtl w:val="true"/>
        </w:rPr>
        <w:t>مذهب حنبلی</w:t>
      </w:r>
      <w:bookmarkEnd w:id="1003"/>
    </w:p>
    <w:p>
      <w:pPr>
        <w:pStyle w:val="BookText"/>
        <w:rPr/>
      </w:pPr>
      <w:r>
        <w:rPr>
          <w:rFonts w:ascii="IRNazanin" w:hAnsi="IRNazanin" w:eastAsia="IRNazanin"/>
          <w:color w:val="111111"/>
          <w:sz w:val="28"/>
          <w:sz w:val="28"/>
          <w:szCs w:val="28"/>
          <w:rtl w:val="true"/>
          <w:lang w:bidi="fa-IR"/>
        </w:rPr>
        <w:t xml:space="preserve">حنبلی ها نیز خوابیدن در مسجد را مکروه،ندانسته بلکه مباح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معتکف و چه غیر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 که روبروی نمازگزاران نخوابد؛ چرا که نماز خواندن به سوی نائم کراهت دارد</w:t>
      </w:r>
      <w:r>
        <w:rPr>
          <w:rFonts w:eastAsia="IRNazanin" w:cs="IRNazanin"/>
          <w:color w:val="111111"/>
          <w:sz w:val="28"/>
          <w:szCs w:val="28"/>
          <w:rtl w:val="true"/>
          <w:lang w:bidi="fa-IR"/>
        </w:rPr>
        <w:t xml:space="preserve">. </w:t>
      </w:r>
      <w:r>
        <w:rPr>
          <w:rStyle w:val="FootnoteAnchor"/>
          <w:rtl w:val="true"/>
        </w:rPr>
        <w:footnoteReference w:id="1262"/>
      </w:r>
    </w:p>
    <w:p>
      <w:pPr>
        <w:pStyle w:val="Heading6"/>
        <w:numPr>
          <w:ilvl w:val="5"/>
          <w:numId w:val="1"/>
        </w:numPr>
        <w:rPr/>
      </w:pPr>
      <w:bookmarkStart w:id="1004" w:name="__RefHeading___Toc15202960_1280447820"/>
      <w:bookmarkStart w:id="1005" w:name="_Toc391"/>
      <w:bookmarkEnd w:id="1004"/>
      <w:r>
        <w:rPr/>
        <w:t>4</w:t>
      </w:r>
      <w:r>
        <w:rPr>
          <w:rtl w:val="true"/>
        </w:rPr>
        <w:t xml:space="preserve">. </w:t>
      </w:r>
      <w:r>
        <w:rPr>
          <w:rtl w:val="true"/>
        </w:rPr>
        <w:t>مذهب مالکی</w:t>
      </w:r>
      <w:bookmarkEnd w:id="100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 ها خوابیدن در مسجد در وقت قیلوله را جایز می دانند چه مسجد در مسیر راه مسافرت باشد و چه مسجد محل سکونت همچنین خوابیدن شب هنگام را تنها </w:t>
      </w:r>
      <w:bookmarkStart w:id="1006" w:name="pg19115_195637"/>
    </w:p>
    <w:p>
      <w:pPr>
        <w:pStyle w:val="BookText"/>
        <w:rPr/>
      </w:pPr>
      <w:bookmarkEnd w:id="1006"/>
      <w:r>
        <w:rPr>
          <w:rFonts w:ascii="IRNazanin" w:hAnsi="IRNazanin" w:eastAsia="IRNazanin"/>
          <w:color w:val="111111"/>
          <w:sz w:val="28"/>
          <w:sz w:val="28"/>
          <w:szCs w:val="28"/>
          <w:rtl w:val="true"/>
          <w:lang w:bidi="fa-IR"/>
        </w:rPr>
        <w:t>در مسجد بین راه جایز و مکروه می دانند برای کسی که منزلی ندارد یا آن که رسیدن به منزلش در شب سخت است</w:t>
      </w:r>
      <w:r>
        <w:rPr>
          <w:rFonts w:eastAsia="IRNazanin" w:cs="IRNazanin"/>
          <w:color w:val="111111"/>
          <w:sz w:val="28"/>
          <w:szCs w:val="28"/>
          <w:rtl w:val="true"/>
          <w:lang w:bidi="fa-IR"/>
        </w:rPr>
        <w:t xml:space="preserve">. </w:t>
      </w:r>
      <w:r>
        <w:rPr>
          <w:rStyle w:val="FootnoteAnchor"/>
          <w:rtl w:val="true"/>
        </w:rPr>
        <w:footnoteReference w:id="1263"/>
      </w:r>
    </w:p>
    <w:p>
      <w:pPr>
        <w:pStyle w:val="Heading5"/>
        <w:numPr>
          <w:ilvl w:val="4"/>
          <w:numId w:val="1"/>
        </w:numPr>
        <w:rPr/>
      </w:pPr>
      <w:bookmarkStart w:id="1007" w:name="__RefHeading___Toc15202962_1280447820"/>
      <w:bookmarkStart w:id="1008" w:name="_Toc392"/>
      <w:bookmarkEnd w:id="1007"/>
      <w:r>
        <w:rPr>
          <w:rtl w:val="true"/>
        </w:rPr>
        <w:t>گفتار سوم</w:t>
      </w:r>
      <w:r>
        <w:rPr>
          <w:rtl w:val="true"/>
        </w:rPr>
        <w:t xml:space="preserve">: </w:t>
      </w:r>
      <w:r>
        <w:rPr>
          <w:rtl w:val="true"/>
        </w:rPr>
        <w:t>خرید و فروش در مساجد</w:t>
      </w:r>
      <w:bookmarkEnd w:id="1008"/>
    </w:p>
    <w:p>
      <w:pPr>
        <w:pStyle w:val="Heading6"/>
        <w:numPr>
          <w:ilvl w:val="5"/>
          <w:numId w:val="1"/>
        </w:numPr>
        <w:rPr/>
      </w:pPr>
      <w:bookmarkStart w:id="1009" w:name="__RefHeading___Toc15202964_1280447820"/>
      <w:bookmarkStart w:id="1010" w:name="_Toc393"/>
      <w:bookmarkEnd w:id="1009"/>
      <w:r>
        <w:rPr>
          <w:rtl w:val="true"/>
        </w:rPr>
        <w:t>اشاره</w:t>
      </w:r>
      <w:bookmarkEnd w:id="101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خرید و فروش در مسجد مکروه می باشد و در روایات نیز از انجام این کار در مسجد نهی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جمله فقیهانی که تصریح به کراهت این عمل کردهاند عبارتند از؛ شیخ طوسی،</w:t>
      </w:r>
      <w:r>
        <w:rPr>
          <w:rStyle w:val="FootnoteAnchor"/>
          <w:rtl w:val="true"/>
        </w:rPr>
        <w:footnoteReference w:id="1264"/>
      </w:r>
      <w:r>
        <w:rPr>
          <w:rFonts w:ascii="Amiri" w:hAnsi="Amiri" w:eastAsia="Amiri" w:cs="Amiri"/>
          <w:color w:val="111111"/>
          <w:sz w:val="28"/>
          <w:sz w:val="28"/>
          <w:szCs w:val="28"/>
          <w:rtl w:val="true"/>
          <w:lang w:bidi="ar-SA"/>
        </w:rPr>
        <w:t xml:space="preserve">محقق حلّی، </w:t>
      </w:r>
      <w:r>
        <w:rPr>
          <w:rStyle w:val="FootnoteAnchor"/>
          <w:rtl w:val="true"/>
        </w:rPr>
        <w:footnoteReference w:id="1265"/>
      </w:r>
      <w:r>
        <w:rPr>
          <w:rFonts w:ascii="IRNazanin" w:hAnsi="IRNazanin" w:eastAsia="IRNazanin"/>
          <w:color w:val="111111"/>
          <w:sz w:val="28"/>
          <w:sz w:val="28"/>
          <w:szCs w:val="28"/>
          <w:rtl w:val="true"/>
          <w:lang w:bidi="fa-IR"/>
        </w:rPr>
        <w:t>علامه حلی رحمه الله،</w:t>
      </w:r>
      <w:r>
        <w:rPr>
          <w:rStyle w:val="FootnoteAnchor"/>
          <w:rtl w:val="true"/>
        </w:rPr>
        <w:footnoteReference w:id="1266"/>
      </w:r>
      <w:r>
        <w:rPr>
          <w:rFonts w:ascii="IRNazanin" w:hAnsi="IRNazanin" w:eastAsia="IRNazanin"/>
          <w:color w:val="111111"/>
          <w:sz w:val="28"/>
          <w:sz w:val="28"/>
          <w:szCs w:val="28"/>
          <w:rtl w:val="true"/>
          <w:lang w:bidi="fa-IR"/>
        </w:rPr>
        <w:t xml:space="preserve">شهید اول، </w:t>
      </w:r>
      <w:r>
        <w:rPr>
          <w:rStyle w:val="FootnoteAnchor"/>
          <w:rtl w:val="true"/>
        </w:rPr>
        <w:footnoteReference w:id="1267"/>
      </w:r>
      <w:r>
        <w:rPr>
          <w:rFonts w:ascii="IRNazanin" w:hAnsi="IRNazanin" w:eastAsia="IRNazanin"/>
          <w:color w:val="111111"/>
          <w:sz w:val="28"/>
          <w:sz w:val="28"/>
          <w:szCs w:val="28"/>
          <w:rtl w:val="true"/>
          <w:lang w:bidi="fa-IR"/>
        </w:rPr>
        <w:t xml:space="preserve">محقق ثانی، </w:t>
      </w:r>
      <w:r>
        <w:rPr>
          <w:rStyle w:val="FootnoteAnchor"/>
          <w:rtl w:val="true"/>
        </w:rPr>
        <w:footnoteReference w:id="1268"/>
      </w:r>
      <w:r>
        <w:rPr>
          <w:rFonts w:ascii="IRNazanin" w:hAnsi="IRNazanin" w:eastAsia="IRNazanin"/>
          <w:color w:val="111111"/>
          <w:sz w:val="28"/>
          <w:sz w:val="28"/>
          <w:szCs w:val="28"/>
          <w:rtl w:val="true"/>
          <w:lang w:bidi="fa-IR"/>
        </w:rPr>
        <w:t xml:space="preserve">شهید ثانی، </w:t>
      </w:r>
      <w:r>
        <w:rPr>
          <w:rStyle w:val="FootnoteAnchor"/>
          <w:rtl w:val="true"/>
        </w:rPr>
        <w:footnoteReference w:id="1269"/>
      </w: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1270"/>
      </w:r>
      <w:r>
        <w:rPr>
          <w:rFonts w:ascii="IRNazanin" w:hAnsi="IRNazanin" w:eastAsia="IRNazanin"/>
          <w:color w:val="111111"/>
          <w:sz w:val="28"/>
          <w:sz w:val="28"/>
          <w:szCs w:val="28"/>
          <w:rtl w:val="true"/>
          <w:lang w:bidi="fa-IR"/>
        </w:rPr>
        <w:t xml:space="preserve">صاحب مدارک الاحکام، </w:t>
      </w:r>
      <w:r>
        <w:rPr>
          <w:rStyle w:val="FootnoteAnchor"/>
          <w:rtl w:val="true"/>
        </w:rPr>
        <w:footnoteReference w:id="1271"/>
      </w:r>
      <w:r>
        <w:rPr>
          <w:rFonts w:ascii="IRNazanin" w:hAnsi="IRNazanin" w:eastAsia="IRNazanin"/>
          <w:color w:val="111111"/>
          <w:sz w:val="28"/>
          <w:sz w:val="28"/>
          <w:szCs w:val="28"/>
          <w:rtl w:val="true"/>
          <w:lang w:bidi="fa-IR"/>
        </w:rPr>
        <w:t xml:space="preserve">ملا محسن فیض کاشانی، </w:t>
      </w:r>
      <w:r>
        <w:rPr>
          <w:rStyle w:val="FootnoteAnchor"/>
          <w:rtl w:val="true"/>
        </w:rPr>
        <w:footnoteReference w:id="1272"/>
      </w:r>
      <w:r>
        <w:rPr>
          <w:rFonts w:ascii="IRNazanin" w:hAnsi="IRNazanin" w:eastAsia="IRNazanin"/>
          <w:color w:val="111111"/>
          <w:sz w:val="28"/>
          <w:sz w:val="28"/>
          <w:szCs w:val="28"/>
          <w:rtl w:val="true"/>
          <w:lang w:bidi="fa-IR"/>
        </w:rPr>
        <w:t xml:space="preserve">محقق سبزواری، </w:t>
      </w:r>
      <w:r>
        <w:rPr>
          <w:rStyle w:val="FootnoteAnchor"/>
          <w:rtl w:val="true"/>
        </w:rPr>
        <w:footnoteReference w:id="1273"/>
      </w:r>
      <w:r>
        <w:rPr>
          <w:rFonts w:ascii="IRNazanin" w:hAnsi="IRNazanin" w:eastAsia="IRNazanin"/>
          <w:color w:val="111111"/>
          <w:sz w:val="28"/>
          <w:sz w:val="28"/>
          <w:szCs w:val="28"/>
          <w:rtl w:val="true"/>
          <w:lang w:bidi="fa-IR"/>
        </w:rPr>
        <w:t xml:space="preserve">سید عاملی در مفتاح الكرامه، </w:t>
      </w:r>
      <w:r>
        <w:rPr>
          <w:rStyle w:val="FootnoteAnchor"/>
          <w:rtl w:val="true"/>
        </w:rPr>
        <w:footnoteReference w:id="1274"/>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 xml:space="preserve">جواهر، </w:t>
      </w:r>
      <w:r>
        <w:rPr>
          <w:rStyle w:val="FootnoteAnchor"/>
          <w:rtl w:val="true"/>
        </w:rPr>
        <w:footnoteReference w:id="1275"/>
      </w:r>
      <w:r>
        <w:rPr>
          <w:rFonts w:ascii="IRNazanin" w:hAnsi="IRNazanin" w:eastAsia="IRNazanin"/>
          <w:color w:val="111111"/>
          <w:sz w:val="28"/>
          <w:sz w:val="28"/>
          <w:szCs w:val="28"/>
          <w:rtl w:val="true"/>
          <w:lang w:bidi="fa-IR"/>
        </w:rPr>
        <w:t>سید یزدی رحمه الله در عروه</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دلائلی که بر کراهت انجام این عمل در مسجد ذکر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 این باره وارد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جَنِّبُوا مَسَاجِدَكُمْ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شِرَاءَكُمْ وَبَيْعَكُمْ</w:t>
      </w:r>
      <w:r>
        <w:rPr>
          <w:rStyle w:val="FootnoteAnchor"/>
          <w:rtl w:val="true"/>
        </w:rPr>
        <w:footnoteReference w:id="1277"/>
      </w:r>
      <w:r>
        <w:rPr>
          <w:rFonts w:ascii="IRNazanin" w:hAnsi="IRNazanin" w:eastAsia="IRNazanin"/>
          <w:color w:val="111111"/>
          <w:sz w:val="28"/>
          <w:sz w:val="28"/>
          <w:szCs w:val="28"/>
          <w:rtl w:val="true"/>
          <w:lang w:bidi="fa-IR"/>
        </w:rPr>
        <w:t xml:space="preserve"> در مساجد خود از خرید و فروش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جَنَّبُوا مَسَاجِدَكُمُ الْبَيْعَ وَ السَّرَاءَ</w:t>
      </w:r>
      <w:r>
        <w:rPr>
          <w:rStyle w:val="FootnoteAnchor"/>
          <w:rtl w:val="true"/>
        </w:rPr>
        <w:footnoteReference w:id="1278"/>
      </w:r>
      <w:r>
        <w:rPr>
          <w:rFonts w:ascii="IRNazanin" w:hAnsi="IRNazanin" w:eastAsia="IRNazanin"/>
          <w:color w:val="111111"/>
          <w:sz w:val="28"/>
          <w:sz w:val="28"/>
          <w:szCs w:val="28"/>
          <w:rtl w:val="true"/>
          <w:lang w:bidi="fa-IR"/>
        </w:rPr>
        <w:t xml:space="preserve"> مساجد خویش را محل خرید و فروش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فاضل هندی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تعلیل خود بر کراهت، گفته اند مساجد برای عبادت و پرستش خداوند بنا شده نه برای امور دنیوی مانند داد و ستد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فقیهان همانند صاحب جواهر رحمه الله سایر معاملات معاوضی را که اثر آن، </w:t>
      </w:r>
      <w:bookmarkStart w:id="1011" w:name="pg19115_195639"/>
    </w:p>
    <w:p>
      <w:pPr>
        <w:pStyle w:val="BookText"/>
        <w:rPr/>
      </w:pPr>
      <w:bookmarkEnd w:id="1011"/>
      <w:r>
        <w:rPr>
          <w:rFonts w:ascii="IRNazanin" w:hAnsi="IRNazanin" w:eastAsia="IRNazanin"/>
          <w:color w:val="111111"/>
          <w:sz w:val="28"/>
          <w:sz w:val="28"/>
          <w:szCs w:val="28"/>
          <w:rtl w:val="true"/>
          <w:lang w:bidi="fa-IR"/>
        </w:rPr>
        <w:t>نقل و انتقال است به داد و ستد ملحق نموده و انجام آن را در مسجد مکروه دانسته اند لیکن انجام عقود و ایقاعاتی همچون نذر و وقف که صرفاً جنبه قربی و عبادی دارند در مسجد کراهت ندارد</w:t>
      </w:r>
      <w:r>
        <w:rPr>
          <w:rFonts w:eastAsia="IRNazanin" w:cs="IRNazanin"/>
          <w:color w:val="111111"/>
          <w:sz w:val="28"/>
          <w:szCs w:val="28"/>
          <w:rtl w:val="true"/>
          <w:lang w:bidi="fa-IR"/>
        </w:rPr>
        <w:t xml:space="preserve">. </w:t>
      </w:r>
      <w:r>
        <w:rPr>
          <w:rStyle w:val="FootnoteAnchor"/>
          <w:rtl w:val="true"/>
        </w:rPr>
        <w:footnoteReference w:id="1279"/>
      </w:r>
    </w:p>
    <w:p>
      <w:pPr>
        <w:pStyle w:val="Heading6"/>
        <w:numPr>
          <w:ilvl w:val="5"/>
          <w:numId w:val="1"/>
        </w:numPr>
        <w:rPr/>
      </w:pPr>
      <w:bookmarkStart w:id="1012" w:name="__RefHeading___Toc15202966_1280447820"/>
      <w:bookmarkStart w:id="1013" w:name="_Toc394"/>
      <w:bookmarkEnd w:id="1012"/>
      <w:r>
        <w:rPr>
          <w:rtl w:val="true"/>
        </w:rPr>
        <w:t>دیدگاه اهل سنت</w:t>
      </w:r>
      <w:bookmarkEnd w:id="1013"/>
    </w:p>
    <w:p>
      <w:pPr>
        <w:pStyle w:val="Heading6"/>
        <w:numPr>
          <w:ilvl w:val="5"/>
          <w:numId w:val="1"/>
        </w:numPr>
        <w:rPr/>
      </w:pPr>
      <w:bookmarkStart w:id="1014" w:name="__RefHeading___Toc15202968_1280447820"/>
      <w:bookmarkStart w:id="1015" w:name="_Toc395"/>
      <w:bookmarkEnd w:id="1014"/>
      <w:r>
        <w:rPr>
          <w:rtl w:val="true"/>
        </w:rPr>
        <w:t>اشاره</w:t>
      </w:r>
      <w:bookmarkEnd w:id="1015"/>
    </w:p>
    <w:p>
      <w:pPr>
        <w:pStyle w:val="Heading6"/>
        <w:numPr>
          <w:ilvl w:val="5"/>
          <w:numId w:val="1"/>
        </w:numPr>
        <w:rPr/>
      </w:pPr>
      <w:bookmarkStart w:id="1016" w:name="__RefHeading___Toc15202970_1280447820"/>
      <w:bookmarkStart w:id="1017" w:name="_Toc396"/>
      <w:bookmarkEnd w:id="1016"/>
      <w:r>
        <w:rPr/>
        <w:t>1</w:t>
      </w:r>
      <w:r>
        <w:rPr>
          <w:rtl w:val="true"/>
        </w:rPr>
        <w:t>و</w:t>
      </w:r>
      <w:r>
        <w:rPr/>
        <w:t>2</w:t>
      </w:r>
      <w:r>
        <w:rPr>
          <w:rtl w:val="true"/>
        </w:rPr>
        <w:t xml:space="preserve">. </w:t>
      </w:r>
      <w:r>
        <w:rPr>
          <w:rtl w:val="true"/>
        </w:rPr>
        <w:t>مذهب حنفی و حنبلی</w:t>
      </w:r>
      <w:bookmarkEnd w:id="1017"/>
    </w:p>
    <w:p>
      <w:pPr>
        <w:pStyle w:val="BookText"/>
        <w:rPr/>
      </w:pPr>
      <w:r>
        <w:rPr>
          <w:rFonts w:ascii="IRNazanin" w:hAnsi="IRNazanin" w:eastAsia="IRNazanin"/>
          <w:color w:val="111111"/>
          <w:sz w:val="28"/>
          <w:sz w:val="28"/>
          <w:szCs w:val="28"/>
          <w:rtl w:val="true"/>
          <w:lang w:bidi="fa-IR"/>
        </w:rPr>
        <w:t>حنفی ها و حنبلی ها بر این باورند که انجام عقود مبادلی همانند بیع شراء و اجاره در مسجد کراهت دارد اما عقودی مانند هبه کراهت ندارد و عقد نکاح در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معتکف انجام سائر عقود یعنی عقود غیر تجاری در مسجد کراهت ندارد به شرط آن که خود کالا را در مسجد نیاورند</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دلیل آنها روایتی است از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روایی ایشان وارد شده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جَنَّبُوا مَسَاجِدَكُمْ صِبْيَانَكُمْ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وَبَيْعَكُمْ وَشِرَاءَكُمْ</w:t>
      </w:r>
      <w:r>
        <w:rPr>
          <w:rStyle w:val="FootnoteAnchor"/>
          <w:rtl w:val="true"/>
        </w:rPr>
        <w:footnoteReference w:id="1281"/>
      </w:r>
      <w:r>
        <w:rPr>
          <w:rFonts w:ascii="IRNazanin" w:hAnsi="IRNazanin" w:eastAsia="IRNazanin"/>
          <w:color w:val="111111"/>
          <w:sz w:val="28"/>
          <w:sz w:val="28"/>
          <w:szCs w:val="28"/>
          <w:rtl w:val="true"/>
          <w:lang w:bidi="fa-IR"/>
        </w:rPr>
        <w:t xml:space="preserve"> نکته شایان ذکر آن که برخی از حنابله قائل به حرمت تکلیفی و وضعی این کار در مسجد هستند؛ یعنی اگر کسی در مسجد بیع و شراء انجام دهد، هم عمل حرامی انجام داده و هم آن که معامله او باطل است لیکن درباره عقد نکاح، قائل به استحباب شده اند</w:t>
      </w:r>
      <w:r>
        <w:rPr>
          <w:rFonts w:eastAsia="IRNazanin" w:cs="IRNazanin"/>
          <w:color w:val="111111"/>
          <w:sz w:val="28"/>
          <w:szCs w:val="28"/>
          <w:rtl w:val="true"/>
          <w:lang w:bidi="fa-IR"/>
        </w:rPr>
        <w:t xml:space="preserve">. </w:t>
      </w:r>
      <w:r>
        <w:rPr>
          <w:rStyle w:val="FootnoteAnchor"/>
          <w:rtl w:val="true"/>
        </w:rPr>
        <w:footnoteReference w:id="1282"/>
      </w:r>
      <w:bookmarkStart w:id="1018" w:name="pg19115_195640"/>
    </w:p>
    <w:p>
      <w:pPr>
        <w:pStyle w:val="Heading6"/>
        <w:numPr>
          <w:ilvl w:val="5"/>
          <w:numId w:val="1"/>
        </w:numPr>
        <w:rPr/>
      </w:pPr>
      <w:bookmarkStart w:id="1019" w:name="__RefHeading___Toc15202972_1280447820"/>
      <w:bookmarkStart w:id="1020" w:name="_Toc397"/>
      <w:bookmarkEnd w:id="1018"/>
      <w:bookmarkEnd w:id="1019"/>
      <w:r>
        <w:rPr/>
        <w:t>3</w:t>
      </w:r>
      <w:r>
        <w:rPr>
          <w:rtl w:val="true"/>
        </w:rPr>
        <w:t xml:space="preserve">. </w:t>
      </w:r>
      <w:r>
        <w:rPr>
          <w:rtl w:val="true"/>
        </w:rPr>
        <w:t>مذهب مالکی</w:t>
      </w:r>
      <w:bookmarkEnd w:id="1020"/>
    </w:p>
    <w:p>
      <w:pPr>
        <w:pStyle w:val="Heading6"/>
        <w:numPr>
          <w:ilvl w:val="5"/>
          <w:numId w:val="1"/>
        </w:numPr>
        <w:rPr/>
      </w:pPr>
      <w:bookmarkStart w:id="1021" w:name="__RefHeading___Toc15202974_1280447820"/>
      <w:bookmarkStart w:id="1022" w:name="_Toc398"/>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مالکی ها می گویند بیع و شراء به خودی خود در،مسجد کراهت ندارد لیکن اگر هنگام بیع و شراء در مسجد کالا نیز باشد و به آن نگاه کرده و آن را وارسی کند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صورتی است که شخص سمساری در مسجد حضور نداشته باشد و گرنه حرام است؛ یعنی اگر کسی مسجد را محلی برای خرید و فروش و عرضه کالای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سمسار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هم برای سمسار و هم برای خریدار حرام است؛ چرا که مسجد را به عنوان بازار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به کراهت، برای هبه و امثال آن نیست و عقد نکاح در مسجد مستحب است به شرط آن که مجرد ایجاب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شروط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صحبت زیادی باشد</w:t>
      </w:r>
      <w:r>
        <w:rPr>
          <w:rFonts w:eastAsia="IRNazanin" w:cs="IRNazanin"/>
          <w:color w:val="111111"/>
          <w:sz w:val="28"/>
          <w:szCs w:val="28"/>
          <w:rtl w:val="true"/>
          <w:lang w:bidi="fa-IR"/>
        </w:rPr>
        <w:t xml:space="preserve">. </w:t>
      </w:r>
      <w:r>
        <w:rPr>
          <w:rStyle w:val="FootnoteAnchor"/>
          <w:rtl w:val="true"/>
        </w:rPr>
        <w:footnoteReference w:id="1283"/>
      </w:r>
    </w:p>
    <w:p>
      <w:pPr>
        <w:pStyle w:val="Heading6"/>
        <w:numPr>
          <w:ilvl w:val="5"/>
          <w:numId w:val="1"/>
        </w:numPr>
        <w:rPr/>
      </w:pPr>
      <w:bookmarkStart w:id="1023" w:name="__RefHeading___Toc15202976_1280447820"/>
      <w:bookmarkStart w:id="1024" w:name="_Toc399"/>
      <w:bookmarkEnd w:id="1023"/>
      <w:r>
        <w:rPr/>
        <w:t>4</w:t>
      </w:r>
      <w:r>
        <w:rPr>
          <w:rtl w:val="true"/>
        </w:rPr>
        <w:t xml:space="preserve">. </w:t>
      </w:r>
      <w:r>
        <w:rPr>
          <w:rtl w:val="true"/>
        </w:rPr>
        <w:t>مذهب شافعی</w:t>
      </w:r>
      <w:bookmarkEnd w:id="1024"/>
    </w:p>
    <w:p>
      <w:pPr>
        <w:pStyle w:val="BookText"/>
        <w:rPr/>
      </w:pPr>
      <w:r>
        <w:rPr>
          <w:rFonts w:ascii="IRNazanin" w:hAnsi="IRNazanin" w:eastAsia="IRNazanin"/>
          <w:color w:val="111111"/>
          <w:sz w:val="28"/>
          <w:sz w:val="28"/>
          <w:szCs w:val="28"/>
          <w:rtl w:val="true"/>
          <w:lang w:bidi="fa-IR"/>
        </w:rPr>
        <w:t>شافعی ها قائلاند که خرید و فروش اگر موجب هتک حرمت مسجد شود یا این که موجب محدودیتی برای نمازگزار،شود حرام است و گرنه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نکاح،نیز تنها برای معتکف جایز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بر کراهت، روایتی از ابوهریره است که از پیامبر صلی الله علیه و آله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شخصی در مسجد، به خرید و فروش مشغول است، به او بگویید خدا به تجارت تو سود و ربحی ندهد</w:t>
      </w:r>
      <w:r>
        <w:rPr>
          <w:rFonts w:eastAsia="IRNazanin" w:cs="IRNazanin"/>
          <w:color w:val="111111"/>
          <w:sz w:val="28"/>
          <w:szCs w:val="28"/>
          <w:rtl w:val="true"/>
          <w:lang w:bidi="fa-IR"/>
        </w:rPr>
        <w:t xml:space="preserve">. </w:t>
      </w:r>
      <w:r>
        <w:rPr>
          <w:rStyle w:val="FootnoteAnchor"/>
          <w:rtl w:val="true"/>
        </w:rPr>
        <w:footnoteReference w:id="1284"/>
      </w:r>
      <w:bookmarkStart w:id="1025" w:name="pg19115_195641"/>
    </w:p>
    <w:p>
      <w:pPr>
        <w:pStyle w:val="Heading5"/>
        <w:numPr>
          <w:ilvl w:val="4"/>
          <w:numId w:val="1"/>
        </w:numPr>
        <w:rPr/>
      </w:pPr>
      <w:bookmarkStart w:id="1026" w:name="__RefHeading___Toc15202978_1280447820"/>
      <w:bookmarkStart w:id="1027" w:name="_Toc400"/>
      <w:bookmarkEnd w:id="1025"/>
      <w:bookmarkEnd w:id="1026"/>
      <w:r>
        <w:rPr>
          <w:rtl w:val="true"/>
        </w:rPr>
        <w:t>گفتار چهارم</w:t>
      </w:r>
      <w:r>
        <w:rPr>
          <w:rtl w:val="true"/>
        </w:rPr>
        <w:t xml:space="preserve">: </w:t>
      </w:r>
      <w:r>
        <w:rPr>
          <w:rtl w:val="true"/>
        </w:rPr>
        <w:t>صنعت گری در مساجد</w:t>
      </w:r>
      <w:bookmarkEnd w:id="1027"/>
    </w:p>
    <w:p>
      <w:pPr>
        <w:pStyle w:val="Heading6"/>
        <w:numPr>
          <w:ilvl w:val="5"/>
          <w:numId w:val="1"/>
        </w:numPr>
        <w:rPr/>
      </w:pPr>
      <w:bookmarkStart w:id="1028" w:name="__RefHeading___Toc15202980_1280447820"/>
      <w:bookmarkStart w:id="1029" w:name="_Toc401"/>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 xml:space="preserve">همان گونه که خرید و فروش در مسجد مکروه است انجام اعمالی که جنبه شغل و حرفه دارند مانند آرایش گری،نجاری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آهنگری در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برخی از مصادیق صنعتگری اشاره شده که روشن است ذکر این موارد،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فقیهانی که تصریح به کراهت انجام هر نوع حرفه ای در مسجد کرده اند، عبارتند از</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نهایه و مبسوط، </w:t>
      </w:r>
      <w:r>
        <w:rPr>
          <w:rStyle w:val="FootnoteAnchor"/>
          <w:rtl w:val="true"/>
        </w:rPr>
        <w:footnoteReference w:id="1285"/>
      </w:r>
      <w:r>
        <w:rPr>
          <w:rFonts w:ascii="IRNazanin" w:hAnsi="IRNazanin" w:eastAsia="IRNazanin"/>
          <w:color w:val="111111"/>
          <w:sz w:val="28"/>
          <w:sz w:val="28"/>
          <w:szCs w:val="28"/>
          <w:rtl w:val="true"/>
          <w:lang w:bidi="fa-IR"/>
        </w:rPr>
        <w:t xml:space="preserve">ابن ادریس حلی، </w:t>
      </w:r>
      <w:r>
        <w:rPr>
          <w:rStyle w:val="FootnoteAnchor"/>
          <w:rtl w:val="true"/>
        </w:rPr>
        <w:footnoteReference w:id="1286"/>
      </w:r>
      <w:r>
        <w:rPr>
          <w:rFonts w:ascii="IRNazanin" w:hAnsi="IRNazanin" w:eastAsia="IRNazanin"/>
          <w:color w:val="111111"/>
          <w:sz w:val="28"/>
          <w:sz w:val="28"/>
          <w:szCs w:val="28"/>
          <w:rtl w:val="true"/>
          <w:lang w:bidi="fa-IR"/>
        </w:rPr>
        <w:t xml:space="preserve">محقق حلی در شرائع، مختصر النافع و معتبر، </w:t>
      </w:r>
      <w:r>
        <w:rPr>
          <w:rStyle w:val="FootnoteAnchor"/>
          <w:rtl w:val="true"/>
        </w:rPr>
        <w:footnoteReference w:id="1287"/>
      </w:r>
      <w:r>
        <w:rPr>
          <w:rFonts w:ascii="IRNazanin" w:hAnsi="IRNazanin" w:eastAsia="IRNazanin"/>
          <w:color w:val="111111"/>
          <w:sz w:val="28"/>
          <w:sz w:val="28"/>
          <w:szCs w:val="28"/>
          <w:rtl w:val="true"/>
          <w:lang w:bidi="fa-IR"/>
        </w:rPr>
        <w:t xml:space="preserve">علامه حلی در تحریر، ارشاد الاذهان، نهاية الإحكام، تذكره، منتهی، </w:t>
      </w:r>
      <w:r>
        <w:rPr>
          <w:rStyle w:val="FootnoteAnchor"/>
          <w:rtl w:val="true"/>
        </w:rPr>
        <w:footnoteReference w:id="1288"/>
      </w:r>
      <w:r>
        <w:rPr>
          <w:rFonts w:ascii="IRNazanin" w:hAnsi="IRNazanin" w:eastAsia="IRNazanin"/>
          <w:color w:val="111111"/>
          <w:sz w:val="28"/>
          <w:sz w:val="28"/>
          <w:szCs w:val="28"/>
          <w:rtl w:val="true"/>
          <w:lang w:bidi="fa-IR"/>
        </w:rPr>
        <w:t xml:space="preserve">شهید اول در ذکری، دروس، بیان، لمعه و نفلیه، </w:t>
      </w:r>
      <w:r>
        <w:rPr>
          <w:rStyle w:val="FootnoteAnchor"/>
          <w:rtl w:val="true"/>
        </w:rPr>
        <w:footnoteReference w:id="1289"/>
      </w:r>
      <w:r>
        <w:rPr>
          <w:rFonts w:ascii="IRNazanin" w:hAnsi="IRNazanin" w:eastAsia="IRNazanin"/>
          <w:color w:val="111111"/>
          <w:sz w:val="28"/>
          <w:sz w:val="28"/>
          <w:szCs w:val="28"/>
          <w:rtl w:val="true"/>
          <w:lang w:bidi="fa-IR"/>
        </w:rPr>
        <w:t xml:space="preserve">ابن فهد حلی، </w:t>
      </w:r>
      <w:r>
        <w:rPr>
          <w:rStyle w:val="FootnoteAnchor"/>
          <w:rtl w:val="true"/>
        </w:rPr>
        <w:footnoteReference w:id="1290"/>
      </w:r>
      <w:r>
        <w:rPr>
          <w:rFonts w:ascii="IRNazanin" w:hAnsi="IRNazanin" w:eastAsia="IRNazanin"/>
          <w:color w:val="111111"/>
          <w:sz w:val="28"/>
          <w:sz w:val="28"/>
          <w:szCs w:val="28"/>
          <w:rtl w:val="true"/>
          <w:lang w:bidi="fa-IR"/>
        </w:rPr>
        <w:t>محقق ثانی،</w:t>
      </w:r>
      <w:r>
        <w:rPr>
          <w:rStyle w:val="FootnoteAnchor"/>
          <w:rtl w:val="true"/>
        </w:rPr>
        <w:footnoteReference w:id="1291"/>
      </w:r>
      <w:r>
        <w:rPr>
          <w:rFonts w:ascii="IRNazanin" w:hAnsi="IRNazanin" w:eastAsia="IRNazanin"/>
          <w:color w:val="111111"/>
          <w:sz w:val="28"/>
          <w:sz w:val="28"/>
          <w:szCs w:val="28"/>
          <w:rtl w:val="true"/>
          <w:lang w:bidi="fa-IR"/>
        </w:rPr>
        <w:t xml:space="preserve">صیمری در کشف الالتباس، </w:t>
      </w:r>
      <w:r>
        <w:rPr>
          <w:rStyle w:val="FootnoteAnchor"/>
          <w:rtl w:val="true"/>
        </w:rPr>
        <w:footnoteReference w:id="1292"/>
      </w:r>
      <w:r>
        <w:rPr>
          <w:rFonts w:ascii="IRNazanin" w:hAnsi="IRNazanin" w:eastAsia="IRNazanin"/>
          <w:color w:val="111111"/>
          <w:sz w:val="28"/>
          <w:sz w:val="28"/>
          <w:szCs w:val="28"/>
          <w:rtl w:val="true"/>
          <w:lang w:bidi="fa-IR"/>
        </w:rPr>
        <w:t xml:space="preserve">شهید ثانی در روض الجنان و روضه، </w:t>
      </w:r>
      <w:r>
        <w:rPr>
          <w:rStyle w:val="FootnoteAnchor"/>
          <w:rtl w:val="true"/>
        </w:rPr>
        <w:footnoteReference w:id="1293"/>
      </w:r>
      <w:r>
        <w:rPr>
          <w:rFonts w:ascii="IRNazanin" w:hAnsi="IRNazanin" w:eastAsia="IRNazanin"/>
          <w:color w:val="111111"/>
          <w:sz w:val="28"/>
          <w:sz w:val="28"/>
          <w:szCs w:val="28"/>
          <w:rtl w:val="true"/>
          <w:lang w:bidi="fa-IR"/>
        </w:rPr>
        <w:t xml:space="preserve">محقق </w:t>
      </w:r>
      <w:bookmarkStart w:id="1030" w:name="pg19115_195642"/>
    </w:p>
    <w:p>
      <w:pPr>
        <w:pStyle w:val="BookText"/>
        <w:rPr/>
      </w:pPr>
      <w:bookmarkEnd w:id="1030"/>
      <w:r>
        <w:rPr>
          <w:rFonts w:ascii="IRNazanin" w:hAnsi="IRNazanin" w:eastAsia="IRNazanin"/>
          <w:color w:val="111111"/>
          <w:sz w:val="28"/>
          <w:sz w:val="28"/>
          <w:szCs w:val="28"/>
          <w:rtl w:val="true"/>
          <w:lang w:bidi="fa-IR"/>
        </w:rPr>
        <w:t xml:space="preserve">اردبیلی در مجمع، </w:t>
      </w:r>
      <w:r>
        <w:rPr>
          <w:rStyle w:val="FootnoteAnchor"/>
          <w:rtl w:val="true"/>
        </w:rPr>
        <w:footnoteReference w:id="1294"/>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295"/>
      </w:r>
      <w:r>
        <w:rPr>
          <w:rFonts w:ascii="IRNazanin" w:hAnsi="IRNazanin" w:eastAsia="IRNazanin"/>
          <w:color w:val="111111"/>
          <w:sz w:val="28"/>
          <w:sz w:val="28"/>
          <w:szCs w:val="28"/>
          <w:rtl w:val="true"/>
          <w:lang w:bidi="fa-IR"/>
        </w:rPr>
        <w:t xml:space="preserve">محقق سبزواری، </w:t>
      </w:r>
      <w:r>
        <w:rPr>
          <w:rStyle w:val="FootnoteAnchor"/>
          <w:rtl w:val="true"/>
        </w:rPr>
        <w:footnoteReference w:id="1296"/>
      </w:r>
      <w:r>
        <w:rPr>
          <w:rFonts w:ascii="IRNazanin" w:hAnsi="IRNazanin" w:eastAsia="IRNazanin"/>
          <w:color w:val="111111"/>
          <w:sz w:val="28"/>
          <w:sz w:val="28"/>
          <w:szCs w:val="28"/>
          <w:rtl w:val="true"/>
          <w:lang w:bidi="fa-IR"/>
        </w:rPr>
        <w:t xml:space="preserve">فیض کاشانی در مفاتیح، </w:t>
      </w:r>
      <w:r>
        <w:rPr>
          <w:rStyle w:val="FootnoteAnchor"/>
          <w:rtl w:val="true"/>
        </w:rPr>
        <w:footnoteReference w:id="1297"/>
      </w:r>
      <w:r>
        <w:rPr>
          <w:rFonts w:ascii="Amiri" w:hAnsi="Amiri" w:eastAsia="Amiri" w:cs="Amiri"/>
          <w:color w:val="111111"/>
          <w:sz w:val="28"/>
          <w:sz w:val="28"/>
          <w:szCs w:val="28"/>
          <w:rtl w:val="true"/>
          <w:lang w:bidi="ar-SA"/>
        </w:rPr>
        <w:t xml:space="preserve">كاشف الغطاء، </w:t>
      </w:r>
      <w:r>
        <w:rPr>
          <w:rStyle w:val="FootnoteAnchor"/>
          <w:rtl w:val="true"/>
        </w:rPr>
        <w:footnoteReference w:id="1298"/>
      </w:r>
      <w:r>
        <w:rPr>
          <w:rFonts w:ascii="Amiri" w:hAnsi="Amiri" w:eastAsia="Amiri" w:cs="Amiri"/>
          <w:color w:val="111111"/>
          <w:sz w:val="28"/>
          <w:sz w:val="28"/>
          <w:szCs w:val="28"/>
          <w:rtl w:val="true"/>
          <w:lang w:bidi="ar-SA"/>
        </w:rPr>
        <w:t xml:space="preserve">صاحب رياض، </w:t>
      </w:r>
      <w:r>
        <w:rPr>
          <w:rStyle w:val="FootnoteAnchor"/>
          <w:rtl w:val="true"/>
        </w:rPr>
        <w:footnoteReference w:id="1299"/>
      </w:r>
      <w:r>
        <w:rPr>
          <w:rFonts w:ascii="IRNazanin" w:hAnsi="IRNazanin" w:eastAsia="IRNazanin"/>
          <w:color w:val="111111"/>
          <w:sz w:val="28"/>
          <w:sz w:val="28"/>
          <w:szCs w:val="28"/>
          <w:rtl w:val="true"/>
          <w:lang w:bidi="fa-IR"/>
        </w:rPr>
        <w:t xml:space="preserve">میرزای قمی، </w:t>
      </w:r>
      <w:r>
        <w:rPr>
          <w:rStyle w:val="FootnoteAnchor"/>
          <w:rtl w:val="true"/>
        </w:rPr>
        <w:footnoteReference w:id="1300"/>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301"/>
      </w:r>
      <w:r>
        <w:rPr>
          <w:rFonts w:ascii="IRNazanin" w:hAnsi="IRNazanin" w:eastAsia="IRNazanin"/>
          <w:color w:val="111111"/>
          <w:sz w:val="28"/>
          <w:sz w:val="28"/>
          <w:szCs w:val="28"/>
          <w:rtl w:val="true"/>
          <w:lang w:bidi="fa-IR"/>
        </w:rPr>
        <w:t>و صاحب عروه</w:t>
      </w:r>
      <w:r>
        <w:rPr>
          <w:rFonts w:eastAsia="IRNazanin" w:cs="IRNazanin"/>
          <w:color w:val="111111"/>
          <w:sz w:val="28"/>
          <w:szCs w:val="28"/>
          <w:rtl w:val="true"/>
          <w:lang w:bidi="fa-IR"/>
        </w:rPr>
        <w:t xml:space="preserve">. </w:t>
      </w:r>
      <w:r>
        <w:rPr>
          <w:rStyle w:val="FootnoteAnchor"/>
          <w:rtl w:val="true"/>
        </w:rPr>
        <w:footnoteReference w:id="1302"/>
      </w:r>
    </w:p>
    <w:p>
      <w:pPr>
        <w:pStyle w:val="Heading6"/>
        <w:numPr>
          <w:ilvl w:val="5"/>
          <w:numId w:val="1"/>
        </w:numPr>
        <w:rPr/>
      </w:pPr>
      <w:bookmarkStart w:id="1031" w:name="__RefHeading___Toc15202982_1280447820"/>
      <w:bookmarkStart w:id="1032" w:name="_Toc402"/>
      <w:bookmarkEnd w:id="1031"/>
      <w:r>
        <w:rPr>
          <w:rtl w:val="true"/>
        </w:rPr>
        <w:t>ادله قول به کراهت</w:t>
      </w:r>
      <w:bookmarkEnd w:id="1032"/>
    </w:p>
    <w:p>
      <w:pPr>
        <w:pStyle w:val="Heading6"/>
        <w:numPr>
          <w:ilvl w:val="5"/>
          <w:numId w:val="1"/>
        </w:numPr>
        <w:rPr/>
      </w:pPr>
      <w:bookmarkStart w:id="1033" w:name="__RefHeading___Toc15202984_1280447820"/>
      <w:bookmarkStart w:id="1034" w:name="_Toc403"/>
      <w:bookmarkEnd w:id="1033"/>
      <w:r>
        <w:rPr>
          <w:rtl w:val="true"/>
        </w:rPr>
        <w:t>اشاره</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محمد بن مسلم از امام صادق علیه السلام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برکشیدن شمشیر در مسجد و تراشیدن تیر در مسجد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تنها برای اموری غیر از این بنا شده اند</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در کتاب علل الشرائع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مسجد به مردی برخورد کرد که تیرهای خود را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این کار منع کرده و فرمودند مسجد را برای این گونه کارها نساخته اند</w:t>
      </w:r>
      <w:r>
        <w:rPr>
          <w:rFonts w:eastAsia="IRNazanin" w:cs="IRNazanin"/>
          <w:color w:val="111111"/>
          <w:sz w:val="28"/>
          <w:szCs w:val="28"/>
          <w:rtl w:val="true"/>
          <w:lang w:bidi="fa-IR"/>
        </w:rPr>
        <w:t xml:space="preserve">.» </w:t>
      </w:r>
      <w:r>
        <w:rPr>
          <w:rStyle w:val="FootnoteAnchor"/>
          <w:rtl w:val="true"/>
        </w:rPr>
        <w:footnoteReference w:id="1304"/>
      </w:r>
      <w:bookmarkStart w:id="1035" w:name="pg19115_195643"/>
    </w:p>
    <w:p>
      <w:pPr>
        <w:pStyle w:val="BookText"/>
        <w:rPr/>
      </w:pPr>
      <w:bookmarkEnd w:id="10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المؤمنين علیه السلام آرایشگری را در مسجد دید که مشغول آرایشگری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با تازیانه زده و از مسجد بیرون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نکته شایان ذکر آن است که اگر انجام اعمال صنعتگری مستلزم تغییر صورت مسجد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نیاز به حفر چاه باشد یا وسائل و آلات آن صنعت در مسجد گذاشته شود</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یا آن که مستلزم مزاحمت برای نماز گزاران برای خواندن نماز شود، </w:t>
      </w:r>
      <w:r>
        <w:rPr>
          <w:rStyle w:val="FootnoteAnchor"/>
          <w:rtl w:val="true"/>
        </w:rPr>
        <w:footnoteReference w:id="1306"/>
      </w:r>
      <w:r>
        <w:rPr>
          <w:rFonts w:ascii="IRNazanin" w:hAnsi="IRNazanin" w:eastAsia="IRNazanin"/>
          <w:color w:val="111111"/>
          <w:sz w:val="28"/>
          <w:sz w:val="28"/>
          <w:szCs w:val="28"/>
          <w:rtl w:val="true"/>
          <w:lang w:bidi="fa-IR"/>
        </w:rPr>
        <w:t>این کار در مسجد حرام است نه مکروه</w:t>
      </w:r>
      <w:r>
        <w:rPr>
          <w:rFonts w:eastAsia="IRNazanin" w:cs="IRNazanin"/>
          <w:color w:val="111111"/>
          <w:sz w:val="28"/>
          <w:szCs w:val="28"/>
          <w:rtl w:val="true"/>
          <w:lang w:bidi="fa-IR"/>
        </w:rPr>
        <w:t>.</w:t>
      </w:r>
    </w:p>
    <w:p>
      <w:pPr>
        <w:pStyle w:val="Heading6"/>
        <w:numPr>
          <w:ilvl w:val="5"/>
          <w:numId w:val="1"/>
        </w:numPr>
        <w:rPr/>
      </w:pPr>
      <w:bookmarkStart w:id="1036" w:name="__RefHeading___Toc15202986_1280447820"/>
      <w:bookmarkStart w:id="1037" w:name="_Toc404"/>
      <w:bookmarkEnd w:id="1036"/>
      <w:r>
        <w:rPr>
          <w:rtl w:val="true"/>
        </w:rPr>
        <w:t>دیدگاه اهل سنت</w:t>
      </w:r>
      <w:bookmarkEnd w:id="1037"/>
    </w:p>
    <w:p>
      <w:pPr>
        <w:pStyle w:val="Heading6"/>
        <w:numPr>
          <w:ilvl w:val="5"/>
          <w:numId w:val="1"/>
        </w:numPr>
        <w:rPr/>
      </w:pPr>
      <w:bookmarkStart w:id="1038" w:name="__RefHeading___Toc15202988_1280447820"/>
      <w:bookmarkStart w:id="1039" w:name="_Toc405"/>
      <w:bookmarkEnd w:id="1038"/>
      <w:r>
        <w:rPr>
          <w:rtl w:val="true"/>
        </w:rPr>
        <w:t>اشاره</w:t>
      </w:r>
      <w:bookmarkEnd w:id="1039"/>
    </w:p>
    <w:p>
      <w:pPr>
        <w:pStyle w:val="Heading6"/>
        <w:numPr>
          <w:ilvl w:val="5"/>
          <w:numId w:val="1"/>
        </w:numPr>
        <w:rPr/>
      </w:pPr>
      <w:bookmarkStart w:id="1040" w:name="__RefHeading___Toc15202990_1280447820"/>
      <w:bookmarkStart w:id="1041" w:name="_Toc406"/>
      <w:bookmarkEnd w:id="1040"/>
      <w:r>
        <w:rPr/>
        <w:t>1</w:t>
      </w:r>
      <w:r>
        <w:rPr>
          <w:rtl w:val="true"/>
        </w:rPr>
        <w:t>و</w:t>
      </w:r>
      <w:r>
        <w:rPr/>
        <w:t>2</w:t>
      </w:r>
      <w:r>
        <w:rPr>
          <w:rtl w:val="true"/>
        </w:rPr>
        <w:t xml:space="preserve">. </w:t>
      </w:r>
      <w:r>
        <w:rPr>
          <w:rtl w:val="true"/>
        </w:rPr>
        <w:t>مذهب مالکی و شافعی</w:t>
      </w:r>
      <w:bookmarkEnd w:id="1041"/>
    </w:p>
    <w:p>
      <w:pPr>
        <w:pStyle w:val="BookText"/>
        <w:rPr/>
      </w:pPr>
      <w:r>
        <w:rPr>
          <w:rFonts w:ascii="IRNazanin" w:hAnsi="IRNazanin" w:eastAsia="IRNazanin"/>
          <w:color w:val="111111"/>
          <w:sz w:val="28"/>
          <w:sz w:val="28"/>
          <w:szCs w:val="28"/>
          <w:rtl w:val="true"/>
          <w:lang w:bidi="fa-IR"/>
        </w:rPr>
        <w:t>مالکی ها و شافعیها قائلاند به این که صعنت گری در مسجد کراهت دارد؛ چرا که با احترام و شأن مسجد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شافعی ها این عمل را برای معتکف مکروه ندانسته و می گویند صنعت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خیاطی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برای معتکلف مکروه نیست، البته تا هنگامی که زیاد نباشد که در صورت زیاد شدن این عمل در مسجد مکروه است</w:t>
      </w:r>
      <w:r>
        <w:rPr>
          <w:rFonts w:eastAsia="IRNazanin" w:cs="IRNazanin"/>
          <w:color w:val="111111"/>
          <w:sz w:val="28"/>
          <w:szCs w:val="28"/>
          <w:rtl w:val="true"/>
          <w:lang w:bidi="fa-IR"/>
        </w:rPr>
        <w:t xml:space="preserve">. </w:t>
      </w:r>
      <w:r>
        <w:rPr>
          <w:rStyle w:val="FootnoteAnchor"/>
          <w:rtl w:val="true"/>
        </w:rPr>
        <w:footnoteReference w:id="130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 ها نیز یک مورد را از کراهت خارج کرده و می گویند آنچه نفعش به همه </w:t>
      </w:r>
      <w:bookmarkStart w:id="1042" w:name="pg19115_195644"/>
    </w:p>
    <w:p>
      <w:pPr>
        <w:pStyle w:val="BookText"/>
        <w:rPr/>
      </w:pPr>
      <w:bookmarkEnd w:id="1042"/>
      <w:r>
        <w:rPr>
          <w:rFonts w:ascii="IRNazanin" w:hAnsi="IRNazanin" w:eastAsia="IRNazanin"/>
          <w:color w:val="111111"/>
          <w:sz w:val="28"/>
          <w:sz w:val="28"/>
          <w:szCs w:val="28"/>
          <w:rtl w:val="true"/>
          <w:lang w:bidi="fa-IR"/>
        </w:rPr>
        <w:t>مسلمین برمی گردد مانند اصلاح وسائل جنگی برای جهاد کراهت ندارد</w:t>
      </w:r>
      <w:r>
        <w:rPr>
          <w:rFonts w:eastAsia="IRNazanin" w:cs="IRNazanin"/>
          <w:color w:val="111111"/>
          <w:sz w:val="28"/>
          <w:szCs w:val="28"/>
          <w:rtl w:val="true"/>
          <w:lang w:bidi="fa-IR"/>
        </w:rPr>
        <w:t xml:space="preserve">. </w:t>
      </w:r>
      <w:r>
        <w:rPr>
          <w:rStyle w:val="FootnoteAnchor"/>
          <w:rtl w:val="true"/>
        </w:rPr>
        <w:footnoteReference w:id="1308"/>
      </w:r>
    </w:p>
    <w:p>
      <w:pPr>
        <w:pStyle w:val="Heading6"/>
        <w:numPr>
          <w:ilvl w:val="5"/>
          <w:numId w:val="1"/>
        </w:numPr>
        <w:rPr/>
      </w:pPr>
      <w:bookmarkStart w:id="1043" w:name="__RefHeading___Toc15202992_1280447820"/>
      <w:bookmarkStart w:id="1044" w:name="_Toc407"/>
      <w:bookmarkEnd w:id="1043"/>
      <w:r>
        <w:rPr/>
        <w:t>3</w:t>
      </w:r>
      <w:r>
        <w:rPr>
          <w:rtl w:val="true"/>
        </w:rPr>
        <w:t xml:space="preserve">. </w:t>
      </w:r>
      <w:r>
        <w:rPr>
          <w:rtl w:val="true"/>
        </w:rPr>
        <w:t>مذهب حنفی</w:t>
      </w:r>
      <w:bookmarkEnd w:id="1044"/>
    </w:p>
    <w:p>
      <w:pPr>
        <w:pStyle w:val="Heading6"/>
        <w:numPr>
          <w:ilvl w:val="5"/>
          <w:numId w:val="1"/>
        </w:numPr>
        <w:rPr/>
      </w:pPr>
      <w:bookmarkStart w:id="1045" w:name="__RefHeading___Toc15202994_1280447820"/>
      <w:bookmarkStart w:id="1046" w:name="_Toc408"/>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حنفی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صنعتگری در مسجد جایز نیست؛ چرا که مساجد تنها باید برای خدا و مخلِصاً لله باشد و برای غیر عبادت بنا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استثنایی که می زنند آن است که اگر خیاط در مسجد مشغول خیاطی شود برای حفظ مسجد و جلوگیری از بازی بچه ها در مسجد اشکالی ندارد، مثل این که شخصی را به عنوان خادم و نگهبان در مسجد گذاشته اند و او نیز برای این که بیکار نباشد، مشغول خیاطی شود</w:t>
      </w:r>
      <w:r>
        <w:rPr>
          <w:rFonts w:eastAsia="IRNazanin" w:cs="IRNazanin"/>
          <w:color w:val="111111"/>
          <w:sz w:val="28"/>
          <w:szCs w:val="28"/>
          <w:rtl w:val="true"/>
          <w:lang w:bidi="fa-IR"/>
        </w:rPr>
        <w:t xml:space="preserve">. </w:t>
      </w:r>
      <w:r>
        <w:rPr>
          <w:rStyle w:val="FootnoteAnchor"/>
          <w:rtl w:val="true"/>
        </w:rPr>
        <w:footnoteReference w:id="1309"/>
      </w:r>
    </w:p>
    <w:p>
      <w:pPr>
        <w:pStyle w:val="Heading6"/>
        <w:numPr>
          <w:ilvl w:val="5"/>
          <w:numId w:val="1"/>
        </w:numPr>
        <w:rPr/>
      </w:pPr>
      <w:bookmarkStart w:id="1047" w:name="__RefHeading___Toc15202996_1280447820"/>
      <w:bookmarkStart w:id="1048" w:name="_Toc409"/>
      <w:bookmarkEnd w:id="1047"/>
      <w:r>
        <w:rPr/>
        <w:t>4</w:t>
      </w:r>
      <w:r>
        <w:rPr>
          <w:rtl w:val="true"/>
        </w:rPr>
        <w:t xml:space="preserve">. </w:t>
      </w:r>
      <w:r>
        <w:rPr>
          <w:rtl w:val="true"/>
        </w:rPr>
        <w:t>مذهب حنبلی</w:t>
      </w:r>
      <w:bookmarkEnd w:id="1048"/>
    </w:p>
    <w:p>
      <w:pPr>
        <w:pStyle w:val="BookText"/>
        <w:rPr/>
      </w:pPr>
      <w:r>
        <w:rPr>
          <w:rFonts w:ascii="IRNazanin" w:hAnsi="IRNazanin" w:eastAsia="IRNazanin"/>
          <w:color w:val="111111"/>
          <w:sz w:val="28"/>
          <w:sz w:val="28"/>
          <w:szCs w:val="28"/>
          <w:rtl w:val="true"/>
          <w:lang w:bidi="fa-IR"/>
        </w:rPr>
        <w:t>حنبلی ها بر این باورند که درآمدزایی با صنعتگری مثل خیاطی در مسجد جایز نیست چه کم باشد و چه،زیاد برای حاجتی باشد یا غیر حاجت؛ زیرا این کار به منزله بیع و شراء است که آن هم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سعد الدین حرانی می گوید کتابت در مسجد کراهت ندارد؛ زیرا کتابت نوعی تحصیل علم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شرط جواز کتابت در مسجد، همیشگی بودن آن است اما ابن صیرفی می گوید تعلیم در مساجد جایز نیست</w:t>
      </w:r>
      <w:r>
        <w:rPr>
          <w:rFonts w:eastAsia="IRNazanin" w:cs="IRNazanin"/>
          <w:color w:val="111111"/>
          <w:sz w:val="28"/>
          <w:szCs w:val="28"/>
          <w:rtl w:val="true"/>
          <w:lang w:bidi="fa-IR"/>
        </w:rPr>
        <w:t xml:space="preserve">. </w:t>
      </w:r>
      <w:r>
        <w:rPr>
          <w:rStyle w:val="FootnoteAnchor"/>
          <w:rtl w:val="true"/>
        </w:rPr>
        <w:footnoteReference w:id="1310"/>
      </w:r>
    </w:p>
    <w:p>
      <w:pPr>
        <w:pStyle w:val="Heading5"/>
        <w:numPr>
          <w:ilvl w:val="4"/>
          <w:numId w:val="1"/>
        </w:numPr>
        <w:rPr/>
      </w:pPr>
      <w:bookmarkStart w:id="1049" w:name="__RefHeading___Toc15202998_1280447820"/>
      <w:bookmarkStart w:id="1050" w:name="_Toc410"/>
      <w:bookmarkEnd w:id="1049"/>
      <w:r>
        <w:rPr>
          <w:rtl w:val="true"/>
        </w:rPr>
        <w:t>گفتار پنجم</w:t>
      </w:r>
      <w:r>
        <w:rPr>
          <w:rtl w:val="true"/>
        </w:rPr>
        <w:t xml:space="preserve">: </w:t>
      </w:r>
      <w:r>
        <w:rPr>
          <w:rtl w:val="true"/>
        </w:rPr>
        <w:t>عبور و مرور از مسجد</w:t>
      </w:r>
      <w:bookmarkEnd w:id="1050"/>
    </w:p>
    <w:p>
      <w:pPr>
        <w:pStyle w:val="Heading6"/>
        <w:numPr>
          <w:ilvl w:val="5"/>
          <w:numId w:val="1"/>
        </w:numPr>
        <w:rPr/>
      </w:pPr>
      <w:bookmarkStart w:id="1051" w:name="__RefHeading___Toc15203000_1280447820"/>
      <w:bookmarkStart w:id="1052" w:name="_Toc411"/>
      <w:bookmarkEnd w:id="1051"/>
      <w:r>
        <w:rPr>
          <w:rtl w:val="true"/>
        </w:rPr>
        <w:t>اشاره</w:t>
      </w:r>
      <w:bookmarkEnd w:id="105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مکروهات مسجد، آن است که انسان این مکان مقدس را محل عبور و گذرگاهی برای رفت و آمد خویش قرار دهد مثل این که از مسجدی که دو درب دارد برای انجام کارهای عادی خود از یک درب داخل و از درب دیگر خارج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آن که محل عبور و مرور قرار دادن مسجد بدین معناست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شخص مسجد را به خاطر نزدیکی به محلی که قصد رفتن دارد و کوتاه تر شدن راهش انتخاب کند، </w:t>
      </w:r>
      <w:r>
        <w:rPr>
          <w:rStyle w:val="FootnoteAnchor"/>
          <w:rtl w:val="true"/>
        </w:rPr>
        <w:footnoteReference w:id="1311"/>
      </w:r>
      <w:r>
        <w:rPr>
          <w:rFonts w:ascii="IRNazanin" w:hAnsi="IRNazanin" w:eastAsia="IRNazanin"/>
          <w:color w:val="111111"/>
          <w:sz w:val="28"/>
          <w:sz w:val="28"/>
          <w:szCs w:val="28"/>
          <w:rtl w:val="true"/>
          <w:lang w:bidi="fa-IR"/>
        </w:rPr>
        <w:t>اما اگر قصد شخص از این رفت و آمد در مسجد، آن باشد که تمام مسجد یا قسمتی از آن را جزئی از راه به شمار آورد و صورت و حالت مسجد بودن باقی نماند این عمل حرام است؛ زیرا این کار باعث تغییر وقف شده و محل عبادت 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این عمل اتفاق افتاد واجب است که آن گذرگاه را دوباره به مسجد تبدیل کند و وجوب این عمل تنها بر عهده شخص تغییر دهنده نیست بلکه هم بر او و هم بر دیگران واجب است که آن مکان را دوباره به حالت مسجد در آورند</w:t>
      </w:r>
      <w:r>
        <w:rPr>
          <w:rFonts w:eastAsia="IRNazanin" w:cs="IRNazanin"/>
          <w:color w:val="111111"/>
          <w:sz w:val="28"/>
          <w:szCs w:val="28"/>
          <w:rtl w:val="true"/>
          <w:lang w:bidi="fa-IR"/>
        </w:rPr>
        <w:t xml:space="preserve">. </w:t>
      </w:r>
      <w:r>
        <w:rPr>
          <w:rStyle w:val="FootnoteAnchor"/>
          <w:rtl w:val="true"/>
        </w:rPr>
        <w:footnoteReference w:id="131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 طريقا بحيث لا تبقى صورة المسجدية، إنما حرم ذلك لما فيه من تغيير الوقف و تخریب مواضع العباده و متى فعل ذلك وجب إعادتها إلى المسجدية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يختص الوجوب بالمتغير بل يعمه و غيره</w:t>
      </w:r>
      <w:r>
        <w:rPr>
          <w:rFonts w:eastAsia="IRNazanin" w:cs="IRNazanin"/>
          <w:color w:val="111111"/>
          <w:sz w:val="28"/>
          <w:szCs w:val="28"/>
          <w:rtl w:val="true"/>
          <w:lang w:bidi="fa-IR"/>
        </w:rPr>
        <w:t>.</w:t>
      </w:r>
      <w:r>
        <w:rPr>
          <w:rStyle w:val="FootnoteAnchor"/>
          <w:rtl w:val="true"/>
        </w:rPr>
        <w:footnoteReference w:id="1313"/>
      </w:r>
      <w:bookmarkStart w:id="1053" w:name="pg19115_195646"/>
    </w:p>
    <w:p>
      <w:pPr>
        <w:pStyle w:val="Heading6"/>
        <w:numPr>
          <w:ilvl w:val="5"/>
          <w:numId w:val="1"/>
        </w:numPr>
        <w:rPr/>
      </w:pPr>
      <w:bookmarkStart w:id="1054" w:name="__RefHeading___Toc15203002_1280447820"/>
      <w:bookmarkStart w:id="1055" w:name="_Toc412"/>
      <w:bookmarkEnd w:id="1053"/>
      <w:bookmarkEnd w:id="1054"/>
      <w:r>
        <w:rPr>
          <w:rtl w:val="true"/>
        </w:rPr>
        <w:t>الف</w:t>
      </w:r>
      <w:r>
        <w:rPr>
          <w:rtl w:val="true"/>
        </w:rPr>
        <w:t xml:space="preserve">) </w:t>
      </w:r>
      <w:r>
        <w:rPr>
          <w:rtl w:val="true"/>
        </w:rPr>
        <w:t>دیدگاه فقیهان امامیه</w:t>
      </w:r>
      <w:bookmarkEnd w:id="1055"/>
    </w:p>
    <w:p>
      <w:pPr>
        <w:pStyle w:val="BookText"/>
        <w:rPr/>
      </w:pPr>
      <w:r>
        <w:rPr>
          <w:rFonts w:ascii="IRNazanin" w:hAnsi="IRNazanin" w:eastAsia="IRNazanin"/>
          <w:color w:val="111111"/>
          <w:sz w:val="28"/>
          <w:sz w:val="28"/>
          <w:szCs w:val="28"/>
          <w:rtl w:val="true"/>
          <w:lang w:bidi="fa-IR"/>
        </w:rPr>
        <w:t>مشهور فقیهان شیعه حکم به کراهت این عمل کرده اند</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البته برخی از ایشان این حکم را مختص به حالت اختیار کرده اند و گرنه در حال ضرورت، قائل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عدم کراهت شده اند</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برخی دیگر نیز حکم کراهتی این عمل را مختص به حالتی می دانند که صورت مسجد بودن از بین نرود وگرنه اگر به سبب عبور و مرور از مسجد، صورت مسجد از بین برود، این عمل حرام است</w:t>
      </w:r>
      <w:r>
        <w:rPr>
          <w:rFonts w:eastAsia="IRNazanin" w:cs="IRNazanin"/>
          <w:color w:val="111111"/>
          <w:sz w:val="28"/>
          <w:szCs w:val="28"/>
          <w:rtl w:val="true"/>
          <w:lang w:bidi="fa-IR"/>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البته روشن است که کراهت این عمل با خواندن دو رکعت نماز تحیت در مسجد برداشته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روایت ذیل به این معنا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ای که بر کراهت این عمل ذکر شده عبارت است از</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از امام صادق علیه السلام از پیامبر اکرم صلی الله علیه و آله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 را </w:t>
      </w:r>
    </w:p>
    <w:p>
      <w:pPr>
        <w:pStyle w:val="BookText"/>
        <w:rPr/>
      </w:pPr>
      <w:r>
        <w:rPr>
          <w:rFonts w:ascii="IRNazanin" w:hAnsi="IRNazanin" w:eastAsia="IRNazanin"/>
          <w:color w:val="111111"/>
          <w:sz w:val="28"/>
          <w:sz w:val="28"/>
          <w:szCs w:val="28"/>
          <w:rtl w:val="true"/>
          <w:lang w:bidi="fa-IR"/>
        </w:rPr>
        <w:t>گذرگاه و محل عبور قرار ندهید، مگر آن که دو رکعت نماز در آن به جای آورید</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در کتاب روضة الواعظين فتال نیشابوری روایتی از پیامبر صلی الله علیه و آله نقل شده که حضرت یکی از افعال مذموم مردم در آخر الزمان را گذرگاه قرار دادن مساجد ذکر کرده است</w:t>
      </w:r>
      <w:r>
        <w:rPr>
          <w:rFonts w:eastAsia="IRNazanin" w:cs="IRNazanin"/>
          <w:color w:val="111111"/>
          <w:sz w:val="28"/>
          <w:szCs w:val="28"/>
          <w:rtl w:val="true"/>
          <w:lang w:bidi="fa-IR"/>
        </w:rPr>
        <w:t xml:space="preserve">. </w:t>
      </w:r>
      <w:r>
        <w:rPr>
          <w:rStyle w:val="FootnoteAnchor"/>
          <w:rtl w:val="true"/>
        </w:rPr>
        <w:footnoteReference w:id="131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با قداست و عظمت مسجد مناسبت نداشته و گویا با این عمل، مسجد را در حد یک کوچه و خیابان تنزّل داده ایم در روایات نیز بر تعظیم مسجد تأکید شده </w:t>
      </w:r>
      <w:r>
        <w:rPr>
          <w:rStyle w:val="FootnoteAnchor"/>
          <w:rtl w:val="true"/>
        </w:rPr>
        <w:footnoteReference w:id="1319"/>
      </w:r>
      <w:r>
        <w:rPr>
          <w:rFonts w:ascii="IRNazanin" w:hAnsi="IRNazanin" w:eastAsia="IRNazanin"/>
          <w:color w:val="111111"/>
          <w:sz w:val="28"/>
          <w:sz w:val="28"/>
          <w:szCs w:val="28"/>
          <w:rtl w:val="true"/>
          <w:lang w:bidi="fa-IR"/>
        </w:rPr>
        <w:t xml:space="preserve">و از کسی که عظمت و جایگاه مسجد را کوچک شمارد،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Style w:val="FootnoteAnchor"/>
          <w:rtl w:val="true"/>
        </w:rPr>
        <w:footnoteReference w:id="1320"/>
      </w:r>
      <w:bookmarkStart w:id="1056" w:name="pg19115_195648"/>
    </w:p>
    <w:p>
      <w:pPr>
        <w:pStyle w:val="BookText"/>
        <w:rPr/>
      </w:pPr>
      <w:bookmarkEnd w:id="105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321"/>
      </w:r>
    </w:p>
    <w:p>
      <w:pPr>
        <w:pStyle w:val="Heading6"/>
        <w:numPr>
          <w:ilvl w:val="5"/>
          <w:numId w:val="1"/>
        </w:numPr>
        <w:rPr/>
      </w:pPr>
      <w:bookmarkStart w:id="1057" w:name="__RefHeading___Toc15203004_1280447820"/>
      <w:bookmarkStart w:id="1058" w:name="_Toc413"/>
      <w:bookmarkEnd w:id="1057"/>
      <w:r>
        <w:rPr>
          <w:rtl w:val="true"/>
        </w:rPr>
        <w:t>ب</w:t>
      </w:r>
      <w:r>
        <w:rPr>
          <w:rtl w:val="true"/>
        </w:rPr>
        <w:t xml:space="preserve">) </w:t>
      </w:r>
      <w:r>
        <w:rPr>
          <w:rtl w:val="true"/>
        </w:rPr>
        <w:t>دیدگاه اهل سنّت</w:t>
      </w:r>
      <w:bookmarkEnd w:id="1058"/>
    </w:p>
    <w:p>
      <w:pPr>
        <w:pStyle w:val="Heading6"/>
        <w:numPr>
          <w:ilvl w:val="5"/>
          <w:numId w:val="1"/>
        </w:numPr>
        <w:rPr/>
      </w:pPr>
      <w:bookmarkStart w:id="1059" w:name="__RefHeading___Toc15203006_1280447820"/>
      <w:bookmarkStart w:id="1060" w:name="_Toc414"/>
      <w:bookmarkEnd w:id="1059"/>
      <w:r>
        <w:rPr>
          <w:rtl w:val="true"/>
        </w:rPr>
        <w:t>اشاره</w:t>
      </w:r>
      <w:bookmarkEnd w:id="10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61" w:name="__RefHeading___Toc15203008_1280447820"/>
      <w:bookmarkStart w:id="1062" w:name="_Toc415"/>
      <w:bookmarkEnd w:id="1061"/>
      <w:r>
        <w:rPr/>
        <w:t>1</w:t>
      </w:r>
      <w:r>
        <w:rPr>
          <w:rtl w:val="true"/>
        </w:rPr>
        <w:t xml:space="preserve">. </w:t>
      </w:r>
      <w:r>
        <w:rPr>
          <w:rtl w:val="true"/>
        </w:rPr>
        <w:t>مذهب حنفی</w:t>
      </w:r>
      <w:bookmarkEnd w:id="1062"/>
    </w:p>
    <w:p>
      <w:pPr>
        <w:pStyle w:val="BookText"/>
        <w:rPr/>
      </w:pPr>
      <w:r>
        <w:rPr>
          <w:rFonts w:ascii="IRNazanin" w:hAnsi="IRNazanin" w:eastAsia="IRNazanin"/>
          <w:color w:val="111111"/>
          <w:sz w:val="28"/>
          <w:sz w:val="28"/>
          <w:szCs w:val="28"/>
          <w:rtl w:val="true"/>
          <w:lang w:bidi="fa-IR"/>
        </w:rPr>
        <w:t>حنفیها معتقدند که محل عبور قرار دادن مسجد بدون عذر حرام است و اگر به خاطر عذری از مسجد عبور کرد اشکالی ندارد همچنین اگر در روز چندین مرتبه داخل مسجد می شود اگر در هر روز یک مرتبه نماز تحیت بخواند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نزد ایشان آن است که اگر شخصی بدون عذر، بسیار از مسجد عبور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را محلی برای عبور و مرور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است البته چنین شخصی می تواند هنگام عبور از مسجد نیّت اعتکاف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مسجد مکث و توقف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فاسق شمرده نشود، لیکن اگر کسی یک بار یا دو بار در روز از مسجد بدون عذر بگذرد فسق آور نیست</w:t>
      </w:r>
      <w:r>
        <w:rPr>
          <w:rFonts w:eastAsia="IRNazanin" w:cs="IRNazanin"/>
          <w:color w:val="111111"/>
          <w:sz w:val="28"/>
          <w:szCs w:val="28"/>
          <w:rtl w:val="true"/>
          <w:lang w:bidi="fa-IR"/>
        </w:rPr>
        <w:t xml:space="preserve">. </w:t>
      </w:r>
      <w:r>
        <w:rPr>
          <w:rStyle w:val="FootnoteAnchor"/>
          <w:rtl w:val="true"/>
        </w:rPr>
        <w:footnoteReference w:id="1322"/>
      </w:r>
    </w:p>
    <w:p>
      <w:pPr>
        <w:pStyle w:val="Heading6"/>
        <w:numPr>
          <w:ilvl w:val="5"/>
          <w:numId w:val="1"/>
        </w:numPr>
        <w:rPr/>
      </w:pPr>
      <w:bookmarkStart w:id="1063" w:name="__RefHeading___Toc15203010_1280447820"/>
      <w:bookmarkStart w:id="1064" w:name="_Toc416"/>
      <w:bookmarkEnd w:id="1063"/>
      <w:r>
        <w:rPr/>
        <w:t>2</w:t>
      </w:r>
      <w:r>
        <w:rPr>
          <w:rtl w:val="true"/>
        </w:rPr>
        <w:t xml:space="preserve">. </w:t>
      </w:r>
      <w:r>
        <w:rPr>
          <w:rtl w:val="true"/>
        </w:rPr>
        <w:t>مذهب مالکی</w:t>
      </w:r>
      <w:bookmarkEnd w:id="106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 ها می گویند اگر عبور و مرور در مسجد اگر زیاد نباشد، کراهت نداشته و جایز است اما اگر زیاد باشد کراهت دارد البته این در صورتی است که ساخت مسجد مقدم بر آن راه عبور و مرور باشد اما اگر ابتدا راه عبور و مرور بوده و بعداً مسجد شده، اگر هم زیاد عبور و مرور صورت گیرد کراهت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نیز لازم نیز عابر نماز تحیت مسجد را به جا آورد آورد</w:t>
      </w:r>
      <w:r>
        <w:rPr>
          <w:rFonts w:eastAsia="IRNazanin" w:cs="IRNazanin"/>
          <w:color w:val="111111"/>
          <w:sz w:val="28"/>
          <w:szCs w:val="28"/>
          <w:rtl w:val="true"/>
          <w:lang w:bidi="fa-IR"/>
        </w:rPr>
        <w:t xml:space="preserve">. </w:t>
      </w:r>
      <w:r>
        <w:rPr>
          <w:rStyle w:val="FootnoteAnchor"/>
          <w:rtl w:val="true"/>
        </w:rPr>
        <w:footnoteReference w:id="1323"/>
      </w:r>
      <w:bookmarkStart w:id="1065" w:name="pg19115_195649"/>
    </w:p>
    <w:p>
      <w:pPr>
        <w:pStyle w:val="Heading6"/>
        <w:numPr>
          <w:ilvl w:val="5"/>
          <w:numId w:val="1"/>
        </w:numPr>
        <w:rPr/>
      </w:pPr>
      <w:bookmarkStart w:id="1066" w:name="__RefHeading___Toc15203012_1280447820"/>
      <w:bookmarkStart w:id="1067" w:name="_Toc417"/>
      <w:bookmarkEnd w:id="1065"/>
      <w:bookmarkEnd w:id="1066"/>
      <w:r>
        <w:rPr/>
        <w:t>3</w:t>
      </w:r>
      <w:r>
        <w:rPr>
          <w:rtl w:val="true"/>
        </w:rPr>
        <w:t xml:space="preserve">. </w:t>
      </w:r>
      <w:r>
        <w:rPr>
          <w:rtl w:val="true"/>
        </w:rPr>
        <w:t>مذهب شافعی</w:t>
      </w:r>
      <w:bookmarkEnd w:id="1067"/>
    </w:p>
    <w:p>
      <w:pPr>
        <w:pStyle w:val="Heading6"/>
        <w:numPr>
          <w:ilvl w:val="5"/>
          <w:numId w:val="1"/>
        </w:numPr>
        <w:rPr/>
      </w:pPr>
      <w:bookmarkStart w:id="1068" w:name="__RefHeading___Toc15203014_1280447820"/>
      <w:bookmarkStart w:id="1069" w:name="_Toc418"/>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شافعی ها بر این باورند که عبور و مرور از مسجد چه برای شخص جنب و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جنب، جایز بوده و کراهت،ندارد اما برای زن،حائض اگر مطمئن است که مسجد را نجس نمی کند گذر از مسجد کراهت دارد هر چند به خاطر حاجتی باشد، اما اگر حائض اطمینان از نجس نکردن مسجد ندارد حرام است که از مسجد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مستحب است شخصی که از مسجد عبور می کند، دو رکعت نماز تحیت به جا آورد اگر متطهر است یا می تواند در آن نزدیکی تطهیر کند</w:t>
      </w:r>
      <w:r>
        <w:rPr>
          <w:rFonts w:eastAsia="IRNazanin" w:cs="IRNazanin"/>
          <w:color w:val="111111"/>
          <w:sz w:val="28"/>
          <w:szCs w:val="28"/>
          <w:rtl w:val="true"/>
          <w:lang w:bidi="fa-IR"/>
        </w:rPr>
        <w:t xml:space="preserve">. </w:t>
      </w:r>
      <w:r>
        <w:rPr>
          <w:rStyle w:val="FootnoteAnchor"/>
          <w:rtl w:val="true"/>
        </w:rPr>
        <w:footnoteReference w:id="1324"/>
      </w:r>
    </w:p>
    <w:p>
      <w:pPr>
        <w:pStyle w:val="Heading6"/>
        <w:numPr>
          <w:ilvl w:val="5"/>
          <w:numId w:val="1"/>
        </w:numPr>
        <w:rPr/>
      </w:pPr>
      <w:bookmarkStart w:id="1070" w:name="__RefHeading___Toc15203016_1280447820"/>
      <w:bookmarkStart w:id="1071" w:name="_Toc419"/>
      <w:bookmarkEnd w:id="1070"/>
      <w:r>
        <w:rPr/>
        <w:t>4</w:t>
      </w:r>
      <w:r>
        <w:rPr>
          <w:rtl w:val="true"/>
        </w:rPr>
        <w:t xml:space="preserve">. </w:t>
      </w:r>
      <w:r>
        <w:rPr>
          <w:rtl w:val="true"/>
        </w:rPr>
        <w:t>مذهب حنبلی</w:t>
      </w:r>
      <w:bookmarkEnd w:id="1071"/>
    </w:p>
    <w:p>
      <w:pPr>
        <w:pStyle w:val="BookText"/>
        <w:rPr/>
      </w:pPr>
      <w:r>
        <w:rPr>
          <w:rFonts w:ascii="IRNazanin" w:hAnsi="IRNazanin" w:eastAsia="IRNazanin"/>
          <w:color w:val="111111"/>
          <w:sz w:val="28"/>
          <w:sz w:val="28"/>
          <w:szCs w:val="28"/>
          <w:rtl w:val="true"/>
          <w:lang w:bidi="fa-IR"/>
        </w:rPr>
        <w:t>حنبلی ها معتقدند که چه جُنُب و چه شخص طاهر کراهت دارد که مسجد را محلی برای عبور و مرور خود قرار دهد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اگر وضو نگیرد ماندن او در مسجد حرام است همچنین کراهت دارد که حائض و نفساء اگر مطمئن هستند که مسجد را آلوده نمی کنند بدون حاجت از مسجد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تمام این افراد در صورتی که به خاطر حاجتی از مسجد عبور کنند، حکم به کراهت از آنها برداشته می شود و از جمله حاجتها نزدیک شدن راه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به خاطر کوتاه شدن و نزدیکی راه از مسجد عبور کنند، کراهت ندارد</w:t>
      </w:r>
      <w:r>
        <w:rPr>
          <w:rFonts w:eastAsia="IRNazanin" w:cs="IRNazanin"/>
          <w:color w:val="111111"/>
          <w:sz w:val="28"/>
          <w:szCs w:val="28"/>
          <w:rtl w:val="true"/>
          <w:lang w:bidi="fa-IR"/>
        </w:rPr>
        <w:t xml:space="preserve">. </w:t>
      </w:r>
      <w:r>
        <w:rPr>
          <w:rStyle w:val="FootnoteAnchor"/>
          <w:rtl w:val="true"/>
        </w:rPr>
        <w:footnoteReference w:id="132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2" w:name="pg19115_195651"/>
      <w:bookmarkStart w:id="1073" w:name="pg19115_195651"/>
      <w:bookmarkEnd w:id="1073"/>
    </w:p>
    <w:p>
      <w:pPr>
        <w:pStyle w:val="Heading2"/>
        <w:numPr>
          <w:ilvl w:val="1"/>
          <w:numId w:val="1"/>
        </w:numPr>
        <w:rPr/>
      </w:pPr>
      <w:bookmarkStart w:id="1074" w:name="pg19115_195651"/>
      <w:bookmarkStart w:id="1075" w:name="__RefHeading___Toc15203018_1280447820"/>
      <w:bookmarkStart w:id="1076" w:name="_Toc420"/>
      <w:bookmarkEnd w:id="1074"/>
      <w:bookmarkEnd w:id="1075"/>
      <w:r>
        <w:rPr>
          <w:rtl w:val="true"/>
        </w:rPr>
        <w:t>بخش چهارم</w:t>
      </w:r>
      <w:r>
        <w:rPr>
          <w:rtl w:val="true"/>
        </w:rPr>
        <w:t xml:space="preserve">: </w:t>
      </w:r>
      <w:r>
        <w:rPr>
          <w:rtl w:val="true"/>
        </w:rPr>
        <w:t>احکام مرتبط با کاربران</w:t>
      </w:r>
      <w:bookmarkEnd w:id="1076"/>
    </w:p>
    <w:p>
      <w:pPr>
        <w:pStyle w:val="Heading3"/>
        <w:numPr>
          <w:ilvl w:val="2"/>
          <w:numId w:val="1"/>
        </w:numPr>
        <w:rPr/>
      </w:pPr>
      <w:bookmarkStart w:id="1077" w:name="__RefHeading___Toc15203020_1280447820"/>
      <w:bookmarkStart w:id="1078" w:name="_Toc421"/>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وظایف کاربران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مسجد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گروههای خاص به مسجد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مکروهات مرتبط با کاربران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9" w:name="pg19115_195653"/>
      <w:bookmarkStart w:id="1080" w:name="pg19115_195653"/>
      <w:bookmarkEnd w:id="1080"/>
    </w:p>
    <w:p>
      <w:pPr>
        <w:pStyle w:val="Heading3"/>
        <w:numPr>
          <w:ilvl w:val="2"/>
          <w:numId w:val="1"/>
        </w:numPr>
        <w:rPr/>
      </w:pPr>
      <w:bookmarkStart w:id="1081" w:name="pg19115_195653"/>
      <w:bookmarkStart w:id="1082" w:name="__RefHeading___Toc15203022_1280447820"/>
      <w:bookmarkStart w:id="1083" w:name="_Toc422"/>
      <w:bookmarkEnd w:id="1081"/>
      <w:bookmarkEnd w:id="1082"/>
      <w:r>
        <w:rPr>
          <w:rtl w:val="true"/>
        </w:rPr>
        <w:t>فصل اول</w:t>
      </w:r>
      <w:r>
        <w:rPr>
          <w:rtl w:val="true"/>
        </w:rPr>
        <w:t xml:space="preserve">: </w:t>
      </w:r>
      <w:r>
        <w:rPr>
          <w:rtl w:val="true"/>
        </w:rPr>
        <w:t>آداب و وظایف کاربران</w:t>
      </w:r>
      <w:bookmarkEnd w:id="1083"/>
    </w:p>
    <w:p>
      <w:pPr>
        <w:pStyle w:val="Heading4"/>
        <w:numPr>
          <w:ilvl w:val="3"/>
          <w:numId w:val="1"/>
        </w:numPr>
        <w:rPr/>
      </w:pPr>
      <w:bookmarkStart w:id="1084" w:name="__RefHeading___Toc15203024_1280447820"/>
      <w:bookmarkStart w:id="1085" w:name="_Toc423"/>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رفتن به مسجد و خارج شدن از آن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زینت ظاهری و معنوی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6" w:name="pg19115_195655"/>
      <w:bookmarkStart w:id="1087" w:name="pg19115_195655"/>
      <w:bookmarkEnd w:id="1087"/>
    </w:p>
    <w:p>
      <w:pPr>
        <w:pStyle w:val="Heading4"/>
        <w:numPr>
          <w:ilvl w:val="3"/>
          <w:numId w:val="1"/>
        </w:numPr>
        <w:rPr/>
      </w:pPr>
      <w:bookmarkStart w:id="1088" w:name="pg19115_195655"/>
      <w:bookmarkStart w:id="1089" w:name="__RefHeading___Toc15203026_1280447820"/>
      <w:bookmarkStart w:id="1090" w:name="_Toc424"/>
      <w:bookmarkEnd w:id="1088"/>
      <w:bookmarkEnd w:id="1089"/>
      <w:r>
        <w:rPr>
          <w:rtl w:val="true"/>
        </w:rPr>
        <w:t>گفتار اول استحباب رفتن به مسجد</w:t>
      </w:r>
      <w:bookmarkEnd w:id="1090"/>
    </w:p>
    <w:p>
      <w:pPr>
        <w:pStyle w:val="Heading5"/>
        <w:numPr>
          <w:ilvl w:val="4"/>
          <w:numId w:val="1"/>
        </w:numPr>
        <w:rPr/>
      </w:pPr>
      <w:bookmarkStart w:id="1091" w:name="__RefHeading___Toc15203028_1280447820"/>
      <w:bookmarkStart w:id="1092" w:name="_Toc425"/>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تردیدی نیست در اینکه رفتن به مسجد مستحب می باشد و شایسته است انسان در رفتن به مسجد سعی و تلاش،کند و به هنگام حرکت به سوی مسجد حالت وقار و آرامش داشته باشد در حقیقت توجّه قلبی به عظمت و بزرگی صاحب خانه اینکه مسجد محضر خاص حق تعالی،است باعث می شود انسان مؤمن هم باوقار به سوی مسجد حرکت کند و هم در مسجد حالت آرامش و سکون داشته باشد چرا که میزان عظمت و حرمت هر خانه ای کاملاً بستگی به صاحب خانه دارد، و مسجد متعلّق به ذات پاکی است که منشأ تمامی عظمت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به مسجد و آهنگ آن مقصد نهایی و غرض اصلی از بنای مسجد می باشد، زیرا هدف اصلی از ساختن مسجد انجام عبادت در آن و اجتماع مسلمانان در مسجد به جهت نماز است شهید در ذکری می نویسد رفت و آمد زیاد و کثرت تردّد به مساجد مستحب است</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سید در عروه و تمامی فقیهانی که به عروه تعلیقه نوشته اند با نظر شهید موافقت کرده و فتوا به استحباب آن داده اند</w:t>
      </w:r>
      <w:r>
        <w:rPr>
          <w:rFonts w:eastAsia="IRNazanin" w:cs="IRNazanin"/>
          <w:color w:val="111111"/>
          <w:sz w:val="28"/>
          <w:szCs w:val="28"/>
          <w:rtl w:val="true"/>
          <w:lang w:bidi="fa-IR"/>
        </w:rPr>
        <w:t xml:space="preserve">. </w:t>
      </w:r>
      <w:r>
        <w:rPr>
          <w:rStyle w:val="FootnoteAnchor"/>
          <w:rtl w:val="true"/>
        </w:rPr>
        <w:footnoteReference w:id="132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اصفهانی ادعای اجماع کرده است </w:t>
      </w:r>
      <w:r>
        <w:rPr>
          <w:rStyle w:val="FootnoteAnchor"/>
          <w:rtl w:val="true"/>
        </w:rPr>
        <w:footnoteReference w:id="1328"/>
      </w:r>
      <w:r>
        <w:rPr>
          <w:rFonts w:ascii="IRNazanin" w:hAnsi="IRNazanin" w:eastAsia="IRNazanin"/>
          <w:color w:val="111111"/>
          <w:sz w:val="28"/>
          <w:sz w:val="28"/>
          <w:szCs w:val="28"/>
          <w:rtl w:val="true"/>
          <w:lang w:bidi="fa-IR"/>
        </w:rPr>
        <w:t>و سید محمد جواد عاملی آن را ضروری می داند</w:t>
      </w:r>
      <w:r>
        <w:rPr>
          <w:rFonts w:eastAsia="IRNazanin" w:cs="IRNazanin"/>
          <w:color w:val="111111"/>
          <w:sz w:val="28"/>
          <w:szCs w:val="28"/>
          <w:rtl w:val="true"/>
          <w:lang w:bidi="fa-IR"/>
        </w:rPr>
        <w:t xml:space="preserve">. </w:t>
      </w:r>
      <w:r>
        <w:rPr>
          <w:rStyle w:val="FootnoteAnchor"/>
          <w:rtl w:val="true"/>
        </w:rPr>
        <w:footnoteReference w:id="1329"/>
      </w:r>
      <w:bookmarkStart w:id="1093" w:name="pg19115_195656"/>
    </w:p>
    <w:p>
      <w:pPr>
        <w:pStyle w:val="Heading5"/>
        <w:numPr>
          <w:ilvl w:val="4"/>
          <w:numId w:val="1"/>
        </w:numPr>
        <w:rPr/>
      </w:pPr>
      <w:bookmarkStart w:id="1094" w:name="__RefHeading___Toc15203030_1280447820"/>
      <w:bookmarkStart w:id="1095" w:name="_Toc426"/>
      <w:bookmarkEnd w:id="1093"/>
      <w:bookmarkEnd w:id="1094"/>
      <w:r>
        <w:rPr>
          <w:rtl w:val="true"/>
        </w:rPr>
        <w:t>الف</w:t>
      </w:r>
      <w:r>
        <w:rPr>
          <w:rtl w:val="true"/>
        </w:rPr>
        <w:t xml:space="preserve">) </w:t>
      </w:r>
      <w:r>
        <w:rPr>
          <w:rtl w:val="true"/>
        </w:rPr>
        <w:t>ادله استحباب رفتن به مسجد و تعظیم آن</w:t>
      </w:r>
      <w:bookmarkEnd w:id="1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علت اینکه چرا در اسلام این قدر مساجد باعظمتاند سؤال کردم؟ امام صادق علیه السلام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به تعظیم و بزرگداشت مساجد امر شده است به جهت اینکه آنها خانه های خدا در زمین است</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از امام صادق علیه السلام روایت می کند که امام فرمود هنگامی که به سوی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کنی بایستی حرکت تو همراه با سکینه و وقار باشد</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روایت شده است که هر کس راهی را به سوی مسجدی از مساجد خدا در پیش گیرد در برابر هر گامی که از هنگام رفتن برمی دارد تا زمانی که به منزلش بازگردد، برای او پاداش ده کار نیک نوشته می شود و دو گناه از او محو می گردد و ده درجه رفعت می یابد</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کسانی را که در شبهای تاریک آهنگ رفتن به مساجد،کنند که اینان در روز قیامت از نوری فروزان و درخشنده برخوردار خواهند بود</w:t>
      </w:r>
      <w:r>
        <w:rPr>
          <w:rFonts w:eastAsia="IRNazanin" w:cs="IRNazanin"/>
          <w:color w:val="111111"/>
          <w:sz w:val="28"/>
          <w:szCs w:val="28"/>
          <w:rtl w:val="true"/>
          <w:lang w:bidi="fa-IR"/>
        </w:rPr>
        <w:t xml:space="preserve">. </w:t>
      </w:r>
      <w:r>
        <w:rPr>
          <w:rStyle w:val="FootnoteAnchor"/>
          <w:rtl w:val="true"/>
        </w:rPr>
        <w:footnoteReference w:id="133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کس به سوی مسجدی حرکت کند، در برابر هر گامی که برمی دارد زمین تا طبقات هفتگانه اش برای او </w:t>
      </w:r>
      <w:bookmarkStart w:id="1096" w:name="pg19115_195657"/>
    </w:p>
    <w:p>
      <w:pPr>
        <w:pStyle w:val="BookText"/>
        <w:rPr/>
      </w:pPr>
      <w:bookmarkEnd w:id="1096"/>
      <w:r>
        <w:rPr>
          <w:rFonts w:ascii="IRNazanin" w:hAnsi="IRNazanin" w:eastAsia="IRNazanin"/>
          <w:color w:val="111111"/>
          <w:sz w:val="28"/>
          <w:sz w:val="28"/>
          <w:szCs w:val="28"/>
          <w:rtl w:val="true"/>
          <w:lang w:bidi="fa-IR"/>
        </w:rPr>
        <w:t>تسبیح خداوند خواهند گفت</w:t>
      </w:r>
      <w:r>
        <w:rPr>
          <w:rFonts w:eastAsia="IRNazanin" w:cs="IRNazanin"/>
          <w:color w:val="111111"/>
          <w:sz w:val="28"/>
          <w:szCs w:val="28"/>
          <w:rtl w:val="true"/>
          <w:lang w:bidi="fa-IR"/>
        </w:rPr>
        <w:t xml:space="preserve">. </w:t>
      </w:r>
      <w:r>
        <w:rPr>
          <w:rStyle w:val="FootnoteAnchor"/>
          <w:rtl w:val="true"/>
        </w:rPr>
        <w:footnoteReference w:id="13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 علیه السلام روایت می 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نشده است به چیزی مانند سکوت و رفتن به خانه او</w:t>
      </w:r>
      <w:r>
        <w:rPr>
          <w:rFonts w:eastAsia="IRNazanin" w:cs="IRNazanin"/>
          <w:color w:val="111111"/>
          <w:sz w:val="28"/>
          <w:szCs w:val="28"/>
          <w:rtl w:val="true"/>
          <w:lang w:bidi="fa-IR"/>
        </w:rPr>
        <w:t xml:space="preserve">. </w:t>
      </w:r>
      <w:r>
        <w:rPr>
          <w:rStyle w:val="FootnoteAnchor"/>
          <w:rtl w:val="true"/>
        </w:rPr>
        <w:footnoteReference w:id="1335"/>
      </w:r>
    </w:p>
    <w:p>
      <w:pPr>
        <w:pStyle w:val="Heading5"/>
        <w:numPr>
          <w:ilvl w:val="4"/>
          <w:numId w:val="1"/>
        </w:numPr>
        <w:rPr/>
      </w:pPr>
      <w:bookmarkStart w:id="1097" w:name="__RefHeading___Toc15203032_1280447820"/>
      <w:bookmarkStart w:id="1098" w:name="_Toc427"/>
      <w:bookmarkEnd w:id="1097"/>
      <w:r>
        <w:rPr>
          <w:rtl w:val="true"/>
        </w:rPr>
        <w:t>ب</w:t>
      </w:r>
      <w:r>
        <w:rPr>
          <w:rtl w:val="true"/>
        </w:rPr>
        <w:t xml:space="preserve">) </w:t>
      </w:r>
      <w:r>
        <w:rPr>
          <w:rtl w:val="true"/>
        </w:rPr>
        <w:t>دعای هنگام رفتن به مسجد</w:t>
      </w:r>
      <w:bookmarkEnd w:id="1098"/>
    </w:p>
    <w:p>
      <w:pPr>
        <w:pStyle w:val="BookText"/>
        <w:rPr/>
      </w:pPr>
      <w:r>
        <w:rPr>
          <w:rFonts w:ascii="IRNazanin" w:hAnsi="IRNazanin" w:eastAsia="IRNazanin"/>
          <w:color w:val="111111"/>
          <w:sz w:val="28"/>
          <w:sz w:val="28"/>
          <w:szCs w:val="28"/>
          <w:rtl w:val="true"/>
          <w:lang w:bidi="fa-IR"/>
        </w:rPr>
        <w:t>هنگام بیرون رفتن از خانه به قصد مسجد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هو يُطْعِمني ويسقين وإذا مَرِضْتُ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ويُميتنى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أطْمَعُ أن يغفو لى خطيئتي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حكما وأَلْحِقْنى بالصَّالِحينَ وَاجْعَل لى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مِنْ وَرَثَةِ جَنَّة النعيم</w:t>
      </w:r>
      <w:r>
        <w:rPr>
          <w:rStyle w:val="FootnoteAnchor"/>
          <w:rtl w:val="true"/>
        </w:rPr>
        <w:footnoteReference w:id="1336"/>
      </w:r>
      <w:r>
        <w:rPr>
          <w:rFonts w:ascii="Amiri" w:hAnsi="Amiri" w:eastAsia="Amiri" w:cs="Amiri"/>
          <w:color w:val="111111"/>
          <w:sz w:val="28"/>
          <w:sz w:val="28"/>
          <w:szCs w:val="28"/>
          <w:rtl w:val="true"/>
          <w:lang w:bidi="ar-SA"/>
        </w:rPr>
        <w:t>واغفر لأبوي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خدای که مرا،آفریده او هدایتم می کند و کسی که مرا اطعام می کند آبم می دهد و چون بیمار شوم او مرا شفا می بخشد و کسی که مرا می میراند، سپس زنده ام می کند و کسی که امیدوارم روز جزا خطایم را بر من ببخشاید پرودگارا مرا حکمی عطا کن، و مرا به نیکان و شایستگان ملحق گردان و برای من در میان آیندگان زبان صدق و ثناگو قرار ده، و مرا از وارثان بهشت پرنعمت گردان، و بر پدر و مادرم ببخشای؟ </w:t>
      </w:r>
      <w:r>
        <w:rPr>
          <w:rStyle w:val="FootnoteAnchor"/>
          <w:rtl w:val="true"/>
        </w:rPr>
        <w:footnoteReference w:id="1337"/>
      </w:r>
      <w:bookmarkStart w:id="1099" w:name="pg19115_195658"/>
    </w:p>
    <w:p>
      <w:pPr>
        <w:pStyle w:val="Heading4"/>
        <w:numPr>
          <w:ilvl w:val="3"/>
          <w:numId w:val="1"/>
        </w:numPr>
        <w:rPr/>
      </w:pPr>
      <w:bookmarkStart w:id="1100" w:name="__RefHeading___Toc15203034_1280447820"/>
      <w:bookmarkStart w:id="1101" w:name="_Toc428"/>
      <w:bookmarkEnd w:id="1099"/>
      <w:bookmarkEnd w:id="1100"/>
      <w:r>
        <w:rPr>
          <w:rtl w:val="true"/>
        </w:rPr>
        <w:t>گفتار دوم</w:t>
      </w:r>
      <w:r>
        <w:rPr>
          <w:rtl w:val="true"/>
        </w:rPr>
        <w:t xml:space="preserve">: </w:t>
      </w:r>
      <w:r>
        <w:rPr>
          <w:rtl w:val="true"/>
        </w:rPr>
        <w:t>آداب ورود به مسجد</w:t>
      </w:r>
      <w:bookmarkEnd w:id="1101"/>
    </w:p>
    <w:p>
      <w:pPr>
        <w:pStyle w:val="Heading5"/>
        <w:numPr>
          <w:ilvl w:val="4"/>
          <w:numId w:val="1"/>
        </w:numPr>
        <w:rPr/>
      </w:pPr>
      <w:bookmarkStart w:id="1102" w:name="__RefHeading___Toc15203036_1280447820"/>
      <w:bookmarkStart w:id="1103" w:name="_Toc429"/>
      <w:bookmarkEnd w:id="1102"/>
      <w:r>
        <w:rPr>
          <w:rtl w:val="true"/>
        </w:rPr>
        <w:t>اشاره</w:t>
      </w:r>
      <w:bookmarkEnd w:id="1103"/>
    </w:p>
    <w:p>
      <w:pPr>
        <w:pStyle w:val="BookText"/>
        <w:rPr/>
      </w:pPr>
      <w:r>
        <w:rPr>
          <w:rFonts w:ascii="IRNazanin" w:hAnsi="IRNazanin" w:eastAsia="IRNazanin"/>
          <w:color w:val="111111"/>
          <w:sz w:val="28"/>
          <w:sz w:val="28"/>
          <w:szCs w:val="28"/>
          <w:rtl w:val="true"/>
          <w:lang w:bidi="fa-IR"/>
        </w:rPr>
        <w:t>لازم است هنگامی که آهنگ رفتن به مسجد و قصد احرام حضور خانه خدا را می کند، به اندازه توانائیش در شناخت آداب حضور،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معرفت بیشتر باشد، عمل با ارزش تر و مراعات ادب سبب تقرب بنده به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فرموده است هرگاه به مسجد رسیدی، پس بدان که تو آهنگ سلطانی بزرگ و ملکی عظیم را کرده ای که بر بساطش جز پاکیزگان کسی پای ننهد و برای مجالست با او جز راست گویان و راست کرداران اجازه داده نشوند، و آنگاه که بر بساط او قدم نهی بدان که اگر اندکی غفلت از تو سرزند، در خطر عظیم و پرتگاهی سهمگین قرار گرفته ای</w:t>
      </w:r>
      <w:r>
        <w:rPr>
          <w:rFonts w:eastAsia="IRNazanin" w:cs="IRNazanin"/>
          <w:color w:val="111111"/>
          <w:sz w:val="28"/>
          <w:szCs w:val="28"/>
          <w:rtl w:val="true"/>
          <w:lang w:bidi="fa-IR"/>
        </w:rPr>
        <w:t xml:space="preserve">. </w:t>
      </w:r>
      <w:r>
        <w:rPr>
          <w:rStyle w:val="FootnoteAnchor"/>
          <w:rtl w:val="true"/>
        </w:rPr>
        <w:footnoteReference w:id="133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تا آنجا که می تواند در تحصیل آداب باطنی بکوشد تا آمادگی حضور در این محفل انس را در خود بیابد و برای این که از هر جهت بتواند از این توفیق الهی بهره مند گردد گذشته از آداب باطنی بایسته است که آداب ظاهری مسجد را نیز رعایت کند و از جمله این آداب است</w:t>
      </w:r>
      <w:r>
        <w:rPr>
          <w:rFonts w:eastAsia="IRNazanin" w:cs="IRNazanin"/>
          <w:color w:val="111111"/>
          <w:sz w:val="28"/>
          <w:szCs w:val="28"/>
          <w:rtl w:val="true"/>
          <w:lang w:bidi="fa-IR"/>
        </w:rPr>
        <w:t xml:space="preserve">: </w:t>
      </w:r>
      <w:bookmarkStart w:id="1104" w:name="pg19115_195659"/>
    </w:p>
    <w:p>
      <w:pPr>
        <w:pStyle w:val="Heading5"/>
        <w:numPr>
          <w:ilvl w:val="4"/>
          <w:numId w:val="1"/>
        </w:numPr>
        <w:rPr/>
      </w:pPr>
      <w:bookmarkStart w:id="1105" w:name="__RefHeading___Toc15203038_1280447820"/>
      <w:bookmarkStart w:id="1106" w:name="_Toc430"/>
      <w:bookmarkEnd w:id="1104"/>
      <w:bookmarkEnd w:id="1105"/>
      <w:r>
        <w:rPr>
          <w:rtl w:val="true"/>
        </w:rPr>
        <w:t>الف</w:t>
      </w:r>
      <w:r>
        <w:rPr>
          <w:rtl w:val="true"/>
        </w:rPr>
        <w:t xml:space="preserve">) </w:t>
      </w:r>
      <w:r>
        <w:rPr>
          <w:rtl w:val="true"/>
        </w:rPr>
        <w:t>وضو داشتن</w:t>
      </w:r>
      <w:bookmarkEnd w:id="1106"/>
    </w:p>
    <w:p>
      <w:pPr>
        <w:pStyle w:val="Heading6"/>
        <w:numPr>
          <w:ilvl w:val="5"/>
          <w:numId w:val="1"/>
        </w:numPr>
        <w:rPr/>
      </w:pPr>
      <w:bookmarkStart w:id="1107" w:name="__RefHeading___Toc15203040_1280447820"/>
      <w:bookmarkStart w:id="1108" w:name="_Toc431"/>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شهید در ذکری می نویسد مستحب است انسان با حال طهارت وارد مسجد شود</w:t>
      </w:r>
      <w:r>
        <w:rPr>
          <w:rFonts w:eastAsia="IRNazanin" w:cs="IRNazanin"/>
          <w:color w:val="111111"/>
          <w:sz w:val="28"/>
          <w:szCs w:val="28"/>
          <w:rtl w:val="true"/>
          <w:lang w:bidi="fa-IR"/>
        </w:rPr>
        <w:t xml:space="preserve">. </w:t>
      </w:r>
      <w:r>
        <w:rPr>
          <w:rStyle w:val="FootnoteAnchor"/>
          <w:rtl w:val="true"/>
        </w:rPr>
        <w:footnoteReference w:id="1339"/>
      </w:r>
    </w:p>
    <w:p>
      <w:pPr>
        <w:pStyle w:val="Heading6"/>
        <w:numPr>
          <w:ilvl w:val="5"/>
          <w:numId w:val="1"/>
        </w:numPr>
        <w:rPr/>
      </w:pPr>
      <w:bookmarkStart w:id="1109" w:name="__RefHeading___Toc15203042_1280447820"/>
      <w:bookmarkStart w:id="1110" w:name="_Toc432"/>
      <w:bookmarkEnd w:id="1109"/>
      <w:r>
        <w:rPr>
          <w:rtl w:val="true"/>
        </w:rPr>
        <w:t>ادله استحباب وضو</w:t>
      </w:r>
      <w:bookmarkEnd w:id="1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روایت شده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 های من در زمین است خوشا به حال کسی که در خانهاش وضو بگیرد و سپس مرا در خانه ام زیارت کند بر من است که زائرم را گرامی دارم</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آن حضرت فرمود جز با طهارت وارد مساجد نشوید</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وارد مسجد شوی، و قصد نشستن در آن را داری مبادا بدون طهارت وارد مسجد شوی و شایسته است که با طهارت وارد شوى</w:t>
      </w:r>
      <w:r>
        <w:rPr>
          <w:rFonts w:eastAsia="IRNazanin" w:cs="IRNazanin"/>
          <w:color w:val="111111"/>
          <w:sz w:val="28"/>
          <w:szCs w:val="28"/>
          <w:rtl w:val="true"/>
          <w:lang w:bidi="fa-IR"/>
        </w:rPr>
        <w:t xml:space="preserve">. </w:t>
      </w:r>
      <w:r>
        <w:rPr>
          <w:rStyle w:val="FootnoteAnchor"/>
          <w:rtl w:val="true"/>
        </w:rPr>
        <w:footnoteReference w:id="134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ضمن حدیثی می گوید هر کسی که با طهارت از خانه اش بیرون بیاید و با مسلمانان در مسجد نماز جماعت را اقامه کند فرشتگان آسمان در حق او می گوید خدایا او را مورد آمرزش و رحمت خود قرار ده</w:t>
      </w:r>
      <w:r>
        <w:rPr>
          <w:rFonts w:eastAsia="IRNazanin" w:cs="IRNazanin"/>
          <w:color w:val="111111"/>
          <w:sz w:val="28"/>
          <w:szCs w:val="28"/>
          <w:rtl w:val="true"/>
          <w:lang w:bidi="fa-IR"/>
        </w:rPr>
        <w:t xml:space="preserve">. </w:t>
      </w:r>
      <w:r>
        <w:rPr>
          <w:rStyle w:val="FootnoteAnchor"/>
          <w:rtl w:val="true"/>
        </w:rPr>
        <w:footnoteReference w:id="1343"/>
      </w:r>
      <w:bookmarkStart w:id="1111" w:name="pg19115_195660"/>
    </w:p>
    <w:p>
      <w:pPr>
        <w:pStyle w:val="BookText"/>
        <w:rPr/>
      </w:pPr>
      <w:bookmarkEnd w:id="1111"/>
      <w:r>
        <w:rPr>
          <w:rFonts w:ascii="IRNazanin" w:hAnsi="IRNazanin" w:eastAsia="IRNazanin"/>
          <w:color w:val="111111"/>
          <w:sz w:val="28"/>
          <w:sz w:val="28"/>
          <w:szCs w:val="28"/>
          <w:rtl w:val="true"/>
          <w:lang w:bidi="fa-IR"/>
        </w:rPr>
        <w:t>عیاشی از امام حسن مجتبی علیه السلام روایت می کند که آن حضرت هر هرگاه آهنگ نماز می کرد زیباترین لباسش را می پوشید و از او در این باره سؤال می شد که چرا بهترین لباسهایت را می پوشی؟</w:t>
      </w:r>
    </w:p>
    <w:p>
      <w:pPr>
        <w:pStyle w:val="BookText"/>
        <w:rPr/>
      </w:pPr>
      <w:r>
        <w:rPr>
          <w:rFonts w:ascii="IRNazanin" w:hAnsi="IRNazanin" w:eastAsia="IRNazanin"/>
          <w:color w:val="111111"/>
          <w:sz w:val="28"/>
          <w:sz w:val="28"/>
          <w:szCs w:val="28"/>
          <w:rtl w:val="true"/>
          <w:lang w:bidi="fa-IR"/>
        </w:rPr>
        <w:t>در جواب می فرمود خداوند زیباست و زیبایی را دوست دارد و من به جهت احترام پروردگارم لباس زیبا می پوشم چون خداوند متعال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1344"/>
      </w:r>
      <w:r>
        <w:rPr>
          <w:rFonts w:ascii="IRNazanin" w:hAnsi="IRNazanin" w:eastAsia="IRNazanin"/>
          <w:color w:val="111111"/>
          <w:sz w:val="28"/>
          <w:sz w:val="28"/>
          <w:szCs w:val="28"/>
          <w:rtl w:val="true"/>
          <w:lang w:bidi="fa-IR"/>
        </w:rPr>
        <w:t>و لذا من دوست دارم زیباترین لباسم را بپوشم</w:t>
      </w:r>
      <w:r>
        <w:rPr>
          <w:rFonts w:eastAsia="IRNazanin" w:cs="IRNazanin"/>
          <w:color w:val="111111"/>
          <w:sz w:val="28"/>
          <w:szCs w:val="28"/>
          <w:rtl w:val="true"/>
          <w:lang w:bidi="fa-IR"/>
        </w:rPr>
        <w:t xml:space="preserve">. </w:t>
      </w:r>
      <w:r>
        <w:rPr>
          <w:rStyle w:val="FootnoteAnchor"/>
          <w:rtl w:val="true"/>
        </w:rPr>
        <w:footnoteReference w:id="1345"/>
      </w:r>
    </w:p>
    <w:p>
      <w:pPr>
        <w:pStyle w:val="Heading5"/>
        <w:numPr>
          <w:ilvl w:val="4"/>
          <w:numId w:val="1"/>
        </w:numPr>
        <w:rPr/>
      </w:pPr>
      <w:bookmarkStart w:id="1112" w:name="__RefHeading___Toc15203044_1280447820"/>
      <w:bookmarkStart w:id="1113" w:name="_Toc433"/>
      <w:bookmarkEnd w:id="1112"/>
      <w:r>
        <w:rPr>
          <w:rtl w:val="true"/>
        </w:rPr>
        <w:t>ب</w:t>
      </w:r>
      <w:r>
        <w:rPr>
          <w:rtl w:val="true"/>
        </w:rPr>
        <w:t xml:space="preserve">) </w:t>
      </w:r>
      <w:r>
        <w:rPr>
          <w:rtl w:val="true"/>
        </w:rPr>
        <w:t>پوشیدن بهترین و زیباترین لباسها و خوشبو کردن خود</w:t>
      </w:r>
      <w:bookmarkEnd w:id="1113"/>
    </w:p>
    <w:p>
      <w:pPr>
        <w:pStyle w:val="BookText"/>
        <w:rPr/>
      </w:pPr>
      <w:r>
        <w:rPr>
          <w:rFonts w:ascii="IRNazanin" w:hAnsi="IRNazanin" w:eastAsia="IRNazanin"/>
          <w:color w:val="111111"/>
          <w:sz w:val="28"/>
          <w:sz w:val="28"/>
          <w:szCs w:val="28"/>
          <w:rtl w:val="true"/>
          <w:lang w:bidi="fa-IR"/>
        </w:rPr>
        <w:t>سید در عروه می نویسد هرگاه آهنگ رفتن به مسجد را دارد مستحب است بویی خوش و عطر استعمال کند و لباس زیبا و فاخر بپوشد</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از امام صادق علیه السلام در تفسیر آیه شریفه </w:t>
      </w:r>
      <w:r>
        <w:rPr>
          <w:rFonts w:ascii="Amiri" w:hAnsi="Amiri" w:eastAsia="Amiri" w:cs="Amiri"/>
          <w:color w:val="111111"/>
          <w:sz w:val="28"/>
          <w:sz w:val="28"/>
          <w:szCs w:val="28"/>
          <w:rtl w:val="true"/>
          <w:lang w:bidi="ar-SA"/>
        </w:rPr>
        <w:t>وَخُذُوا زينَتَكُم عِندَ كُلُّ مَسجِدٍ</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برگیرید زینت هایتان را در 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لباسهایی را که با آنها خود را برای حضور در نمازهای جمعه و عید زینت می کنید</w:t>
      </w:r>
      <w:r>
        <w:rPr>
          <w:rFonts w:eastAsia="IRNazanin" w:cs="IRNazanin"/>
          <w:color w:val="111111"/>
          <w:sz w:val="28"/>
          <w:szCs w:val="28"/>
          <w:rtl w:val="true"/>
          <w:lang w:bidi="fa-IR"/>
        </w:rPr>
        <w:t xml:space="preserve">. </w:t>
      </w:r>
      <w:r>
        <w:rPr>
          <w:rStyle w:val="FootnoteAnchor"/>
          <w:rtl w:val="true"/>
        </w:rPr>
        <w:footnoteReference w:id="134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دیگری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سردی یکی از غلامان </w:t>
      </w:r>
      <w:bookmarkStart w:id="1114" w:name="pg19115_195661"/>
    </w:p>
    <w:p>
      <w:pPr>
        <w:pStyle w:val="BookText"/>
        <w:rPr/>
      </w:pPr>
      <w:bookmarkEnd w:id="1114"/>
      <w:r>
        <w:rPr>
          <w:rFonts w:ascii="IRNazanin" w:hAnsi="IRNazanin" w:eastAsia="IRNazanin"/>
          <w:color w:val="111111"/>
          <w:sz w:val="28"/>
          <w:sz w:val="28"/>
          <w:szCs w:val="28"/>
          <w:rtl w:val="true"/>
          <w:lang w:bidi="fa-IR"/>
        </w:rPr>
        <w:t>امام سجاد علیه السلام در حالی که آن حضرت لباسهایی زیبا بر تن داشت و خود را معطّر کرده بود با او روبه رو شد از آن حضرت پرسید در این ساعت با چنین هیئتی آهنگ کجا دارید؟</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مسجد جدّى رسول الله صلى الله عليه و آله و سلم</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عازم مسجد جدّم پیامبر خدا صلی الله علیه و آله هستم</w:t>
      </w:r>
    </w:p>
    <w:p>
      <w:pPr>
        <w:pStyle w:val="BookText"/>
        <w:rPr/>
      </w:pPr>
      <w:r>
        <w:rPr>
          <w:rFonts w:ascii="IRNazanin" w:hAnsi="IRNazanin" w:eastAsia="IRNazanin"/>
          <w:color w:val="111111"/>
          <w:sz w:val="28"/>
          <w:sz w:val="28"/>
          <w:szCs w:val="28"/>
          <w:rtl w:val="true"/>
          <w:lang w:bidi="fa-IR"/>
        </w:rPr>
        <w:t>شماری از فقهای متقدّم و متأخر معتقدند که مستحب است نزدیک در مسجد کفش، عصا و هر چه که همراه انسان است بازرسی کند،</w:t>
      </w:r>
      <w:r>
        <w:rPr>
          <w:rStyle w:val="FootnoteAnchor"/>
          <w:rtl w:val="true"/>
        </w:rPr>
        <w:footnoteReference w:id="1350"/>
      </w:r>
      <w:r>
        <w:rPr>
          <w:rFonts w:ascii="IRNazanin" w:hAnsi="IRNazanin" w:eastAsia="IRNazanin"/>
          <w:color w:val="111111"/>
          <w:sz w:val="28"/>
          <w:sz w:val="28"/>
          <w:szCs w:val="28"/>
          <w:rtl w:val="true"/>
          <w:lang w:bidi="fa-IR"/>
        </w:rPr>
        <w:t>به جهت احتیاط و اطمینان داشتن از طهارت و پاکیزگی آنها، و نیز به جهت اینکه</w:t>
      </w:r>
    </w:p>
    <w:p>
      <w:pPr>
        <w:pStyle w:val="Heading5"/>
        <w:numPr>
          <w:ilvl w:val="4"/>
          <w:numId w:val="1"/>
        </w:numPr>
        <w:rPr/>
      </w:pPr>
      <w:bookmarkStart w:id="1115" w:name="__RefHeading___Toc15203046_1280447820"/>
      <w:bookmarkStart w:id="1116" w:name="_Toc434"/>
      <w:bookmarkEnd w:id="1115"/>
      <w:r>
        <w:rPr>
          <w:rtl w:val="true"/>
        </w:rPr>
        <w:t>ج</w:t>
      </w:r>
      <w:r>
        <w:rPr>
          <w:rtl w:val="true"/>
        </w:rPr>
        <w:t xml:space="preserve">) </w:t>
      </w:r>
      <w:r>
        <w:rPr>
          <w:rtl w:val="true"/>
        </w:rPr>
        <w:t>وارسی نظافت کفشها هنگام ورود به مسجد</w:t>
      </w:r>
      <w:bookmarkEnd w:id="1116"/>
    </w:p>
    <w:p>
      <w:pPr>
        <w:pStyle w:val="BookText"/>
        <w:rPr/>
      </w:pPr>
      <w:r>
        <w:rPr>
          <w:rFonts w:ascii="IRNazanin" w:hAnsi="IRNazanin" w:eastAsia="IRNazanin"/>
          <w:color w:val="111111"/>
          <w:sz w:val="28"/>
          <w:sz w:val="28"/>
          <w:szCs w:val="28"/>
          <w:rtl w:val="true"/>
          <w:lang w:bidi="fa-IR"/>
        </w:rPr>
        <w:t>از پیامبر خدا صلی الله علیه و آله روایت شده است که فرمود کفشهای خود را نزدیک در مسجد بازرسی کنید</w:t>
      </w:r>
      <w:r>
        <w:rPr>
          <w:rFonts w:eastAsia="IRNazanin" w:cs="IRNazanin"/>
          <w:color w:val="111111"/>
          <w:sz w:val="28"/>
          <w:szCs w:val="28"/>
          <w:rtl w:val="true"/>
          <w:lang w:bidi="fa-IR"/>
        </w:rPr>
        <w:t xml:space="preserve">. </w:t>
      </w:r>
      <w:r>
        <w:rPr>
          <w:rStyle w:val="FootnoteAnchor"/>
          <w:rtl w:val="true"/>
        </w:rPr>
        <w:footnoteReference w:id="1351"/>
      </w:r>
    </w:p>
    <w:p>
      <w:pPr>
        <w:pStyle w:val="Heading5"/>
        <w:numPr>
          <w:ilvl w:val="4"/>
          <w:numId w:val="1"/>
        </w:numPr>
        <w:rPr/>
      </w:pPr>
      <w:bookmarkStart w:id="1117" w:name="__RefHeading___Toc15203048_1280447820"/>
      <w:bookmarkStart w:id="1118" w:name="_Toc435"/>
      <w:bookmarkEnd w:id="1117"/>
      <w:r>
        <w:rPr>
          <w:rtl w:val="true"/>
        </w:rPr>
        <w:t>د</w:t>
      </w:r>
      <w:r>
        <w:rPr>
          <w:rtl w:val="true"/>
        </w:rPr>
        <w:t xml:space="preserve">) </w:t>
      </w:r>
      <w:r>
        <w:rPr>
          <w:rtl w:val="true"/>
        </w:rPr>
        <w:t>كيفيت ورود به مسجد</w:t>
      </w:r>
      <w:bookmarkEnd w:id="1118"/>
    </w:p>
    <w:p>
      <w:pPr>
        <w:pStyle w:val="Heading6"/>
        <w:numPr>
          <w:ilvl w:val="5"/>
          <w:numId w:val="1"/>
        </w:numPr>
        <w:rPr/>
      </w:pPr>
      <w:bookmarkStart w:id="1119" w:name="__RefHeading___Toc15203050_1280447820"/>
      <w:bookmarkStart w:id="1120" w:name="_Toc436"/>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از آداب مسجد آن است که انسان در هنگام ورود به،مسجد، پای راست و در وقت خروج پای چپ را مقدم بدارد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مبسوط می نویسد هرگاه بخواهد وارد مسجد شود، شایسته است اینکه پای راست را برپای چپ و هنگام خروج پای چپ را مقدم بدارد</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و همچنین </w:t>
      </w:r>
      <w:bookmarkStart w:id="1121" w:name="pg19115_195662"/>
    </w:p>
    <w:p>
      <w:pPr>
        <w:pStyle w:val="BookText"/>
        <w:rPr/>
      </w:pPr>
      <w:bookmarkEnd w:id="1121"/>
      <w:r>
        <w:rPr>
          <w:rFonts w:ascii="IRNazanin" w:hAnsi="IRNazanin" w:eastAsia="IRNazanin"/>
          <w:color w:val="111111"/>
          <w:sz w:val="28"/>
          <w:sz w:val="28"/>
          <w:szCs w:val="28"/>
          <w:rtl w:val="true"/>
          <w:lang w:bidi="fa-IR"/>
        </w:rPr>
        <w:t>شمار دیگری از فقیهان امامیه بر این حکم اشاره کرده اند</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مراجع آمده است مستحب است موقع داخل شدن به مسجد اول پای راست و موقع بیرون آمدن اول پای چپ را بگذارند</w:t>
      </w:r>
      <w:r>
        <w:rPr>
          <w:rFonts w:eastAsia="IRNazanin" w:cs="IRNazanin"/>
          <w:color w:val="111111"/>
          <w:sz w:val="28"/>
          <w:szCs w:val="28"/>
          <w:rtl w:val="true"/>
          <w:lang w:bidi="fa-IR"/>
        </w:rPr>
        <w:t xml:space="preserve">. </w:t>
      </w:r>
      <w:r>
        <w:rPr>
          <w:rStyle w:val="FootnoteAnchor"/>
          <w:rtl w:val="true"/>
        </w:rPr>
        <w:footnoteReference w:id="1354"/>
      </w:r>
    </w:p>
    <w:p>
      <w:pPr>
        <w:pStyle w:val="Heading6"/>
        <w:numPr>
          <w:ilvl w:val="5"/>
          <w:numId w:val="1"/>
        </w:numPr>
        <w:rPr/>
      </w:pPr>
      <w:bookmarkStart w:id="1122" w:name="__RefHeading___Toc15203052_1280447820"/>
      <w:bookmarkStart w:id="1123" w:name="_Toc437"/>
      <w:bookmarkEnd w:id="1122"/>
      <w:r>
        <w:rPr>
          <w:rtl w:val="true"/>
        </w:rPr>
        <w:t>ادله استحباب تقدیم پای راست هنگام ورود به مسجد</w:t>
      </w:r>
      <w:bookmarkEnd w:id="1123"/>
    </w:p>
    <w:p>
      <w:pPr>
        <w:pStyle w:val="BookText"/>
        <w:rPr/>
      </w:pPr>
      <w:r>
        <w:rPr>
          <w:rFonts w:ascii="IRNazanin" w:hAnsi="IRNazanin" w:eastAsia="IRNazanin"/>
          <w:color w:val="111111"/>
          <w:sz w:val="28"/>
          <w:sz w:val="28"/>
          <w:szCs w:val="28"/>
          <w:rtl w:val="true"/>
          <w:lang w:bidi="fa-IR"/>
        </w:rPr>
        <w:t>برای استحباب مقدّم داشتن پای راست به هنگام وارد شدن به مسجد و پای چپ را موقع بیرون آمدن از مسجد به دو دلیل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با سندش از،یونس از ائمه علیهم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در رفتن به مسجد این است که هنگام وارد شدن اول پای راست را به مسجد بگزاری بعد پای چپ را و موقع بیرون آمدن اول پای چپ را بیرون بگزاری بعد پای راست را</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 به هنگام ورود به مسجد پای راستت را مقدم بدار و بر پیامبر و خاندانش درود بفرست</w:t>
      </w:r>
      <w:r>
        <w:rPr>
          <w:rFonts w:eastAsia="IRNazanin" w:cs="IRNazanin"/>
          <w:color w:val="111111"/>
          <w:sz w:val="28"/>
          <w:szCs w:val="28"/>
          <w:rtl w:val="true"/>
          <w:lang w:bidi="fa-IR"/>
        </w:rPr>
        <w:t xml:space="preserve">. </w:t>
      </w:r>
      <w:r>
        <w:rPr>
          <w:rStyle w:val="FootnoteAnchor"/>
          <w:rtl w:val="true"/>
        </w:rPr>
        <w:footnoteReference w:id="135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این گونه استدلال می کند که یمین شرافت بیشتری دارد، لذا مناسب است با پای راست در مواضع شریف وارد شوی و موقع خروج برعکس باشد</w:t>
      </w:r>
      <w:r>
        <w:rPr>
          <w:rFonts w:eastAsia="IRNazanin" w:cs="IRNazanin"/>
          <w:color w:val="111111"/>
          <w:sz w:val="28"/>
          <w:szCs w:val="28"/>
          <w:rtl w:val="true"/>
          <w:lang w:bidi="fa-IR"/>
        </w:rPr>
        <w:t xml:space="preserve">. </w:t>
      </w:r>
      <w:r>
        <w:rPr>
          <w:rStyle w:val="FootnoteAnchor"/>
          <w:rtl w:val="true"/>
        </w:rPr>
        <w:footnoteReference w:id="1357"/>
      </w:r>
      <w:bookmarkStart w:id="1124" w:name="pg19115_195663"/>
    </w:p>
    <w:p>
      <w:pPr>
        <w:pStyle w:val="BookText"/>
        <w:rPr/>
      </w:pPr>
      <w:bookmarkEnd w:id="1124"/>
      <w:r>
        <w:rPr>
          <w:rFonts w:ascii="IRNazanin" w:hAnsi="IRNazanin" w:eastAsia="IRNazanin"/>
          <w:color w:val="111111"/>
          <w:sz w:val="28"/>
          <w:sz w:val="28"/>
          <w:szCs w:val="28"/>
          <w:rtl w:val="true"/>
          <w:lang w:bidi="fa-IR"/>
        </w:rPr>
        <w:t xml:space="preserve">سید محمد عاملی در مدارک نیز آن را از معتبر نقل و به همین اقتصار می کند </w:t>
      </w:r>
      <w:r>
        <w:rPr>
          <w:rStyle w:val="FootnoteAnchor"/>
          <w:rtl w:val="true"/>
        </w:rPr>
        <w:footnoteReference w:id="1358"/>
      </w:r>
      <w:r>
        <w:rPr>
          <w:rFonts w:ascii="IRNazanin" w:hAnsi="IRNazanin" w:eastAsia="IRNazanin"/>
          <w:color w:val="111111"/>
          <w:sz w:val="28"/>
          <w:sz w:val="28"/>
          <w:szCs w:val="28"/>
          <w:rtl w:val="true"/>
          <w:lang w:bidi="fa-IR"/>
        </w:rPr>
        <w:t xml:space="preserve">شهید در روضه </w:t>
      </w:r>
      <w:r>
        <w:rPr>
          <w:rStyle w:val="FootnoteAnchor"/>
          <w:rtl w:val="true"/>
        </w:rPr>
        <w:footnoteReference w:id="1359"/>
      </w:r>
      <w:r>
        <w:rPr>
          <w:rFonts w:ascii="IRNazanin" w:hAnsi="IRNazanin" w:eastAsia="IRNazanin"/>
          <w:color w:val="111111"/>
          <w:sz w:val="28"/>
          <w:sz w:val="28"/>
          <w:szCs w:val="28"/>
          <w:rtl w:val="true"/>
          <w:lang w:bidi="fa-IR"/>
        </w:rPr>
        <w:t xml:space="preserve">و شیخ محمد حسن در جواهر </w:t>
      </w:r>
      <w:r>
        <w:rPr>
          <w:rStyle w:val="FootnoteAnchor"/>
          <w:rtl w:val="true"/>
        </w:rPr>
        <w:footnoteReference w:id="1360"/>
      </w:r>
      <w:r>
        <w:rPr>
          <w:rFonts w:ascii="IRNazanin" w:hAnsi="IRNazanin" w:eastAsia="IRNazanin"/>
          <w:color w:val="111111"/>
          <w:sz w:val="28"/>
          <w:sz w:val="28"/>
          <w:szCs w:val="28"/>
          <w:rtl w:val="true"/>
          <w:lang w:bidi="fa-IR"/>
        </w:rPr>
        <w:t>نیز به آن اشاره کرده اند</w:t>
      </w:r>
      <w:r>
        <w:rPr>
          <w:rFonts w:eastAsia="IRNazanin" w:cs="IRNazanin"/>
          <w:color w:val="111111"/>
          <w:sz w:val="28"/>
          <w:szCs w:val="28"/>
          <w:rtl w:val="true"/>
          <w:lang w:bidi="fa-IR"/>
        </w:rPr>
        <w:t>.</w:t>
      </w:r>
    </w:p>
    <w:p>
      <w:pPr>
        <w:pStyle w:val="Heading5"/>
        <w:numPr>
          <w:ilvl w:val="4"/>
          <w:numId w:val="1"/>
        </w:numPr>
        <w:rPr/>
      </w:pPr>
      <w:bookmarkStart w:id="1125" w:name="__RefHeading___Toc15203054_1280447820"/>
      <w:bookmarkStart w:id="1126" w:name="_Toc438"/>
      <w:bookmarkEnd w:id="1125"/>
      <w:r>
        <w:rPr>
          <w:rtl w:val="true"/>
        </w:rPr>
        <w:t>ه</w:t>
      </w:r>
      <w:r>
        <w:rPr>
          <w:rtl w:val="true"/>
        </w:rPr>
        <w:t xml:space="preserve">-) </w:t>
      </w:r>
      <w:r>
        <w:rPr>
          <w:rtl w:val="true"/>
        </w:rPr>
        <w:t>دعا هنگام ورود به مسجد و خروج از آن</w:t>
      </w:r>
      <w:bookmarkEnd w:id="1126"/>
    </w:p>
    <w:p>
      <w:pPr>
        <w:pStyle w:val="BookText"/>
        <w:rPr/>
      </w:pPr>
      <w:r>
        <w:rPr>
          <w:rFonts w:ascii="IRNazanin" w:hAnsi="IRNazanin" w:eastAsia="IRNazanin"/>
          <w:color w:val="111111"/>
          <w:sz w:val="28"/>
          <w:sz w:val="28"/>
          <w:szCs w:val="28"/>
          <w:rtl w:val="true"/>
          <w:lang w:bidi="fa-IR"/>
        </w:rPr>
        <w:t>مستحب است هنگام ورود به مسجد و خروج از آن دعاهایی که از طریق اهل بیت علیهم السلام وارد شده است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به سند صحیح از عبدالله بن سنان روایت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صادق علیه السلام فرمود هرگاه وارد مسجد شدی و همچنین موقع خروج از آن بر پیامبر درود فرست</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دعاهایی که از ائمه علیهم السلام در این مورد وارد شده است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شدی پای راست را پیش از پای چپ،بگذار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النبي ورحمه الله و بركاته، اللهم صل على محمد وآل محمد، وافتح لنا باب رحمتك واجعلنا من عمار مساجدك، جل ثناء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قصد خارج شدن از مسجد داشتی پای چپ خود را بر پای راست خود مقدم بدار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وَافْتَحْ لنا باب فضلك</w:t>
      </w:r>
      <w:r>
        <w:rPr>
          <w:rFonts w:eastAsia="IRNazanin" w:cs="IRNazanin"/>
          <w:color w:val="111111"/>
          <w:sz w:val="28"/>
          <w:szCs w:val="28"/>
          <w:rtl w:val="true"/>
          <w:lang w:bidi="fa-IR"/>
        </w:rPr>
        <w:t>»</w:t>
      </w:r>
      <w:r>
        <w:rPr>
          <w:rStyle w:val="FootnoteAnchor"/>
          <w:rtl w:val="true"/>
        </w:rPr>
        <w:footnoteReference w:id="136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روایت موثق از سماعه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w:t>
      </w:r>
    </w:p>
    <w:p>
      <w:pPr>
        <w:pStyle w:val="BookText"/>
        <w:rPr/>
      </w:pPr>
      <w:r>
        <w:rPr>
          <w:rFonts w:ascii="IRNazanin" w:hAnsi="IRNazanin" w:eastAsia="IRNazanin"/>
          <w:color w:val="111111"/>
          <w:sz w:val="28"/>
          <w:sz w:val="28"/>
          <w:szCs w:val="28"/>
          <w:rtl w:val="true"/>
          <w:lang w:bidi="fa-IR"/>
        </w:rPr>
        <w:t>مسجد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والسلام على رسول الله إن الله وملائكته </w:t>
      </w:r>
      <w:r>
        <w:rPr>
          <w:rStyle w:val="FootnoteAnchor"/>
          <w:rtl w:val="true"/>
        </w:rPr>
        <w:footnoteReference w:id="1363"/>
      </w:r>
      <w:r>
        <w:rPr>
          <w:rFonts w:ascii="IRNazanin" w:hAnsi="IRNazanin" w:eastAsia="IRNazanin"/>
          <w:color w:val="111111"/>
          <w:sz w:val="28"/>
          <w:sz w:val="28"/>
          <w:szCs w:val="28"/>
          <w:rtl w:val="true"/>
          <w:lang w:bidi="fa-IR"/>
        </w:rPr>
        <w:t>يصلون على محمد وآل محمد والسلام عليهم ورحمه الله وبركاته، ربّ اغفر لي ذنوبي، وافتح لى أبواب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هم که از مسجد خارج شدی همین را بگو</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از امیرالمؤمنین علیه السلام برای ورود به مسجد این دعا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Style w:val="FootnoteAnchor"/>
          <w:rtl w:val="true"/>
        </w:rPr>
        <w:footnoteReference w:id="1366"/>
      </w:r>
      <w:r>
        <w:rPr>
          <w:rFonts w:ascii="IRNazanin" w:hAnsi="IRNazanin" w:eastAsia="IRNazanin"/>
          <w:color w:val="111111"/>
          <w:sz w:val="28"/>
          <w:sz w:val="28"/>
          <w:szCs w:val="28"/>
          <w:rtl w:val="true"/>
          <w:lang w:bidi="fa-IR"/>
        </w:rPr>
        <w:t>عن أمّه فاطمة، عن جدته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إذا دخل المسجد صلى على النبي صلی الله علیه و آله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ذنوبي وافتح لي أبواب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از پیامبر خدا صلی الله علیه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انجام دهد وقتی می خواهد از مسجد بیرون بیاید کنار در آن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دعوتني فأجبت دعوتك وصليت مكتوبتك، وانتشرت في ارضك كما أمرتني، من الرزق من رحمتك فأسئلك من فضلك العمل بطاعتك واجتناب سخطك، والكفاف</w:t>
      </w:r>
      <w:r>
        <w:rPr>
          <w:rFonts w:eastAsia="IRNazanin" w:cs="IRNazanin"/>
          <w:color w:val="111111"/>
          <w:sz w:val="28"/>
          <w:szCs w:val="28"/>
          <w:rtl w:val="true"/>
          <w:lang w:bidi="fa-IR"/>
        </w:rPr>
        <w:t xml:space="preserve">» </w:t>
      </w:r>
      <w:r>
        <w:rPr>
          <w:rStyle w:val="FootnoteAnchor"/>
          <w:rtl w:val="true"/>
        </w:rPr>
        <w:footnoteReference w:id="136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حسن نجفی برای استحباب دعا هنگام ورود و خروج از مسجد دو </w:t>
      </w:r>
      <w:bookmarkStart w:id="1127" w:name="pg19115_195665"/>
    </w:p>
    <w:p>
      <w:pPr>
        <w:pStyle w:val="BookText"/>
        <w:rPr/>
      </w:pPr>
      <w:bookmarkEnd w:id="1127"/>
      <w:r>
        <w:rPr>
          <w:rFonts w:ascii="IRNazanin" w:hAnsi="IRNazanin" w:eastAsia="IRNazanin"/>
          <w:color w:val="111111"/>
          <w:sz w:val="28"/>
          <w:sz w:val="28"/>
          <w:szCs w:val="28"/>
          <w:rtl w:val="true"/>
          <w:lang w:bidi="fa-IR"/>
        </w:rPr>
        <w:t>دلیل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مظنه استجابت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فعل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1369"/>
      </w:r>
    </w:p>
    <w:p>
      <w:pPr>
        <w:pStyle w:val="Heading5"/>
        <w:numPr>
          <w:ilvl w:val="4"/>
          <w:numId w:val="1"/>
        </w:numPr>
        <w:rPr/>
      </w:pPr>
      <w:bookmarkStart w:id="1128" w:name="__RefHeading___Toc15203056_1280447820"/>
      <w:bookmarkStart w:id="1129" w:name="_Toc439"/>
      <w:bookmarkEnd w:id="1128"/>
      <w:r>
        <w:rPr>
          <w:rtl w:val="true"/>
        </w:rPr>
        <w:t>و</w:t>
      </w:r>
      <w:r>
        <w:rPr>
          <w:rtl w:val="true"/>
        </w:rPr>
        <w:t xml:space="preserve">) </w:t>
      </w:r>
      <w:r>
        <w:rPr>
          <w:rtl w:val="true"/>
        </w:rPr>
        <w:t>خواندن نماز تحیت</w:t>
      </w:r>
      <w:bookmarkEnd w:id="1129"/>
    </w:p>
    <w:p>
      <w:pPr>
        <w:pStyle w:val="Heading6"/>
        <w:numPr>
          <w:ilvl w:val="5"/>
          <w:numId w:val="1"/>
        </w:numPr>
        <w:rPr/>
      </w:pPr>
      <w:bookmarkStart w:id="1130" w:name="__RefHeading___Toc15203058_1280447820"/>
      <w:bookmarkStart w:id="1131" w:name="_Toc440"/>
      <w:bookmarkEnd w:id="1130"/>
      <w:r>
        <w:rPr>
          <w:rtl w:val="true"/>
        </w:rPr>
        <w:t>اشاره</w:t>
      </w:r>
      <w:bookmarkEnd w:id="1131"/>
    </w:p>
    <w:p>
      <w:pPr>
        <w:pStyle w:val="BookText"/>
        <w:rPr/>
      </w:pPr>
      <w:r>
        <w:rPr>
          <w:rFonts w:ascii="IRNazanin" w:hAnsi="IRNazanin" w:eastAsia="IRNazanin"/>
          <w:color w:val="111111"/>
          <w:sz w:val="28"/>
          <w:sz w:val="28"/>
          <w:szCs w:val="28"/>
          <w:rtl w:val="true"/>
          <w:lang w:bidi="fa-IR"/>
        </w:rPr>
        <w:t>هرگاه وارد مسجد شود به منظور ادای احترام به ساحت مقدس مسجد در آغاز ورود پیش از نشستن دو رکعت نماز به عنوان نماز تحیت مسجد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گوید از نمازهای مستحبی که وقت معینی دارد، نماز تحیت مسجد می باشد که وقت آن هنگام ورود به مسجد است</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ابوالصلاح حلبی نیز به آن اشاره کرده است</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قاضی ابن براج در المهذب می نویسد از نمازهای مستحبی نماز تحیّت مسجد است و آن دو رکعت می باشد شایسته است کسی که وارد مسجد می شود آن دو رکعت نماز را به جهت تحیّت مسجد به جای آورد</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ابن زهره برای استحباب آن به اجماع استشهاد کرده است</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و همچنین شمار دیگری از فقهای متأخر و معاصر نیز به آن فتوا داده اند</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شهید در روضه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نشستن نماز تحیت مسجد را به جهت احترام به ساحت مقدس مسجد به جای آور و تکرار آن بواسطه تکرار وارد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زود به زود از مسجد خارج و دوباره وارد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نیست نماز تحیت مسجد نماز مستقلی باشد بلکه همین قدر که انسان </w:t>
      </w:r>
      <w:bookmarkStart w:id="1132" w:name="pg19115_195666"/>
    </w:p>
    <w:p>
      <w:pPr>
        <w:pStyle w:val="BookText"/>
        <w:rPr/>
      </w:pPr>
      <w:bookmarkEnd w:id="1132"/>
      <w:r>
        <w:rPr>
          <w:rFonts w:ascii="IRNazanin" w:hAnsi="IRNazanin" w:eastAsia="IRNazanin"/>
          <w:color w:val="111111"/>
          <w:sz w:val="28"/>
          <w:sz w:val="28"/>
          <w:szCs w:val="28"/>
          <w:rtl w:val="true"/>
          <w:lang w:bidi="fa-IR"/>
        </w:rPr>
        <w:t>پس از ورد به مسجد قبل از نشستن نمازی را بخواند چه واجب باشد و چه مستحب کافی است</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سید یزدی در عروه نیز به آن اشاره کرده است</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بنابراین کسی که به قصد بجای آوردن نماز واجب یا نماز مستحبی در مسجد حاضر شود همین قدر که قبل از نشستن در مسجد به نماز مشغول شود در واقع نماز تحیّت مسجد را نیز به جای آورده است</w:t>
      </w:r>
      <w:r>
        <w:rPr>
          <w:rFonts w:eastAsia="IRNazanin" w:cs="IRNazanin"/>
          <w:color w:val="111111"/>
          <w:sz w:val="28"/>
          <w:szCs w:val="28"/>
          <w:rtl w:val="true"/>
          <w:lang w:bidi="fa-IR"/>
        </w:rPr>
        <w:t>.</w:t>
      </w:r>
    </w:p>
    <w:p>
      <w:pPr>
        <w:pStyle w:val="Heading6"/>
        <w:numPr>
          <w:ilvl w:val="5"/>
          <w:numId w:val="1"/>
        </w:numPr>
        <w:rPr/>
      </w:pPr>
      <w:bookmarkStart w:id="1133" w:name="__RefHeading___Toc15203060_1280447820"/>
      <w:bookmarkStart w:id="1134" w:name="_Toc441"/>
      <w:bookmarkEnd w:id="1133"/>
      <w:r>
        <w:rPr>
          <w:rtl w:val="true"/>
        </w:rPr>
        <w:t>ادله استحباب نماز تحیت</w:t>
      </w:r>
      <w:bookmarkEnd w:id="1134"/>
    </w:p>
    <w:p>
      <w:pPr>
        <w:pStyle w:val="Heading6"/>
        <w:numPr>
          <w:ilvl w:val="5"/>
          <w:numId w:val="1"/>
        </w:numPr>
        <w:rPr/>
      </w:pPr>
      <w:bookmarkStart w:id="1135" w:name="__RefHeading___Toc15203062_1280447820"/>
      <w:bookmarkStart w:id="1136" w:name="_Toc442"/>
      <w:bookmarkEnd w:id="1135"/>
      <w:r>
        <w:rPr>
          <w:rtl w:val="true"/>
        </w:rPr>
        <w:t>اشاره</w:t>
      </w:r>
      <w:bookmarkEnd w:id="1136"/>
    </w:p>
    <w:p>
      <w:pPr>
        <w:pStyle w:val="BookText"/>
        <w:rPr/>
      </w:pPr>
      <w:r>
        <w:rPr>
          <w:rFonts w:ascii="IRNazanin" w:hAnsi="IRNazanin" w:eastAsia="IRNazanin"/>
          <w:color w:val="111111"/>
          <w:sz w:val="28"/>
          <w:sz w:val="28"/>
          <w:szCs w:val="28"/>
          <w:rtl w:val="true"/>
          <w:lang w:bidi="fa-IR"/>
        </w:rPr>
        <w:t>برای اثبات استحباب نماز تحیت مسجد به چند روایت استدلال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ابوذر که صدوق در خصال و معانى الأخبار نقل مى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پیامبر خدا صلی الله علیه و آله وارد شدم و او در مسجد نشسته بود و به من فرمود ای اباذر برای مسجد تحیّتی،است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تحیّت مسجد چیست؟ فرمود دو رکعت نماز به جای آوری</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حسین زید در حدیث مناهی از امام صادق علیه السلام از پدرانش روایت می 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محل تردّد و رفت و آمد قرار ندهید هرگاه وارد مسجد شدید از آن خارج نشوید تا در آن دو رکعت نماز بجا آورید</w:t>
      </w:r>
      <w:r>
        <w:rPr>
          <w:rFonts w:eastAsia="IRNazanin" w:cs="IRNazanin"/>
          <w:color w:val="111111"/>
          <w:sz w:val="28"/>
          <w:szCs w:val="28"/>
          <w:rtl w:val="true"/>
          <w:lang w:bidi="fa-IR"/>
        </w:rPr>
        <w:t xml:space="preserve">. </w:t>
      </w:r>
      <w:r>
        <w:rPr>
          <w:rStyle w:val="FootnoteAnchor"/>
          <w:rtl w:val="true"/>
        </w:rPr>
        <w:footnoteReference w:id="137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مسجد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شدی دو رکعت نماز بجای آوری و از حقوق دو رکعت نماز آن است که در آن أُمّ القرآن </w:t>
      </w:r>
      <w:bookmarkStart w:id="1137" w:name="pg19115_195667"/>
    </w:p>
    <w:p>
      <w:pPr>
        <w:pStyle w:val="BookText"/>
        <w:rPr/>
      </w:pPr>
      <w:bookmarkEnd w:id="1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کنی و از حقوق آن است که به آن چه در قرآن آمده است عمل کنی</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وقتی وارد کوفه شد آمد و آمد وارد مسجد کوفه شد و دو رکعت بجای آورد، آنگاه بالای منبر رفت</w:t>
      </w:r>
      <w:r>
        <w:rPr>
          <w:rFonts w:eastAsia="IRNazanin" w:cs="IRNazanin"/>
          <w:color w:val="111111"/>
          <w:sz w:val="28"/>
          <w:szCs w:val="28"/>
          <w:rtl w:val="true"/>
          <w:lang w:bidi="fa-IR"/>
        </w:rPr>
        <w:t xml:space="preserve">.... </w:t>
      </w:r>
      <w:r>
        <w:rPr>
          <w:rStyle w:val="FootnoteAnchor"/>
          <w:rtl w:val="true"/>
        </w:rPr>
        <w:footnoteReference w:id="1380"/>
      </w:r>
    </w:p>
    <w:p>
      <w:pPr>
        <w:pStyle w:val="Heading6"/>
        <w:numPr>
          <w:ilvl w:val="5"/>
          <w:numId w:val="1"/>
        </w:numPr>
        <w:rPr/>
      </w:pPr>
      <w:bookmarkStart w:id="1138" w:name="__RefHeading___Toc15203064_1280447820"/>
      <w:bookmarkStart w:id="1139" w:name="_Toc443"/>
      <w:bookmarkEnd w:id="1138"/>
      <w:r>
        <w:rPr>
          <w:rtl w:val="true"/>
        </w:rPr>
        <w:t>نتیجه بحث</w:t>
      </w:r>
      <w:bookmarkEnd w:id="1139"/>
    </w:p>
    <w:p>
      <w:pPr>
        <w:pStyle w:val="BookText"/>
        <w:rPr/>
      </w:pPr>
      <w:r>
        <w:rPr>
          <w:rFonts w:ascii="IRNazanin" w:hAnsi="IRNazanin" w:eastAsia="IRNazanin"/>
          <w:color w:val="111111"/>
          <w:sz w:val="28"/>
          <w:sz w:val="28"/>
          <w:szCs w:val="28"/>
          <w:rtl w:val="true"/>
          <w:lang w:bidi="fa-IR"/>
        </w:rPr>
        <w:t>نماز تحیت در حقیقت به منزله سلام مؤمن به مسجد است و با این امر از جهت نهایت تکریم و تعظیم خانه خداوند به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گویا نماز گذار با این عمل نشان می دهد که مسجد موجودی دارای ادراک و احساس است و مانند سایر مکانهای معمولی نیست که انسان بتواند به طور عادی در آن رفت و آمد کند، بلکه هنگام وارد شدن بایستی بروی تحیّت و 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جوامع حدیثی </w:t>
      </w:r>
      <w:r>
        <w:rPr>
          <w:rStyle w:val="FootnoteAnchor"/>
          <w:rtl w:val="true"/>
        </w:rPr>
        <w:footnoteReference w:id="1381"/>
      </w:r>
      <w:r>
        <w:rPr>
          <w:rFonts w:ascii="IRNazanin" w:hAnsi="IRNazanin" w:eastAsia="IRNazanin"/>
          <w:color w:val="111111"/>
          <w:sz w:val="28"/>
          <w:sz w:val="28"/>
          <w:szCs w:val="28"/>
          <w:rtl w:val="true"/>
          <w:lang w:bidi="fa-IR"/>
        </w:rPr>
        <w:t xml:space="preserve">سفارشهای فراوانی مبنی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زیادی بر آن ذکر شده است و در برخی از روایات آن را محبوب خداوند و نشانه تواضع شمرده است</w:t>
      </w:r>
      <w:r>
        <w:rPr>
          <w:rFonts w:eastAsia="IRNazanin" w:cs="IRNazanin"/>
          <w:color w:val="111111"/>
          <w:sz w:val="28"/>
          <w:szCs w:val="28"/>
          <w:rtl w:val="true"/>
          <w:lang w:bidi="fa-IR"/>
        </w:rPr>
        <w:t>.</w:t>
      </w:r>
      <w:r>
        <w:rPr>
          <w:rStyle w:val="FootnoteAnchor"/>
          <w:rtl w:val="true"/>
        </w:rPr>
        <w:footnoteReference w:id="138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واقعیت این است که در برخی از روایات از سلام کردن بر شخص نمازگزار نهی شده است علت این امر آن است که معمولاً پرداختن به جواب سلام، </w:t>
      </w:r>
      <w:bookmarkStart w:id="1140" w:name="pg19115_195668"/>
    </w:p>
    <w:p>
      <w:pPr>
        <w:pStyle w:val="BookText"/>
        <w:rPr/>
      </w:pPr>
      <w:bookmarkEnd w:id="1140"/>
      <w:r>
        <w:rPr>
          <w:rFonts w:ascii="IRNazanin" w:hAnsi="IRNazanin" w:eastAsia="IRNazanin"/>
          <w:color w:val="111111"/>
          <w:sz w:val="28"/>
          <w:sz w:val="28"/>
          <w:szCs w:val="28"/>
          <w:rtl w:val="true"/>
          <w:lang w:bidi="fa-IR"/>
        </w:rPr>
        <w:t>نمازگزار را از توجه به نماز خویش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ابن صدقه از امام صادق علیه السلام از پدر بزرگوارش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 و نصاری سلام،نکنید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 شخصی که در حال نماز است سلام نکنید زیرا نمازگزار نمی تواند جواب سلام را بدهد چون سلام کردن مستحب ولی جواب آن واجب است</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شیخ حر عاملی در شرح این روایت این گونه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نیست بلکه عدم سهولت می باشد یعنی به سهولت و آسانی نمی تواند جواب سلام را بدهد بلکه در حال نماز اگر بخواهد جواب سلام بدهد، بعد گردد مشغول نماز شود این امر بر او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برای کسی که بخواهد با حال توجه نماز را بجای آورد، پرداختن به جواب سلام معمولاً توجه و حضور قلب وی را مخدوش می کند</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در روایت دیگری امام صادق علیه السلام 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شدی در حالی که عده مشغول نمازند برای آنان سلام،نکن بر پیامبر ا سلام کن، آنگاه مشغول نماز شو اما اگر وارد مسجد شدی و می بینی عده نشسته اند دارند باهم صحبت می کنند، بر آنان سلام کن</w:t>
      </w:r>
      <w:r>
        <w:rPr>
          <w:rFonts w:eastAsia="IRNazanin" w:cs="IRNazanin"/>
          <w:color w:val="111111"/>
          <w:sz w:val="28"/>
          <w:szCs w:val="28"/>
          <w:rtl w:val="true"/>
          <w:lang w:bidi="fa-IR"/>
        </w:rPr>
        <w:t xml:space="preserve">. </w:t>
      </w:r>
      <w:r>
        <w:rPr>
          <w:rStyle w:val="FootnoteAnchor"/>
          <w:rtl w:val="true"/>
        </w:rPr>
        <w:footnoteReference w:id="1385"/>
      </w:r>
    </w:p>
    <w:p>
      <w:pPr>
        <w:pStyle w:val="Heading4"/>
        <w:numPr>
          <w:ilvl w:val="3"/>
          <w:numId w:val="1"/>
        </w:numPr>
        <w:rPr/>
      </w:pPr>
      <w:bookmarkStart w:id="1141" w:name="__RefHeading___Toc15203066_1280447820"/>
      <w:bookmarkStart w:id="1142" w:name="_Toc444"/>
      <w:bookmarkEnd w:id="1141"/>
      <w:r>
        <w:rPr>
          <w:rtl w:val="true"/>
        </w:rPr>
        <w:t>گفتار سوم</w:t>
      </w:r>
      <w:r>
        <w:rPr>
          <w:rtl w:val="true"/>
        </w:rPr>
        <w:t xml:space="preserve">: </w:t>
      </w:r>
      <w:r>
        <w:rPr>
          <w:rtl w:val="true"/>
        </w:rPr>
        <w:t>طولانی نمودن اقامت در مسجد</w:t>
      </w:r>
      <w:bookmarkEnd w:id="114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آداب مسجد آن است که انسان مسلمان اقامت خویش در خانه خدا را </w:t>
      </w:r>
    </w:p>
    <w:p>
      <w:pPr>
        <w:pStyle w:val="BookText"/>
        <w:rPr/>
      </w:pPr>
      <w:r>
        <w:rPr>
          <w:rFonts w:ascii="IRNazanin" w:hAnsi="IRNazanin" w:eastAsia="IRNazanin"/>
          <w:color w:val="111111"/>
          <w:sz w:val="28"/>
          <w:sz w:val="28"/>
          <w:szCs w:val="28"/>
          <w:rtl w:val="true"/>
          <w:lang w:bidi="fa-IR"/>
        </w:rPr>
        <w:t>طولانی نماید و از شتاب در خروج از مسجد خودداری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البته اشخاص مؤمن این کار را از روی عشق و علاقه قلبی که به مسجد دارند انجام می دهند؛ چرا که آنان مسجد را خانه خویش می دانند</w:t>
      </w:r>
    </w:p>
    <w:p>
      <w:pPr>
        <w:pStyle w:val="BookText"/>
        <w:rPr/>
      </w:pPr>
      <w:r>
        <w:rPr>
          <w:rFonts w:ascii="IRNazanin" w:hAnsi="IRNazanin" w:eastAsia="IRNazanin"/>
          <w:color w:val="111111"/>
          <w:sz w:val="28"/>
          <w:sz w:val="28"/>
          <w:szCs w:val="28"/>
          <w:rtl w:val="true"/>
          <w:lang w:bidi="fa-IR"/>
        </w:rPr>
        <w:t>شیخ حر عاملی می نویسد مستحب است سبقت گرفتن از دیگران هنگام ورود به مسجد و هنگام خروج از همه دیرتر از مسجد خارج شود</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و سید یزدی در عروه و شیخ جعفر کاشف الغطاء نیز با او موافقت کرده اند</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سید عبدالاعلی سبزواری برای این مسئله به روایتی استدلال می کند که شیخ صدوق آن را از امیرالمؤمنین علیه السلام روایت می کند که پیامبر خدا صلی الله علیه و آله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افراد نزد خداوند کسی است که اول وارد مسجد می شود، و آخرین شخصی است که از مسجد خارج می شود</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شماری از روایات اشعار به این معنی دارند که در زیر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حدیث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هر کس ادعا کند من خداوند را دوست می دارم دوست من محسوب نمی شود؛ مگر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خانه خویش قرار دهد</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در این فراز از حدیث قدسی انس با مسجد و کثرت اقامت در آن از شرایط محبت الهی به شمار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از،سکونی از امام صادق علیه السلام از پدران بزرگوارش علیهم السلام از پیامبر </w:t>
      </w:r>
    </w:p>
    <w:p>
      <w:pPr>
        <w:pStyle w:val="BookText"/>
        <w:rPr/>
      </w:pPr>
      <w:r>
        <w:rPr>
          <w:rFonts w:ascii="IRNazanin" w:hAnsi="IRNazanin" w:eastAsia="IRNazanin"/>
          <w:color w:val="111111"/>
          <w:sz w:val="28"/>
          <w:sz w:val="28"/>
          <w:szCs w:val="28"/>
          <w:rtl w:val="true"/>
          <w:lang w:bidi="fa-IR"/>
        </w:rPr>
        <w:t>خدا صلی الله علیه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و گفتار او قرآن و مسجد خانه اش باشد خداوند در بهشت خانه ای برای او بنا می کند</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برقی به نقل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بجا آوردن نماز برای اقامه نماز بعدی در مسجد منتظر بماند مهمان خداوند است و قطعاً خداوند مهمان خود را احترام و تکریم می کند</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منتظر برپایی نماز بعدی،بماند زائر خداوند است و خداوند متعال یقیناً زائر خویش را اکرام خواهد نمود؛ آنچه را که از او درخواست کند، به وی عطا می کند</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در حدیثی می فرماید بهترین مکانهای زمین مساجد است محبوب ترین اهل مسجد نیز کسانی هستند که قبل از همه به مساجد داخل و پس از همه خارج می شوند</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بازار از بازارهای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آن وارد می شوند با مغفرت پذیرایی می شود و هدیه آنان بهشت است</w:t>
      </w:r>
      <w:r>
        <w:rPr>
          <w:rFonts w:eastAsia="IRNazanin" w:cs="IRNazanin"/>
          <w:color w:val="111111"/>
          <w:sz w:val="28"/>
          <w:szCs w:val="28"/>
          <w:rtl w:val="true"/>
          <w:lang w:bidi="fa-IR"/>
        </w:rPr>
        <w:t>.</w:t>
      </w:r>
      <w:r>
        <w:rPr>
          <w:rStyle w:val="FootnoteAnchor"/>
          <w:rtl w:val="true"/>
        </w:rPr>
        <w:footnoteReference w:id="139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این گونه روایات است که فقها فتوا داده اند به استحباب زود رفتن به مسجد و دیر خارج شدن از آن از آنجا که مسجد جایگاه ملائکه است، شایسته می باشد که مؤمنین اقامت خویش را در خانه خدا طولانی کنند؛ چرا که توقف در مساجد علاوه بر آن که خود عبادت و موجب ثواب است باعث توجه بیشتر انسان به حق تعالی است و زمینۀ عبادت را در افراد تقویت می کند</w:t>
      </w:r>
      <w:r>
        <w:rPr>
          <w:rFonts w:eastAsia="IRNazanin" w:cs="IRNazanin"/>
          <w:color w:val="111111"/>
          <w:sz w:val="28"/>
          <w:szCs w:val="28"/>
          <w:rtl w:val="true"/>
          <w:lang w:bidi="fa-IR"/>
        </w:rPr>
        <w:t xml:space="preserve">. </w:t>
      </w:r>
      <w:bookmarkStart w:id="1143" w:name="pg19115_195672"/>
    </w:p>
    <w:p>
      <w:pPr>
        <w:pStyle w:val="Heading4"/>
        <w:numPr>
          <w:ilvl w:val="3"/>
          <w:numId w:val="1"/>
        </w:numPr>
        <w:rPr/>
      </w:pPr>
      <w:bookmarkStart w:id="1144" w:name="__RefHeading___Toc15203068_1280447820"/>
      <w:bookmarkStart w:id="1145" w:name="_Toc445"/>
      <w:bookmarkEnd w:id="1143"/>
      <w:bookmarkEnd w:id="1144"/>
      <w:r>
        <w:rPr>
          <w:rtl w:val="true"/>
        </w:rPr>
        <w:t>مبحث دوم</w:t>
      </w:r>
      <w:r>
        <w:rPr>
          <w:rtl w:val="true"/>
        </w:rPr>
        <w:t xml:space="preserve">: </w:t>
      </w:r>
      <w:r>
        <w:rPr>
          <w:rtl w:val="true"/>
        </w:rPr>
        <w:t>رعایت زینت ظاهری و معنوی</w:t>
      </w:r>
      <w:bookmarkEnd w:id="1145"/>
    </w:p>
    <w:p>
      <w:pPr>
        <w:pStyle w:val="Heading5"/>
        <w:numPr>
          <w:ilvl w:val="4"/>
          <w:numId w:val="1"/>
        </w:numPr>
        <w:rPr/>
      </w:pPr>
      <w:bookmarkStart w:id="1146" w:name="__RefHeading___Toc15203070_1280447820"/>
      <w:bookmarkStart w:id="1147" w:name="_Toc446"/>
      <w:bookmarkEnd w:id="1146"/>
      <w:r>
        <w:rPr>
          <w:rtl w:val="true"/>
        </w:rPr>
        <w:t>الف</w:t>
      </w:r>
      <w:r>
        <w:rPr>
          <w:rtl w:val="true"/>
        </w:rPr>
        <w:t xml:space="preserve">) </w:t>
      </w:r>
      <w:r>
        <w:rPr>
          <w:rtl w:val="true"/>
        </w:rPr>
        <w:t>معنای زینت</w:t>
      </w:r>
      <w:bookmarkEnd w:id="1147"/>
    </w:p>
    <w:p>
      <w:pPr>
        <w:pStyle w:val="BookText"/>
        <w:rPr/>
      </w:pP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آن سه معنی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روحی و معنوی؛ مانند علم، اعتقادات حسنه، آداب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ascii="Amiri" w:hAnsi="Amiri" w:eastAsia="Amiri" w:cs="Amiri"/>
          <w:color w:val="111111"/>
          <w:sz w:val="28"/>
          <w:sz w:val="28"/>
          <w:szCs w:val="28"/>
          <w:rtl w:val="true"/>
          <w:lang w:bidi="ar-SA"/>
        </w:rPr>
        <w:t>حَبَّبَ إِلَيْكُمُ الْإِيمَانَ وَزَيَّنَهُ فِي قُلُوبِكُمْ</w:t>
      </w:r>
      <w:r>
        <w:rPr>
          <w:rStyle w:val="FootnoteAnchor"/>
          <w:rtl w:val="true"/>
        </w:rPr>
        <w:footnoteReference w:id="1396"/>
      </w:r>
      <w:r>
        <w:rPr>
          <w:rFonts w:ascii="IRNazanin" w:hAnsi="IRNazanin" w:eastAsia="IRNazanin"/>
          <w:color w:val="111111"/>
          <w:sz w:val="28"/>
          <w:sz w:val="28"/>
          <w:szCs w:val="28"/>
          <w:rtl w:val="true"/>
          <w:lang w:bidi="fa-IR"/>
        </w:rPr>
        <w:t>مراد از زینت در یان آیه، زینت روحی و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زینتی که خارج از روح و بدن انسان است مانند مال و جاه و مستغلات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زینت خارجی نامیده می شود و مراد از قول خدای سبحان </w:t>
      </w:r>
      <w:r>
        <w:rPr>
          <w:rFonts w:ascii="Amiri" w:hAnsi="Amiri" w:eastAsia="Amiri" w:cs="Amiri"/>
          <w:color w:val="111111"/>
          <w:sz w:val="28"/>
          <w:sz w:val="28"/>
          <w:szCs w:val="28"/>
          <w:rtl w:val="true"/>
          <w:lang w:bidi="ar-SA"/>
        </w:rPr>
        <w:t>مَنْ حَرَّمَ زِينَةَ اللَّهِ</w:t>
      </w:r>
      <w:r>
        <w:rPr>
          <w:rStyle w:val="FootnoteAnchor"/>
          <w:rtl w:val="true"/>
        </w:rPr>
        <w:footnoteReference w:id="1397"/>
      </w:r>
      <w:r>
        <w:rPr>
          <w:rFonts w:ascii="IRNazanin" w:hAnsi="IRNazanin" w:eastAsia="IRNazanin"/>
          <w:color w:val="111111"/>
          <w:sz w:val="28"/>
          <w:sz w:val="28"/>
          <w:szCs w:val="28"/>
          <w:rtl w:val="true"/>
          <w:lang w:bidi="fa-IR"/>
        </w:rPr>
        <w:t>زینت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ظاهری؛ مانند قدرت بدنی، بلندی قامت، زیبایی صورت و صوت زیبا و</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شیخ فخرالدین طریحی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آن چیزی است که انسان به وسیله آن خود را آراسته می کند، مانند زیورآلات، لباس زیبا و موی زیبا و</w:t>
      </w:r>
      <w:r>
        <w:rPr>
          <w:rFonts w:eastAsia="IRNazanin" w:cs="IRNazanin"/>
          <w:color w:val="111111"/>
          <w:sz w:val="28"/>
          <w:szCs w:val="28"/>
          <w:rtl w:val="true"/>
          <w:lang w:bidi="fa-IR"/>
        </w:rPr>
        <w:t xml:space="preserve">.... </w:t>
      </w:r>
      <w:r>
        <w:rPr>
          <w:rStyle w:val="FootnoteAnchor"/>
          <w:rtl w:val="true"/>
        </w:rPr>
        <w:footnoteReference w:id="1399"/>
      </w:r>
    </w:p>
    <w:p>
      <w:pPr>
        <w:pStyle w:val="Heading5"/>
        <w:numPr>
          <w:ilvl w:val="4"/>
          <w:numId w:val="1"/>
        </w:numPr>
        <w:rPr/>
      </w:pPr>
      <w:bookmarkStart w:id="1148" w:name="__RefHeading___Toc15203072_1280447820"/>
      <w:bookmarkStart w:id="1149" w:name="_Toc447"/>
      <w:bookmarkEnd w:id="1148"/>
      <w:r>
        <w:rPr>
          <w:rtl w:val="true"/>
        </w:rPr>
        <w:t>ب</w:t>
      </w:r>
      <w:r>
        <w:rPr>
          <w:rtl w:val="true"/>
        </w:rPr>
        <w:t xml:space="preserve">) </w:t>
      </w:r>
      <w:r>
        <w:rPr>
          <w:rtl w:val="true"/>
        </w:rPr>
        <w:t>زینت ظاهری</w:t>
      </w:r>
      <w:bookmarkEnd w:id="114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اشاره شد از آداب مسجد، زینت کردن به هنگام داخل شدن در </w:t>
      </w:r>
    </w:p>
    <w:p>
      <w:pPr>
        <w:pStyle w:val="BookText"/>
        <w:rPr/>
      </w:pPr>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شیخ طوسی در تبیان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آیه کریمه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خطاب می کند که ای فرزندان آدم، هنگام رفتن به مسجد زینت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می کند به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زیبا می باشد و هر آن چه که انسان به آن آراسته شود زینت نامیده می شود؛ مانند لباسهای زیبا و زیورآلات و</w:t>
      </w:r>
      <w:r>
        <w:rPr>
          <w:rFonts w:eastAsia="IRNazanin" w:cs="IRNazanin"/>
          <w:color w:val="111111"/>
          <w:sz w:val="28"/>
          <w:szCs w:val="28"/>
          <w:rtl w:val="true"/>
          <w:lang w:bidi="fa-IR"/>
        </w:rPr>
        <w:t xml:space="preserve">... .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شیخ ابوعلی طبرسی می گوید برخی بر این باورند که منظور از در برگرفتن زینت یعنی هنگام نمازهای واجب و نافله موهای خود را شانه کنید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آیه کریمه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هر نمازی موها را شانه کردن زینت است</w:t>
      </w:r>
      <w:r>
        <w:rPr>
          <w:rFonts w:eastAsia="IRNazanin" w:cs="IRNazanin"/>
          <w:color w:val="111111"/>
          <w:sz w:val="28"/>
          <w:szCs w:val="28"/>
          <w:rtl w:val="true"/>
          <w:lang w:bidi="fa-IR"/>
        </w:rPr>
        <w:t xml:space="preserve">. </w:t>
      </w:r>
      <w:r>
        <w:rPr>
          <w:rStyle w:val="FootnoteAnchor"/>
          <w:rtl w:val="true"/>
        </w:rPr>
        <w:footnoteReference w:id="140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مسعود عیاشی از خیثمه بن ابی خیثمه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هرگاه برای نماز آماده می شد، بهترین و زیباترین لباس های خود را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اول سؤال شد که یابن رسول الله چرا موقع نماز زیباترین و بهترین لباس را می پوشید؟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زیبا است زیبایی را دوست می دارد و من برای پروردگارم لباس زیبا می پوشم و خداوند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از این رو دوست دارم زیباترین لباسهایم </w:t>
      </w:r>
    </w:p>
    <w:p>
      <w:pPr>
        <w:pStyle w:val="BookText"/>
        <w:rPr/>
      </w:pPr>
      <w:r>
        <w:rPr>
          <w:rFonts w:ascii="IRNazanin" w:hAnsi="IRNazanin" w:eastAsia="IRNazanin"/>
          <w:color w:val="111111"/>
          <w:sz w:val="28"/>
          <w:sz w:val="28"/>
          <w:szCs w:val="28"/>
          <w:rtl w:val="true"/>
          <w:lang w:bidi="fa-IR"/>
        </w:rPr>
        <w:t>را بپوشم</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علامه طباطبایی در ذیل این آیه کریمه می گوید مقصود از همراه داشتن زینت در تمام مسجد آن است که انسان به هنگام حضور در مساجد، زینت های نیکو و پسندیده را همراه داشته باشند البته این کار طبعاً برای نماز و طواف و سایر کارهایی که جنبه یاد خدا دارد می باشد پس فرمان خداوند به زینت کردن در هنگام ورود به مساجد در حقیقت به معنای مطلوب بودن زینت برای نماز و دیگر عبادات مشابه می باشد و شامل زینت کردن در نمازهای عید و جماعات یومیه و سایر عبادات نیز می شود</w:t>
      </w:r>
      <w:r>
        <w:rPr>
          <w:rFonts w:eastAsia="IRNazanin" w:cs="IRNazanin"/>
          <w:color w:val="111111"/>
          <w:sz w:val="28"/>
          <w:szCs w:val="28"/>
          <w:rtl w:val="true"/>
          <w:lang w:bidi="fa-IR"/>
        </w:rPr>
        <w:t xml:space="preserve">. </w:t>
      </w:r>
      <w:r>
        <w:rPr>
          <w:rStyle w:val="FootnoteAnchor"/>
          <w:rtl w:val="true"/>
        </w:rPr>
        <w:footnoteReference w:id="140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خود را به وسیله آن آراسته می کند و شامل هر چیز زیبا و پسندیده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مباركه </w:t>
      </w:r>
      <w:r>
        <w:rPr>
          <w:rFonts w:ascii="Amiri" w:hAnsi="Amiri" w:eastAsia="Amiri" w:cs="Amiri"/>
          <w:color w:val="111111"/>
          <w:sz w:val="28"/>
          <w:sz w:val="28"/>
          <w:szCs w:val="28"/>
          <w:rtl w:val="true"/>
          <w:lang w:bidi="ar-SA"/>
        </w:rPr>
        <w:t>يَا بَنِي آدَمَ خُذُواْ زِينَتَكُمْ عِندَ كُلِّ مَسْجِدٍ</w:t>
      </w:r>
      <w:r>
        <w:rPr>
          <w:rStyle w:val="FootnoteAnchor"/>
          <w:rtl w:val="true"/>
        </w:rPr>
        <w:footnoteReference w:id="1407"/>
      </w:r>
      <w:r>
        <w:rPr>
          <w:rFonts w:ascii="IRNazanin" w:hAnsi="IRNazanin" w:eastAsia="IRNazanin"/>
          <w:color w:val="111111"/>
          <w:sz w:val="28"/>
          <w:sz w:val="28"/>
          <w:szCs w:val="28"/>
          <w:rtl w:val="true"/>
          <w:lang w:bidi="fa-IR"/>
        </w:rPr>
        <w:t xml:space="preserve">بیانگر آن است که خداوند متعال دوست دارد بندگان او آراسته و مرتب به خانه وی داخل شوند رعایت آداب بندگی نیز همین را می طلبد؛ همچنان که انسان به هنگام ملاقات با افرادی که از جهتی دارای برجستگی و امتیاز هستند سعی می کند تا آنجا که ممکن است با وضعیتی نیکو و پسندیده آنان را ملاقات،نماید در مقام ورود و جلوس به خانه رب الارباب و معبود خویش نیز </w:t>
      </w:r>
      <w:bookmarkStart w:id="1150" w:name="pg19115_195675"/>
    </w:p>
    <w:p>
      <w:pPr>
        <w:pStyle w:val="BookText"/>
        <w:rPr/>
      </w:pPr>
      <w:bookmarkEnd w:id="1150"/>
      <w:r>
        <w:rPr>
          <w:rFonts w:ascii="IRNazanin" w:hAnsi="IRNazanin" w:eastAsia="IRNazanin"/>
          <w:color w:val="111111"/>
          <w:sz w:val="28"/>
          <w:sz w:val="28"/>
          <w:szCs w:val="28"/>
          <w:rtl w:val="true"/>
          <w:lang w:bidi="fa-IR"/>
        </w:rPr>
        <w:t>بایستی به مراتب آراسته و مزین باشد</w:t>
      </w:r>
      <w:r>
        <w:rPr>
          <w:rFonts w:eastAsia="IRNazanin" w:cs="IRNazanin"/>
          <w:color w:val="111111"/>
          <w:sz w:val="28"/>
          <w:szCs w:val="28"/>
          <w:rtl w:val="true"/>
          <w:lang w:bidi="fa-IR"/>
        </w:rPr>
        <w:t>.</w:t>
      </w:r>
    </w:p>
    <w:p>
      <w:pPr>
        <w:pStyle w:val="Heading5"/>
        <w:numPr>
          <w:ilvl w:val="4"/>
          <w:numId w:val="1"/>
        </w:numPr>
        <w:rPr/>
      </w:pPr>
      <w:bookmarkStart w:id="1151" w:name="__RefHeading___Toc15203074_1280447820"/>
      <w:bookmarkStart w:id="1152" w:name="_Toc448"/>
      <w:bookmarkEnd w:id="1151"/>
      <w:r>
        <w:rPr>
          <w:rtl w:val="true"/>
        </w:rPr>
        <w:t>ج</w:t>
      </w:r>
      <w:r>
        <w:rPr>
          <w:rtl w:val="true"/>
        </w:rPr>
        <w:t xml:space="preserve">) </w:t>
      </w:r>
      <w:r>
        <w:rPr>
          <w:rtl w:val="true"/>
        </w:rPr>
        <w:t>زینت معنوی هنگام ورود به مسجد</w:t>
      </w:r>
      <w:bookmarkEnd w:id="1152"/>
    </w:p>
    <w:p>
      <w:pPr>
        <w:pStyle w:val="BookText"/>
        <w:rPr/>
      </w:pPr>
      <w:r>
        <w:rPr>
          <w:rFonts w:ascii="IRNazanin" w:hAnsi="IRNazanin" w:eastAsia="IRNazanin"/>
          <w:color w:val="111111"/>
          <w:sz w:val="28"/>
          <w:sz w:val="28"/>
          <w:szCs w:val="28"/>
          <w:rtl w:val="true"/>
          <w:lang w:bidi="fa-IR"/>
        </w:rPr>
        <w:t xml:space="preserve">تردیدی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آراسته بودن به امور ظاهری نیست و نمی توان گفت کسی که خود را به زیورهای گوناگون همچون لباس تمیز و نیکو، بوی خوش موهای شانه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اما با انگیزه ریا و خودنمایی یا اغراض فاسد به خانه حق تعالی رفت و آمد می کند به این آیه شریفه و فرمان الهی عمل نموده است؛ چرا که زینت کردن برای هر مجلس و محفلی بایستی همگون و متناسب با صاحب آن محفل باشد؛ و اگر مسجد خانه حق تعالی می باشد، صاحب آن نیز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امور ظاهری و مادی نیست، بلکه آراسته شدن به زیور فضائل معنوی مانند ایمان، اخلاص، یاد خدا، عبادت، اخلاق نیکو و ولایت اهل بیت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مهم زینت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به معانی به کار رفته است که مؤید این حقیقت می باشد که در زیر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زینت فقر و ناداری و شکر و سپاسگزاری زینت غنا و توانگری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که عفت و شکر هر دو از امور معنوی هستند ولی از آن دو به عنوان زینت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در روایت صحیحه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افتخار و زینت مؤمن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آخر شب، امید نداشتن به مال مردم و اعتقاد به ولایت امامی از آل محمد صلی الله علیه و آله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 صحیحه از نماز،شب مناعت طبع و اعتقاد به ولایت امام علیه السلام زینت دنیا و آخرت 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خدای بزرگ و مقتدر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وَالْبَنُونَ زِينَةُ الْحَيَاةِ الدُّنْيَا</w:t>
      </w:r>
      <w:r>
        <w:rPr>
          <w:rStyle w:val="FootnoteAnchor"/>
          <w:rtl w:val="true"/>
        </w:rPr>
        <w:footnoteReference w:id="1408"/>
      </w:r>
      <w:r>
        <w:rPr>
          <w:rFonts w:ascii="IRNazanin" w:hAnsi="IRNazanin" w:eastAsia="IRNazanin"/>
          <w:color w:val="111111"/>
          <w:sz w:val="28"/>
          <w:sz w:val="28"/>
          <w:szCs w:val="28"/>
          <w:rtl w:val="true"/>
          <w:lang w:bidi="fa-IR"/>
        </w:rPr>
        <w:t>مال و فرزندان زینت زندگی دنیا می باشد، ولی هشت رکعت نمازی که مؤمن در آخر شب به جای می آورد، زینت آخرت است</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حیاء زینت اسلام است</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و نیز پیامبر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در هر چیزی باشد آن را زیبا می کند</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همانا زینت نماز بلند کردن دست ها هنگام گفتن هر تکبیر می باشد</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و در بعض دعاها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زينى بالتقى؛ </w:t>
      </w:r>
      <w:r>
        <w:rPr>
          <w:rStyle w:val="FootnoteAnchor"/>
          <w:rtl w:val="true"/>
        </w:rPr>
        <w:footnoteReference w:id="1413"/>
      </w:r>
      <w:r>
        <w:rPr>
          <w:rFonts w:ascii="IRNazanin" w:hAnsi="IRNazanin" w:eastAsia="IRNazanin"/>
          <w:color w:val="111111"/>
          <w:sz w:val="28"/>
          <w:sz w:val="28"/>
          <w:szCs w:val="28"/>
          <w:rtl w:val="true"/>
          <w:lang w:bidi="fa-IR"/>
        </w:rPr>
        <w:t>بار خدایا مرا به سبب تقوا زیبایی و زینت کرامت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تخلع عنى زينة الایمان؛ </w:t>
      </w:r>
      <w:r>
        <w:rPr>
          <w:rStyle w:val="FootnoteAnchor"/>
          <w:rtl w:val="true"/>
        </w:rPr>
        <w:footnoteReference w:id="1414"/>
      </w:r>
      <w:r>
        <w:rPr>
          <w:rFonts w:ascii="IRNazanin" w:hAnsi="IRNazanin" w:eastAsia="IRNazanin"/>
          <w:color w:val="111111"/>
          <w:sz w:val="28"/>
          <w:sz w:val="28"/>
          <w:szCs w:val="28"/>
          <w:rtl w:val="true"/>
          <w:lang w:bidi="fa-IR"/>
        </w:rPr>
        <w:t>و زیبایی ایمان را از من خلع مکن</w:t>
      </w:r>
      <w:r>
        <w:rPr>
          <w:rFonts w:eastAsia="IRNazanin" w:cs="IRNazanin"/>
          <w:color w:val="111111"/>
          <w:sz w:val="28"/>
          <w:szCs w:val="28"/>
          <w:rtl w:val="true"/>
          <w:lang w:bidi="fa-IR"/>
        </w:rPr>
        <w:t xml:space="preserve">». </w:t>
      </w:r>
      <w:bookmarkStart w:id="1153" w:name="pg19115_195677"/>
    </w:p>
    <w:p>
      <w:pPr>
        <w:pStyle w:val="BookText"/>
        <w:rPr/>
      </w:pPr>
      <w:bookmarkEnd w:id="115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الْإِسْلَامَ زِينَةً</w:t>
      </w:r>
      <w:r>
        <w:rPr>
          <w:rStyle w:val="FootnoteAnchor"/>
          <w:rtl w:val="true"/>
        </w:rPr>
        <w:footnoteReference w:id="1415"/>
      </w:r>
      <w:r>
        <w:rPr>
          <w:rFonts w:ascii="IRNazanin" w:hAnsi="IRNazanin" w:eastAsia="IRNazanin"/>
          <w:color w:val="111111"/>
          <w:sz w:val="28"/>
          <w:sz w:val="28"/>
          <w:szCs w:val="28"/>
          <w:rtl w:val="true"/>
          <w:lang w:bidi="fa-IR"/>
        </w:rPr>
        <w:t>خداوند متعال اسلام را زینت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در ضمن خطبه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همانا حلم و بردباری زینت است</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بزرگان تواضع است</w:t>
      </w:r>
      <w:r>
        <w:rPr>
          <w:rFonts w:eastAsia="IRNazanin" w:cs="IRNazanin"/>
          <w:color w:val="111111"/>
          <w:sz w:val="28"/>
          <w:szCs w:val="28"/>
          <w:rtl w:val="true"/>
          <w:lang w:bidi="fa-IR"/>
        </w:rPr>
        <w:t xml:space="preserve">. </w:t>
      </w:r>
      <w:r>
        <w:rPr>
          <w:rStyle w:val="FootnoteAnchor"/>
          <w:rtl w:val="true"/>
        </w:rPr>
        <w:footnoteReference w:id="1417"/>
      </w:r>
    </w:p>
    <w:p>
      <w:pPr>
        <w:pStyle w:val="Heading5"/>
        <w:numPr>
          <w:ilvl w:val="4"/>
          <w:numId w:val="1"/>
        </w:numPr>
        <w:rPr/>
      </w:pPr>
      <w:bookmarkStart w:id="1154" w:name="__RefHeading___Toc15203076_1280447820"/>
      <w:bookmarkStart w:id="1155" w:name="_Toc449"/>
      <w:bookmarkEnd w:id="1154"/>
      <w:r>
        <w:rPr>
          <w:rtl w:val="true"/>
        </w:rPr>
        <w:t>د</w:t>
      </w:r>
      <w:r>
        <w:rPr>
          <w:rtl w:val="true"/>
        </w:rPr>
        <w:t xml:space="preserve">) </w:t>
      </w:r>
      <w:r>
        <w:rPr>
          <w:rtl w:val="true"/>
        </w:rPr>
        <w:t>مفاد روایات</w:t>
      </w:r>
      <w:bookmarkEnd w:id="1155"/>
    </w:p>
    <w:p>
      <w:pPr>
        <w:pStyle w:val="BookText"/>
        <w:rPr/>
      </w:pPr>
      <w:r>
        <w:rPr>
          <w:rFonts w:ascii="IRNazanin" w:hAnsi="IRNazanin" w:eastAsia="IRNazanin"/>
          <w:color w:val="111111"/>
          <w:sz w:val="28"/>
          <w:sz w:val="28"/>
          <w:szCs w:val="28"/>
          <w:rtl w:val="true"/>
          <w:lang w:bidi="fa-IR"/>
        </w:rPr>
        <w:t>خلاصه مفاد روایات این است که در لسان روایات متعدد مفاهیم معنوی مانند عفاف، سپاسگزاری، حلم، حیا، تواضع، مناعت طبع، ذکر، نافله شب، اعتقاد به اسلام و ولایت اهل بیت علیهم السلام زیبایی و زینت برای انسان اعتبار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با استناد به همین گونه روایات ممکن است گفته شود یکی از مستحبات همراه داشتن زینت در تمام مساجد است؛ یعنی انسان به هنگام حضور در مسجد زینتهای نیکو و پسندیده چه زینت ظاهری یا زینت باطنی، همراه داشته باشد، هم ظاهر آراسته و هم باطن آراسته باشد از این رو ائمه علیهم السلام به آراسته شدن به زینت فضائل معنوی در هنگام ورود به مسجد فرمان داده اند، شیخ صدوق در خصال از امیرالمؤمنین علیه السلام روایت می کند که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مقتدر به عیسی بن مریم وحی کرد که به بنی اسرائیل بگو جز با دلهای پاکیزه و دیدگان خاشع و دستان پاک به هیچ یک از خانه های من وارد نشوید</w:t>
      </w:r>
      <w:r>
        <w:rPr>
          <w:rFonts w:eastAsia="IRNazanin" w:cs="IRNazanin"/>
          <w:color w:val="111111"/>
          <w:sz w:val="28"/>
          <w:szCs w:val="28"/>
          <w:rtl w:val="true"/>
          <w:lang w:bidi="fa-IR"/>
        </w:rPr>
        <w:t xml:space="preserve">... . </w:t>
      </w:r>
      <w:r>
        <w:rPr>
          <w:rStyle w:val="FootnoteAnchor"/>
          <w:rtl w:val="true"/>
        </w:rPr>
        <w:footnoteReference w:id="141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اعتقادات باطل و اخلاق رذیله پاک باشد</w:t>
      </w:r>
      <w:r>
        <w:rPr>
          <w:rFonts w:eastAsia="IRNazanin" w:cs="IRNazanin"/>
          <w:color w:val="111111"/>
          <w:sz w:val="28"/>
          <w:szCs w:val="28"/>
          <w:rtl w:val="true"/>
          <w:lang w:bidi="fa-IR"/>
        </w:rPr>
        <w:t xml:space="preserve">. </w:t>
      </w:r>
      <w:r>
        <w:rPr>
          <w:rStyle w:val="FootnoteAnchor"/>
          <w:rtl w:val="true"/>
        </w:rPr>
        <w:footnoteReference w:id="1419"/>
      </w:r>
      <w:bookmarkStart w:id="1156" w:name="pg19115_195679"/>
    </w:p>
    <w:p>
      <w:pPr>
        <w:pStyle w:val="Heading3"/>
        <w:numPr>
          <w:ilvl w:val="2"/>
          <w:numId w:val="1"/>
        </w:numPr>
        <w:rPr/>
      </w:pPr>
      <w:bookmarkStart w:id="1157" w:name="__RefHeading___Toc15203078_1280447820"/>
      <w:bookmarkStart w:id="1158" w:name="_Toc450"/>
      <w:bookmarkEnd w:id="1156"/>
      <w:bookmarkEnd w:id="1157"/>
      <w:r>
        <w:rPr>
          <w:rtl w:val="true"/>
        </w:rPr>
        <w:t>فصل دوم</w:t>
      </w:r>
      <w:r>
        <w:rPr>
          <w:rtl w:val="true"/>
        </w:rPr>
        <w:t xml:space="preserve">: </w:t>
      </w:r>
      <w:r>
        <w:rPr>
          <w:rtl w:val="true"/>
        </w:rPr>
        <w:t>وجوب تطهیر مسجد</w:t>
      </w:r>
      <w:bookmarkEnd w:id="1158"/>
    </w:p>
    <w:p>
      <w:pPr>
        <w:pStyle w:val="Heading4"/>
        <w:numPr>
          <w:ilvl w:val="3"/>
          <w:numId w:val="1"/>
        </w:numPr>
        <w:rPr/>
      </w:pPr>
      <w:bookmarkStart w:id="1159" w:name="__RefHeading___Toc15203080_1280447820"/>
      <w:bookmarkStart w:id="1160" w:name="_Toc451"/>
      <w:bookmarkEnd w:id="1159"/>
      <w:r>
        <w:rPr>
          <w:rtl w:val="true"/>
        </w:rPr>
        <w:t>اشاره</w:t>
      </w:r>
      <w:bookmarkEnd w:id="1160"/>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نجاست از مسجد و تطهیر آن</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تطهیر بر تخریب و حفاری مسجد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تطهیر بر بذل مال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1" w:name="pg19115_195681"/>
      <w:bookmarkStart w:id="1162" w:name="pg19115_195681"/>
      <w:bookmarkEnd w:id="1162"/>
    </w:p>
    <w:p>
      <w:pPr>
        <w:pStyle w:val="Heading4"/>
        <w:numPr>
          <w:ilvl w:val="3"/>
          <w:numId w:val="1"/>
        </w:numPr>
        <w:rPr/>
      </w:pPr>
      <w:bookmarkStart w:id="1163" w:name="pg19115_195681"/>
      <w:bookmarkStart w:id="1164" w:name="__RefHeading___Toc15203082_1280447820"/>
      <w:bookmarkStart w:id="1165" w:name="_Toc452"/>
      <w:bookmarkEnd w:id="1163"/>
      <w:bookmarkEnd w:id="1164"/>
      <w:r>
        <w:rPr>
          <w:rtl w:val="true"/>
        </w:rPr>
        <w:t>مبحث اول</w:t>
      </w:r>
      <w:r>
        <w:rPr>
          <w:rtl w:val="true"/>
        </w:rPr>
        <w:t xml:space="preserve">: </w:t>
      </w:r>
      <w:r>
        <w:rPr>
          <w:rtl w:val="true"/>
        </w:rPr>
        <w:t>وجوب ازاله نجاست از مسجد و تطهیر آن</w:t>
      </w:r>
      <w:bookmarkEnd w:id="1165"/>
    </w:p>
    <w:p>
      <w:pPr>
        <w:pStyle w:val="Heading5"/>
        <w:numPr>
          <w:ilvl w:val="4"/>
          <w:numId w:val="1"/>
        </w:numPr>
        <w:rPr/>
      </w:pPr>
      <w:bookmarkStart w:id="1166" w:name="__RefHeading___Toc15203084_1280447820"/>
      <w:bookmarkStart w:id="1167" w:name="_Toc453"/>
      <w:bookmarkEnd w:id="1166"/>
      <w:r>
        <w:rPr>
          <w:rtl w:val="true"/>
        </w:rPr>
        <w:t>گفتار اول</w:t>
      </w:r>
      <w:r>
        <w:rPr>
          <w:rtl w:val="true"/>
        </w:rPr>
        <w:t xml:space="preserve">: </w:t>
      </w:r>
      <w:r>
        <w:rPr>
          <w:rtl w:val="true"/>
        </w:rPr>
        <w:t>وجوب کفایی تطهیر و ازاله نجاست</w:t>
      </w:r>
      <w:bookmarkEnd w:id="1167"/>
    </w:p>
    <w:p>
      <w:pPr>
        <w:pStyle w:val="Heading6"/>
        <w:numPr>
          <w:ilvl w:val="5"/>
          <w:numId w:val="1"/>
        </w:numPr>
        <w:rPr/>
      </w:pPr>
      <w:bookmarkStart w:id="1168" w:name="__RefHeading___Toc15203086_1280447820"/>
      <w:bookmarkStart w:id="1169" w:name="_Toc454"/>
      <w:bookmarkEnd w:id="1168"/>
      <w:r>
        <w:rPr>
          <w:rtl w:val="true"/>
        </w:rPr>
        <w:t>اشاره</w:t>
      </w:r>
      <w:bookmarkEnd w:id="1169"/>
    </w:p>
    <w:p>
      <w:pPr>
        <w:pStyle w:val="BookText"/>
        <w:rPr/>
      </w:pPr>
      <w:r>
        <w:rPr>
          <w:rFonts w:ascii="IRNazanin" w:hAnsi="IRNazanin" w:eastAsia="IRNazanin"/>
          <w:color w:val="111111"/>
          <w:sz w:val="28"/>
          <w:sz w:val="28"/>
          <w:szCs w:val="28"/>
          <w:rtl w:val="true"/>
          <w:lang w:bidi="fa-IR"/>
        </w:rPr>
        <w:t xml:space="preserve">از جمله احکام مساجد آن است که حرام است انسان جایی از مسجد را به نجاست آلوده کند؛ به جهت این که مسجد خانه خدا در زمین و محل عبادت و تقرب انسان به خداوند متعال است </w:t>
      </w:r>
      <w:r>
        <w:rPr>
          <w:rStyle w:val="FootnoteAnchor"/>
          <w:rtl w:val="true"/>
        </w:rPr>
        <w:footnoteReference w:id="1420"/>
      </w:r>
      <w:r>
        <w:rPr>
          <w:rFonts w:ascii="IRNazanin" w:hAnsi="IRNazanin" w:eastAsia="IRNazanin"/>
          <w:color w:val="111111"/>
          <w:sz w:val="28"/>
          <w:sz w:val="28"/>
          <w:szCs w:val="28"/>
          <w:rtl w:val="true"/>
          <w:lang w:bidi="fa-IR"/>
        </w:rPr>
        <w:t>و البته که چنین مکان مقدسی بایستی از کلیه آلودگی های ظاهری و باطنی پاک و منزه باشد و بدین جهت است که سید یزدی در عروه می نویسد نجس کردن مسجد حرام و در مقابل برطرف کردن نجاست از آن واجب فوری است که در سریعترین وقت ممکن صورت گیرد</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این وجوب به نحو واجب کفایی است؛ بدین معنی که همه وظیفه دارند مسجد را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شخصی اقدام نمود تکلیف از دیگران نیز ساقط می شود</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برطرف کردن نجاست از مساجد بر همه واجب است و این امر به کسی که آن را آلوده و نجس کرده و یا سبب این عمل شده است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در ذکری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و برطرف کردن و بیرون بردن نجاست از مسجد بر کسی که نجاست را داخل مسجد برده متعیناً بر او واجب است</w:t>
      </w:r>
      <w:r>
        <w:rPr>
          <w:rFonts w:eastAsia="IRNazanin" w:cs="IRNazanin"/>
          <w:color w:val="111111"/>
          <w:sz w:val="28"/>
          <w:szCs w:val="28"/>
          <w:rtl w:val="true"/>
          <w:lang w:bidi="fa-IR"/>
        </w:rPr>
        <w:t xml:space="preserve">. </w:t>
      </w:r>
      <w:r>
        <w:rPr>
          <w:rStyle w:val="FootnoteAnchor"/>
          <w:rtl w:val="true"/>
        </w:rPr>
        <w:footnoteReference w:id="142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بروجردی معتقد است علاوه بر وجوب کفایی که بر همه واجب است از </w:t>
      </w:r>
    </w:p>
    <w:p>
      <w:pPr>
        <w:pStyle w:val="BookText"/>
        <w:rPr/>
      </w:pPr>
      <w:r>
        <w:rPr>
          <w:rFonts w:ascii="IRNazanin" w:hAnsi="IRNazanin" w:eastAsia="IRNazanin"/>
          <w:color w:val="111111"/>
          <w:sz w:val="28"/>
          <w:sz w:val="28"/>
          <w:szCs w:val="28"/>
          <w:rtl w:val="true"/>
          <w:lang w:bidi="fa-IR"/>
        </w:rPr>
        <w:t>یک جهت این تکلیف یک نوع اختصاص به او دارد؛ زیرا بقای نجاست در مسجد بقای عمل محرم اوست؛ چنان که این عمل حدوثاً بر او حرام بود، بقائاً نیز حرام است، لذا برطرف کردن نجاست بر او واجب است و متولی مسجد او را ملزم به این کار کند و هزینه این کار هم بر عهده اوست</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شیخ طوسی در خلاف می نویسد مابین فقیهان مذهب اهل بیت علیهم السلام هیچ اختلافی نیست در این که واجب است مساجد منزه و پاکیزه باشند و از نجاسات دور نگه داشته شوند</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ابن ادریس حلی معتقد است که میان تمامی امت اسلامی اختلافی نیست در این که واجب است مساجد از نجاسات دور نگه داشته شوند</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مولی وحید بهبهانی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و ابن ادریس در این مسئله نقل اجماع حکایت شده است</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محقق قمی در غنائم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ابن ادریس ادعای اجماع کرده اند</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محدث بحرانی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ازاله نجاست از مساجد و تصریح می کند که جمعی از اصحاب بر آن اجماع کرده اند</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شیخ حسن کاشف الغطاء نیز به اجماع تمسک کرده است</w:t>
      </w:r>
      <w:r>
        <w:rPr>
          <w:rFonts w:eastAsia="IRNazanin" w:cs="IRNazanin"/>
          <w:color w:val="111111"/>
          <w:sz w:val="28"/>
          <w:szCs w:val="28"/>
          <w:rtl w:val="true"/>
          <w:lang w:bidi="fa-IR"/>
        </w:rPr>
        <w:t xml:space="preserve">. </w:t>
      </w:r>
      <w:r>
        <w:rPr>
          <w:rStyle w:val="FootnoteAnchor"/>
          <w:rtl w:val="true"/>
        </w:rPr>
        <w:footnoteReference w:id="143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یزدی در عروه می نویسد برطرف کردن نجاست از مساجد واجب است نسبت به این حکم مابين داخل مسجد و سقف و پشت بام و طرف داخل دیوار بلکه بنا بر احتیاط طرف خارج آن نیز فرقی نیست</w:t>
      </w:r>
      <w:r>
        <w:rPr>
          <w:rFonts w:eastAsia="IRNazanin" w:cs="IRNazanin"/>
          <w:color w:val="111111"/>
          <w:sz w:val="28"/>
          <w:szCs w:val="28"/>
          <w:rtl w:val="true"/>
          <w:lang w:bidi="fa-IR"/>
        </w:rPr>
        <w:t xml:space="preserve">. </w:t>
      </w:r>
      <w:r>
        <w:rPr>
          <w:rStyle w:val="FootnoteAnchor"/>
          <w:rtl w:val="true"/>
        </w:rPr>
        <w:footnoteReference w:id="1431"/>
      </w:r>
      <w:bookmarkStart w:id="1170" w:name="pg19115_195683"/>
    </w:p>
    <w:p>
      <w:pPr>
        <w:pStyle w:val="BookText"/>
        <w:rPr/>
      </w:pPr>
      <w:bookmarkEnd w:id="1170"/>
      <w:r>
        <w:rPr>
          <w:rFonts w:ascii="IRNazanin" w:hAnsi="IRNazanin" w:eastAsia="IRNazanin"/>
          <w:color w:val="111111"/>
          <w:sz w:val="28"/>
          <w:sz w:val="28"/>
          <w:szCs w:val="28"/>
          <w:rtl w:val="true"/>
          <w:lang w:bidi="fa-IR"/>
        </w:rPr>
        <w:t>در توضیح المسائل مراجع آمده است نجس کردن زمین، سقف، بام و طرف داخل دیوار مسجد حرام است و هر کس بفهمد که مسجد نجس شده است باید فوراً نجاست آن را برطرف کند احتیاط واجب آن است که طرف بیرون دیوار مسجد را هم نجس نکنند و اگر نجس شود نجاستش را برطرف،نمایند، مگر آن که واقف آن را جزء مسجد قرار نداده باشد</w:t>
      </w:r>
      <w:r>
        <w:rPr>
          <w:rFonts w:eastAsia="IRNazanin" w:cs="IRNazanin"/>
          <w:color w:val="111111"/>
          <w:sz w:val="28"/>
          <w:szCs w:val="28"/>
          <w:rtl w:val="true"/>
          <w:lang w:bidi="fa-IR"/>
        </w:rPr>
        <w:t xml:space="preserve">. </w:t>
      </w:r>
      <w:r>
        <w:rPr>
          <w:rStyle w:val="FootnoteAnchor"/>
          <w:rtl w:val="true"/>
        </w:rPr>
        <w:footnoteReference w:id="1432"/>
      </w:r>
    </w:p>
    <w:p>
      <w:pPr>
        <w:pStyle w:val="Heading6"/>
        <w:numPr>
          <w:ilvl w:val="5"/>
          <w:numId w:val="1"/>
        </w:numPr>
        <w:rPr/>
      </w:pPr>
      <w:bookmarkStart w:id="1171" w:name="__RefHeading___Toc15203088_1280447820"/>
      <w:bookmarkStart w:id="1172" w:name="_Toc455"/>
      <w:bookmarkEnd w:id="1171"/>
      <w:r>
        <w:rPr>
          <w:rtl w:val="true"/>
        </w:rPr>
        <w:t>ادله وجوب تطهير مساجد</w:t>
      </w:r>
      <w:bookmarkEnd w:id="1172"/>
    </w:p>
    <w:p>
      <w:pPr>
        <w:pStyle w:val="BookText"/>
        <w:rPr/>
      </w:pPr>
      <w:r>
        <w:rPr>
          <w:rFonts w:ascii="IRNazanin" w:hAnsi="IRNazanin" w:eastAsia="IRNazanin"/>
          <w:color w:val="111111"/>
          <w:sz w:val="28"/>
          <w:sz w:val="28"/>
          <w:szCs w:val="28"/>
          <w:rtl w:val="true"/>
          <w:lang w:bidi="fa-IR"/>
        </w:rPr>
        <w:t>فقیهان امامیه برای اثبات وجوب تطهیر مساجد و برطرف کردن نجاست از آنها به چند دلیل استناد کرده اند که در زیر به مهمترین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نجاست اصطلاحی ظهور دارد خداوند متعال علت عدم قرب مشرکان به مسجد الحرام نجاست آنان قرار داده است چنان که این معنی از 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 بین نجاست شرک و نجاست غیر شرک فرقی وجود ندارد و همچنین بین مسجدالحرام و غیر آن هم فرقی نیست</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آیه مباركه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آیه مباركة </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w:t>
      </w:r>
      <w:r>
        <w:rPr>
          <w:rStyle w:val="FootnoteAnchor"/>
          <w:rtl w:val="true"/>
        </w:rPr>
        <w:footnoteReference w:id="143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ابراهیم و اسماعیل امر کردیم که خانه ام را برای طواف کنندگان اعتکاف کنندگان رکوع کنندگان و سجده کنندگان پاک و پاکیزه بدارید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این دو آیه مبارکه بر وجوب ازاله نجاست از مسجدالحرام دلالت می کند؛ زیرا تطهیر به معنای ازاله نجاست می باشد چنان که صیغه امر ظهور در وجوب دارد و بین مسجدالحرام و سایر مساجد فرقی نیست شیخ طوسی در تبیان از جبائی نقل می کند که به ابرهیم و اسماعیل امر شد که خانه خدا را از کثافات و خونی که مشرکان کنار خانه کعبه می گذاشتند پاکیزه کنند</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طهارت در آیه مبارکه، طهارت اصطلاحی نباشد بلکه طهارت از بتها باشد این امر پیش از شریعت اسلام بوده است</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محقق قمی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این امر را برای ما حکایت می کند پس ظهور آیه حقیقت شرعی و معنای اصطلاحی می باشد</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شیخ حر عاملی در وسائل الشيعه به عنوان روی جماعه من اصحابنا عن النبي صلی الله علیه و آله آورده است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جَنِّبُوا مَسَاجِدَكُمُ النَّجَاسَةَ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مساجدتان را از نجاسات دور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از دلالت آیات ذکر شده ظاهرتر و واضح است، اما ضعف سند آن به عمل اصحاب منجبر است</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ابو حمزه ثمالی از امام باقر علیه السلام که در ضمن حدیث طولانی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و حی نمود که مسجد خود را پاکیزه و طاهر گردان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173" w:name="pg19115_195685"/>
    </w:p>
    <w:p>
      <w:pPr>
        <w:pStyle w:val="BookText"/>
        <w:rPr/>
      </w:pPr>
      <w:bookmarkEnd w:id="1173"/>
      <w:r>
        <w:rPr>
          <w:rFonts w:ascii="IRNazanin" w:hAnsi="IRNazanin" w:eastAsia="IRNazanin"/>
          <w:color w:val="111111"/>
          <w:sz w:val="28"/>
          <w:sz w:val="28"/>
          <w:szCs w:val="28"/>
          <w:rtl w:val="true"/>
          <w:lang w:bidi="fa-IR"/>
        </w:rPr>
        <w:t>محقق خویی برای اثبات وجوب ازاله نجاست از مساجد به این نحوه استدلال می کند که وجوب ازاله و برطرف کردن نجاست از مسجد و حرمت تنجیس آن دو حکم،قطعی و دو امر ارتکازی در اذهان متشرعه می باشند هر انسان دینداری آن را بدیهی و روشن می داند؛ زیرا مساجد خانه های خدا می باشند که برای عبادت آماده شده اند و به جهت عظمت و اهمیتی که دارند با نجاست و آلودگی ها قابل جمع نیستند</w:t>
      </w:r>
      <w:r>
        <w:rPr>
          <w:rFonts w:eastAsia="IRNazanin" w:cs="IRNazanin"/>
          <w:color w:val="111111"/>
          <w:sz w:val="28"/>
          <w:szCs w:val="28"/>
          <w:rtl w:val="true"/>
          <w:lang w:bidi="fa-IR"/>
        </w:rPr>
        <w:t xml:space="preserve">. </w:t>
      </w:r>
      <w:r>
        <w:rPr>
          <w:rStyle w:val="FootnoteAnchor"/>
          <w:rtl w:val="true"/>
        </w:rPr>
        <w:footnoteReference w:id="14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محقق خویی معتقد است که اجماع قطعی و یقینی در مسئله منعقد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همچنین است اجماعات که پیشتر از 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شهید 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شد محقق قمی در غنائم الایام نیز از شیخ و ابن ادریس این اجماع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محدث بحرانی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وحید بهبهانی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اجماع را از جمع فقها و اصحاب امامیه نقل می کنند</w:t>
      </w:r>
      <w:r>
        <w:rPr>
          <w:rFonts w:eastAsia="IRNazanin" w:cs="IRNazanin"/>
          <w:color w:val="111111"/>
          <w:sz w:val="28"/>
          <w:szCs w:val="28"/>
          <w:rtl w:val="true"/>
          <w:lang w:bidi="fa-IR"/>
        </w:rPr>
        <w:t>.</w:t>
      </w:r>
    </w:p>
    <w:p>
      <w:pPr>
        <w:pStyle w:val="Heading5"/>
        <w:numPr>
          <w:ilvl w:val="4"/>
          <w:numId w:val="1"/>
        </w:numPr>
        <w:rPr/>
      </w:pPr>
      <w:bookmarkStart w:id="1174" w:name="__RefHeading___Toc15203090_1280447820"/>
      <w:bookmarkStart w:id="1175" w:name="_Toc456"/>
      <w:bookmarkEnd w:id="1174"/>
      <w:r>
        <w:rPr>
          <w:rtl w:val="true"/>
        </w:rPr>
        <w:t>گفتار دوم</w:t>
      </w:r>
      <w:r>
        <w:rPr>
          <w:rtl w:val="true"/>
        </w:rPr>
        <w:t xml:space="preserve">: </w:t>
      </w:r>
      <w:r>
        <w:rPr>
          <w:rtl w:val="true"/>
        </w:rPr>
        <w:t>وجوب فوری ازاله نجاست</w:t>
      </w:r>
      <w:bookmarkEnd w:id="1175"/>
    </w:p>
    <w:p>
      <w:pPr>
        <w:pStyle w:val="Heading6"/>
        <w:numPr>
          <w:ilvl w:val="5"/>
          <w:numId w:val="1"/>
        </w:numPr>
        <w:rPr/>
      </w:pPr>
      <w:bookmarkStart w:id="1176" w:name="__RefHeading___Toc15203092_1280447820"/>
      <w:bookmarkStart w:id="1177" w:name="_Toc457"/>
      <w:bookmarkEnd w:id="1176"/>
      <w:r>
        <w:rPr>
          <w:rtl w:val="true"/>
        </w:rPr>
        <w:t>اشاره</w:t>
      </w:r>
      <w:bookmarkEnd w:id="117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ازاله و برطرف کردن نجاست از مسجد واجب فوری است یعنی در سریع ترین فرصت باید انجام شود البته تأخیر به اندازه ای که از نظر عرف با فوری بودن منافات ندارد؛ جایز است</w:t>
      </w:r>
      <w:r>
        <w:rPr>
          <w:rFonts w:eastAsia="IRNazanin" w:cs="IRNazanin"/>
          <w:color w:val="111111"/>
          <w:sz w:val="28"/>
          <w:szCs w:val="28"/>
          <w:rtl w:val="true"/>
          <w:lang w:bidi="fa-IR"/>
        </w:rPr>
        <w:t xml:space="preserve">. </w:t>
      </w:r>
      <w:r>
        <w:rPr>
          <w:rStyle w:val="FootnoteAnchor"/>
          <w:rtl w:val="true"/>
        </w:rPr>
        <w:footnoteReference w:id="1442"/>
      </w:r>
      <w:bookmarkStart w:id="1178" w:name="pg19115_195686"/>
    </w:p>
    <w:p>
      <w:pPr>
        <w:pStyle w:val="Heading6"/>
        <w:numPr>
          <w:ilvl w:val="5"/>
          <w:numId w:val="1"/>
        </w:numPr>
        <w:rPr/>
      </w:pPr>
      <w:bookmarkStart w:id="1179" w:name="__RefHeading___Toc15203094_1280447820"/>
      <w:bookmarkStart w:id="1180" w:name="_Toc458"/>
      <w:bookmarkEnd w:id="1178"/>
      <w:bookmarkEnd w:id="1179"/>
      <w:r>
        <w:rPr>
          <w:rtl w:val="true"/>
        </w:rPr>
        <w:t>دليل وجوب فوری ازاله</w:t>
      </w:r>
      <w:bookmarkEnd w:id="1180"/>
    </w:p>
    <w:p>
      <w:pPr>
        <w:pStyle w:val="BookText"/>
        <w:rPr/>
      </w:pPr>
      <w:r>
        <w:rPr>
          <w:rFonts w:ascii="IRNazanin" w:hAnsi="IRNazanin" w:eastAsia="IRNazanin"/>
          <w:color w:val="111111"/>
          <w:sz w:val="28"/>
          <w:sz w:val="28"/>
          <w:szCs w:val="28"/>
          <w:rtl w:val="true"/>
          <w:lang w:bidi="fa-IR"/>
        </w:rPr>
        <w:t>محقق خویی برای اثبات وجوب فوری ازاله نجاست از مساجد این گونه استدلال می کند که مساجد دارای عظمت و شرافت و اهمیت می باشند؛ چون مساجد خانه های خدا و برای عبادت او ساخته شده اند بدین جهت به هیچ وجه با آلودگی و نجاست مناسبت ندارند از این رو اگر ازاله نجاست فوراً انجام نشود و مبادرت به عمل نیاید این امر برخلاف احترام و تعظیم مساجد است</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محقق حکیم در مستمسک برای وجوب فوری ازاله این گونه دلیل اقامه و بیان می کند که وجوب ازاله فوری است و تأخیر انداختن آن جایز نیست؛ چنان که بسیاری از فقهای امامیه بر آن تصریح کرده اند بلکه سید محمد عاملی </w:t>
      </w:r>
      <w:r>
        <w:rPr>
          <w:rStyle w:val="FootnoteAnchor"/>
          <w:rtl w:val="true"/>
        </w:rPr>
        <w:footnoteReference w:id="1444"/>
      </w:r>
      <w:r>
        <w:rPr>
          <w:rFonts w:ascii="IRNazanin" w:hAnsi="IRNazanin" w:eastAsia="IRNazanin"/>
          <w:color w:val="111111"/>
          <w:sz w:val="28"/>
          <w:sz w:val="28"/>
          <w:szCs w:val="28"/>
          <w:rtl w:val="true"/>
          <w:lang w:bidi="fa-IR"/>
        </w:rPr>
        <w:t>و 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خراسانی </w:t>
      </w:r>
      <w:r>
        <w:rPr>
          <w:rStyle w:val="FootnoteAnchor"/>
          <w:rtl w:val="true"/>
        </w:rPr>
        <w:footnoteReference w:id="1445"/>
      </w:r>
      <w:r>
        <w:rPr>
          <w:rFonts w:ascii="IRNazanin" w:hAnsi="IRNazanin" w:eastAsia="IRNazanin"/>
          <w:color w:val="111111"/>
          <w:sz w:val="28"/>
          <w:sz w:val="28"/>
          <w:szCs w:val="28"/>
          <w:rtl w:val="true"/>
          <w:lang w:bidi="fa-IR"/>
        </w:rPr>
        <w:t>آن را به اصحاب نسبت داده اند که مشعر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اجماعی،است و ظاهر نهی که در روایات وارد شده است نیز اقتضای فوریت را دارد بلکه ظاهر اجماعاتی که ادعا شده است دال بر وجوب فوری ازاله می باشد، زیرا که منظور از وجوب ازاله در روایات و معاقد اجماعات این نیست که ازاله و برطرف کردن نجاست واجب است ولو این که بعد از مدتی و هر وقتی که شد انجام شود، بلکه به قرینه مناسبت احترام و عظمت،مساجد ازاله و برطرف کردن نجاست واجب فوری است که در اسرع وقت انجام شود</w:t>
      </w:r>
      <w:r>
        <w:rPr>
          <w:rFonts w:eastAsia="IRNazanin" w:cs="IRNazanin"/>
          <w:color w:val="111111"/>
          <w:sz w:val="28"/>
          <w:szCs w:val="28"/>
          <w:rtl w:val="true"/>
          <w:lang w:bidi="fa-IR"/>
        </w:rPr>
        <w:t xml:space="preserve">. </w:t>
      </w:r>
      <w:r>
        <w:rPr>
          <w:rStyle w:val="FootnoteAnchor"/>
          <w:rtl w:val="true"/>
        </w:rPr>
        <w:footnoteReference w:id="1446"/>
      </w:r>
    </w:p>
    <w:p>
      <w:pPr>
        <w:pStyle w:val="Heading5"/>
        <w:numPr>
          <w:ilvl w:val="4"/>
          <w:numId w:val="1"/>
        </w:numPr>
        <w:rPr/>
      </w:pPr>
      <w:bookmarkStart w:id="1181" w:name="__RefHeading___Toc15203096_1280447820"/>
      <w:bookmarkStart w:id="1182" w:name="_Toc459"/>
      <w:bookmarkEnd w:id="1181"/>
      <w:r>
        <w:rPr>
          <w:rtl w:val="true"/>
        </w:rPr>
        <w:t>گفتار سوم</w:t>
      </w:r>
      <w:r>
        <w:rPr>
          <w:rtl w:val="true"/>
        </w:rPr>
        <w:t xml:space="preserve">: </w:t>
      </w:r>
      <w:r>
        <w:rPr>
          <w:rtl w:val="true"/>
        </w:rPr>
        <w:t>وجوب تقدیم ازاله بر نماز</w:t>
      </w:r>
      <w:bookmarkEnd w:id="118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شخصی نجاستی را در مسجد مشاهده کند از سویی نیز وقت نماز فرارسیده است آیا در این فرض باید به ازاله نجاست مبادرت کند یا می تواند اول نماز بخواند؟ </w:t>
      </w:r>
      <w:bookmarkStart w:id="1183" w:name="pg19115_195687"/>
    </w:p>
    <w:p>
      <w:pPr>
        <w:pStyle w:val="BookText"/>
        <w:rPr/>
      </w:pPr>
      <w:bookmarkEnd w:id="1183"/>
      <w:r>
        <w:rPr>
          <w:rFonts w:ascii="IRNazanin" w:hAnsi="IRNazanin" w:eastAsia="IRNazanin"/>
          <w:color w:val="111111"/>
          <w:sz w:val="28"/>
          <w:sz w:val="28"/>
          <w:szCs w:val="28"/>
          <w:rtl w:val="true"/>
          <w:lang w:bidi="fa-IR"/>
        </w:rPr>
        <w:t>سید در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 نماز وسیع،باشد، واجب است به ازاله نجاست مبادرت کند و اقدام به آن را بر نماز مقدم بدارد اما در صورتی که وقت نماز تنگ باشد نماز را مقدم بدارد البته در صورت وسعت،وقت چنان که ازاله نجاست را ترک کند، و به نماز بپردازد هرچند به خاطر ترک ازاله نجاست عصیان کرده است، ولی مشکل است که بگوییم نماز او باطل است بلکه به نظر اقوی نماز او صحیح است</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محقق خویی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وقت نماز وسیع باشد و اگر چنان که تصور شود که بین ازاله و نماز تزاحم است یعی نماز واجب موسّع و ازاله واجب مضيّق </w:t>
      </w:r>
      <w:r>
        <w:rPr>
          <w:rStyle w:val="FootnoteAnchor"/>
          <w:rtl w:val="true"/>
        </w:rPr>
        <w:footnoteReference w:id="1448"/>
      </w:r>
      <w:r>
        <w:rPr>
          <w:rFonts w:ascii="IRNazanin" w:hAnsi="IRNazanin" w:eastAsia="IRNazanin"/>
          <w:color w:val="111111"/>
          <w:sz w:val="28"/>
          <w:sz w:val="28"/>
          <w:szCs w:val="28"/>
          <w:rtl w:val="true"/>
          <w:lang w:bidi="fa-IR"/>
        </w:rPr>
        <w:t>می باشد، در این فرض باید به ازاله نجاست مبادرت شود و آن را بر نماز مقدم بدارد، زیرا ازاله واجب مضيّق و وجوب آن فوری و نماز واجب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نمی تواند با واجب مضیق مزاحمت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وقت نماز تنگ باشد نماز بر ازاله مقدم می شود چون این مسئله از باب تزاحم می باشد و وجوب نماز مهمتر از ازاله می باشد، چون نماز عمود دین است</w:t>
      </w:r>
      <w:r>
        <w:rPr>
          <w:rFonts w:eastAsia="IRNazanin" w:cs="IRNazanin"/>
          <w:color w:val="111111"/>
          <w:sz w:val="28"/>
          <w:szCs w:val="28"/>
          <w:rtl w:val="true"/>
          <w:lang w:bidi="fa-IR"/>
        </w:rPr>
        <w:t xml:space="preserve">. </w:t>
      </w:r>
      <w:r>
        <w:rPr>
          <w:rStyle w:val="FootnoteAnchor"/>
          <w:rtl w:val="true"/>
        </w:rPr>
        <w:footnoteReference w:id="1449"/>
      </w:r>
    </w:p>
    <w:p>
      <w:pPr>
        <w:pStyle w:val="Heading5"/>
        <w:numPr>
          <w:ilvl w:val="4"/>
          <w:numId w:val="1"/>
        </w:numPr>
        <w:rPr/>
      </w:pPr>
      <w:bookmarkStart w:id="1184" w:name="__RefHeading___Toc15203098_1280447820"/>
      <w:bookmarkStart w:id="1185" w:name="_Toc460"/>
      <w:bookmarkEnd w:id="1184"/>
      <w:r>
        <w:rPr>
          <w:rtl w:val="true"/>
        </w:rPr>
        <w:t>گفتار چهارم</w:t>
      </w:r>
      <w:r>
        <w:rPr>
          <w:rtl w:val="true"/>
        </w:rPr>
        <w:t xml:space="preserve">: </w:t>
      </w:r>
      <w:r>
        <w:rPr>
          <w:rtl w:val="true"/>
        </w:rPr>
        <w:t>مبادرت دیگری به ازاله</w:t>
      </w:r>
      <w:bookmarkEnd w:id="1185"/>
    </w:p>
    <w:p>
      <w:pPr>
        <w:pStyle w:val="BookText"/>
        <w:rPr/>
      </w:pPr>
      <w:r>
        <w:rPr>
          <w:rFonts w:ascii="IRNazanin" w:hAnsi="IRNazanin" w:eastAsia="IRNazanin"/>
          <w:color w:val="111111"/>
          <w:sz w:val="28"/>
          <w:sz w:val="28"/>
          <w:szCs w:val="28"/>
          <w:rtl w:val="true"/>
          <w:lang w:bidi="fa-IR"/>
        </w:rPr>
        <w:t>هرگاه شخص دیگری به ازاله نجاست از مسجد مشغول،شود، او می تواند پیش از تحقق ازاله به نماز مبادرت کند</w:t>
      </w:r>
      <w:r>
        <w:rPr>
          <w:rFonts w:eastAsia="IRNazanin" w:cs="IRNazanin"/>
          <w:color w:val="111111"/>
          <w:sz w:val="28"/>
          <w:szCs w:val="28"/>
          <w:rtl w:val="true"/>
          <w:lang w:bidi="fa-IR"/>
        </w:rPr>
        <w:t xml:space="preserve">. </w:t>
      </w:r>
      <w:r>
        <w:rPr>
          <w:rStyle w:val="FootnoteAnchor"/>
          <w:rtl w:val="true"/>
        </w:rPr>
        <w:footnoteReference w:id="145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خویی برای این مسئله این گونه استدلال می کند که امر به ازاله از آن </w:t>
      </w:r>
      <w:bookmarkStart w:id="1186" w:name="pg19115_195688"/>
    </w:p>
    <w:p>
      <w:pPr>
        <w:pStyle w:val="BookText"/>
        <w:rPr/>
      </w:pPr>
      <w:bookmarkEnd w:id="1186"/>
      <w:r>
        <w:rPr>
          <w:rFonts w:ascii="IRNazanin" w:hAnsi="IRNazanin" w:eastAsia="IRNazanin"/>
          <w:color w:val="111111"/>
          <w:sz w:val="28"/>
          <w:sz w:val="28"/>
          <w:szCs w:val="28"/>
          <w:rtl w:val="true"/>
          <w:lang w:bidi="fa-IR"/>
        </w:rPr>
        <w:t>شخص به واسطه فعل دیگری انصراف پیدا کرده است چنان که او در این حال می تواند بخوابد یا بنشیند و یا کار او را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می تواند نماز بخواند به مناط این که امر به ازاله از او انصراف دارد</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ولی بر خلاف نظر محقق خویی امام خمینی معتقد به تفصیل است و تصریح کند به این که اگر شخصی که به ازاله نجاست مشغول شده است و قدرت بر این عمل را دارد طوری انجام می دهد که از نظر عرف با فوری بودن آن منافات ندارد در خصوص این فرض او می تواند پیش از تحقق ازاله به نماز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شخص قادر نیست فوراً ازاله را انجام دهد بر او واجب است که با آن شخص تشریک مساعی کند و ازاله را بر نماز مقدم بدارند</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محقق حکیم معتقد است که اگر آن شخص را کمک نکند، و ترک معاونت موجب شود که ازاله فوراً انجام نشود این اشکال پیش می آید که در این صورت بین وجوب نماز و وجوب معاونت تزاحم واقع می شود</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بدین جهت وجوب معاونت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فوری و مضیق است باید بر وجوب نماز که موسع است مقدم شود</w:t>
      </w:r>
      <w:r>
        <w:rPr>
          <w:rFonts w:eastAsia="IRNazanin" w:cs="IRNazanin"/>
          <w:color w:val="111111"/>
          <w:sz w:val="28"/>
          <w:szCs w:val="28"/>
          <w:rtl w:val="true"/>
          <w:lang w:bidi="fa-IR"/>
        </w:rPr>
        <w:t>.</w:t>
      </w:r>
    </w:p>
    <w:p>
      <w:pPr>
        <w:pStyle w:val="Heading5"/>
        <w:numPr>
          <w:ilvl w:val="4"/>
          <w:numId w:val="1"/>
        </w:numPr>
        <w:rPr/>
      </w:pPr>
      <w:bookmarkStart w:id="1187" w:name="__RefHeading___Toc15203100_1280447820"/>
      <w:bookmarkStart w:id="1188" w:name="_Toc461"/>
      <w:bookmarkEnd w:id="1187"/>
      <w:r>
        <w:rPr>
          <w:rtl w:val="true"/>
        </w:rPr>
        <w:t>گفتار پنجم</w:t>
      </w:r>
      <w:r>
        <w:rPr>
          <w:rtl w:val="true"/>
        </w:rPr>
        <w:t xml:space="preserve">: </w:t>
      </w:r>
      <w:r>
        <w:rPr>
          <w:rtl w:val="true"/>
        </w:rPr>
        <w:t>وجوب تطهیر حصیر مسجد</w:t>
      </w:r>
      <w:bookmarkEnd w:id="1188"/>
    </w:p>
    <w:p>
      <w:pPr>
        <w:pStyle w:val="Heading6"/>
        <w:numPr>
          <w:ilvl w:val="5"/>
          <w:numId w:val="1"/>
        </w:numPr>
        <w:rPr/>
      </w:pPr>
      <w:bookmarkStart w:id="1189" w:name="__RefHeading___Toc15203102_1280447820"/>
      <w:bookmarkStart w:id="1190" w:name="_Toc462"/>
      <w:bookmarkEnd w:id="1189"/>
      <w:r>
        <w:rPr>
          <w:rtl w:val="true"/>
        </w:rPr>
        <w:t>اشاره</w:t>
      </w:r>
      <w:bookmarkEnd w:id="119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حصیر مسجد نجس شود، تطهیر آن واجب است اما اگر امر دایر شود بین بیرون بردن حصیر و بین تطهیر،آن یا قطع جایی که نجس شده، اگر مصلحت قطع کردن از تطهیر بیشتر باشد چنان که در اغلب موارد این چنین است در این صورت قطع نیز واجب است</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امام خمینی معتقد است در صورت اصلحیت، قطع و تعمیر آن بنابر احتیاط واجب است و محقق خویی نیز بنابر احتیاط آن را </w:t>
      </w:r>
      <w:bookmarkStart w:id="1191" w:name="pg19115_195689"/>
    </w:p>
    <w:p>
      <w:pPr>
        <w:pStyle w:val="BookText"/>
        <w:rPr/>
      </w:pPr>
      <w:bookmarkEnd w:id="1191"/>
      <w:r>
        <w:rPr>
          <w:rFonts w:ascii="IRNazanin" w:hAnsi="IRNazanin" w:eastAsia="IRNazanin"/>
          <w:color w:val="111111"/>
          <w:sz w:val="28"/>
          <w:sz w:val="28"/>
          <w:szCs w:val="28"/>
          <w:rtl w:val="true"/>
          <w:lang w:bidi="fa-IR"/>
        </w:rPr>
        <w:t>واجب می داند</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به هر صورت این مسئله از دو جهت مورد بحث و بررسی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برطرف کردن نجاست از حصیر مسجد واجب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دایر باشد بین بیرون بردن حصیر از مسجد و قطع موضعی که نجس شده کدام یک ارجحیت دارد؟</w:t>
      </w:r>
    </w:p>
    <w:p>
      <w:pPr>
        <w:pStyle w:val="BookText"/>
        <w:rPr/>
      </w:pPr>
      <w:r>
        <w:rPr>
          <w:rFonts w:ascii="IRNazanin" w:hAnsi="IRNazanin" w:eastAsia="IRNazanin"/>
          <w:color w:val="111111"/>
          <w:sz w:val="28"/>
          <w:sz w:val="28"/>
          <w:szCs w:val="28"/>
          <w:rtl w:val="true"/>
          <w:lang w:bidi="fa-IR"/>
        </w:rPr>
        <w:t>اما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حصیر، فرش یا آلات و ادوات دیگر مسجد نجس شود، چنان که تطهیر خود مسجد واجب است آیا تطهیر آلات و ادوات آن نیز واجب است؟ بسیاری از فقیهان امامیه بر این باورند که تطهیر آنها واجب است، </w:t>
      </w:r>
      <w:r>
        <w:rPr>
          <w:rStyle w:val="FootnoteAnchor"/>
          <w:rtl w:val="true"/>
        </w:rPr>
        <w:footnoteReference w:id="1456"/>
      </w:r>
      <w:r>
        <w:rPr>
          <w:rFonts w:ascii="IRNazanin" w:hAnsi="IRNazanin" w:eastAsia="IRNazanin"/>
          <w:color w:val="111111"/>
          <w:sz w:val="28"/>
          <w:sz w:val="28"/>
          <w:szCs w:val="28"/>
          <w:rtl w:val="true"/>
          <w:lang w:bidi="fa-IR"/>
        </w:rPr>
        <w:t>بلکه در این حکم اختلافی نقل نشده است</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از ظاهر کلام سید محمد عاملی در مدارک استفاده می شود که فقها بر این مسئله اتفاق نظر دارند</w:t>
      </w:r>
      <w:r>
        <w:rPr>
          <w:rFonts w:eastAsia="IRNazanin" w:cs="IRNazanin"/>
          <w:color w:val="111111"/>
          <w:sz w:val="28"/>
          <w:szCs w:val="28"/>
          <w:rtl w:val="true"/>
          <w:lang w:bidi="fa-IR"/>
        </w:rPr>
        <w:t xml:space="preserve">. </w:t>
      </w:r>
      <w:r>
        <w:rPr>
          <w:rStyle w:val="FootnoteAnchor"/>
          <w:rtl w:val="true"/>
        </w:rPr>
        <w:footnoteReference w:id="1458"/>
      </w:r>
    </w:p>
    <w:p>
      <w:pPr>
        <w:pStyle w:val="Heading6"/>
        <w:numPr>
          <w:ilvl w:val="5"/>
          <w:numId w:val="1"/>
        </w:numPr>
        <w:rPr/>
      </w:pPr>
      <w:bookmarkStart w:id="1192" w:name="__RefHeading___Toc15203104_1280447820"/>
      <w:bookmarkStart w:id="1193" w:name="_Toc463"/>
      <w:bookmarkEnd w:id="1192"/>
      <w:r>
        <w:rPr>
          <w:rtl w:val="true"/>
        </w:rPr>
        <w:t>دليل وجوب تطهير حصير مسجد</w:t>
      </w:r>
      <w:bookmarkEnd w:id="119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حلی در دلیل العروة برای وجوب تطهیر آنها این گونه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مسجد از نظر عرف از اجزای مسجد شمرده می شود؛ اگرچه به حسب واقع جزء مسجد نیست بدین جهت تطهیر آن مانند تطهیر خود مسجد واجب است</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به عبارت دیگر فرش مسجد از توابع آن و به مسجد نسبت داده می شود تعظیم فرش مسجد تعظیم خود مسجد و هتک آن هتک مسجد می باشد، آلوده بودن حصیر مسجد آلوده بودن خود مسجد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پیامبر </w:t>
      </w:r>
    </w:p>
    <w:p>
      <w:pPr>
        <w:pStyle w:val="BookText"/>
        <w:rPr/>
      </w:pPr>
      <w:r>
        <w:rPr>
          <w:rFonts w:ascii="IRNazanin" w:hAnsi="IRNazanin" w:eastAsia="IRNazanin"/>
          <w:color w:val="111111"/>
          <w:sz w:val="28"/>
          <w:sz w:val="28"/>
          <w:szCs w:val="28"/>
          <w:rtl w:val="true"/>
          <w:lang w:bidi="fa-IR"/>
        </w:rPr>
        <w:t>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جَنّبو مَسَاجِدَكُمُ النَّجَاسَةَ</w:t>
      </w:r>
      <w:r>
        <w:rPr>
          <w:rStyle w:val="FootnoteAnchor"/>
          <w:rtl w:val="true"/>
        </w:rPr>
        <w:footnoteReference w:id="1460"/>
      </w:r>
      <w:r>
        <w:rPr>
          <w:rFonts w:ascii="IRNazanin" w:hAnsi="IRNazanin" w:eastAsia="IRNazanin"/>
          <w:color w:val="111111"/>
          <w:sz w:val="28"/>
          <w:sz w:val="28"/>
          <w:szCs w:val="28"/>
          <w:rtl w:val="true"/>
          <w:lang w:bidi="fa-IR"/>
        </w:rPr>
        <w:t>نیز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حصیر و فرش مسجد از توابع آن شمرده می شود فرقی نیست بین حصیری که فرش شده یا خاک و شن و ماسه ای که فرض مسجد است؛ چون متبادر به ذهن از وجوب دور نگه داشتن مساجد از نجاست تمامی مسجد و اجزا و توابع آن از قبیل حصیر، فرش و سایر آلات می باشد</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دلیل دیگری که می شود برای این مسئله اقامه کرد اجماعی است که سید عاملی در مدارک </w:t>
      </w:r>
      <w:r>
        <w:rPr>
          <w:rStyle w:val="FootnoteAnchor"/>
          <w:rtl w:val="true"/>
        </w:rPr>
        <w:footnoteReference w:id="1462"/>
      </w:r>
      <w:r>
        <w:rPr>
          <w:rFonts w:ascii="IRNazanin" w:hAnsi="IRNazanin" w:eastAsia="IRNazanin"/>
          <w:color w:val="111111"/>
          <w:sz w:val="28"/>
          <w:sz w:val="28"/>
          <w:szCs w:val="28"/>
          <w:rtl w:val="true"/>
          <w:lang w:bidi="fa-IR"/>
        </w:rPr>
        <w:t>و برخی دیگر از فقها ادعا کرده اند</w:t>
      </w:r>
      <w:r>
        <w:rPr>
          <w:rFonts w:eastAsia="IRNazanin" w:cs="IRNazanin"/>
          <w:color w:val="111111"/>
          <w:sz w:val="28"/>
          <w:szCs w:val="28"/>
          <w:rtl w:val="true"/>
          <w:lang w:bidi="fa-IR"/>
        </w:rPr>
        <w:t xml:space="preserve">. </w:t>
      </w:r>
      <w:r>
        <w:rPr>
          <w:rStyle w:val="FootnoteAnchor"/>
          <w:rtl w:val="true"/>
        </w:rPr>
        <w:footnoteReference w:id="146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جهت دوم که امر دایر باشد بین بیرون بردن حصیر مسجد جهت تطهیر، یا قطع موضعی که نجس شده است محقق خویی در تبیین این مسئله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و فرض مسجد و یا سایر آلات و ادوات آن نجس شود و امر دایر باشد بین بیرون بردن آنها از مسجد جهت تطهیر و بین قطع موضعی که نجس شده است، آیا قطع ارجحیت دارد یا بیرون بردن آن یا هر دو مساویند؟ سپس در تحقیق این مطلب می گوید نظر صحیح این است که این امر را نمی شود تحت یک ضابطه و قاعده کلی مندرج کرد؛ زیرا گاهی مصلحت ایجاب می کند که فرش مسجد تطهیر شود و نباید موضعی که نجس شده قطع شود چنان که اگر فرض کنیم فرشی که نجس شده فرش عالی کاشان،باشد تردید نیست که در مثل این مورد بریدن فرش آن را از ارزش ساقط،کند دیگر اصلاً مالیت ندارد بلکه متعین است فرش را از مسجد بیرون ببرند و تطهیر کنند و بعد از تطهیر به مسجد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برعکس این است مثل این که حصیری که نجس شده بسیار بزرگ است اگر جابجا شود می شکند و خرد می شود و از بین می رود و چه بسا نقصی در آن پدید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مقداری از آن بریده شود هیچ نقصی در آن به وجود نمی آید، شکی نیست که در مثل این مورد قطع کردن و بریدن متعین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باید آنچه که به مصلحت مسجد و آلات آن می باشد رعایت شود و این حقیقت به اختلاف موارد و حالات مختلف است</w:t>
      </w:r>
      <w:r>
        <w:rPr>
          <w:rFonts w:eastAsia="IRNazanin" w:cs="IRNazanin"/>
          <w:color w:val="111111"/>
          <w:sz w:val="28"/>
          <w:szCs w:val="28"/>
          <w:rtl w:val="true"/>
          <w:lang w:bidi="fa-IR"/>
        </w:rPr>
        <w:t xml:space="preserve">. </w:t>
      </w:r>
      <w:r>
        <w:rPr>
          <w:rStyle w:val="FootnoteAnchor"/>
          <w:rtl w:val="true"/>
        </w:rPr>
        <w:footnoteReference w:id="1464"/>
      </w:r>
      <w:bookmarkStart w:id="1194" w:name="pg19115_195692"/>
    </w:p>
    <w:p>
      <w:pPr>
        <w:pStyle w:val="Heading4"/>
        <w:numPr>
          <w:ilvl w:val="3"/>
          <w:numId w:val="1"/>
        </w:numPr>
        <w:rPr/>
      </w:pPr>
      <w:bookmarkStart w:id="1195" w:name="__RefHeading___Toc15203106_1280447820"/>
      <w:bookmarkStart w:id="1196" w:name="_Toc464"/>
      <w:bookmarkEnd w:id="1194"/>
      <w:bookmarkEnd w:id="1195"/>
      <w:r>
        <w:rPr>
          <w:rtl w:val="true"/>
        </w:rPr>
        <w:t>مبحث دوم</w:t>
      </w:r>
      <w:r>
        <w:rPr>
          <w:rtl w:val="true"/>
        </w:rPr>
        <w:t xml:space="preserve">: </w:t>
      </w:r>
      <w:r>
        <w:rPr>
          <w:rtl w:val="true"/>
        </w:rPr>
        <w:t>توقف تطهیر بر تخریب و حفاری مسجد</w:t>
      </w:r>
      <w:bookmarkEnd w:id="1196"/>
    </w:p>
    <w:p>
      <w:pPr>
        <w:pStyle w:val="Heading5"/>
        <w:numPr>
          <w:ilvl w:val="4"/>
          <w:numId w:val="1"/>
        </w:numPr>
        <w:rPr/>
      </w:pPr>
      <w:bookmarkStart w:id="1197" w:name="__RefHeading___Toc15203108_1280447820"/>
      <w:bookmarkStart w:id="1198" w:name="_Toc465"/>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اگر تطهیر مسجد بر حفاری و گودبرداری زمین مسجد توقف داشته باشد، این عمل نیز جایز بلکه واجب است و همچنین است اگر بر تخریب قسمتی از مسجد هم توقف داشته باشد</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محقق نائینی و امام خمینی معتقدند که این تخریب در صورتی جایز یا واجب است که به مقدار کمی از ساختمان مسجد تخریب شود اما اگر تخریب ساختمان مسجد خیلی زیاد باشد مورد اشکال است</w:t>
      </w:r>
      <w:r>
        <w:rPr>
          <w:rFonts w:eastAsia="IRNazanin" w:cs="IRNazanin"/>
          <w:color w:val="111111"/>
          <w:sz w:val="28"/>
          <w:szCs w:val="28"/>
          <w:rtl w:val="true"/>
          <w:lang w:bidi="fa-IR"/>
        </w:rPr>
        <w:t xml:space="preserve">. </w:t>
      </w:r>
      <w:r>
        <w:rPr>
          <w:rStyle w:val="FootnoteAnchor"/>
          <w:rtl w:val="true"/>
        </w:rPr>
        <w:footnoteReference w:id="1466"/>
      </w:r>
    </w:p>
    <w:p>
      <w:pPr>
        <w:pStyle w:val="Heading5"/>
        <w:numPr>
          <w:ilvl w:val="4"/>
          <w:numId w:val="1"/>
        </w:numPr>
        <w:rPr/>
      </w:pPr>
      <w:bookmarkStart w:id="1199" w:name="__RefHeading___Toc15203110_1280447820"/>
      <w:bookmarkStart w:id="1200" w:name="_Toc466"/>
      <w:bookmarkEnd w:id="1199"/>
      <w:r>
        <w:rPr>
          <w:rtl w:val="true"/>
        </w:rPr>
        <w:t>گفتار اول</w:t>
      </w:r>
      <w:r>
        <w:rPr>
          <w:rtl w:val="true"/>
        </w:rPr>
        <w:t xml:space="preserve">: </w:t>
      </w:r>
      <w:r>
        <w:rPr>
          <w:rtl w:val="true"/>
        </w:rPr>
        <w:t>دلیل جواز یا وجوب حفاری و تخریب مساجد</w:t>
      </w:r>
      <w:bookmarkEnd w:id="1200"/>
    </w:p>
    <w:p>
      <w:pPr>
        <w:pStyle w:val="BookText"/>
        <w:rPr/>
      </w:pPr>
      <w:r>
        <w:rPr>
          <w:rFonts w:ascii="IRNazanin" w:hAnsi="IRNazanin" w:eastAsia="IRNazanin"/>
          <w:color w:val="111111"/>
          <w:sz w:val="28"/>
          <w:sz w:val="28"/>
          <w:szCs w:val="28"/>
          <w:rtl w:val="true"/>
          <w:lang w:bidi="fa-IR"/>
        </w:rPr>
        <w:t xml:space="preserve">فقیهانی که معتقدند به جواز یا وجوب حفاری و تخریب مسجد برای تطهیر آن ممکن است به اطلاق آیات و روایاتی که در سابق ذکر شد تمسک کنند، چنان که محقق حکیم می گوید دلیل وجوب ازاله اطلاق،دارد و این صورت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ازاله بر حفاری و تخریب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می شود ولی دلیل حرمت تخریب مسجد با آن مزاحمت می 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گفته شود اینجا بین دو حکم اصلاً مزاحمتی وجود ندارد؛ زیرا حرمت تخریب مسجد اختصاص دارد به مواردی که تخریب به مصلحت مسجد نباشد و اگر چنان که تخریب برای،توسعه تعمیر تزئین و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مساجد باشد که این امور برای مصلحت عموم مسلمین است در این صورت تخریب حرام نیست تطهیر مسجد نیز از همین قبیل امور می باشد از این رو، حرمت تخریب </w:t>
      </w:r>
      <w:bookmarkStart w:id="1201" w:name="pg19115_195693"/>
    </w:p>
    <w:p>
      <w:pPr>
        <w:pStyle w:val="BookText"/>
        <w:rPr/>
      </w:pPr>
      <w:bookmarkEnd w:id="1201"/>
      <w:r>
        <w:rPr>
          <w:rFonts w:ascii="IRNazanin" w:hAnsi="IRNazanin" w:eastAsia="IRNazanin"/>
          <w:color w:val="111111"/>
          <w:sz w:val="28"/>
          <w:sz w:val="28"/>
          <w:szCs w:val="28"/>
          <w:rtl w:val="true"/>
          <w:lang w:bidi="fa-IR"/>
        </w:rPr>
        <w:t>با وجوب ازاله نمی تواند مزاحمتی کند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محقق خوئی در این مسئله بیان مبسوطی ارائه کرده است که به خلاصه ای از آن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در این مسئله چند جهت مورد بحث و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ازاله نجاست از مساجد بر حفاری و تخریب قسمتی از مسجد توقف داشته باشد هیچ شک و شبهه و تأملی در جواز یا وجوب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حفاری و تخریب باید به مقداری باشد که به مسجد ضرری نرساند، و همچنین مانع از اقامه نماز و عبادت در آن نباشد بنابراین این وجوب وجوب مقدمی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ازاله نجاست توقف بر آنها دارد از این رو بنابر وجوب شرعی مقدمه این عمل 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حفاری و تخریب به قدری زیاد باشد که موجب اضرار به مسجد و مانع از عبادت و اقامه نماز در مسجد،شود در این صورت حکم به جواز مورد اشکال و منع است چه رسد به وجوب؛ به جهت این که وجوب ازاله با حرمت اضرار با هم در تزاحم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اضرار اگر از وجوب ازاله قویتر و مهمتر نباشد، لااقل محتمل الاهميه است بدین جهت حکم به جواز حفاری با تخریب مسجد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بگوییم حفاری و تخریب جایز یا واجب است آیا بعد از حفاری و تخریب پر کردن حفره و تعمیر خرابیها واجب است یا نه؟</w:t>
      </w:r>
    </w:p>
    <w:p>
      <w:pPr>
        <w:pStyle w:val="BookText"/>
        <w:rPr/>
      </w:pPr>
      <w:r>
        <w:rPr>
          <w:rFonts w:ascii="IRNazanin" w:hAnsi="IRNazanin" w:eastAsia="IRNazanin"/>
          <w:color w:val="111111"/>
          <w:sz w:val="28"/>
          <w:sz w:val="28"/>
          <w:szCs w:val="28"/>
          <w:rtl w:val="true"/>
          <w:lang w:bidi="fa-IR"/>
        </w:rPr>
        <w:t xml:space="preserve">سید یزدی در عروه می نویسد هیچ کدام واجب نیست </w:t>
      </w:r>
      <w:r>
        <w:rPr>
          <w:rStyle w:val="FootnoteAnchor"/>
          <w:rtl w:val="true"/>
        </w:rPr>
        <w:footnoteReference w:id="1468"/>
      </w:r>
      <w:r>
        <w:rPr>
          <w:rFonts w:ascii="IRNazanin" w:hAnsi="IRNazanin" w:eastAsia="IRNazanin"/>
          <w:color w:val="111111"/>
          <w:sz w:val="28"/>
          <w:sz w:val="28"/>
          <w:szCs w:val="28"/>
          <w:rtl w:val="true"/>
          <w:lang w:bidi="fa-IR"/>
        </w:rPr>
        <w:t>و محقق خویی با او موافقت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صریح و آشکار است</w:t>
      </w:r>
      <w:r>
        <w:rPr>
          <w:rFonts w:eastAsia="IRNazanin" w:cs="IRNazanin"/>
          <w:color w:val="111111"/>
          <w:sz w:val="28"/>
          <w:szCs w:val="28"/>
          <w:rtl w:val="true"/>
          <w:lang w:bidi="fa-IR"/>
        </w:rPr>
        <w:t xml:space="preserve">. </w:t>
      </w:r>
      <w:r>
        <w:rPr>
          <w:rStyle w:val="FootnoteAnchor"/>
          <w:rtl w:val="true"/>
        </w:rPr>
        <w:footnoteReference w:id="1469"/>
      </w:r>
    </w:p>
    <w:p>
      <w:pPr>
        <w:pStyle w:val="Heading5"/>
        <w:numPr>
          <w:ilvl w:val="4"/>
          <w:numId w:val="1"/>
        </w:numPr>
        <w:rPr/>
      </w:pPr>
      <w:bookmarkStart w:id="1202" w:name="__RefHeading___Toc15203112_1280447820"/>
      <w:bookmarkStart w:id="1203" w:name="_Toc467"/>
      <w:bookmarkEnd w:id="1202"/>
      <w:r>
        <w:rPr>
          <w:rtl w:val="true"/>
        </w:rPr>
        <w:t>گفتار دوم</w:t>
      </w:r>
      <w:r>
        <w:rPr>
          <w:rtl w:val="true"/>
        </w:rPr>
        <w:t xml:space="preserve">: </w:t>
      </w:r>
      <w:r>
        <w:rPr>
          <w:rtl w:val="true"/>
        </w:rPr>
        <w:t>دلیل عدم وجوب تعمیر و پر کردن حفره</w:t>
      </w:r>
      <w:bookmarkEnd w:id="120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جهت تطهیر مسجد قسمتی از مسجد را تخریب یا زمین آن را </w:t>
      </w:r>
    </w:p>
    <w:p>
      <w:pPr>
        <w:pStyle w:val="BookText"/>
        <w:rPr/>
      </w:pPr>
      <w:r>
        <w:rPr>
          <w:rFonts w:ascii="IRNazanin" w:hAnsi="IRNazanin" w:eastAsia="IRNazanin"/>
          <w:color w:val="111111"/>
          <w:sz w:val="28"/>
          <w:sz w:val="28"/>
          <w:szCs w:val="28"/>
          <w:rtl w:val="true"/>
          <w:lang w:bidi="fa-IR"/>
        </w:rPr>
        <w:t>حفاری کرد، بعد از انجام این عمل بر او واجب نیست حفره را پر و خرابیها را تعمیر کند، و دو دلیل برای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از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ضمان به سبب اتلاف در این مقام جاری نیست؛ زیرا این قاعده اختصاص دارد به مواردی که اتلاف برای مصلحت صاحب مال نباشد و در این مسئله تخریب و حفاری برای مصلحت مسجد است چون به جهت تطهیر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تصرف در مال غیر برای مصلحت او باشد، موجب ضمان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صدر رحمه الله برای عدم ضمان بیان مبسوطی دارد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قسمتی از مسجد به جهت تطهیر تخریب شود آیا بعد از تخریب و تطهیر ضامن است که آن را بازسازی کند؟</w:t>
      </w:r>
    </w:p>
    <w:p>
      <w:pPr>
        <w:pStyle w:val="BookText"/>
        <w:rPr/>
      </w:pPr>
      <w:r>
        <w:rPr>
          <w:rFonts w:ascii="IRNazanin" w:hAnsi="IRNazanin" w:eastAsia="IRNazanin"/>
          <w:color w:val="111111"/>
          <w:sz w:val="28"/>
          <w:sz w:val="28"/>
          <w:szCs w:val="28"/>
          <w:rtl w:val="true"/>
          <w:lang w:bidi="fa-IR"/>
        </w:rPr>
        <w:t>ممکن است کسی به قاعده اتلاف تمسک کرده و حکم به ضمان نماید ولی جریان این قاعده در اینجا مشکل،است چون جریان قاعده هم مقتضی آن قصور دارد و هم مبتلی به مانع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قصور در مقتضی به جهت این است که دلیل قاعده اتلاف نسبت به اینجا اطلاق ندارد؛ زیرا تخریبی که برای رعایت حال صاحب مال باشد، قاعده شاملش نمی شود مثلاً اگر کسی به منظور نجات دادن زراعتی کسی از حریق مقدار آن را تلف کند، قطعاً ضامن نیست چون دلیل قاعده اگر سیره عقلایی باشد این گونه موارد را یقیناً شامل نمی شود؛ چون سیره دلیل لبی است به قدر متیقن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دلیل قاعده اتلاف روایات متفرقه ای باشد که در موارد خاصی وارد شده است، تمامی این روایات یک جهت مشترکی دارند و آن جهت مشترک این است که اتلاف به جهت مصلحت مالک نباشد و در بعض این روایات به یک ضابطه و معیاری اشاره شده است و آن ضابطه عبارت از این است که در بعضی روایات به </w:t>
      </w:r>
      <w:bookmarkStart w:id="1204" w:name="pg19115_195695"/>
    </w:p>
    <w:p>
      <w:pPr>
        <w:pStyle w:val="BookText"/>
        <w:rPr/>
      </w:pPr>
      <w:bookmarkEnd w:id="1204"/>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جنت یده</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اشاره شده است و در این مقام بعد از اذن شارع در تخریب مفروض عدم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مانع جریان قاعدۀ اتلاف این است که بر فرض که دلیل قاعده قاصر نباشد و اطلاق آن اینجا را نیز شامل شود ولی این اطلاق مقید دارد و آن آیه مبارکه است که بر نفی سبیل دلالت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عَلَى الْمُحْسِنِينَ مِن سَبیل</w:t>
      </w:r>
      <w:r>
        <w:rPr>
          <w:rStyle w:val="FootnoteAnchor"/>
          <w:rtl w:val="true"/>
        </w:rPr>
        <w:footnoteReference w:id="1471"/>
      </w:r>
      <w:r>
        <w:rPr>
          <w:rFonts w:ascii="IRNazanin" w:hAnsi="IRNazanin" w:eastAsia="IRNazanin"/>
          <w:color w:val="111111"/>
          <w:sz w:val="28"/>
          <w:sz w:val="28"/>
          <w:szCs w:val="28"/>
          <w:rtl w:val="true"/>
          <w:lang w:bidi="fa-IR"/>
        </w:rPr>
        <w:t>این آیه اطلاق دلیل قاعده را تقیید می کند، بدین معنی که اگر تخریب به مصلحت صاحب مال باشد دیگر ضامن نیست و احسان دارای مفهوم عرفی باشد اگر از نظر عرف به اتلاف در یک موردی احسان صدق،کند و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این اتلاف احسان در حق صاحب مال است در این صورت یقیناً ضمان ندارد چون ثبوت ضمان سبیل است و در آیه مبارکه نفی شده است ولی در آخر کلامش اشکال وارد می کند که ممکن است در اینجا احسان صدق نکند</w:t>
      </w:r>
      <w:r>
        <w:rPr>
          <w:rFonts w:eastAsia="IRNazanin" w:cs="IRNazanin"/>
          <w:color w:val="111111"/>
          <w:sz w:val="28"/>
          <w:szCs w:val="28"/>
          <w:rtl w:val="true"/>
          <w:lang w:bidi="fa-IR"/>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ادوات و مصالح ساختمانی از قبیل آهن، آجر، در و پنجره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تخریب آیا واجب است به مسجد برگردانده شود؟</w:t>
      </w:r>
    </w:p>
    <w:p>
      <w:pPr>
        <w:pStyle w:val="BookText"/>
        <w:rPr/>
      </w:pPr>
      <w:r>
        <w:rPr>
          <w:rFonts w:ascii="IRNazanin" w:hAnsi="IRNazanin" w:eastAsia="IRNazanin"/>
          <w:color w:val="111111"/>
          <w:sz w:val="28"/>
          <w:sz w:val="28"/>
          <w:szCs w:val="28"/>
          <w:rtl w:val="true"/>
          <w:lang w:bidi="fa-IR"/>
        </w:rPr>
        <w:t>سید یزدی در عروه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ادوات مسجد از قبیل آجر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بعد از تطهیر واجب است به خود مسجد برگردانده شود</w:t>
      </w:r>
      <w:r>
        <w:rPr>
          <w:rFonts w:eastAsia="IRNazanin" w:cs="IRNazanin"/>
          <w:color w:val="111111"/>
          <w:sz w:val="28"/>
          <w:szCs w:val="28"/>
          <w:rtl w:val="true"/>
          <w:lang w:bidi="fa-IR"/>
        </w:rPr>
        <w:t xml:space="preserve">. </w:t>
      </w:r>
      <w:r>
        <w:rPr>
          <w:rStyle w:val="FootnoteAnchor"/>
          <w:rtl w:val="true"/>
        </w:rPr>
        <w:footnoteReference w:id="1473"/>
      </w:r>
    </w:p>
    <w:p>
      <w:pPr>
        <w:pStyle w:val="Heading5"/>
        <w:numPr>
          <w:ilvl w:val="4"/>
          <w:numId w:val="1"/>
        </w:numPr>
        <w:rPr/>
      </w:pPr>
      <w:bookmarkStart w:id="1205" w:name="__RefHeading___Toc15203114_1280447820"/>
      <w:bookmarkStart w:id="1206" w:name="_Toc468"/>
      <w:bookmarkEnd w:id="1205"/>
      <w:r>
        <w:rPr>
          <w:rtl w:val="true"/>
        </w:rPr>
        <w:t>گفتار سوم</w:t>
      </w:r>
      <w:r>
        <w:rPr>
          <w:rtl w:val="true"/>
        </w:rPr>
        <w:t xml:space="preserve">: </w:t>
      </w:r>
      <w:r>
        <w:rPr>
          <w:rtl w:val="true"/>
        </w:rPr>
        <w:t>دلیل وجوب بازگرداندن مصالح ساختمانی به مسجد محقق</w:t>
      </w:r>
      <w:bookmarkEnd w:id="120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خویی برای این مسئله این گونه استدلال می کند که آجر، آهن،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جزء مسجدند چنان که واقف زمین و آنچه در آن است مسجد قرار داده است و یا این که وقف برای مسجدند، مانند سایر آلات، وسایل و تجهیزات، یا وقف برای </w:t>
      </w:r>
      <w:bookmarkStart w:id="1207" w:name="pg19115_195696"/>
    </w:p>
    <w:p>
      <w:pPr>
        <w:pStyle w:val="BookText"/>
        <w:rPr/>
      </w:pPr>
      <w:bookmarkEnd w:id="1207"/>
      <w:r>
        <w:rPr>
          <w:rFonts w:ascii="IRNazanin" w:hAnsi="IRNazanin" w:eastAsia="IRNazanin"/>
          <w:color w:val="111111"/>
          <w:sz w:val="28"/>
          <w:sz w:val="28"/>
          <w:szCs w:val="28"/>
          <w:rtl w:val="true"/>
          <w:lang w:bidi="fa-IR"/>
        </w:rPr>
        <w:t>مسلمین می باشد به هر صورت این ادوات مسجد از موقوفات است، بازگرداندن موقوفات به محل آنها،واجب و تصرف در آنها در غیر جهتی که وقف شده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الوقوف على حسب ما يوقفها أكلها</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بدین جهت تصرف در مثل آجر، سنگ و غیر آنها از ادوات مسجد بعد از خراب شدن جایز نیست؛ زیرا آنها از مباحات اصلی نیستند باید در حوزه همان مسجد یا مسجد دیگری استفاده شود</w:t>
      </w:r>
      <w:r>
        <w:rPr>
          <w:rFonts w:eastAsia="IRNazanin" w:cs="IRNazanin"/>
          <w:color w:val="111111"/>
          <w:sz w:val="28"/>
          <w:szCs w:val="28"/>
          <w:rtl w:val="true"/>
          <w:lang w:bidi="fa-IR"/>
        </w:rPr>
        <w:t xml:space="preserve">. </w:t>
      </w:r>
      <w:r>
        <w:rPr>
          <w:rStyle w:val="FootnoteAnchor"/>
          <w:rtl w:val="true"/>
        </w:rPr>
        <w:footnoteReference w:id="1475"/>
      </w:r>
    </w:p>
    <w:p>
      <w:pPr>
        <w:pStyle w:val="Heading5"/>
        <w:numPr>
          <w:ilvl w:val="4"/>
          <w:numId w:val="1"/>
        </w:numPr>
        <w:rPr/>
      </w:pPr>
      <w:bookmarkStart w:id="1208" w:name="__RefHeading___Toc15203116_1280447820"/>
      <w:bookmarkStart w:id="1209" w:name="_Toc469"/>
      <w:bookmarkEnd w:id="1208"/>
      <w:r>
        <w:rPr>
          <w:rtl w:val="true"/>
        </w:rPr>
        <w:t>گفتار چهارم</w:t>
      </w:r>
      <w:r>
        <w:rPr>
          <w:rtl w:val="true"/>
        </w:rPr>
        <w:t xml:space="preserve">: </w:t>
      </w:r>
      <w:r>
        <w:rPr>
          <w:rtl w:val="true"/>
        </w:rPr>
        <w:t>توقف تطهیر مسجد بر تخریب تمامی مسجد</w:t>
      </w:r>
      <w:bookmarkEnd w:id="1209"/>
    </w:p>
    <w:p>
      <w:pPr>
        <w:pStyle w:val="Heading6"/>
        <w:numPr>
          <w:ilvl w:val="5"/>
          <w:numId w:val="1"/>
        </w:numPr>
        <w:rPr/>
      </w:pPr>
      <w:bookmarkStart w:id="1210" w:name="__RefHeading___Toc15203118_1280447820"/>
      <w:bookmarkStart w:id="1211" w:name="_Toc470"/>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هرگاه تطهیر مسجد بر تخریب تمامی آن توقف داشته باشد مثلاً گچی که در مسجد به کار رفته است نجس،بوده یا بنایی که در ساختن مسجد مباشرت داشته کافر بوده است، پس اگر بانی پیدا شود که مسجد را بعد از تخریب بازسازی کند تخریب آن جایز،است بلکه امام خمینی معتقد است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برای بازسازی بانی پیدا نشود که تبرعاً آن را بسازد تخریب مسجد اشکال دارد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محقق خویی بر این باور است که فرقی نیست بین وجود داشتن بانی و عدم آن، در هر دو صورت مسئله مورد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تطهیر سطح ظاهر مسجد کفایت،کند تطهیر، باطن لازم نیست مرحوم گلپایگانی می گوید بنابر احتیاط تطهیر ظاهر مسجد با تمکن کافی است</w:t>
      </w:r>
      <w:r>
        <w:rPr>
          <w:rFonts w:eastAsia="IRNazanin" w:cs="IRNazanin"/>
          <w:color w:val="111111"/>
          <w:sz w:val="28"/>
          <w:szCs w:val="28"/>
          <w:rtl w:val="true"/>
          <w:lang w:bidi="fa-IR"/>
        </w:rPr>
        <w:t xml:space="preserve">. </w:t>
      </w:r>
      <w:r>
        <w:rPr>
          <w:rStyle w:val="FootnoteAnchor"/>
          <w:rtl w:val="true"/>
        </w:rPr>
        <w:footnoteReference w:id="1477"/>
      </w:r>
    </w:p>
    <w:p>
      <w:pPr>
        <w:pStyle w:val="Heading6"/>
        <w:numPr>
          <w:ilvl w:val="5"/>
          <w:numId w:val="1"/>
        </w:numPr>
        <w:rPr/>
      </w:pPr>
      <w:bookmarkStart w:id="1212" w:name="__RefHeading___Toc15203120_1280447820"/>
      <w:bookmarkStart w:id="1213" w:name="_Toc471"/>
      <w:bookmarkEnd w:id="1212"/>
      <w:r>
        <w:rPr>
          <w:rtl w:val="true"/>
        </w:rPr>
        <w:t>دلیل جواز تخریب تمامی مسجد به جهت تطهیر</w:t>
      </w:r>
      <w:bookmarkEnd w:id="121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تعمیر و بازسازی آن تدارک دیده شده و بانی آن موجود است، تخریب مسجد برای مصلحت آن است؛ بدین جهت دلیل حرمت تخریب مسجد </w:t>
      </w:r>
      <w:bookmarkStart w:id="1214" w:name="pg19115_195697"/>
    </w:p>
    <w:p>
      <w:pPr>
        <w:pStyle w:val="BookText"/>
        <w:rPr/>
      </w:pPr>
      <w:bookmarkEnd w:id="1214"/>
      <w:r>
        <w:rPr>
          <w:rFonts w:ascii="IRNazanin" w:hAnsi="IRNazanin" w:eastAsia="IRNazanin"/>
          <w:color w:val="111111"/>
          <w:sz w:val="28"/>
          <w:sz w:val="28"/>
          <w:szCs w:val="28"/>
          <w:rtl w:val="true"/>
          <w:lang w:bidi="fa-IR"/>
        </w:rPr>
        <w:t>شامل آن نمی شود از این رو تخریب جایز یا واجب است</w:t>
      </w:r>
      <w:r>
        <w:rPr>
          <w:rFonts w:eastAsia="IRNazanin" w:cs="IRNazanin"/>
          <w:color w:val="111111"/>
          <w:sz w:val="28"/>
          <w:szCs w:val="28"/>
          <w:rtl w:val="true"/>
          <w:lang w:bidi="fa-IR"/>
        </w:rPr>
        <w:t xml:space="preserve">. </w:t>
      </w:r>
      <w:r>
        <w:rPr>
          <w:rStyle w:val="FootnoteAnchor"/>
          <w:rtl w:val="true"/>
        </w:rPr>
        <w:footnoteReference w:id="1478"/>
      </w:r>
    </w:p>
    <w:p>
      <w:pPr>
        <w:pStyle w:val="Heading5"/>
        <w:numPr>
          <w:ilvl w:val="4"/>
          <w:numId w:val="1"/>
        </w:numPr>
        <w:rPr/>
      </w:pPr>
      <w:bookmarkStart w:id="1215" w:name="__RefHeading___Toc15203122_1280447820"/>
      <w:bookmarkStart w:id="1216" w:name="_Toc472"/>
      <w:bookmarkEnd w:id="1215"/>
      <w:r>
        <w:rPr>
          <w:rtl w:val="true"/>
        </w:rPr>
        <w:t>گفتار پنجم</w:t>
      </w:r>
      <w:r>
        <w:rPr>
          <w:rtl w:val="true"/>
        </w:rPr>
        <w:t xml:space="preserve">: </w:t>
      </w:r>
      <w:r>
        <w:rPr>
          <w:rtl w:val="true"/>
        </w:rPr>
        <w:t>تطهیر مسجد ویران شده</w:t>
      </w:r>
      <w:bookmarkEnd w:id="1216"/>
    </w:p>
    <w:p>
      <w:pPr>
        <w:pStyle w:val="Heading6"/>
        <w:numPr>
          <w:ilvl w:val="5"/>
          <w:numId w:val="1"/>
        </w:numPr>
        <w:rPr/>
      </w:pPr>
      <w:bookmarkStart w:id="1217" w:name="__RefHeading___Toc15203124_1280447820"/>
      <w:bookmarkStart w:id="1218" w:name="_Toc473"/>
      <w:bookmarkEnd w:id="1217"/>
      <w:r>
        <w:rPr>
          <w:rtl w:val="true"/>
        </w:rPr>
        <w:t>اشاره</w:t>
      </w:r>
      <w:bookmarkEnd w:id="1218"/>
    </w:p>
    <w:p>
      <w:pPr>
        <w:pStyle w:val="BookText"/>
        <w:rPr/>
      </w:pPr>
      <w:r>
        <w:rPr>
          <w:rFonts w:ascii="IRNazanin" w:hAnsi="IRNazanin" w:eastAsia="IRNazanin"/>
          <w:color w:val="111111"/>
          <w:sz w:val="28"/>
          <w:sz w:val="28"/>
          <w:szCs w:val="28"/>
          <w:rtl w:val="true"/>
          <w:lang w:bidi="fa-IR"/>
        </w:rPr>
        <w:t>هرگاه مسجدی به کلی تخریب شود و کسی هم در آن نماز نخواند، اگر نجس شود تطهير آن واجب است</w:t>
      </w:r>
      <w:r>
        <w:rPr>
          <w:rFonts w:eastAsia="IRNazanin" w:cs="IRNazanin"/>
          <w:color w:val="111111"/>
          <w:sz w:val="28"/>
          <w:szCs w:val="28"/>
          <w:rtl w:val="true"/>
          <w:lang w:bidi="fa-IR"/>
        </w:rPr>
        <w:t xml:space="preserve">. </w:t>
      </w:r>
      <w:r>
        <w:rPr>
          <w:rStyle w:val="FootnoteAnchor"/>
          <w:rtl w:val="true"/>
        </w:rPr>
        <w:footnoteReference w:id="1479"/>
      </w:r>
    </w:p>
    <w:p>
      <w:pPr>
        <w:pStyle w:val="Heading6"/>
        <w:numPr>
          <w:ilvl w:val="5"/>
          <w:numId w:val="1"/>
        </w:numPr>
        <w:rPr/>
      </w:pPr>
      <w:bookmarkStart w:id="1219" w:name="__RefHeading___Toc15203126_1280447820"/>
      <w:bookmarkStart w:id="1220" w:name="_Toc474"/>
      <w:bookmarkEnd w:id="1219"/>
      <w:r>
        <w:rPr>
          <w:rtl w:val="true"/>
        </w:rPr>
        <w:t>دليل تطهير مسجد مخروبه</w:t>
      </w:r>
      <w:bookmarkEnd w:id="122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عظيم الشأن شيخ حسين حلی این گونه استدلال می کند که مسجد عنوان اعتباری دارد و آن عنوان معبد بودن می باشد این امر اعتباری مانند سایر امور اعتباری عقلایی به جعل و اعتبار محقق می شود و واقف هم این بقعه را مسجد قرار داده است و عنوان مسجد محقق شده است، و آنچه که محقق شده است از بین نمی رود و با این حال معنون به عنوان مسجد است یعنی می گویند این مسجد مخروبه است و احکام آن از قبیل حرمت تنجیس و وجوب تطهیر آن باقی است</w:t>
      </w:r>
      <w:r>
        <w:rPr>
          <w:rFonts w:eastAsia="IRNazanin" w:cs="IRNazanin"/>
          <w:color w:val="111111"/>
          <w:sz w:val="28"/>
          <w:szCs w:val="28"/>
          <w:rtl w:val="true"/>
          <w:lang w:bidi="fa-IR"/>
        </w:rPr>
        <w:t xml:space="preserve">. </w:t>
      </w:r>
      <w:r>
        <w:rPr>
          <w:rStyle w:val="FootnoteAnchor"/>
          <w:rtl w:val="true"/>
        </w:rPr>
        <w:footnoteReference w:id="1480"/>
      </w:r>
      <w:bookmarkStart w:id="1221" w:name="pg19115_195698"/>
    </w:p>
    <w:p>
      <w:pPr>
        <w:pStyle w:val="Heading4"/>
        <w:numPr>
          <w:ilvl w:val="3"/>
          <w:numId w:val="1"/>
        </w:numPr>
        <w:rPr/>
      </w:pPr>
      <w:bookmarkStart w:id="1222" w:name="__RefHeading___Toc15203128_1280447820"/>
      <w:bookmarkStart w:id="1223" w:name="_Toc475"/>
      <w:bookmarkEnd w:id="1221"/>
      <w:bookmarkEnd w:id="1222"/>
      <w:r>
        <w:rPr>
          <w:rtl w:val="true"/>
        </w:rPr>
        <w:t>مبحث سوم</w:t>
      </w:r>
      <w:r>
        <w:rPr>
          <w:rtl w:val="true"/>
        </w:rPr>
        <w:t xml:space="preserve">: </w:t>
      </w:r>
      <w:r>
        <w:rPr>
          <w:rtl w:val="true"/>
        </w:rPr>
        <w:t>توقف تطهیر مسجد بر بذل مال</w:t>
      </w:r>
      <w:bookmarkEnd w:id="1223"/>
    </w:p>
    <w:p>
      <w:pPr>
        <w:pStyle w:val="Heading5"/>
        <w:numPr>
          <w:ilvl w:val="4"/>
          <w:numId w:val="1"/>
        </w:numPr>
        <w:rPr/>
      </w:pPr>
      <w:bookmarkStart w:id="1224" w:name="__RefHeading___Toc15203130_1280447820"/>
      <w:bookmarkStart w:id="1225" w:name="_Toc476"/>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هرگاه تطهیر مسجد به بذل مال توقف داشته باشد واجب است بذل شود</w:t>
      </w:r>
      <w:r>
        <w:rPr>
          <w:rFonts w:eastAsia="IRNazanin" w:cs="IRNazanin"/>
          <w:color w:val="111111"/>
          <w:sz w:val="28"/>
          <w:szCs w:val="28"/>
          <w:rtl w:val="true"/>
          <w:lang w:bidi="fa-IR"/>
        </w:rPr>
        <w:t xml:space="preserve">. </w:t>
      </w:r>
      <w:r>
        <w:rPr>
          <w:rStyle w:val="FootnoteAnchor"/>
          <w:rtl w:val="true"/>
        </w:rPr>
        <w:footnoteReference w:id="1481"/>
      </w:r>
    </w:p>
    <w:p>
      <w:pPr>
        <w:pStyle w:val="Heading5"/>
        <w:numPr>
          <w:ilvl w:val="4"/>
          <w:numId w:val="1"/>
        </w:numPr>
        <w:rPr/>
      </w:pPr>
      <w:bookmarkStart w:id="1226" w:name="__RefHeading___Toc15203132_1280447820"/>
      <w:bookmarkStart w:id="1227" w:name="_Toc477"/>
      <w:bookmarkEnd w:id="1226"/>
      <w:r>
        <w:rPr>
          <w:rtl w:val="true"/>
        </w:rPr>
        <w:t>گفتار اول</w:t>
      </w:r>
      <w:r>
        <w:rPr>
          <w:rtl w:val="true"/>
        </w:rPr>
        <w:t xml:space="preserve">: </w:t>
      </w:r>
      <w:r>
        <w:rPr>
          <w:rtl w:val="true"/>
        </w:rPr>
        <w:t>ادله وجوب بذل مال</w:t>
      </w:r>
      <w:bookmarkEnd w:id="1227"/>
    </w:p>
    <w:p>
      <w:pPr>
        <w:pStyle w:val="BookText"/>
        <w:rPr/>
      </w:pPr>
      <w:r>
        <w:rPr>
          <w:rFonts w:ascii="IRNazanin" w:hAnsi="IRNazanin" w:eastAsia="IRNazanin"/>
          <w:color w:val="111111"/>
          <w:sz w:val="28"/>
          <w:sz w:val="28"/>
          <w:szCs w:val="28"/>
          <w:rtl w:val="true"/>
          <w:lang w:bidi="fa-IR"/>
        </w:rPr>
        <w:t>شماری از فقیهان معاصر برای اثبات وجوب بذل مال به چندین دلیل تمسک کرده اند که در زیر به مهمترین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تطهیر مسجد و برطرف کردن نجاست از آن بر بذل مال توقف داشته باشد، مانند قیمت،آب اجرت آلات تطهیر و مزد کارگر بذل مال واجب است؛ زیرا بذل مال مقدمه تطهیر مسجد،است تطهیر چون واجب است مقدمه آن از نظر عقل و شرع، یا فقط از نظر عقل نیز واجب است</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دلیل وجوب ازاله به خوبی استفاده می شود که ازاله مطلقاً چه این که متوقف بر بذل مال باشد یا نباشد، واجب است</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سبزواری می گوید اصل وجوب بذل به جهت ظهور اجماع است</w:t>
      </w:r>
      <w:r>
        <w:rPr>
          <w:rFonts w:eastAsia="IRNazanin" w:cs="IRNazanin"/>
          <w:color w:val="111111"/>
          <w:sz w:val="28"/>
          <w:szCs w:val="28"/>
          <w:rtl w:val="true"/>
          <w:lang w:bidi="fa-IR"/>
        </w:rPr>
        <w:t xml:space="preserve">. </w:t>
      </w:r>
      <w:r>
        <w:rPr>
          <w:rStyle w:val="FootnoteAnchor"/>
          <w:rtl w:val="true"/>
        </w:rPr>
        <w:footnoteReference w:id="1484"/>
      </w:r>
      <w:r>
        <w:rPr>
          <w:rFonts w:ascii="IRNazanin" w:hAnsi="IRNazanin" w:eastAsia="IRNazanin"/>
          <w:color w:val="111111"/>
          <w:sz w:val="28"/>
          <w:sz w:val="28"/>
          <w:szCs w:val="28"/>
          <w:rtl w:val="true"/>
          <w:lang w:bidi="fa-IR"/>
        </w:rPr>
        <w:t>با توجه به این دلایل بذل مال برای تطهیر مسجد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بذل مال باید به مقداری باشد که در حق بذل کننده ضرر و حرجی نباشد اما اگر صرف مال در حق او موجب ضرر و حرج،باشد در این فرض به حسب ظاهر واجب نیست، چون قاعدة </w:t>
      </w:r>
      <w:bookmarkStart w:id="1228" w:name="pg19115_195699"/>
    </w:p>
    <w:p>
      <w:pPr>
        <w:pStyle w:val="BookText"/>
        <w:rPr/>
      </w:pPr>
      <w:bookmarkEnd w:id="1228"/>
      <w:r>
        <w:rPr>
          <w:rFonts w:ascii="IRNazanin" w:hAnsi="IRNazanin" w:eastAsia="IRNazanin"/>
          <w:color w:val="111111"/>
          <w:sz w:val="28"/>
          <w:sz w:val="28"/>
          <w:szCs w:val="28"/>
          <w:rtl w:val="true"/>
          <w:lang w:bidi="fa-IR"/>
        </w:rPr>
        <w:t>لا ضرر و قاعدة لاحرج اقتضا می کند عدم وجوب ازاله را؛ زیرا این دو قاعده بر ادله تمامی احکام شرعی که یکی از آنها وجوب ازاله است حاکم می باشند</w:t>
      </w:r>
      <w:r>
        <w:rPr>
          <w:rFonts w:eastAsia="IRNazanin" w:cs="IRNazanin"/>
          <w:color w:val="111111"/>
          <w:sz w:val="28"/>
          <w:szCs w:val="28"/>
          <w:rtl w:val="true"/>
          <w:lang w:bidi="fa-IR"/>
        </w:rPr>
        <w:t xml:space="preserve">. </w:t>
      </w:r>
      <w:r>
        <w:rPr>
          <w:rStyle w:val="FootnoteAnchor"/>
          <w:rtl w:val="true"/>
        </w:rPr>
        <w:footnoteReference w:id="1485"/>
      </w:r>
    </w:p>
    <w:p>
      <w:pPr>
        <w:pStyle w:val="Heading5"/>
        <w:numPr>
          <w:ilvl w:val="4"/>
          <w:numId w:val="1"/>
        </w:numPr>
        <w:rPr/>
      </w:pPr>
      <w:bookmarkStart w:id="1229" w:name="__RefHeading___Toc15203134_1280447820"/>
      <w:bookmarkStart w:id="1230" w:name="_Toc478"/>
      <w:bookmarkEnd w:id="1229"/>
      <w:r>
        <w:rPr>
          <w:rtl w:val="true"/>
        </w:rPr>
        <w:t>گفتار دوم</w:t>
      </w:r>
      <w:r>
        <w:rPr>
          <w:rtl w:val="true"/>
        </w:rPr>
        <w:t xml:space="preserve">: </w:t>
      </w:r>
      <w:r>
        <w:rPr>
          <w:rtl w:val="true"/>
        </w:rPr>
        <w:t>ضمان هزینه تطهیر مسجد</w:t>
      </w:r>
      <w:bookmarkEnd w:id="1230"/>
    </w:p>
    <w:p>
      <w:pPr>
        <w:pStyle w:val="BookText"/>
        <w:rPr/>
      </w:pPr>
      <w:r>
        <w:rPr>
          <w:rFonts w:ascii="IRNazanin" w:hAnsi="IRNazanin" w:eastAsia="IRNazanin"/>
          <w:color w:val="111111"/>
          <w:sz w:val="28"/>
          <w:sz w:val="28"/>
          <w:szCs w:val="28"/>
          <w:rtl w:val="true"/>
          <w:lang w:bidi="fa-IR"/>
        </w:rPr>
        <w:t>هرگاه تنجیس مسجد به سبب فعل شخصی انجام شود که او با اراده و اختیار خودش این فعل را محقق کرده،است آیا این شخص که مسبب آلوده شدن مسجد شده است هزینه تطهیر آن را ضامن است؟</w:t>
      </w:r>
    </w:p>
    <w:p>
      <w:pPr>
        <w:pStyle w:val="BookText"/>
        <w:rPr/>
      </w:pPr>
      <w:r>
        <w:rPr>
          <w:rFonts w:ascii="IRNazanin" w:hAnsi="IRNazanin" w:eastAsia="IRNazanin"/>
          <w:color w:val="111111"/>
          <w:sz w:val="28"/>
          <w:sz w:val="28"/>
          <w:szCs w:val="28"/>
          <w:rtl w:val="true"/>
          <w:lang w:bidi="fa-IR"/>
        </w:rPr>
        <w:t xml:space="preserve">سید یزدی در عروه عدم ضمان را تقویت کرده است، </w:t>
      </w:r>
      <w:r>
        <w:rPr>
          <w:rStyle w:val="FootnoteAnchor"/>
          <w:rtl w:val="true"/>
        </w:rPr>
        <w:footnoteReference w:id="1486"/>
      </w:r>
      <w:r>
        <w:rPr>
          <w:rFonts w:ascii="IRNazanin" w:hAnsi="IRNazanin" w:eastAsia="IRNazanin"/>
          <w:color w:val="111111"/>
          <w:sz w:val="28"/>
          <w:sz w:val="28"/>
          <w:szCs w:val="28"/>
          <w:rtl w:val="true"/>
          <w:lang w:bidi="fa-IR"/>
        </w:rPr>
        <w:t xml:space="preserve">ولی محقق بروجردی و سید عبدالهادی شیرازی بر این باورند که او ضامن است، </w:t>
      </w:r>
      <w:r>
        <w:rPr>
          <w:rStyle w:val="FootnoteAnchor"/>
          <w:rtl w:val="true"/>
        </w:rPr>
        <w:footnoteReference w:id="1487"/>
      </w:r>
      <w:r>
        <w:rPr>
          <w:rFonts w:ascii="IRNazanin" w:hAnsi="IRNazanin" w:eastAsia="IRNazanin"/>
          <w:color w:val="111111"/>
          <w:sz w:val="28"/>
          <w:sz w:val="28"/>
          <w:szCs w:val="28"/>
          <w:rtl w:val="true"/>
          <w:lang w:bidi="fa-IR"/>
        </w:rPr>
        <w:t>محقق بروجردی علت ضمان را این گونه بیان می کند که باقی ماندن نجاست در مسجد در حقیقت بقای عمل او می باشد و این عمل حدوثاً و بقاء بر او حرام است و همچنین بر او واجب است که آثار این عملش را از بین برده و مسجد را تطهیر و بر مسئولان و ناظران مسجد واجب است که او را بر این عمل ملزم و هزینه آن را از او اخذ کنند البته اگر شخص دیگری از باب تبرع به تطهیر مسجد مبادرت کرد نمی تواند برای اخذ هزینه آن به شخصی که مسبب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تنجس شده مراجعه کند</w:t>
      </w:r>
      <w:r>
        <w:rPr>
          <w:rFonts w:eastAsia="IRNazanin" w:cs="IRNazanin"/>
          <w:color w:val="111111"/>
          <w:sz w:val="28"/>
          <w:szCs w:val="28"/>
          <w:rtl w:val="true"/>
          <w:lang w:bidi="fa-IR"/>
        </w:rPr>
        <w:t xml:space="preserve">. </w:t>
      </w:r>
      <w:r>
        <w:rPr>
          <w:rStyle w:val="FootnoteAnchor"/>
          <w:rtl w:val="true"/>
        </w:rPr>
        <w:footnoteReference w:id="148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مُسبّب تنجس مسجد می باشد ضامن است ولی به این معنی که متولیان و ناظران مسجد او را به تطهیر مسجد ملزم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 دیگری به تطهیر مسجد مبادرت،کند حق مراجعه به او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این که قصد تبرع داشته باشد یا بدون قصد تبرع انجام دهد</w:t>
      </w:r>
      <w:r>
        <w:rPr>
          <w:rFonts w:eastAsia="IRNazanin" w:cs="IRNazanin"/>
          <w:color w:val="111111"/>
          <w:sz w:val="28"/>
          <w:szCs w:val="28"/>
          <w:rtl w:val="true"/>
          <w:lang w:bidi="fa-IR"/>
        </w:rPr>
        <w:t xml:space="preserve">. </w:t>
      </w:r>
      <w:r>
        <w:rPr>
          <w:rStyle w:val="FootnoteAnchor"/>
          <w:rtl w:val="true"/>
        </w:rPr>
        <w:footnoteReference w:id="148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سبزواری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بودن مسجد یک نوع نقص و کاستی در آن است که به فعل همین شخص محقق شده و او سبب این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تدارک این نقص به عهدهٔ همین شخص می باشد بدین جهت متولی و ناظر مسجد یا حاکم شرعی حق مطالبه از او را دارد</w:t>
      </w:r>
      <w:r>
        <w:rPr>
          <w:rFonts w:eastAsia="IRNazanin" w:cs="IRNazanin"/>
          <w:color w:val="111111"/>
          <w:sz w:val="28"/>
          <w:szCs w:val="28"/>
          <w:rtl w:val="true"/>
          <w:lang w:bidi="fa-IR"/>
        </w:rPr>
        <w:t xml:space="preserve">. </w:t>
      </w:r>
      <w:r>
        <w:rPr>
          <w:rStyle w:val="FootnoteAnchor"/>
          <w:rtl w:val="true"/>
        </w:rPr>
        <w:footnoteReference w:id="1490"/>
      </w:r>
      <w:bookmarkStart w:id="1231" w:name="pg19115_195701"/>
    </w:p>
    <w:p>
      <w:pPr>
        <w:pStyle w:val="Heading3"/>
        <w:numPr>
          <w:ilvl w:val="2"/>
          <w:numId w:val="1"/>
        </w:numPr>
        <w:rPr/>
      </w:pPr>
      <w:bookmarkStart w:id="1232" w:name="__RefHeading___Toc15203136_1280447820"/>
      <w:bookmarkStart w:id="1233" w:name="_Toc479"/>
      <w:bookmarkEnd w:id="1231"/>
      <w:bookmarkEnd w:id="1232"/>
      <w:r>
        <w:rPr>
          <w:rtl w:val="true"/>
        </w:rPr>
        <w:t>فصل سوم</w:t>
      </w:r>
      <w:r>
        <w:rPr>
          <w:rtl w:val="true"/>
        </w:rPr>
        <w:t xml:space="preserve">: </w:t>
      </w:r>
      <w:r>
        <w:rPr>
          <w:rtl w:val="true"/>
        </w:rPr>
        <w:t>بررسی ورود گروههای خاص به مسجد</w:t>
      </w:r>
      <w:bookmarkEnd w:id="1233"/>
    </w:p>
    <w:p>
      <w:pPr>
        <w:pStyle w:val="Heading4"/>
        <w:numPr>
          <w:ilvl w:val="3"/>
          <w:numId w:val="1"/>
        </w:numPr>
        <w:rPr/>
      </w:pPr>
      <w:bookmarkStart w:id="1234" w:name="__RefHeading___Toc15203138_1280447820"/>
      <w:bookmarkStart w:id="1235" w:name="_Toc480"/>
      <w:bookmarkEnd w:id="1234"/>
      <w:r>
        <w:rPr>
          <w:rtl w:val="true"/>
        </w:rPr>
        <w:t>اشاره</w:t>
      </w:r>
      <w:bookmarkEnd w:id="1235"/>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مسجد</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کودکان و دیوانگان به مسجد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کفار به مسجد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6" w:name="pg19115_195703"/>
      <w:bookmarkStart w:id="1237" w:name="pg19115_195703"/>
      <w:bookmarkEnd w:id="1237"/>
    </w:p>
    <w:p>
      <w:pPr>
        <w:pStyle w:val="Heading4"/>
        <w:numPr>
          <w:ilvl w:val="3"/>
          <w:numId w:val="1"/>
        </w:numPr>
        <w:rPr/>
      </w:pPr>
      <w:bookmarkStart w:id="1238" w:name="pg19115_195703"/>
      <w:bookmarkStart w:id="1239" w:name="__RefHeading___Toc15203140_1280447820"/>
      <w:bookmarkStart w:id="1240" w:name="_Toc481"/>
      <w:bookmarkEnd w:id="1238"/>
      <w:bookmarkEnd w:id="1239"/>
      <w:r>
        <w:rPr>
          <w:rtl w:val="true"/>
        </w:rPr>
        <w:t>مبحث اول</w:t>
      </w:r>
      <w:r>
        <w:rPr>
          <w:rtl w:val="true"/>
        </w:rPr>
        <w:t xml:space="preserve">: </w:t>
      </w:r>
      <w:r>
        <w:rPr>
          <w:rtl w:val="true"/>
        </w:rPr>
        <w:t>حضور زنان در مسجد</w:t>
      </w:r>
      <w:bookmarkEnd w:id="1240"/>
    </w:p>
    <w:p>
      <w:pPr>
        <w:pStyle w:val="Heading5"/>
        <w:numPr>
          <w:ilvl w:val="4"/>
          <w:numId w:val="1"/>
        </w:numPr>
        <w:rPr/>
      </w:pPr>
      <w:bookmarkStart w:id="1241" w:name="__RefHeading___Toc15203142_1280447820"/>
      <w:bookmarkStart w:id="1242" w:name="_Toc482"/>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در مورد حضور زنان در مسجد در میان فقیهان امامیه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بر این باورند که مشروعیت آمدن به مسجد اختصاص به مردان دارد و حضور زنان برای نماز خواندن هیچ فضیلت و استحبابی ندارد، </w:t>
      </w:r>
      <w:r>
        <w:rPr>
          <w:rStyle w:val="FootnoteAnchor"/>
          <w:rtl w:val="true"/>
        </w:rPr>
        <w:footnoteReference w:id="1491"/>
      </w:r>
      <w:r>
        <w:rPr>
          <w:rFonts w:ascii="IRNazanin" w:hAnsi="IRNazanin" w:eastAsia="IRNazanin"/>
          <w:color w:val="111111"/>
          <w:sz w:val="28"/>
          <w:sz w:val="28"/>
          <w:szCs w:val="28"/>
          <w:rtl w:val="true"/>
          <w:lang w:bidi="fa-IR"/>
        </w:rPr>
        <w:t>حتی برخی نماز خواندن زنان را در مسجد مکروه می دانند</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معتقدند که نماز خواندن بانوان در مسجد همانند مردان افضل بوده و مستحب می باشد شهید اول در دروس می نویسد رفت و آمدن زنها به مسجد همانند مردان مستحب است هر چند نماز خواندن زن در خانه افضل است</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ایشان همچنین در ذکری می نویسد آن چه به ذهن نزدیکتر می باشد این است که رفتن زنان به مساجد مشروع و جایز است</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کلمات عده ی از فقها اطلاق دارند شامل زن و مرد هر دو می شوند</w:t>
      </w:r>
      <w:r>
        <w:rPr>
          <w:rFonts w:eastAsia="IRNazanin" w:cs="IRNazanin"/>
          <w:color w:val="111111"/>
          <w:sz w:val="28"/>
          <w:szCs w:val="28"/>
          <w:rtl w:val="true"/>
          <w:lang w:bidi="fa-IR"/>
        </w:rPr>
        <w:t xml:space="preserve">. </w:t>
      </w:r>
      <w:r>
        <w:rPr>
          <w:rStyle w:val="FootnoteAnchor"/>
          <w:rtl w:val="true"/>
        </w:rPr>
        <w:footnoteReference w:id="1495"/>
      </w:r>
    </w:p>
    <w:p>
      <w:pPr>
        <w:pStyle w:val="Heading5"/>
        <w:numPr>
          <w:ilvl w:val="4"/>
          <w:numId w:val="1"/>
        </w:numPr>
        <w:rPr/>
      </w:pPr>
      <w:bookmarkStart w:id="1243" w:name="__RefHeading___Toc15203144_1280447820"/>
      <w:bookmarkStart w:id="1244" w:name="_Toc483"/>
      <w:bookmarkEnd w:id="1243"/>
      <w:r>
        <w:rPr>
          <w:rtl w:val="true"/>
        </w:rPr>
        <w:t>گفتار اول</w:t>
      </w:r>
      <w:r>
        <w:rPr>
          <w:rtl w:val="true"/>
        </w:rPr>
        <w:t xml:space="preserve">: </w:t>
      </w:r>
      <w:r>
        <w:rPr>
          <w:rtl w:val="true"/>
        </w:rPr>
        <w:t>ادله دیدگاه نخست؛ عدم استحباب</w:t>
      </w:r>
      <w:bookmarkEnd w:id="124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این دیدگاه به آیات و روایات فراوانی استشهاد شده که از جمله آنها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p>
    <w:p>
      <w:p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دیگر زنان نیستید اگر تقوا پیشه کنید بنابراین به نرمی سخن نگویید تا آنکه در قلبش مرض است طمع ورزد و به گونه ای نیک سخن 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در آیه 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 وَلَا تَبَرَّجْنَ تَبَرُّجَ الْجَاهِلِيَّةِ الأولی</w:t>
      </w:r>
      <w:r>
        <w:rPr>
          <w:rFonts w:ascii="IRNazanin" w:hAnsi="IRNazanin" w:eastAsia="IRNazanin"/>
          <w:color w:val="111111"/>
          <w:sz w:val="28"/>
          <w:sz w:val="28"/>
          <w:szCs w:val="28"/>
          <w:rtl w:val="true"/>
          <w:lang w:bidi="fa-IR"/>
        </w:rPr>
        <w:t>؛ در خانه های خود قرار گیرید و مانند روزگار جاهلیت قدیم، زینتهای خود را آشکار مکنید</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مستقر شدن و برجای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با توجه به این معنا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لطیفی است؛ یعنی خانه پایگاه زن است؛ از این رو، زن به قدر نیاز و حاجت می تواند از منزل خارج شود</w:t>
      </w:r>
      <w:r>
        <w:rPr>
          <w:rFonts w:eastAsia="IRNazanin" w:cs="IRNazanin"/>
          <w:color w:val="111111"/>
          <w:sz w:val="28"/>
          <w:szCs w:val="28"/>
          <w:rtl w:val="true"/>
          <w:lang w:bidi="fa-IR"/>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ناگفته نماند که طرف خطاب خداوند در آیه،مزبور همسران پیامبرند ولی در مورد هر یک از زنان مسلمان نیز می تواند صادق باشد در آیه قبل زنان پیامبر صلی الله علیه و آله از سخن گفتن هوس انگیز و مهیج نهی شدهاند تا از طمع و آزار بیگانگان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 در خانه هایتان بمانید و همچون زنان جاهلیت در میان جمعیت ظاهر نشوید و اندام و زیبایی و زینت خود را در معرض تماشای دیگران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بیانگر اهمیت حجاب اسلامی و نهی از خودنمایی است که به زنان مسلمان دستور می دهد همانند زنان عصر جاهلیت نخستین هنگام حضور در،اجتماع از خودنمایی و خودآرایی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المرأةِ وَحدَها في بيتها كفَضل صَلاتِها فِي الجَمَعِ خَمساً وَ عِشرينَ درجةً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 تنهایی و در خانه نماز خواندن زن، مثل نماز در</w:t>
      </w:r>
    </w:p>
    <w:p>
      <w:pPr>
        <w:pStyle w:val="BookText"/>
        <w:rPr/>
      </w:pPr>
      <w:r>
        <w:rPr>
          <w:rFonts w:ascii="IRNazanin" w:hAnsi="IRNazanin" w:eastAsia="IRNazanin"/>
          <w:color w:val="111111"/>
          <w:sz w:val="28"/>
          <w:sz w:val="28"/>
          <w:szCs w:val="28"/>
          <w:rtl w:val="true"/>
          <w:lang w:bidi="fa-IR"/>
        </w:rPr>
        <w:t xml:space="preserve">جمع است در حالی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فضیلت دارد</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خَيْرَ مَسَاجِدِ النِّسَاء الْبُيُوتُ وَ صَلَاةَ الْمَرْأَةِ فِي بَيْتِهَا أَفْضَلُ مِنْ صَلَاتِهَا فِي صُفَّتِهَا وَ صَلَاتَهَا فِي صُفَتِهَا أَفْضَلُ مِنْ صَلَاتِهَا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صحن دَارِهَا وَ صَلَاتَهَا فِي صَحْن دَارِهَا أَفْضَلُ مِنْ صَلَاتِهَا فِي سَطْحِ بَيْتِهَا</w:t>
      </w:r>
      <w:r>
        <w:rPr>
          <w:rFonts w:ascii="IRNazanin" w:hAnsi="IRNazanin" w:eastAsia="IRNazanin"/>
          <w:color w:val="111111"/>
          <w:sz w:val="28"/>
          <w:sz w:val="28"/>
          <w:szCs w:val="28"/>
          <w:rtl w:val="true"/>
          <w:lang w:bidi="fa-IR"/>
        </w:rPr>
        <w:t>؛ بهترين مسجد،زنان خانه است و نماز در خانه برتر از نماز او در ایوان است؛ و نماز او در ایوان برتر از نمازش در حیاط خانه اش است؛ و نماز او در حیاط خانه برتر از نمازش بر پشت بام خانه است</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مَسَاجِدِ نِسَائِكُمُ الْبُيُوتُ</w:t>
      </w:r>
      <w:r>
        <w:rPr>
          <w:rFonts w:ascii="IRNazanin" w:hAnsi="IRNazanin" w:eastAsia="IRNazanin"/>
          <w:color w:val="111111"/>
          <w:sz w:val="28"/>
          <w:sz w:val="28"/>
          <w:szCs w:val="28"/>
          <w:rtl w:val="true"/>
          <w:lang w:bidi="fa-IR"/>
        </w:rPr>
        <w:t>؛ بهترین مساجد برای زنان شما خانه هاست</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صَلَاةُ الْمَرْأَةِ فِي مِخْدَعِهَا أَفْضَلُ مِنْ صَلَاتِهَا فِي بَيْتِهَا وَ صَلَاتُهَا فِي بَيْتِهَا أَفْضَلُ مِنْ صَلَاتِهَا فِي الدار</w:t>
      </w:r>
      <w:r>
        <w:rPr>
          <w:rFonts w:ascii="IRNazanin" w:hAnsi="IRNazanin" w:eastAsia="IRNazanin"/>
          <w:color w:val="111111"/>
          <w:sz w:val="28"/>
          <w:sz w:val="28"/>
          <w:szCs w:val="28"/>
          <w:rtl w:val="true"/>
          <w:lang w:bidi="fa-IR"/>
        </w:rPr>
        <w:t xml:space="preserve">؛ نماز زن در اطاق 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نماز او در اطاق جلویی است و نماز او در اطاق نشیمن برتر از نمازش در خانه اش است</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مضمون این روایات در کتب حدیثی اهل سنت نیز وارد شده است</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برای نمونه یکی از همسران پیامبر صلی الله علیه و آله نقل می کند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مَساجِدِ النِّساء، فَعرُ بُيُوتِهنَّ</w:t>
      </w:r>
      <w:r>
        <w:rPr>
          <w:rFonts w:ascii="IRNazanin" w:hAnsi="IRNazanin" w:eastAsia="IRNazanin"/>
          <w:color w:val="111111"/>
          <w:sz w:val="28"/>
          <w:sz w:val="28"/>
          <w:szCs w:val="28"/>
          <w:rtl w:val="true"/>
          <w:lang w:bidi="fa-IR"/>
        </w:rPr>
        <w:t>؛ بهترین مساجد برای زنان اطاقهای عقب خانه های آنان است</w:t>
      </w:r>
      <w:r>
        <w:rPr>
          <w:rFonts w:eastAsia="IRNazanin" w:cs="IRNazanin"/>
          <w:color w:val="111111"/>
          <w:sz w:val="28"/>
          <w:szCs w:val="28"/>
          <w:rtl w:val="true"/>
          <w:lang w:bidi="fa-IR"/>
        </w:rPr>
        <w:t xml:space="preserve">. </w:t>
      </w:r>
      <w:r>
        <w:rPr>
          <w:rStyle w:val="FootnoteAnchor"/>
          <w:rtl w:val="true"/>
        </w:rPr>
        <w:footnoteReference w:id="1503"/>
      </w:r>
      <w:bookmarkStart w:id="1245" w:name="pg19115_195706"/>
    </w:p>
    <w:p>
      <w:pPr>
        <w:pStyle w:val="Heading5"/>
        <w:numPr>
          <w:ilvl w:val="4"/>
          <w:numId w:val="1"/>
        </w:numPr>
        <w:rPr/>
      </w:pPr>
      <w:bookmarkStart w:id="1246" w:name="__RefHeading___Toc15203146_1280447820"/>
      <w:bookmarkStart w:id="1247" w:name="_Toc484"/>
      <w:bookmarkEnd w:id="1245"/>
      <w:bookmarkEnd w:id="1246"/>
      <w:r>
        <w:rPr>
          <w:rtl w:val="true"/>
        </w:rPr>
        <w:t>گفتار دوم</w:t>
      </w:r>
      <w:r>
        <w:rPr>
          <w:rtl w:val="true"/>
        </w:rPr>
        <w:t xml:space="preserve">: </w:t>
      </w:r>
      <w:r>
        <w:rPr>
          <w:rtl w:val="true"/>
        </w:rPr>
        <w:t>ادله دیدگاه دوم</w:t>
      </w:r>
      <w:r>
        <w:rPr>
          <w:rtl w:val="true"/>
        </w:rPr>
        <w:t xml:space="preserve">: </w:t>
      </w:r>
      <w:r>
        <w:rPr>
          <w:rtl w:val="true"/>
        </w:rPr>
        <w:t>استحباب</w:t>
      </w:r>
      <w:bookmarkEnd w:id="1247"/>
    </w:p>
    <w:p>
      <w:pPr>
        <w:pStyle w:val="Heading6"/>
        <w:numPr>
          <w:ilvl w:val="5"/>
          <w:numId w:val="1"/>
        </w:numPr>
        <w:rPr/>
      </w:pPr>
      <w:bookmarkStart w:id="1248" w:name="__RefHeading___Toc15203148_1280447820"/>
      <w:bookmarkStart w:id="1249" w:name="_Toc485"/>
      <w:bookmarkEnd w:id="1248"/>
      <w:r>
        <w:rPr>
          <w:rtl w:val="true"/>
        </w:rPr>
        <w:t>اشاره</w:t>
      </w:r>
      <w:bookmarkEnd w:id="1249"/>
    </w:p>
    <w:p>
      <w:pPr>
        <w:pStyle w:val="BookText"/>
        <w:rPr/>
      </w:pPr>
      <w:r>
        <w:rPr>
          <w:rFonts w:ascii="IRNazanin" w:hAnsi="IRNazanin" w:eastAsia="IRNazanin"/>
          <w:color w:val="111111"/>
          <w:sz w:val="28"/>
          <w:sz w:val="28"/>
          <w:szCs w:val="28"/>
          <w:rtl w:val="true"/>
          <w:lang w:bidi="fa-IR"/>
        </w:rPr>
        <w:t xml:space="preserve">عده ای از فقهای عظام شیعه معتقدند که نه تنها حضور بانوان در مسجد مانند دیگر عرصه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شئون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بلکه امری نیکو و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جواز و استحباب حضور زنان در مسجد عمومات و اطلاقات روایاتی است که بیانگر ترغیب و تشویق بر رفت و آمد به مساجد و بهره مندی از فضائل مسجد بر انسان قطع نظر از جنسیت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همگی مشعر بر این است که مساجد متعلق به تمام مردم اعم 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در روایات ذیل به روشنی در می یابیم که میان مرد و زن در این زمینه هیچگونه تفاوتی وجود ندارد؛ زیرا واژه هایی مانند انسانهای با تقوا مؤمن، متقین اهل مسجد منع نکردن و جز،آن اختصاص به گروه خاصی ندارد و برای عموم مسلمانان است از جمله این روایات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در لب اللباب نقل می کند که 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 های انسانهای با تقواست</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مساجد خانه های من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کسی که مساجد را خانه خود قرار دهد و 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به آن مداومت داشته باشد</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حسن علیه السلام نقل شده که حضرت فرمود اهل مسجد زائر خدا هستند و بر صاحب خانه است که بر زائرش هدیه ای بدهد</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روایات متعددی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مسجدی از مساجد خدا برود برای هر گامی که بر می دارد تا به منزل برگردد ده حسنه برایش نوشته می شود و ده گناه از او برداشته و ده درجه ترفیع می یابد</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از این رو، روایاتی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واژه ها شروع شده دلالت بر عموم می کند و همان استحبابی را که برای مردان ثابت می کند، برای بانوان نیز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شواهد تاریخی حاکی از حضور زنان در مسجد برای نماز جماعت به خصوص نماز صبح و عشائین در عصر رسول خدا صلی الله علیه و آله از مسلمات تاریخ اسلام است که از جمله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مؤمن، نماز را با پیامبر صلی الله علیه و آله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تمام بدن آنها را می پوشاند به تن داشتند و این زنان در تاریکی بازشناخته نمی شدند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50" w:name="pg19115_195708"/>
    </w:p>
    <w:p>
      <w:pPr>
        <w:pStyle w:val="BookText"/>
        <w:rPr/>
      </w:pPr>
      <w:bookmarkEnd w:id="125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خود دلیل گویایی بر جواز حضور زنان در مسجد است سیره خود پیامبر اعظم صلی الله علیه و آله می باشد؛ چنان که ابن عباس درباره پیامبر و عملکرد ایشان چنین می گوید رسول خدا دختران و زنان خود را برای اقامه جماعت در نمازهای عیدین به خارج خانه می بردند</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درباره حضور زنان در نماز جماعت مسجد در روزهای آغازین رسالت نبوی صلی الله علیه و آله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عصر پیامبر صلی الله علیه و آله و نماز را با پیامبر صلی الله علیه و آله به جای می آوردند به زنان دستور داده شده بود که چون لباس مردان کوتاه بود قبل از مردان سر از سجده برندارند</w:t>
      </w:r>
      <w:r>
        <w:rPr>
          <w:rFonts w:eastAsia="IRNazanin" w:cs="IRNazanin"/>
          <w:color w:val="111111"/>
          <w:sz w:val="28"/>
          <w:szCs w:val="28"/>
          <w:rtl w:val="true"/>
          <w:lang w:bidi="fa-IR"/>
        </w:rPr>
        <w:t xml:space="preserve">. </w:t>
      </w:r>
      <w:r>
        <w:rPr>
          <w:rStyle w:val="FootnoteAnchor"/>
          <w:rtl w:val="true"/>
        </w:rPr>
        <w:footnoteReference w:id="150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گرامی اش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خواندن نماز جماعت، صدای گریه طفلی را شنید که مادرش او را با خود به مسجد آورده بود آن حضرت نماز را کوتاه کرد تا مبادا نگرانی در مادرش پیدا شود</w:t>
      </w:r>
      <w:r>
        <w:rPr>
          <w:rFonts w:eastAsia="IRNazanin" w:cs="IRNazanin"/>
          <w:color w:val="111111"/>
          <w:sz w:val="28"/>
          <w:szCs w:val="28"/>
          <w:rtl w:val="true"/>
          <w:lang w:bidi="fa-IR"/>
        </w:rPr>
        <w:t>.</w:t>
      </w:r>
      <w:r>
        <w:rPr>
          <w:rStyle w:val="FootnoteAnchor"/>
          <w:rtl w:val="true"/>
        </w:rPr>
        <w:footnoteReference w:id="1510"/>
      </w:r>
    </w:p>
    <w:p>
      <w:pPr>
        <w:pStyle w:val="Heading6"/>
        <w:numPr>
          <w:ilvl w:val="5"/>
          <w:numId w:val="1"/>
        </w:numPr>
        <w:rPr/>
      </w:pPr>
      <w:bookmarkStart w:id="1251" w:name="__RefHeading___Toc15203150_1280447820"/>
      <w:bookmarkStart w:id="1252" w:name="_Toc486"/>
      <w:bookmarkEnd w:id="1251"/>
      <w:r>
        <w:rPr>
          <w:rtl w:val="true"/>
        </w:rPr>
        <w:t>ادله جواز رفتن زنان به مسجد در منابع اهل سنّت</w:t>
      </w:r>
      <w:bookmarkEnd w:id="125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صحاح اهل سنّت و غیر صحاح آنان احادیثی وارد شده است که به طور صریح دلالت می کنند بر این که رفتن زنان به مساجد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آنها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از پیامبر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همسران شما اجازه خواستند که در شب به مسجد بروند به آنان اجازه بدهید</w:t>
      </w:r>
      <w:r>
        <w:rPr>
          <w:rFonts w:eastAsia="IRNazanin" w:cs="IRNazanin"/>
          <w:color w:val="111111"/>
          <w:sz w:val="28"/>
          <w:szCs w:val="28"/>
          <w:rtl w:val="true"/>
          <w:lang w:bidi="fa-IR"/>
        </w:rPr>
        <w:t xml:space="preserve">. </w:t>
      </w:r>
      <w:r>
        <w:rPr>
          <w:rStyle w:val="FootnoteAnchor"/>
          <w:rtl w:val="true"/>
        </w:rPr>
        <w:footnoteReference w:id="1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عبدالله از پدرش از پیامبر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همسر یکی از شما برای رفتن به مسجد اجازه خواست مانع او نشوید</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از پیامبر خدا صلی الله علیه و آله 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خدا را از مساجد خدا منع نکنید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او از پیامبر خدا صلی الله علیه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 جهت رفتن به مسجد از شما اجازه خواستند آنان را از این ثواب و بهره منع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یعنی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آنان را از این امر منع می کنیم،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پیامبر خدا صلی الله علیه و آله گفته است و تو می گویی ما منع می کنیم</w:t>
      </w:r>
      <w:r>
        <w:rPr>
          <w:rFonts w:eastAsia="IRNazanin" w:cs="IRNazanin"/>
          <w:color w:val="111111"/>
          <w:sz w:val="28"/>
          <w:szCs w:val="28"/>
          <w:rtl w:val="true"/>
          <w:lang w:bidi="fa-IR"/>
        </w:rPr>
        <w:t xml:space="preserve">. </w:t>
      </w:r>
      <w:r>
        <w:rPr>
          <w:rStyle w:val="FootnoteAnchor"/>
          <w:rtl w:val="true"/>
        </w:rPr>
        <w:footnoteReference w:id="151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به نظر می رسد مقتضای اصالت اشتراک در تکالیف و احکام نیز جواز رفتن زنان در مساجد است ولی بین فقها اختلافی نیست بلکه اتفاق آنان بر </w:t>
      </w:r>
      <w:bookmarkStart w:id="1253" w:name="pg19115_195710"/>
    </w:p>
    <w:p>
      <w:pPr>
        <w:pStyle w:val="BookText"/>
        <w:rPr/>
      </w:pPr>
      <w:bookmarkEnd w:id="1253"/>
      <w:r>
        <w:rPr>
          <w:rFonts w:ascii="IRNazanin" w:hAnsi="IRNazanin" w:eastAsia="IRNazanin"/>
          <w:color w:val="111111"/>
          <w:sz w:val="28"/>
          <w:sz w:val="28"/>
          <w:szCs w:val="28"/>
          <w:rtl w:val="true"/>
          <w:lang w:bidi="fa-IR"/>
        </w:rPr>
        <w:t>این است که اگر زنان در منزل نماز را بجای آورند فضیلت و ثوابش بیشتر است از نماز در مسجد؛ چرا که در این کار پوشش مطلوب برای آنها ایجاد شده و ترس از افتادن به گناه و فتنه دیگر وجود ندارد</w:t>
      </w:r>
      <w:r>
        <w:rPr>
          <w:rFonts w:eastAsia="IRNazanin" w:cs="IRNazanin"/>
          <w:color w:val="111111"/>
          <w:sz w:val="28"/>
          <w:szCs w:val="28"/>
          <w:rtl w:val="true"/>
          <w:lang w:bidi="fa-IR"/>
        </w:rPr>
        <w:t xml:space="preserve">.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سید یزدی رحمه الله نیز در عروه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نمازشان را در خانه ها بجای آورند فضیلت و ثواب آن بیشتر است و بهترین مکان در خانه هم صندوق خانه می باشد افضلیت نماز واجب در مساجد برای مردان است نه زنان</w:t>
      </w:r>
      <w:r>
        <w:rPr>
          <w:rFonts w:eastAsia="IRNazanin" w:cs="IRNazanin"/>
          <w:color w:val="111111"/>
          <w:sz w:val="28"/>
          <w:szCs w:val="28"/>
          <w:rtl w:val="true"/>
          <w:lang w:bidi="fa-IR"/>
        </w:rPr>
        <w:t xml:space="preserve">. </w:t>
      </w:r>
      <w:r>
        <w:rPr>
          <w:rStyle w:val="FootnoteAnchor"/>
          <w:rtl w:val="true"/>
        </w:rPr>
        <w:footnoteReference w:id="1516"/>
      </w:r>
    </w:p>
    <w:p>
      <w:pPr>
        <w:pStyle w:val="Heading4"/>
        <w:numPr>
          <w:ilvl w:val="3"/>
          <w:numId w:val="1"/>
        </w:numPr>
        <w:rPr/>
      </w:pPr>
      <w:bookmarkStart w:id="1254" w:name="__RefHeading___Toc15203152_1280447820"/>
      <w:bookmarkStart w:id="1255" w:name="_Toc487"/>
      <w:bookmarkEnd w:id="1254"/>
      <w:r>
        <w:rPr>
          <w:rtl w:val="true"/>
        </w:rPr>
        <w:t>مبحث دوم</w:t>
      </w:r>
      <w:r>
        <w:rPr>
          <w:rtl w:val="true"/>
        </w:rPr>
        <w:t xml:space="preserve">: </w:t>
      </w:r>
      <w:r>
        <w:rPr>
          <w:rtl w:val="true"/>
        </w:rPr>
        <w:t>راه دادن کودکان و دیوانگان به مسجد</w:t>
      </w:r>
      <w:bookmarkEnd w:id="1255"/>
    </w:p>
    <w:p>
      <w:pPr>
        <w:pStyle w:val="Heading5"/>
        <w:numPr>
          <w:ilvl w:val="4"/>
          <w:numId w:val="1"/>
        </w:numPr>
        <w:rPr/>
      </w:pPr>
      <w:bookmarkStart w:id="1256" w:name="__RefHeading___Toc15203154_1280447820"/>
      <w:bookmarkStart w:id="1257" w:name="_Toc488"/>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یکی دیگر از مسائل و احکامی که فقیهان امامیه پیرامون مسجد ذکر کرده اند، راه دادن کودکان و دیوانگان به مسجد است در این باره سه دیدگاه در میان فقیهان امامیه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این کراهت را به صورت مطلق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این کراهت را مختص به دیوانگان دانسته و نسبت به کودکان چیزی بیان نکرده اند که نشانگر آن است نسبت به ورود کودکان به مسجد قائل به اباحه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نیز قائل به تفصیل شده و این حکم کراهتی را در مورد کودکان مختص به کودکی می دانند که ترس نجس کردن مسجد در او می رود، اما اگر </w:t>
      </w:r>
      <w:bookmarkStart w:id="1258" w:name="pg19115_195711"/>
    </w:p>
    <w:p>
      <w:pPr>
        <w:pStyle w:val="BookText"/>
        <w:rPr/>
      </w:pPr>
      <w:bookmarkEnd w:id="1258"/>
      <w:r>
        <w:rPr>
          <w:rFonts w:ascii="IRNazanin" w:hAnsi="IRNazanin" w:eastAsia="IRNazanin"/>
          <w:color w:val="111111"/>
          <w:sz w:val="28"/>
          <w:sz w:val="28"/>
          <w:szCs w:val="28"/>
          <w:rtl w:val="true"/>
          <w:lang w:bidi="fa-IR"/>
        </w:rPr>
        <w:t>کودک به گونه ای باشد که در این باره به او اطمینان داریم راه دادن آنها به مسجد نه تنها کراهت،ندارد بلکه مستحب است که آنها را به آمدن به مسجد تمرین دهند</w:t>
      </w:r>
      <w:r>
        <w:rPr>
          <w:rFonts w:eastAsia="IRNazanin" w:cs="IRNazanin"/>
          <w:color w:val="111111"/>
          <w:sz w:val="28"/>
          <w:szCs w:val="28"/>
          <w:rtl w:val="true"/>
          <w:lang w:bidi="fa-IR"/>
        </w:rPr>
        <w:t>.</w:t>
      </w:r>
    </w:p>
    <w:p>
      <w:pPr>
        <w:pStyle w:val="Heading5"/>
        <w:numPr>
          <w:ilvl w:val="4"/>
          <w:numId w:val="1"/>
        </w:numPr>
        <w:rPr/>
      </w:pPr>
      <w:bookmarkStart w:id="1259" w:name="__RefHeading___Toc15203156_1280447820"/>
      <w:bookmarkStart w:id="1260" w:name="_Toc489"/>
      <w:bookmarkEnd w:id="1259"/>
      <w:r>
        <w:rPr>
          <w:rtl w:val="true"/>
        </w:rPr>
        <w:t>الف</w:t>
      </w:r>
      <w:r>
        <w:rPr>
          <w:rtl w:val="true"/>
        </w:rPr>
        <w:t xml:space="preserve">) </w:t>
      </w:r>
      <w:r>
        <w:rPr>
          <w:rtl w:val="true"/>
        </w:rPr>
        <w:t>دیدگاه نخست</w:t>
      </w:r>
      <w:r>
        <w:rPr>
          <w:rtl w:val="true"/>
        </w:rPr>
        <w:t xml:space="preserve">: </w:t>
      </w:r>
      <w:r>
        <w:rPr>
          <w:rtl w:val="true"/>
        </w:rPr>
        <w:t>کراهت</w:t>
      </w:r>
      <w:bookmarkEnd w:id="1260"/>
    </w:p>
    <w:p>
      <w:pPr>
        <w:pStyle w:val="Heading6"/>
        <w:numPr>
          <w:ilvl w:val="5"/>
          <w:numId w:val="1"/>
        </w:numPr>
        <w:rPr/>
      </w:pPr>
      <w:bookmarkStart w:id="1261" w:name="__RefHeading___Toc15203158_1280447820"/>
      <w:bookmarkStart w:id="1262" w:name="_Toc490"/>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از جمله فقیهانی که دیدگاه نخست را برگزیده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رحمه الله در نهایه </w:t>
      </w:r>
      <w:r>
        <w:rPr>
          <w:rStyle w:val="FootnoteAnchor"/>
          <w:rtl w:val="true"/>
        </w:rPr>
        <w:footnoteReference w:id="1517"/>
      </w:r>
      <w:r>
        <w:rPr>
          <w:rFonts w:ascii="IRNazanin" w:hAnsi="IRNazanin" w:eastAsia="IRNazanin"/>
          <w:color w:val="111111"/>
          <w:sz w:val="28"/>
          <w:sz w:val="28"/>
          <w:szCs w:val="28"/>
          <w:rtl w:val="true"/>
          <w:lang w:bidi="fa-IR"/>
        </w:rPr>
        <w:t xml:space="preserve">و مبسوط، </w:t>
      </w:r>
      <w:r>
        <w:rPr>
          <w:rStyle w:val="FootnoteAnchor"/>
          <w:rtl w:val="true"/>
        </w:rPr>
        <w:footnoteReference w:id="1518"/>
      </w:r>
      <w:r>
        <w:rPr>
          <w:rFonts w:ascii="IRNazanin" w:hAnsi="IRNazanin" w:eastAsia="IRNazanin"/>
          <w:color w:val="111111"/>
          <w:sz w:val="28"/>
          <w:sz w:val="28"/>
          <w:szCs w:val="28"/>
          <w:rtl w:val="true"/>
          <w:lang w:bidi="fa-IR"/>
        </w:rPr>
        <w:t xml:space="preserve">ابن ادریس حلی در سرائر، </w:t>
      </w:r>
      <w:r>
        <w:rPr>
          <w:rStyle w:val="FootnoteAnchor"/>
          <w:rtl w:val="true"/>
        </w:rPr>
        <w:footnoteReference w:id="1519"/>
      </w:r>
      <w:r>
        <w:rPr>
          <w:rFonts w:ascii="IRNazanin" w:hAnsi="IRNazanin" w:eastAsia="IRNazanin"/>
          <w:color w:val="111111"/>
          <w:sz w:val="28"/>
          <w:sz w:val="28"/>
          <w:szCs w:val="28"/>
          <w:rtl w:val="true"/>
          <w:lang w:bidi="fa-IR"/>
        </w:rPr>
        <w:t xml:space="preserve">محقق حلی رحمه الله در معتبر، </w:t>
      </w:r>
      <w:r>
        <w:rPr>
          <w:rStyle w:val="FootnoteAnchor"/>
          <w:rtl w:val="true"/>
        </w:rPr>
        <w:footnoteReference w:id="1520"/>
      </w:r>
      <w:r>
        <w:rPr>
          <w:rFonts w:ascii="IRNazanin" w:hAnsi="IRNazanin" w:eastAsia="IRNazanin"/>
          <w:color w:val="111111"/>
          <w:sz w:val="28"/>
          <w:sz w:val="28"/>
          <w:szCs w:val="28"/>
          <w:rtl w:val="true"/>
          <w:lang w:bidi="fa-IR"/>
        </w:rPr>
        <w:t xml:space="preserve">علامه حلی رحمه الله در منتهی </w:t>
      </w:r>
      <w:r>
        <w:rPr>
          <w:rStyle w:val="FootnoteAnchor"/>
          <w:rtl w:val="true"/>
        </w:rPr>
        <w:footnoteReference w:id="1521"/>
      </w:r>
      <w:r>
        <w:rPr>
          <w:rFonts w:ascii="IRNazanin" w:hAnsi="IRNazanin" w:eastAsia="IRNazanin"/>
          <w:color w:val="111111"/>
          <w:sz w:val="28"/>
          <w:sz w:val="28"/>
          <w:szCs w:val="28"/>
          <w:rtl w:val="true"/>
          <w:lang w:bidi="fa-IR"/>
        </w:rPr>
        <w:t xml:space="preserve">، نهایة الإحكام </w:t>
      </w:r>
      <w:r>
        <w:rPr>
          <w:rStyle w:val="FootnoteAnchor"/>
          <w:rtl w:val="true"/>
        </w:rPr>
        <w:footnoteReference w:id="1522"/>
      </w:r>
      <w:r>
        <w:rPr>
          <w:rFonts w:ascii="IRNazanin" w:hAnsi="IRNazanin" w:eastAsia="IRNazanin"/>
          <w:color w:val="111111"/>
          <w:sz w:val="28"/>
          <w:sz w:val="28"/>
          <w:szCs w:val="28"/>
          <w:rtl w:val="true"/>
          <w:lang w:bidi="fa-IR"/>
        </w:rPr>
        <w:t xml:space="preserve">و تذکره، </w:t>
      </w:r>
      <w:r>
        <w:rPr>
          <w:rStyle w:val="FootnoteAnchor"/>
          <w:rtl w:val="true"/>
        </w:rPr>
        <w:footnoteReference w:id="1523"/>
      </w:r>
      <w:r>
        <w:rPr>
          <w:rFonts w:ascii="IRNazanin" w:hAnsi="IRNazanin" w:eastAsia="IRNazanin"/>
          <w:color w:val="111111"/>
          <w:sz w:val="28"/>
          <w:sz w:val="28"/>
          <w:szCs w:val="28"/>
          <w:rtl w:val="true"/>
          <w:lang w:bidi="fa-IR"/>
        </w:rPr>
        <w:t xml:space="preserve">شهید اول در دروس، </w:t>
      </w:r>
      <w:r>
        <w:rPr>
          <w:rStyle w:val="FootnoteAnchor"/>
          <w:rtl w:val="true"/>
        </w:rPr>
        <w:footnoteReference w:id="1524"/>
      </w:r>
      <w:r>
        <w:rPr>
          <w:rFonts w:ascii="IRNazanin" w:hAnsi="IRNazanin" w:eastAsia="IRNazanin"/>
          <w:color w:val="111111"/>
          <w:sz w:val="28"/>
          <w:sz w:val="28"/>
          <w:szCs w:val="28"/>
          <w:rtl w:val="true"/>
          <w:lang w:bidi="fa-IR"/>
        </w:rPr>
        <w:t xml:space="preserve">بیان، </w:t>
      </w:r>
      <w:r>
        <w:rPr>
          <w:rStyle w:val="FootnoteAnchor"/>
          <w:rtl w:val="true"/>
        </w:rPr>
        <w:footnoteReference w:id="1525"/>
      </w:r>
      <w:r>
        <w:rPr>
          <w:rFonts w:ascii="IRNazanin" w:hAnsi="IRNazanin" w:eastAsia="IRNazanin"/>
          <w:color w:val="111111"/>
          <w:sz w:val="28"/>
          <w:sz w:val="28"/>
          <w:szCs w:val="28"/>
          <w:rtl w:val="true"/>
          <w:lang w:bidi="fa-IR"/>
        </w:rPr>
        <w:t xml:space="preserve">ذکری </w:t>
      </w:r>
      <w:r>
        <w:rPr>
          <w:rStyle w:val="FootnoteAnchor"/>
          <w:rtl w:val="true"/>
        </w:rPr>
        <w:footnoteReference w:id="1526"/>
      </w:r>
      <w:r>
        <w:rPr>
          <w:rFonts w:ascii="IRNazanin" w:hAnsi="IRNazanin" w:eastAsia="IRNazanin"/>
          <w:color w:val="111111"/>
          <w:sz w:val="28"/>
          <w:sz w:val="28"/>
          <w:szCs w:val="28"/>
          <w:rtl w:val="true"/>
          <w:lang w:bidi="fa-IR"/>
        </w:rPr>
        <w:t xml:space="preserve">و لمعه، </w:t>
      </w:r>
      <w:r>
        <w:rPr>
          <w:rStyle w:val="FootnoteAnchor"/>
          <w:rtl w:val="true"/>
        </w:rPr>
        <w:footnoteReference w:id="1527"/>
      </w:r>
      <w:r>
        <w:rPr>
          <w:rFonts w:ascii="IRNazanin" w:hAnsi="IRNazanin" w:eastAsia="IRNazanin"/>
          <w:color w:val="111111"/>
          <w:sz w:val="28"/>
          <w:sz w:val="28"/>
          <w:szCs w:val="28"/>
          <w:rtl w:val="true"/>
          <w:lang w:bidi="fa-IR"/>
        </w:rPr>
        <w:t xml:space="preserve">شهید ثانی در روض الجنان، </w:t>
      </w:r>
      <w:r>
        <w:rPr>
          <w:rStyle w:val="FootnoteAnchor"/>
          <w:rtl w:val="true"/>
        </w:rPr>
        <w:footnoteReference w:id="1528"/>
      </w:r>
      <w:r>
        <w:rPr>
          <w:rFonts w:ascii="Amiri" w:hAnsi="Amiri" w:eastAsia="Amiri" w:cs="Amiri"/>
          <w:color w:val="111111"/>
          <w:sz w:val="28"/>
          <w:sz w:val="28"/>
          <w:szCs w:val="28"/>
          <w:rtl w:val="true"/>
          <w:lang w:bidi="ar-SA"/>
        </w:rPr>
        <w:t>صاحب مفاتيح الشرائع</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Heading6"/>
        <w:numPr>
          <w:ilvl w:val="5"/>
          <w:numId w:val="1"/>
        </w:numPr>
        <w:rPr/>
      </w:pPr>
      <w:bookmarkStart w:id="1263" w:name="__RefHeading___Toc15203160_1280447820"/>
      <w:bookmarkStart w:id="1264" w:name="_Toc491"/>
      <w:bookmarkEnd w:id="1263"/>
      <w:r>
        <w:rPr>
          <w:rtl w:val="true"/>
        </w:rPr>
        <w:t>ادله کراهت</w:t>
      </w:r>
      <w:bookmarkEnd w:id="1264"/>
    </w:p>
    <w:p>
      <w:pPr>
        <w:pStyle w:val="BookText"/>
        <w:rPr/>
      </w:pPr>
      <w:r>
        <w:rPr>
          <w:rFonts w:ascii="IRNazanin" w:hAnsi="IRNazanin" w:eastAsia="IRNazanin"/>
          <w:color w:val="111111"/>
          <w:sz w:val="28"/>
          <w:sz w:val="28"/>
          <w:szCs w:val="28"/>
          <w:rtl w:val="true"/>
          <w:lang w:bidi="fa-IR"/>
        </w:rPr>
        <w:t>ادله ای که می توان بر کراهت راه دادن کودکان به مسجد بیان نمود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از امام کاظم علیه السلام که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خود را از حضور</w:t>
      </w:r>
    </w:p>
    <w:p>
      <w:pPr>
        <w:pStyle w:val="BookText"/>
        <w:rPr/>
      </w:pPr>
      <w:r>
        <w:rPr>
          <w:rFonts w:ascii="IRNazanin" w:hAnsi="IRNazanin" w:eastAsia="IRNazanin"/>
          <w:color w:val="111111"/>
          <w:sz w:val="28"/>
          <w:sz w:val="28"/>
          <w:szCs w:val="28"/>
          <w:rtl w:val="true"/>
          <w:lang w:bidi="fa-IR"/>
        </w:rPr>
        <w:t>کودکان و دیوانگان دور کنید</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نیز شبیه به همین مضمون از امام صادق علیه السلام وارد شده است</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در گذشته بیان شد که اشاره داشت به یک کبرای کلی و آن این که مسجد برای قرآن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نصبت المساجد للقرآن</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 xml:space="preserve">یا این که مسجد برای غير لهو و لعب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لغير هذا بنيت</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و راه دادن کودکان و دیوانگان، با این هدف اصلی بنای مساجد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راه دادن کودکان و دیوانگان به مسجد ایمن از نجس نشدن مسجد نیستیم</w:t>
      </w:r>
      <w:r>
        <w:rPr>
          <w:rFonts w:eastAsia="IRNazanin" w:cs="IRNazanin"/>
          <w:color w:val="111111"/>
          <w:sz w:val="28"/>
          <w:szCs w:val="28"/>
          <w:rtl w:val="true"/>
          <w:lang w:bidi="fa-IR"/>
        </w:rPr>
        <w:t xml:space="preserve">. </w:t>
      </w:r>
      <w:r>
        <w:rPr>
          <w:rStyle w:val="FootnoteAnchor"/>
          <w:rtl w:val="true"/>
        </w:rPr>
        <w:footnoteReference w:id="1534"/>
      </w:r>
      <w:bookmarkStart w:id="1265" w:name="pg19115_195713"/>
    </w:p>
    <w:p>
      <w:pPr>
        <w:pStyle w:val="Heading5"/>
        <w:numPr>
          <w:ilvl w:val="4"/>
          <w:numId w:val="1"/>
        </w:numPr>
        <w:rPr/>
      </w:pPr>
      <w:bookmarkStart w:id="1266" w:name="__RefHeading___Toc15203162_1280447820"/>
      <w:bookmarkStart w:id="1267" w:name="_Toc492"/>
      <w:bookmarkEnd w:id="1265"/>
      <w:bookmarkEnd w:id="1266"/>
      <w:r>
        <w:rPr>
          <w:rtl w:val="true"/>
        </w:rPr>
        <w:t>ب</w:t>
      </w:r>
      <w:r>
        <w:rPr>
          <w:rtl w:val="true"/>
        </w:rPr>
        <w:t xml:space="preserve">) </w:t>
      </w:r>
      <w:r>
        <w:rPr>
          <w:rtl w:val="true"/>
        </w:rPr>
        <w:t>دیدگاه دوم</w:t>
      </w:r>
      <w:r>
        <w:rPr>
          <w:rtl w:val="true"/>
        </w:rPr>
        <w:t xml:space="preserve">: </w:t>
      </w:r>
      <w:r>
        <w:rPr>
          <w:rtl w:val="true"/>
        </w:rPr>
        <w:t>اباحه</w:t>
      </w:r>
      <w:bookmarkEnd w:id="1267"/>
    </w:p>
    <w:p>
      <w:pPr>
        <w:pStyle w:val="BookText"/>
        <w:rPr/>
      </w:pPr>
      <w:r>
        <w:rPr>
          <w:rFonts w:ascii="IRNazanin" w:hAnsi="IRNazanin" w:eastAsia="IRNazanin"/>
          <w:color w:val="111111"/>
          <w:sz w:val="28"/>
          <w:sz w:val="28"/>
          <w:szCs w:val="28"/>
          <w:rtl w:val="true"/>
          <w:lang w:bidi="fa-IR"/>
        </w:rPr>
        <w:t>عده ای از فقیهان تنها بر کراهت راه دادن دیوانگان به مسجد اکتفا کرده اند که بیانگر آن است کسانی که تنها کراهت آوردن مجانین به مسجد را مطرح کرده و کراهت آوردن کودکان به مسجد را بیان نکرده اند قائل به اباحه آوردن کودکان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مسجد هستند فقیهانی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رحمه الله در شرائع </w:t>
      </w:r>
      <w:r>
        <w:rPr>
          <w:rStyle w:val="FootnoteAnchor"/>
          <w:rtl w:val="true"/>
        </w:rPr>
        <w:footnoteReference w:id="1535"/>
      </w:r>
      <w:r>
        <w:rPr>
          <w:rFonts w:ascii="IRNazanin" w:hAnsi="IRNazanin" w:eastAsia="IRNazanin"/>
          <w:color w:val="111111"/>
          <w:sz w:val="28"/>
          <w:sz w:val="28"/>
          <w:szCs w:val="28"/>
          <w:rtl w:val="true"/>
          <w:lang w:bidi="fa-IR"/>
        </w:rPr>
        <w:t xml:space="preserve">و مختصر النافع، </w:t>
      </w:r>
      <w:r>
        <w:rPr>
          <w:rStyle w:val="FootnoteAnchor"/>
          <w:rtl w:val="true"/>
        </w:rPr>
        <w:footnoteReference w:id="1536"/>
      </w:r>
      <w:r>
        <w:rPr>
          <w:rFonts w:ascii="IRNazanin" w:hAnsi="IRNazanin" w:eastAsia="IRNazanin"/>
          <w:color w:val="111111"/>
          <w:sz w:val="28"/>
          <w:sz w:val="28"/>
          <w:szCs w:val="28"/>
          <w:rtl w:val="true"/>
          <w:lang w:bidi="fa-IR"/>
        </w:rPr>
        <w:t xml:space="preserve">علامه حلی رحمه الله در ارشاد الاذهان، </w:t>
      </w:r>
      <w:r>
        <w:rPr>
          <w:rStyle w:val="FootnoteAnchor"/>
          <w:rtl w:val="true"/>
        </w:rPr>
        <w:footnoteReference w:id="1537"/>
      </w:r>
      <w:r>
        <w:rPr>
          <w:rFonts w:ascii="IRNazanin" w:hAnsi="IRNazanin" w:eastAsia="IRNazanin"/>
          <w:color w:val="111111"/>
          <w:sz w:val="28"/>
          <w:sz w:val="28"/>
          <w:szCs w:val="28"/>
          <w:rtl w:val="true"/>
          <w:lang w:bidi="fa-IR"/>
        </w:rPr>
        <w:t>محقق سبزواری در كفاية الاحكام</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9"/>
      </w:r>
    </w:p>
    <w:p>
      <w:pPr>
        <w:pStyle w:val="Heading5"/>
        <w:numPr>
          <w:ilvl w:val="4"/>
          <w:numId w:val="1"/>
        </w:numPr>
        <w:rPr/>
      </w:pPr>
      <w:bookmarkStart w:id="1268" w:name="__RefHeading___Toc15203164_1280447820"/>
      <w:bookmarkStart w:id="1269" w:name="_Toc493"/>
      <w:bookmarkEnd w:id="1268"/>
      <w:r>
        <w:rPr>
          <w:rtl w:val="true"/>
        </w:rPr>
        <w:t>ج</w:t>
      </w:r>
      <w:r>
        <w:rPr>
          <w:rtl w:val="true"/>
        </w:rPr>
        <w:t xml:space="preserve">) </w:t>
      </w:r>
      <w:r>
        <w:rPr>
          <w:rtl w:val="true"/>
        </w:rPr>
        <w:t>دیدگاه سوم</w:t>
      </w:r>
      <w:r>
        <w:rPr>
          <w:rtl w:val="true"/>
        </w:rPr>
        <w:t xml:space="preserve">: </w:t>
      </w:r>
      <w:r>
        <w:rPr>
          <w:rtl w:val="true"/>
        </w:rPr>
        <w:t>تفصیل</w:t>
      </w:r>
      <w:bookmarkEnd w:id="126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فقیهانی که دیدگاه سوم را برگزیده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در جامع المقاصد، </w:t>
      </w:r>
      <w:r>
        <w:rPr>
          <w:rStyle w:val="FootnoteAnchor"/>
          <w:rtl w:val="true"/>
        </w:rPr>
        <w:footnoteReference w:id="1540"/>
      </w:r>
      <w:r>
        <w:rPr>
          <w:rFonts w:ascii="IRNazanin" w:hAnsi="IRNazanin" w:eastAsia="IRNazanin"/>
          <w:color w:val="111111"/>
          <w:sz w:val="28"/>
          <w:sz w:val="28"/>
          <w:szCs w:val="28"/>
          <w:rtl w:val="true"/>
          <w:lang w:bidi="fa-IR"/>
        </w:rPr>
        <w:t xml:space="preserve">شهید ثانی در مسالک </w:t>
      </w:r>
      <w:r>
        <w:rPr>
          <w:rStyle w:val="FootnoteAnchor"/>
          <w:rtl w:val="true"/>
        </w:rPr>
        <w:footnoteReference w:id="1541"/>
      </w:r>
      <w:r>
        <w:rPr>
          <w:rFonts w:ascii="IRNazanin" w:hAnsi="IRNazanin" w:eastAsia="IRNazanin"/>
          <w:color w:val="111111"/>
          <w:sz w:val="28"/>
          <w:sz w:val="28"/>
          <w:szCs w:val="28"/>
          <w:rtl w:val="true"/>
          <w:lang w:bidi="fa-IR"/>
        </w:rPr>
        <w:t xml:space="preserve">و روضه </w:t>
      </w:r>
      <w:r>
        <w:rPr>
          <w:rStyle w:val="FootnoteAnchor"/>
          <w:rtl w:val="true"/>
        </w:rPr>
        <w:footnoteReference w:id="1542"/>
      </w:r>
      <w:r>
        <w:rPr>
          <w:rFonts w:ascii="IRNazanin" w:hAnsi="IRNazanin" w:eastAsia="IRNazanin"/>
          <w:color w:val="111111"/>
          <w:sz w:val="28"/>
          <w:sz w:val="28"/>
          <w:szCs w:val="28"/>
          <w:rtl w:val="true"/>
          <w:lang w:bidi="fa-IR"/>
        </w:rPr>
        <w:t xml:space="preserve">محقق اردبیلی در مجمع الفائده و البرهان، </w:t>
      </w:r>
      <w:r>
        <w:rPr>
          <w:rStyle w:val="FootnoteAnchor"/>
          <w:rtl w:val="true"/>
        </w:rPr>
        <w:footnoteReference w:id="1543"/>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544"/>
      </w:r>
      <w:r>
        <w:rPr>
          <w:rFonts w:ascii="IRNazanin" w:hAnsi="IRNazanin" w:eastAsia="IRNazanin"/>
          <w:color w:val="111111"/>
          <w:sz w:val="28"/>
          <w:sz w:val="28"/>
          <w:szCs w:val="28"/>
          <w:rtl w:val="true"/>
          <w:lang w:bidi="fa-IR"/>
        </w:rPr>
        <w:t xml:space="preserve">صاحب ریاض، </w:t>
      </w:r>
      <w:r>
        <w:rPr>
          <w:rStyle w:val="FootnoteAnchor"/>
          <w:rtl w:val="true"/>
        </w:rPr>
        <w:footnoteReference w:id="1545"/>
      </w:r>
      <w:r>
        <w:rPr>
          <w:rFonts w:ascii="IRNazanin" w:hAnsi="IRNazanin" w:eastAsia="IRNazanin"/>
          <w:color w:val="111111"/>
          <w:sz w:val="28"/>
          <w:sz w:val="28"/>
          <w:szCs w:val="28"/>
          <w:rtl w:val="true"/>
          <w:lang w:bidi="fa-IR"/>
        </w:rPr>
        <w:t xml:space="preserve">میرزای قمی در مناهج الاحکام، </w:t>
      </w:r>
      <w:r>
        <w:rPr>
          <w:rStyle w:val="FootnoteAnchor"/>
          <w:rtl w:val="true"/>
        </w:rPr>
        <w:footnoteReference w:id="1546"/>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ثانی در جامع المقاصد می نویسد سزاوار است که مراد از صبی، بچه ای باشد که اطمینانی به او در نجس کردن مسجد نیست اما کودکی که علم و اطمینان داریم که می تواند خود را در برابر نجس کردن مسجد نگه دارد، ظاهر آن است که راه دادن او به مسجد نه تنها کراهت ندارد بلکه سزاوار است که قائل به استحباب تمرین او بر نماز خواندن در مسجد شویم</w:t>
      </w:r>
      <w:r>
        <w:rPr>
          <w:rFonts w:eastAsia="IRNazanin" w:cs="IRNazanin"/>
          <w:color w:val="111111"/>
          <w:sz w:val="28"/>
          <w:szCs w:val="28"/>
          <w:rtl w:val="true"/>
          <w:lang w:bidi="fa-IR"/>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پاره ای از فقها نیز این دیدگاه را با عبارت قیل بیان کرده اند که اشاره به ضعف این دیدگاه نزد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از جمله ایشان عبارتند از شهید ثانی در روض الجنان </w:t>
      </w:r>
      <w:r>
        <w:rPr>
          <w:rStyle w:val="FootnoteAnchor"/>
          <w:rtl w:val="true"/>
        </w:rPr>
        <w:footnoteReference w:id="1549"/>
      </w:r>
      <w:r>
        <w:rPr>
          <w:rFonts w:ascii="IRNazanin" w:hAnsi="IRNazanin" w:eastAsia="IRNazanin"/>
          <w:color w:val="111111"/>
          <w:sz w:val="28"/>
          <w:sz w:val="28"/>
          <w:szCs w:val="28"/>
          <w:rtl w:val="true"/>
          <w:lang w:bidi="fa-IR"/>
        </w:rPr>
        <w:t>و فاضل هندی در کشف اللثام</w:t>
      </w:r>
      <w:r>
        <w:rPr>
          <w:rFonts w:eastAsia="IRNazanin" w:cs="IRNazanin"/>
          <w:color w:val="111111"/>
          <w:sz w:val="28"/>
          <w:szCs w:val="28"/>
          <w:rtl w:val="true"/>
          <w:lang w:bidi="fa-IR"/>
        </w:rPr>
        <w:t xml:space="preserve">. </w:t>
      </w:r>
      <w:r>
        <w:rPr>
          <w:rStyle w:val="FootnoteAnchor"/>
          <w:rtl w:val="true"/>
        </w:rPr>
        <w:footnoteReference w:id="155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آن است که بایستی توجه داشت که مسئله راه ندادن کودکان به مسجد دارای دو جنبه است؛ از یک سو باید از ورود بچه های کوچک که مسجد را نجس کرده و یا با اعمال کودکانه خویش توجه نمازگزاران را به خود جلب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حواس پرتی 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نمود</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 xml:space="preserve">و از سوی دیگر، باید کودکان و نوجوانانی که به سن تمییز رسیده و دارای درک و شعور هستند، با مسجد مأنوس نمود و از کودکی بذر انس با خانه خدا را در دلهای پاک ایشان 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فقیهان بزرگی همانند محقق ثانی و شهید ثانی نیز به این مسئله اشاره داشتند</w:t>
      </w:r>
      <w:r>
        <w:rPr>
          <w:rFonts w:eastAsia="IRNazanin" w:cs="IRNazanin"/>
          <w:color w:val="111111"/>
          <w:sz w:val="28"/>
          <w:szCs w:val="28"/>
          <w:rtl w:val="true"/>
          <w:lang w:bidi="fa-IR"/>
        </w:rPr>
        <w:t xml:space="preserve">.) </w:t>
      </w:r>
      <w:bookmarkStart w:id="1270" w:name="pg19115_195715"/>
    </w:p>
    <w:p>
      <w:pPr>
        <w:pStyle w:val="Heading5"/>
        <w:numPr>
          <w:ilvl w:val="4"/>
          <w:numId w:val="1"/>
        </w:numPr>
        <w:rPr/>
      </w:pPr>
      <w:bookmarkStart w:id="1271" w:name="__RefHeading___Toc15203166_1280447820"/>
      <w:bookmarkStart w:id="1272" w:name="_Toc494"/>
      <w:bookmarkEnd w:id="1270"/>
      <w:bookmarkEnd w:id="1271"/>
      <w:r>
        <w:rPr>
          <w:rtl w:val="true"/>
        </w:rPr>
        <w:t>د</w:t>
      </w:r>
      <w:r>
        <w:rPr>
          <w:rtl w:val="true"/>
        </w:rPr>
        <w:t xml:space="preserve">) </w:t>
      </w:r>
      <w:r>
        <w:rPr>
          <w:rtl w:val="true"/>
        </w:rPr>
        <w:t>دیدگاه اهل سنت</w:t>
      </w:r>
      <w:bookmarkEnd w:id="1272"/>
    </w:p>
    <w:p>
      <w:pPr>
        <w:pStyle w:val="Heading6"/>
        <w:numPr>
          <w:ilvl w:val="5"/>
          <w:numId w:val="1"/>
        </w:numPr>
        <w:rPr/>
      </w:pPr>
      <w:bookmarkStart w:id="1273" w:name="__RefHeading___Toc15203168_1280447820"/>
      <w:bookmarkStart w:id="1274" w:name="_Toc495"/>
      <w:bookmarkEnd w:id="1273"/>
      <w:r>
        <w:rPr/>
        <w:t>1</w:t>
      </w:r>
      <w:r>
        <w:rPr>
          <w:rtl w:val="true"/>
        </w:rPr>
        <w:t xml:space="preserve">. </w:t>
      </w:r>
      <w:r>
        <w:rPr>
          <w:rtl w:val="true"/>
        </w:rPr>
        <w:t>مذهب حنفی</w:t>
      </w:r>
      <w:bookmarkEnd w:id="1274"/>
    </w:p>
    <w:p>
      <w:pPr>
        <w:pStyle w:val="BookText"/>
        <w:rPr/>
      </w:pPr>
      <w:r>
        <w:rPr>
          <w:rFonts w:ascii="IRNazanin" w:hAnsi="IRNazanin" w:eastAsia="IRNazanin"/>
          <w:color w:val="111111"/>
          <w:sz w:val="28"/>
          <w:sz w:val="28"/>
          <w:szCs w:val="28"/>
          <w:rtl w:val="true"/>
          <w:lang w:bidi="fa-IR"/>
        </w:rPr>
        <w:t>حنفیها می گویند در صورتی که ظن غالب این باشد که کودکان و دیوانگان مسجد را نجس می کنند وارد کردن آنها به مسجد حرام است و اگر چنین ظنّی نداشته باشیم ادخال آنها به مسجد کراهت دارد</w:t>
      </w:r>
      <w:r>
        <w:rPr>
          <w:rFonts w:eastAsia="IRNazanin" w:cs="IRNazanin"/>
          <w:color w:val="111111"/>
          <w:sz w:val="28"/>
          <w:szCs w:val="28"/>
          <w:rtl w:val="true"/>
          <w:lang w:bidi="fa-IR"/>
        </w:rPr>
        <w:t xml:space="preserve">. </w:t>
      </w:r>
      <w:r>
        <w:rPr>
          <w:rStyle w:val="FootnoteAnchor"/>
          <w:rtl w:val="true"/>
        </w:rPr>
        <w:footnoteReference w:id="1552"/>
      </w:r>
    </w:p>
    <w:p>
      <w:pPr>
        <w:pStyle w:val="Heading6"/>
        <w:numPr>
          <w:ilvl w:val="5"/>
          <w:numId w:val="1"/>
        </w:numPr>
        <w:rPr/>
      </w:pPr>
      <w:bookmarkStart w:id="1275" w:name="__RefHeading___Toc15203170_1280447820"/>
      <w:bookmarkStart w:id="1276" w:name="_Toc496"/>
      <w:bookmarkEnd w:id="1275"/>
      <w:r>
        <w:rPr/>
        <w:t>2</w:t>
      </w:r>
      <w:r>
        <w:rPr>
          <w:rtl w:val="true"/>
        </w:rPr>
        <w:t xml:space="preserve">. </w:t>
      </w:r>
      <w:r>
        <w:rPr>
          <w:rtl w:val="true"/>
        </w:rPr>
        <w:t>مذهب مالكي</w:t>
      </w:r>
      <w:bookmarkEnd w:id="1276"/>
    </w:p>
    <w:p>
      <w:pPr>
        <w:pStyle w:val="BookText"/>
        <w:rPr/>
      </w:pPr>
      <w:r>
        <w:rPr>
          <w:rFonts w:ascii="IRNazanin" w:hAnsi="IRNazanin" w:eastAsia="IRNazanin"/>
          <w:color w:val="111111"/>
          <w:sz w:val="28"/>
          <w:sz w:val="28"/>
          <w:szCs w:val="28"/>
          <w:rtl w:val="true"/>
          <w:lang w:bidi="fa-IR"/>
        </w:rPr>
        <w:t>مالکیها بر این باورند که راه دادن کودکان به مسجد به شرطی جایز است که بازی و کارهای بیهوده انجام ندهد یا این که اگر او را از کارهای عبث نهی کردند، از این کارها خودداری کند و گرنه آوردن آنها به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داخل کردن کودکان و دیوانگان اگر منجر به نجس شدن مسجد شود حرام است</w:t>
      </w:r>
      <w:r>
        <w:rPr>
          <w:rFonts w:eastAsia="IRNazanin" w:cs="IRNazanin"/>
          <w:color w:val="111111"/>
          <w:sz w:val="28"/>
          <w:szCs w:val="28"/>
          <w:rtl w:val="true"/>
          <w:lang w:bidi="fa-IR"/>
        </w:rPr>
        <w:t xml:space="preserve">. </w:t>
      </w:r>
      <w:r>
        <w:rPr>
          <w:rStyle w:val="FootnoteAnchor"/>
          <w:rtl w:val="true"/>
        </w:rPr>
        <w:footnoteReference w:id="1553"/>
      </w:r>
    </w:p>
    <w:p>
      <w:pPr>
        <w:pStyle w:val="Heading6"/>
        <w:numPr>
          <w:ilvl w:val="5"/>
          <w:numId w:val="1"/>
        </w:numPr>
        <w:rPr/>
      </w:pPr>
      <w:bookmarkStart w:id="1277" w:name="__RefHeading___Toc15203172_1280447820"/>
      <w:bookmarkStart w:id="1278" w:name="_Toc497"/>
      <w:bookmarkEnd w:id="1277"/>
      <w:r>
        <w:rPr/>
        <w:t>3</w:t>
      </w:r>
      <w:r>
        <w:rPr>
          <w:rtl w:val="true"/>
        </w:rPr>
        <w:t xml:space="preserve">. </w:t>
      </w:r>
      <w:r>
        <w:rPr>
          <w:rtl w:val="true"/>
        </w:rPr>
        <w:t>مذهب شافعی</w:t>
      </w:r>
      <w:bookmarkEnd w:id="1278"/>
    </w:p>
    <w:p>
      <w:pPr>
        <w:pStyle w:val="BookText"/>
        <w:rPr/>
      </w:pPr>
      <w:r>
        <w:rPr>
          <w:rFonts w:ascii="IRNazanin" w:hAnsi="IRNazanin" w:eastAsia="IRNazanin"/>
          <w:color w:val="111111"/>
          <w:sz w:val="28"/>
          <w:sz w:val="28"/>
          <w:szCs w:val="28"/>
          <w:rtl w:val="true"/>
          <w:lang w:bidi="fa-IR"/>
        </w:rPr>
        <w:t>شافعیها راه دادن کودکان غیر ممیز را به مسجد به شرطی جایز می دانند که از نجس شدن مسجد توسط آنان اطمینان داشته باشیم و ضرری به کسانی که در مسجد هستند وارد نکنند و کشف عورت ننمایند راه دادن کودکان ممیز نیز به مسجد جایز است اگر مسجد را محلی برای بازی قرار ندهند وگرنه راه دادن آنها به مسجد حرام است</w:t>
      </w:r>
      <w:r>
        <w:rPr>
          <w:rFonts w:eastAsia="IRNazanin" w:cs="IRNazanin"/>
          <w:color w:val="111111"/>
          <w:sz w:val="28"/>
          <w:szCs w:val="28"/>
          <w:rtl w:val="true"/>
          <w:lang w:bidi="fa-IR"/>
        </w:rPr>
        <w:t xml:space="preserve">. </w:t>
      </w:r>
      <w:r>
        <w:rPr>
          <w:rStyle w:val="FootnoteAnchor"/>
          <w:rtl w:val="true"/>
        </w:rPr>
        <w:footnoteReference w:id="1554"/>
      </w:r>
    </w:p>
    <w:p>
      <w:pPr>
        <w:pStyle w:val="Heading6"/>
        <w:numPr>
          <w:ilvl w:val="5"/>
          <w:numId w:val="1"/>
        </w:numPr>
        <w:rPr/>
      </w:pPr>
      <w:bookmarkStart w:id="1279" w:name="__RefHeading___Toc15203174_1280447820"/>
      <w:bookmarkStart w:id="1280" w:name="_Toc498"/>
      <w:bookmarkEnd w:id="1279"/>
      <w:r>
        <w:rPr/>
        <w:t>4</w:t>
      </w:r>
      <w:r>
        <w:rPr>
          <w:rtl w:val="true"/>
        </w:rPr>
        <w:t xml:space="preserve">. </w:t>
      </w:r>
      <w:r>
        <w:rPr>
          <w:rtl w:val="true"/>
        </w:rPr>
        <w:t>مذهب حنبلی</w:t>
      </w:r>
      <w:bookmarkEnd w:id="128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حنبلی ها بر این باورند که دخول کودکان غیر ممیز در مسجد مکروه است مگر </w:t>
      </w:r>
      <w:bookmarkStart w:id="1281" w:name="pg19115_195716"/>
    </w:p>
    <w:p>
      <w:pPr>
        <w:pStyle w:val="BookText"/>
        <w:rPr/>
      </w:pPr>
      <w:bookmarkEnd w:id="1281"/>
      <w:r>
        <w:rPr>
          <w:rFonts w:ascii="IRNazanin" w:hAnsi="IRNazanin" w:eastAsia="IRNazanin"/>
          <w:color w:val="111111"/>
          <w:sz w:val="28"/>
          <w:sz w:val="28"/>
          <w:szCs w:val="28"/>
          <w:rtl w:val="true"/>
          <w:lang w:bidi="fa-IR"/>
        </w:rPr>
        <w:t>آن که برای حاجتی مانند تعلیم کتابت وارد مسجد شوند که در این صورت کراهت ندارد</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ابن بلبان دمشقی می گوید مستحب است که از ورود بچه های غیر ممیز به مسجد جلوگیری شود البته اگر ورود آنها به مسجد مصلحت یا فایده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که از ورود مجنون در حال جنون به مسجد جلوگیری شود</w:t>
      </w:r>
      <w:r>
        <w:rPr>
          <w:rFonts w:eastAsia="IRNazanin" w:cs="IRNazanin"/>
          <w:color w:val="111111"/>
          <w:sz w:val="28"/>
          <w:szCs w:val="28"/>
          <w:rtl w:val="true"/>
          <w:lang w:bidi="fa-IR"/>
        </w:rPr>
        <w:t xml:space="preserve">.» </w:t>
      </w:r>
      <w:r>
        <w:rPr>
          <w:rStyle w:val="FootnoteAnchor"/>
          <w:rtl w:val="true"/>
        </w:rPr>
        <w:footnoteReference w:id="1556"/>
      </w:r>
    </w:p>
    <w:p>
      <w:pPr>
        <w:pStyle w:val="Heading4"/>
        <w:numPr>
          <w:ilvl w:val="3"/>
          <w:numId w:val="1"/>
        </w:numPr>
        <w:rPr/>
      </w:pPr>
      <w:bookmarkStart w:id="1282" w:name="__RefHeading___Toc15203176_1280447820"/>
      <w:bookmarkStart w:id="1283" w:name="_Toc499"/>
      <w:bookmarkEnd w:id="1282"/>
      <w:r>
        <w:rPr>
          <w:rtl w:val="true"/>
        </w:rPr>
        <w:t>مبحث سوم داخل شدن کفار به مسجد</w:t>
      </w:r>
      <w:bookmarkEnd w:id="1283"/>
    </w:p>
    <w:p>
      <w:pPr>
        <w:pStyle w:val="Heading5"/>
        <w:numPr>
          <w:ilvl w:val="4"/>
          <w:numId w:val="1"/>
        </w:numPr>
        <w:rPr/>
      </w:pPr>
      <w:bookmarkStart w:id="1284" w:name="__RefHeading___Toc15203178_1280447820"/>
      <w:bookmarkStart w:id="1285" w:name="_Toc500"/>
      <w:bookmarkEnd w:id="1284"/>
      <w:r>
        <w:rPr>
          <w:rtl w:val="true"/>
        </w:rPr>
        <w:t>اشاره</w:t>
      </w:r>
      <w:bookmarkEnd w:id="1285"/>
    </w:p>
    <w:p>
      <w:pPr>
        <w:pStyle w:val="BookText"/>
        <w:rPr/>
      </w:pPr>
      <w:r>
        <w:rPr>
          <w:rFonts w:ascii="IRNazanin" w:hAnsi="IRNazanin" w:eastAsia="IRNazanin"/>
          <w:color w:val="111111"/>
          <w:sz w:val="28"/>
          <w:sz w:val="28"/>
          <w:szCs w:val="28"/>
          <w:rtl w:val="true"/>
          <w:lang w:bidi="fa-IR"/>
        </w:rPr>
        <w:t>شکی در حرمت ورود مشرکان و کفار به مسجد الحرام وجود ندارد؛ چرا که در آیه شريفه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Style w:val="FootnoteAnchor"/>
          <w:rtl w:val="true"/>
        </w:rPr>
        <w:footnoteReference w:id="1557"/>
      </w:r>
      <w:r>
        <w:rPr>
          <w:rFonts w:ascii="IRNazanin" w:hAnsi="IRNazanin" w:eastAsia="IRNazanin"/>
          <w:color w:val="111111"/>
          <w:sz w:val="28"/>
          <w:sz w:val="28"/>
          <w:szCs w:val="28"/>
          <w:rtl w:val="true"/>
          <w:lang w:bidi="fa-IR"/>
        </w:rPr>
        <w:t>که دلالت بر عدم جواز مشرکان به مسجد الحرام می کند لیکن بحث در این است که آیا ورود مشرکان یا کفار به سایر مساجد غیر از مسجد الحرام جایز است یا خیر؟ اگر قائل به نجاست همه کفار شده و ورود ایشان به مساجد، مستلزم نجاست باشد باز شکی در حرمت ورود ایشان به مسجد نیست؛ چه آن که اختلافی نیست در این که نجس کردن مسجد حرام است اما اگر قائل به نجاست تمام کفار نشدیم یا آن که ورود ایشان باعث نجس شدن مسجد نمی شد آیا می توان ایشان را به مسجد راه داد یا خیر؟</w:t>
      </w:r>
    </w:p>
    <w:p>
      <w:pPr>
        <w:pStyle w:val="Heading5"/>
        <w:numPr>
          <w:ilvl w:val="4"/>
          <w:numId w:val="1"/>
        </w:numPr>
        <w:rPr/>
      </w:pPr>
      <w:bookmarkStart w:id="1286" w:name="__RefHeading___Toc15203180_1280447820"/>
      <w:bookmarkStart w:id="1287" w:name="_Toc501"/>
      <w:bookmarkEnd w:id="1286"/>
      <w:r>
        <w:rPr>
          <w:rtl w:val="true"/>
        </w:rPr>
        <w:t>گفتار اول</w:t>
      </w:r>
      <w:r>
        <w:rPr>
          <w:rtl w:val="true"/>
        </w:rPr>
        <w:t xml:space="preserve">: </w:t>
      </w:r>
      <w:r>
        <w:rPr>
          <w:rtl w:val="true"/>
        </w:rPr>
        <w:t>دیدگاه فقیهان امامیه</w:t>
      </w:r>
      <w:bookmarkEnd w:id="1287"/>
    </w:p>
    <w:p>
      <w:pPr>
        <w:pStyle w:val="Heading6"/>
        <w:numPr>
          <w:ilvl w:val="5"/>
          <w:numId w:val="1"/>
        </w:numPr>
        <w:rPr/>
      </w:pPr>
      <w:bookmarkStart w:id="1288" w:name="__RefHeading___Toc15203182_1280447820"/>
      <w:bookmarkStart w:id="1289" w:name="_Toc502"/>
      <w:bookmarkEnd w:id="1288"/>
      <w:r>
        <w:rPr>
          <w:rtl w:val="true"/>
        </w:rPr>
        <w:t>اشاره</w:t>
      </w:r>
      <w:bookmarkEnd w:id="1289"/>
    </w:p>
    <w:p>
      <w:pPr>
        <w:pStyle w:val="BookText"/>
        <w:rPr/>
      </w:pPr>
      <w:r>
        <w:rPr>
          <w:rFonts w:ascii="IRNazanin" w:hAnsi="IRNazanin" w:eastAsia="IRNazanin"/>
          <w:color w:val="111111"/>
          <w:sz w:val="28"/>
          <w:sz w:val="28"/>
          <w:szCs w:val="28"/>
          <w:rtl w:val="true"/>
          <w:lang w:bidi="fa-IR"/>
        </w:rPr>
        <w:t>در میان فقیهان امامیه دو دیدگاه کلی وجود دارد</w:t>
      </w:r>
      <w:r>
        <w:rPr>
          <w:rFonts w:eastAsia="IRNazanin" w:cs="IRNazanin"/>
          <w:color w:val="111111"/>
          <w:sz w:val="28"/>
          <w:szCs w:val="28"/>
          <w:rtl w:val="true"/>
          <w:lang w:bidi="fa-IR"/>
        </w:rPr>
        <w:t>:</w:t>
      </w:r>
    </w:p>
    <w:p>
      <w:pPr>
        <w:pStyle w:val="Heading6"/>
        <w:numPr>
          <w:ilvl w:val="5"/>
          <w:numId w:val="1"/>
        </w:numPr>
        <w:rPr/>
      </w:pPr>
      <w:bookmarkStart w:id="1290" w:name="__RefHeading___Toc15203184_1280447820"/>
      <w:bookmarkStart w:id="1291" w:name="_Toc503"/>
      <w:bookmarkEnd w:id="1290"/>
      <w:r>
        <w:rPr>
          <w:rtl w:val="true"/>
        </w:rPr>
        <w:t>الف</w:t>
      </w:r>
      <w:r>
        <w:rPr>
          <w:rtl w:val="true"/>
        </w:rPr>
        <w:t xml:space="preserve">) </w:t>
      </w:r>
      <w:r>
        <w:rPr>
          <w:rtl w:val="true"/>
        </w:rPr>
        <w:t>دیدگاه اول</w:t>
      </w:r>
      <w:r>
        <w:rPr>
          <w:rtl w:val="true"/>
        </w:rPr>
        <w:t xml:space="preserve">: </w:t>
      </w:r>
      <w:r>
        <w:rPr>
          <w:rtl w:val="true"/>
        </w:rPr>
        <w:t>حرمت مطلقا</w:t>
      </w:r>
      <w:bookmarkEnd w:id="129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مشرکان و کفار به تمام مساجد حرام است بیشتر قدما این دیدگاه را </w:t>
      </w:r>
    </w:p>
    <w:p>
      <w:pPr>
        <w:pStyle w:val="BookText"/>
        <w:rPr/>
      </w:pPr>
      <w:r>
        <w:rPr>
          <w:rFonts w:ascii="IRNazanin" w:hAnsi="IRNazanin" w:eastAsia="IRNazanin"/>
          <w:color w:val="111111"/>
          <w:sz w:val="28"/>
          <w:sz w:val="28"/>
          <w:szCs w:val="28"/>
          <w:rtl w:val="true"/>
          <w:lang w:bidi="fa-IR"/>
        </w:rPr>
        <w:t>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کتاب خلاف می نویسد داخل شدن کفار به مساجد جایز نیست؛ چه با اذن باشد و چه بدون اذن و در حرمت فرقی میان مساجد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شیخ طوسی رحمه الله ارائه می دهد، از دو مقدمه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w:t>
      </w:r>
      <w:r>
        <w:rPr>
          <w:rStyle w:val="FootnoteAnchor"/>
          <w:rtl w:val="true"/>
        </w:rPr>
        <w:footnoteReference w:id="1558"/>
      </w:r>
      <w:r>
        <w:rPr>
          <w:rFonts w:ascii="IRNazanin" w:hAnsi="IRNazanin" w:eastAsia="IRNazanin"/>
          <w:color w:val="111111"/>
          <w:sz w:val="28"/>
          <w:sz w:val="28"/>
          <w:szCs w:val="28"/>
          <w:rtl w:val="true"/>
          <w:lang w:bidi="fa-IR"/>
        </w:rPr>
        <w:t>حكم به نجاست مشرکان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کفار نیز ملحق به مشرکین شده و در این زمینه تفاوتی با یکدیگر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نجاست ایشان ثابت شد، پس ورود ایشان به هیچ مسجدی جایز نیست؛ چه آن که عدم خلاف است در این که وارد کردن نجاسات به مساجد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ورود کفار به هر مسجدی حرام است؛ چه مسجد الحرام و چه غیر آن</w:t>
      </w:r>
      <w:r>
        <w:rPr>
          <w:rFonts w:eastAsia="IRNazanin" w:cs="IRNazanin"/>
          <w:color w:val="111111"/>
          <w:sz w:val="28"/>
          <w:szCs w:val="28"/>
          <w:rtl w:val="true"/>
          <w:lang w:bidi="fa-IR"/>
        </w:rPr>
        <w:t xml:space="preserve">. </w:t>
      </w:r>
      <w:r>
        <w:rPr>
          <w:rStyle w:val="FootnoteAnchor"/>
          <w:rtl w:val="true"/>
        </w:rPr>
        <w:footnoteReference w:id="155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این دیدگاه علاوه بر این،آیه به اجماع، روایات سیره و سایر ادله استدلال شده </w:t>
      </w:r>
      <w:r>
        <w:rPr>
          <w:rStyle w:val="FootnoteAnchor"/>
          <w:rtl w:val="true"/>
        </w:rPr>
        <w:footnoteReference w:id="1560"/>
      </w:r>
      <w:r>
        <w:rPr>
          <w:rFonts w:ascii="IRNazanin" w:hAnsi="IRNazanin" w:eastAsia="IRNazanin"/>
          <w:color w:val="111111"/>
          <w:sz w:val="28"/>
          <w:sz w:val="28"/>
          <w:szCs w:val="28"/>
          <w:rtl w:val="true"/>
          <w:lang w:bidi="fa-IR"/>
        </w:rPr>
        <w:t xml:space="preserve">و فقیهانی همچون قطب راوندی، </w:t>
      </w:r>
      <w:r>
        <w:rPr>
          <w:rStyle w:val="FootnoteAnchor"/>
          <w:rtl w:val="true"/>
        </w:rPr>
        <w:footnoteReference w:id="1561"/>
      </w:r>
      <w:r>
        <w:rPr>
          <w:rFonts w:ascii="IRNazanin" w:hAnsi="IRNazanin" w:eastAsia="IRNazanin"/>
          <w:color w:val="111111"/>
          <w:sz w:val="28"/>
          <w:sz w:val="28"/>
          <w:szCs w:val="28"/>
          <w:rtl w:val="true"/>
          <w:lang w:bidi="fa-IR"/>
        </w:rPr>
        <w:t xml:space="preserve">محقق حلی، </w:t>
      </w:r>
      <w:r>
        <w:rPr>
          <w:rStyle w:val="FootnoteAnchor"/>
          <w:rtl w:val="true"/>
        </w:rPr>
        <w:footnoteReference w:id="1562"/>
      </w:r>
      <w:r>
        <w:rPr>
          <w:rFonts w:ascii="IRNazanin" w:hAnsi="IRNazanin" w:eastAsia="IRNazanin"/>
          <w:color w:val="111111"/>
          <w:sz w:val="28"/>
          <w:sz w:val="28"/>
          <w:szCs w:val="28"/>
          <w:rtl w:val="true"/>
          <w:lang w:bidi="fa-IR"/>
        </w:rPr>
        <w:t xml:space="preserve">علامه حلی رحمه الله </w:t>
      </w:r>
      <w:r>
        <w:rPr>
          <w:rStyle w:val="FootnoteAnchor"/>
          <w:rtl w:val="true"/>
        </w:rPr>
        <w:footnoteReference w:id="1563"/>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1564"/>
      </w:r>
      <w:r>
        <w:rPr>
          <w:rFonts w:ascii="IRNazanin" w:hAnsi="IRNazanin" w:eastAsia="IRNazanin"/>
          <w:color w:val="111111"/>
          <w:sz w:val="28"/>
          <w:sz w:val="28"/>
          <w:szCs w:val="28"/>
          <w:rtl w:val="true"/>
          <w:lang w:bidi="fa-IR"/>
        </w:rPr>
        <w:t>این دیدگاه را برگزیده اند</w:t>
      </w:r>
      <w:r>
        <w:rPr>
          <w:rFonts w:eastAsia="IRNazanin" w:cs="IRNazanin"/>
          <w:color w:val="111111"/>
          <w:sz w:val="28"/>
          <w:szCs w:val="28"/>
          <w:rtl w:val="true"/>
          <w:lang w:bidi="fa-IR"/>
        </w:rPr>
        <w:t xml:space="preserve">. </w:t>
      </w:r>
      <w:bookmarkStart w:id="1292" w:name="pg19115_195718"/>
    </w:p>
    <w:p>
      <w:pPr>
        <w:pStyle w:val="Heading6"/>
        <w:numPr>
          <w:ilvl w:val="5"/>
          <w:numId w:val="1"/>
        </w:numPr>
        <w:rPr/>
      </w:pPr>
      <w:bookmarkStart w:id="1293" w:name="__RefHeading___Toc15203186_1280447820"/>
      <w:bookmarkStart w:id="1294" w:name="_Toc504"/>
      <w:bookmarkEnd w:id="1292"/>
      <w:bookmarkEnd w:id="1293"/>
      <w:r>
        <w:rPr>
          <w:rtl w:val="true"/>
        </w:rPr>
        <w:t>ب</w:t>
      </w:r>
      <w:r>
        <w:rPr>
          <w:rtl w:val="true"/>
        </w:rPr>
        <w:t xml:space="preserve">) </w:t>
      </w:r>
      <w:r>
        <w:rPr>
          <w:rtl w:val="true"/>
        </w:rPr>
        <w:t>دیدگاه دوم</w:t>
      </w:r>
      <w:r>
        <w:rPr>
          <w:rtl w:val="true"/>
        </w:rPr>
        <w:t xml:space="preserve">: </w:t>
      </w:r>
      <w:r>
        <w:rPr>
          <w:rtl w:val="true"/>
        </w:rPr>
        <w:t>حرمت در صورت هتک حرمت</w:t>
      </w:r>
      <w:bookmarkEnd w:id="1294"/>
    </w:p>
    <w:p>
      <w:pPr>
        <w:pStyle w:val="BookText"/>
        <w:rPr/>
      </w:pPr>
      <w:r>
        <w:rPr>
          <w:rFonts w:ascii="IRNazanin" w:hAnsi="IRNazanin" w:eastAsia="IRNazanin"/>
          <w:color w:val="111111"/>
          <w:sz w:val="28"/>
          <w:sz w:val="28"/>
          <w:szCs w:val="28"/>
          <w:rtl w:val="true"/>
          <w:lang w:bidi="fa-IR"/>
        </w:rPr>
        <w:t xml:space="preserve">ورود مشرکان و کفار به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هتک حرمت نسبت به مسجد نشود جایز است البته احتیاط آن است که از این کار اجتناب شود</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از جمله ادله ای که بر این دیدگاه اقامه شده مقتضای اصل و سیره می باشد</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1295" w:name="__RefHeading___Toc15203188_1280447820"/>
      <w:bookmarkStart w:id="1296" w:name="_Toc505"/>
      <w:bookmarkEnd w:id="1295"/>
      <w:r>
        <w:rPr>
          <w:rtl w:val="true"/>
        </w:rPr>
        <w:t>گفتار دوم</w:t>
      </w:r>
      <w:r>
        <w:rPr>
          <w:rtl w:val="true"/>
        </w:rPr>
        <w:t xml:space="preserve">: </w:t>
      </w:r>
      <w:r>
        <w:rPr>
          <w:rtl w:val="true"/>
        </w:rPr>
        <w:t>دیدگاه اهل سنّت</w:t>
      </w:r>
      <w:bookmarkEnd w:id="1296"/>
    </w:p>
    <w:p>
      <w:pPr>
        <w:pStyle w:val="Heading6"/>
        <w:numPr>
          <w:ilvl w:val="5"/>
          <w:numId w:val="1"/>
        </w:numPr>
        <w:rPr/>
      </w:pPr>
      <w:bookmarkStart w:id="1297" w:name="__RefHeading___Toc15203190_1280447820"/>
      <w:bookmarkStart w:id="1298" w:name="_Toc506"/>
      <w:bookmarkEnd w:id="1297"/>
      <w:r>
        <w:rPr/>
        <w:t>1</w:t>
      </w:r>
      <w:r>
        <w:rPr>
          <w:rtl w:val="true"/>
        </w:rPr>
        <w:t xml:space="preserve">. </w:t>
      </w:r>
      <w:r>
        <w:rPr>
          <w:rtl w:val="true"/>
        </w:rPr>
        <w:t>مذهب مالكي</w:t>
      </w:r>
      <w:bookmarkEnd w:id="1298"/>
    </w:p>
    <w:p>
      <w:pPr>
        <w:pStyle w:val="BookText"/>
        <w:rPr/>
      </w:pPr>
      <w:r>
        <w:rPr>
          <w:rFonts w:ascii="IRNazanin" w:hAnsi="IRNazanin" w:eastAsia="IRNazanin"/>
          <w:color w:val="111111"/>
          <w:sz w:val="28"/>
          <w:sz w:val="28"/>
          <w:szCs w:val="28"/>
          <w:rtl w:val="true"/>
          <w:lang w:bidi="fa-IR"/>
        </w:rPr>
        <w:t>مالکیه نیز بر این باورند که داخل شدن کفار به هر مسجدی جایز نیست</w:t>
      </w:r>
      <w:r>
        <w:rPr>
          <w:rFonts w:eastAsia="IRNazanin" w:cs="IRNazanin"/>
          <w:color w:val="111111"/>
          <w:sz w:val="28"/>
          <w:szCs w:val="28"/>
          <w:rtl w:val="true"/>
          <w:lang w:bidi="fa-IR"/>
        </w:rPr>
        <w:t xml:space="preserve">. </w:t>
      </w:r>
      <w:r>
        <w:rPr>
          <w:rStyle w:val="FootnoteAnchor"/>
          <w:rtl w:val="true"/>
        </w:rPr>
        <w:footnoteReference w:id="1567"/>
      </w:r>
    </w:p>
    <w:p>
      <w:pPr>
        <w:pStyle w:val="Heading6"/>
        <w:numPr>
          <w:ilvl w:val="5"/>
          <w:numId w:val="1"/>
        </w:numPr>
        <w:rPr/>
      </w:pPr>
      <w:bookmarkStart w:id="1299" w:name="__RefHeading___Toc15203192_1280447820"/>
      <w:bookmarkStart w:id="1300" w:name="_Toc507"/>
      <w:bookmarkEnd w:id="1299"/>
      <w:r>
        <w:rPr/>
        <w:t>2</w:t>
      </w:r>
      <w:r>
        <w:rPr>
          <w:rtl w:val="true"/>
        </w:rPr>
        <w:t xml:space="preserve">. </w:t>
      </w:r>
      <w:r>
        <w:rPr>
          <w:rtl w:val="true"/>
        </w:rPr>
        <w:t>مذهب شافعی</w:t>
      </w:r>
      <w:bookmarkEnd w:id="1300"/>
    </w:p>
    <w:p>
      <w:pPr>
        <w:pStyle w:val="BookText"/>
        <w:rPr/>
      </w:pPr>
      <w:r>
        <w:rPr>
          <w:rFonts w:ascii="IRNazanin" w:hAnsi="IRNazanin" w:eastAsia="IRNazanin"/>
          <w:color w:val="111111"/>
          <w:sz w:val="28"/>
          <w:sz w:val="28"/>
          <w:szCs w:val="28"/>
          <w:rtl w:val="true"/>
          <w:lang w:bidi="fa-IR"/>
        </w:rPr>
        <w:t>شافعی ها می گویند داخل شدن کفار به مساجد در صورتی که اذن گرفته باشند جایز است مگر داخل شدن در مسجد الحرام و حرم و مساجد حرم که داخل شدن در آنها در هیچ حالتی جایز نیست</w:t>
      </w:r>
      <w:r>
        <w:rPr>
          <w:rFonts w:eastAsia="IRNazanin" w:cs="IRNazanin"/>
          <w:color w:val="111111"/>
          <w:sz w:val="28"/>
          <w:szCs w:val="28"/>
          <w:rtl w:val="true"/>
          <w:lang w:bidi="fa-IR"/>
        </w:rPr>
        <w:t xml:space="preserve">. </w:t>
      </w:r>
      <w:r>
        <w:rPr>
          <w:rStyle w:val="FootnoteAnchor"/>
          <w:rtl w:val="true"/>
        </w:rPr>
        <w:footnoteReference w:id="1568"/>
      </w:r>
    </w:p>
    <w:p>
      <w:pPr>
        <w:pStyle w:val="Heading6"/>
        <w:numPr>
          <w:ilvl w:val="5"/>
          <w:numId w:val="1"/>
        </w:numPr>
        <w:rPr/>
      </w:pPr>
      <w:bookmarkStart w:id="1301" w:name="__RefHeading___Toc15203194_1280447820"/>
      <w:bookmarkStart w:id="1302" w:name="_Toc508"/>
      <w:bookmarkEnd w:id="1301"/>
      <w:r>
        <w:rPr/>
        <w:t>3</w:t>
      </w:r>
      <w:r>
        <w:rPr>
          <w:rtl w:val="true"/>
        </w:rPr>
        <w:t xml:space="preserve">. </w:t>
      </w:r>
      <w:r>
        <w:rPr>
          <w:rtl w:val="true"/>
        </w:rPr>
        <w:t>مذهب حنفی</w:t>
      </w:r>
      <w:bookmarkEnd w:id="130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 ها معتقدند که داخل شدن کفار به مسجد الحرام جایز نیست، اما وارد شدن کفار به غیر مسجد الحرام جایز است؛ چه مساجد حرم باشد و چه مساجد غیر حرم</w:t>
      </w:r>
      <w:r>
        <w:rPr>
          <w:rFonts w:eastAsia="IRNazanin" w:cs="IRNazanin"/>
          <w:color w:val="111111"/>
          <w:sz w:val="28"/>
          <w:szCs w:val="28"/>
          <w:rtl w:val="true"/>
          <w:lang w:bidi="fa-IR"/>
        </w:rPr>
        <w:t xml:space="preserve">. </w:t>
      </w:r>
      <w:r>
        <w:rPr>
          <w:rStyle w:val="FootnoteAnchor"/>
          <w:rtl w:val="true"/>
        </w:rPr>
        <w:footnoteReference w:id="1569"/>
      </w:r>
      <w:bookmarkStart w:id="1303" w:name="pg19115_195719"/>
    </w:p>
    <w:p>
      <w:pPr>
        <w:pStyle w:val="Heading3"/>
        <w:numPr>
          <w:ilvl w:val="2"/>
          <w:numId w:val="1"/>
        </w:numPr>
        <w:rPr/>
      </w:pPr>
      <w:bookmarkStart w:id="1304" w:name="__RefHeading___Toc15203196_1280447820"/>
      <w:bookmarkStart w:id="1305" w:name="_Toc509"/>
      <w:bookmarkEnd w:id="1303"/>
      <w:bookmarkEnd w:id="1304"/>
      <w:r>
        <w:rPr>
          <w:rtl w:val="true"/>
        </w:rPr>
        <w:t>فصل چهارم</w:t>
      </w:r>
      <w:r>
        <w:rPr>
          <w:rtl w:val="true"/>
        </w:rPr>
        <w:t xml:space="preserve">: </w:t>
      </w:r>
      <w:r>
        <w:rPr>
          <w:rtl w:val="true"/>
        </w:rPr>
        <w:t>برخی از مکروهات مرتبط با کاربران مسجد</w:t>
      </w:r>
      <w:bookmarkEnd w:id="1305"/>
    </w:p>
    <w:p>
      <w:pPr>
        <w:pStyle w:val="Heading4"/>
        <w:numPr>
          <w:ilvl w:val="3"/>
          <w:numId w:val="1"/>
        </w:numPr>
        <w:rPr/>
      </w:pPr>
      <w:bookmarkStart w:id="1306" w:name="__RefHeading___Toc15203198_1280447820"/>
      <w:bookmarkStart w:id="1307" w:name="_Toc510"/>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مربوط به گفتار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مکروهات مربوط به رفتار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8" w:name="pg19115_195721"/>
      <w:bookmarkStart w:id="1309" w:name="pg19115_195721"/>
      <w:bookmarkEnd w:id="1309"/>
    </w:p>
    <w:p>
      <w:pPr>
        <w:pStyle w:val="Heading4"/>
        <w:numPr>
          <w:ilvl w:val="3"/>
          <w:numId w:val="1"/>
        </w:numPr>
        <w:rPr/>
      </w:pPr>
      <w:bookmarkStart w:id="1310" w:name="pg19115_195721"/>
      <w:bookmarkStart w:id="1311" w:name="__RefHeading___Toc15203200_1280447820"/>
      <w:bookmarkStart w:id="1312" w:name="_Toc511"/>
      <w:bookmarkEnd w:id="1310"/>
      <w:bookmarkEnd w:id="1311"/>
      <w:r>
        <w:rPr>
          <w:rtl w:val="true"/>
        </w:rPr>
        <w:t>مبحث اول</w:t>
      </w:r>
      <w:r>
        <w:rPr>
          <w:rtl w:val="true"/>
        </w:rPr>
        <w:t xml:space="preserve">: </w:t>
      </w:r>
      <w:r>
        <w:rPr>
          <w:rtl w:val="true"/>
        </w:rPr>
        <w:t>مکروهات گفتاری</w:t>
      </w:r>
      <w:bookmarkEnd w:id="1312"/>
    </w:p>
    <w:p>
      <w:pPr>
        <w:pStyle w:val="Heading5"/>
        <w:numPr>
          <w:ilvl w:val="4"/>
          <w:numId w:val="1"/>
        </w:numPr>
        <w:rPr/>
      </w:pPr>
      <w:bookmarkStart w:id="1313" w:name="__RefHeading___Toc15203202_1280447820"/>
      <w:bookmarkStart w:id="1314" w:name="_Toc512"/>
      <w:bookmarkEnd w:id="1313"/>
      <w:r>
        <w:rPr>
          <w:rtl w:val="true"/>
        </w:rPr>
        <w:t>گفتار اول</w:t>
      </w:r>
      <w:r>
        <w:rPr>
          <w:rtl w:val="true"/>
        </w:rPr>
        <w:t xml:space="preserve">: </w:t>
      </w:r>
      <w:r>
        <w:rPr>
          <w:rtl w:val="true"/>
        </w:rPr>
        <w:t>صحبت کردن پیرامون امور دنیوی</w:t>
      </w:r>
      <w:bookmarkEnd w:id="1314"/>
    </w:p>
    <w:p>
      <w:pPr>
        <w:pStyle w:val="Heading6"/>
        <w:numPr>
          <w:ilvl w:val="5"/>
          <w:numId w:val="1"/>
        </w:numPr>
        <w:rPr/>
      </w:pPr>
      <w:bookmarkStart w:id="1315" w:name="__RefHeading___Toc15203204_1280447820"/>
      <w:bookmarkStart w:id="1316" w:name="_Toc513"/>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یکی از مهمترین مکروهات مسجد که باید از آن دوری گزید، سخن گفتن درباره امور دنیوی است؛ چرا که بنیان و اساس ساخت مسجد بر این نهاده شده که انسان به یاد خداوند و آخرت بیفتد چنان که در روایات نیز به این معنا اشاره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و وضع مسجد برای غیر از امور دنیوی است</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در روایتی پیامبر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افرادی می آیند که این ها به مسجد می روند و دور هم می نشینند، اما کار آنها یاد دنیا و دوست داشتن دنیاست با ایشان همنشین نشو؛ چرا که خداوند آنان را به حال خود رها کرده و کاری به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رحمت بر ایشان نمی اندازد</w:t>
      </w:r>
      <w:r>
        <w:rPr>
          <w:rFonts w:eastAsia="IRNazanin" w:cs="IRNazanin"/>
          <w:color w:val="111111"/>
          <w:sz w:val="28"/>
          <w:szCs w:val="28"/>
          <w:rtl w:val="true"/>
          <w:lang w:bidi="fa-IR"/>
        </w:rPr>
        <w:t xml:space="preserve">)»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پیامبر صلی الله علیه و آله در روایت دیگری می فرماید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سخن بیهوده در مسجد نیکی ها را می بلعد همان گونه که چارپایان گیاهان را می خورند</w:t>
      </w:r>
      <w:r>
        <w:rPr>
          <w:rFonts w:eastAsia="IRNazanin" w:cs="IRNazanin"/>
          <w:color w:val="111111"/>
          <w:sz w:val="28"/>
          <w:szCs w:val="28"/>
          <w:rtl w:val="true"/>
          <w:lang w:bidi="fa-IR"/>
        </w:rPr>
        <w:t xml:space="preserve">» </w:t>
      </w:r>
      <w:r>
        <w:rPr>
          <w:rStyle w:val="FootnoteAnchor"/>
          <w:rtl w:val="true"/>
        </w:rPr>
        <w:footnoteReference w:id="1572"/>
      </w:r>
      <w:bookmarkStart w:id="1317" w:name="pg19115_195722"/>
    </w:p>
    <w:p>
      <w:pPr>
        <w:pStyle w:val="BookText"/>
        <w:rPr/>
      </w:pPr>
      <w:bookmarkEnd w:id="1317"/>
      <w:r>
        <w:rPr>
          <w:rFonts w:ascii="IRNazanin" w:hAnsi="IRNazanin" w:eastAsia="IRNazanin"/>
          <w:color w:val="111111"/>
          <w:sz w:val="28"/>
          <w:sz w:val="28"/>
          <w:szCs w:val="28"/>
          <w:rtl w:val="true"/>
          <w:lang w:bidi="fa-IR"/>
        </w:rPr>
        <w:t>در کلامی دیگر پیامبر اکرم صلی الله علیه و آله به اباذر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نشستنی در مسجد لغو و بیهوده است مگر در سه مورد؛ خواندن نماز یا ذکر خداوند متعال و یا بحث و گفتگو درباره مباحث علمی</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در برخی دیگر از روایات، از ترک بیهوده گویی در مسجد سخن به میان آمده که سخن از امور دنیوی را می توان جزء آن قرار داد و گرنه باید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اللغو في الباطل را مکروهی دیگر دانست، </w:t>
      </w:r>
      <w:r>
        <w:rPr>
          <w:rStyle w:val="FootnoteAnchor"/>
          <w:rtl w:val="true"/>
        </w:rPr>
        <w:footnoteReference w:id="1574"/>
      </w:r>
      <w:r>
        <w:rPr>
          <w:rFonts w:ascii="IRNazanin" w:hAnsi="IRNazanin" w:eastAsia="IRNazanin"/>
          <w:color w:val="111111"/>
          <w:sz w:val="28"/>
          <w:sz w:val="28"/>
          <w:szCs w:val="28"/>
          <w:rtl w:val="true"/>
          <w:lang w:bidi="fa-IR"/>
        </w:rPr>
        <w:t>مانند این روایت که پیامبر اکرم صلی الله علیه و آله در وصیت خود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مسجد هستی، از سخن لغو و بیهوده اجتناب کن که اگر این کار را نکردی، روز قیامت تنها خودت را باید سرزنش کنی</w:t>
      </w:r>
      <w:r>
        <w:rPr>
          <w:rFonts w:eastAsia="IRNazanin" w:cs="IRNazanin"/>
          <w:color w:val="111111"/>
          <w:sz w:val="28"/>
          <w:szCs w:val="28"/>
          <w:rtl w:val="true"/>
          <w:lang w:bidi="fa-IR"/>
        </w:rPr>
        <w:t xml:space="preserve">»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از جمله فقیهانی که به این مطلب تصریح کرده اند، شهید اول رحمه الله در ذکری، </w:t>
      </w:r>
      <w:r>
        <w:rPr>
          <w:rStyle w:val="FootnoteAnchor"/>
          <w:rtl w:val="true"/>
        </w:rPr>
        <w:footnoteReference w:id="1576"/>
      </w:r>
      <w:r>
        <w:rPr>
          <w:rFonts w:ascii="IRNazanin" w:hAnsi="IRNazanin" w:eastAsia="IRNazanin"/>
          <w:color w:val="111111"/>
          <w:sz w:val="28"/>
          <w:sz w:val="28"/>
          <w:szCs w:val="28"/>
          <w:rtl w:val="true"/>
          <w:lang w:bidi="fa-IR"/>
        </w:rPr>
        <w:t xml:space="preserve">بیان </w:t>
      </w:r>
      <w:r>
        <w:rPr>
          <w:rStyle w:val="FootnoteAnchor"/>
          <w:rtl w:val="true"/>
        </w:rPr>
        <w:footnoteReference w:id="1577"/>
      </w:r>
      <w:r>
        <w:rPr>
          <w:rFonts w:ascii="IRNazanin" w:hAnsi="IRNazanin" w:eastAsia="IRNazanin"/>
          <w:color w:val="111111"/>
          <w:sz w:val="28"/>
          <w:sz w:val="28"/>
          <w:szCs w:val="28"/>
          <w:rtl w:val="true"/>
          <w:lang w:bidi="fa-IR"/>
        </w:rPr>
        <w:t xml:space="preserve">و لمعه، </w:t>
      </w:r>
      <w:r>
        <w:rPr>
          <w:rStyle w:val="FootnoteAnchor"/>
          <w:rtl w:val="true"/>
        </w:rPr>
        <w:footnoteReference w:id="1578"/>
      </w:r>
      <w:r>
        <w:rPr>
          <w:rFonts w:ascii="IRNazanin" w:hAnsi="IRNazanin" w:eastAsia="IRNazanin"/>
          <w:color w:val="111111"/>
          <w:sz w:val="28"/>
          <w:sz w:val="28"/>
          <w:szCs w:val="28"/>
          <w:rtl w:val="true"/>
          <w:lang w:bidi="fa-IR"/>
        </w:rPr>
        <w:t xml:space="preserve">مرحوم بحرانی </w:t>
      </w:r>
      <w:r>
        <w:rPr>
          <w:rStyle w:val="FootnoteAnchor"/>
          <w:rtl w:val="true"/>
        </w:rPr>
        <w:footnoteReference w:id="1579"/>
      </w:r>
      <w:r>
        <w:rPr>
          <w:rFonts w:ascii="IRNazanin" w:hAnsi="IRNazanin" w:eastAsia="IRNazanin"/>
          <w:color w:val="111111"/>
          <w:sz w:val="28"/>
          <w:sz w:val="28"/>
          <w:szCs w:val="28"/>
          <w:rtl w:val="true"/>
          <w:lang w:bidi="fa-IR"/>
        </w:rPr>
        <w:t xml:space="preserve">و کاشف الغطاء </w:t>
      </w:r>
      <w:r>
        <w:rPr>
          <w:rStyle w:val="FootnoteAnchor"/>
          <w:rtl w:val="true"/>
        </w:rPr>
        <w:footnoteReference w:id="158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1318" w:name="__RefHeading___Toc15203206_1280447820"/>
      <w:bookmarkStart w:id="1319" w:name="_Toc514"/>
      <w:bookmarkEnd w:id="1318"/>
      <w:r>
        <w:rPr>
          <w:rtl w:val="true"/>
        </w:rPr>
        <w:t>دیدگاه اهل سنّت</w:t>
      </w:r>
      <w:bookmarkEnd w:id="1319"/>
    </w:p>
    <w:p>
      <w:pPr>
        <w:pStyle w:val="Heading6"/>
        <w:numPr>
          <w:ilvl w:val="5"/>
          <w:numId w:val="1"/>
        </w:numPr>
        <w:rPr/>
      </w:pPr>
      <w:bookmarkStart w:id="1320" w:name="__RefHeading___Toc15203208_1280447820"/>
      <w:bookmarkStart w:id="1321" w:name="_Toc515"/>
      <w:bookmarkEnd w:id="1320"/>
      <w:r>
        <w:rPr>
          <w:rtl w:val="true"/>
        </w:rPr>
        <w:t>اشاره</w:t>
      </w:r>
      <w:bookmarkEnd w:id="1321"/>
    </w:p>
    <w:p>
      <w:pPr>
        <w:pStyle w:val="Heading6"/>
        <w:numPr>
          <w:ilvl w:val="5"/>
          <w:numId w:val="1"/>
        </w:numPr>
        <w:rPr/>
      </w:pPr>
      <w:bookmarkStart w:id="1322" w:name="__RefHeading___Toc15203210_1280447820"/>
      <w:bookmarkStart w:id="1323" w:name="_Toc516"/>
      <w:bookmarkEnd w:id="1322"/>
      <w:r>
        <w:rPr/>
        <w:t>1</w:t>
      </w:r>
      <w:r>
        <w:rPr>
          <w:rtl w:val="true"/>
        </w:rPr>
        <w:t>و</w:t>
      </w:r>
      <w:r>
        <w:rPr/>
        <w:t>2</w:t>
      </w:r>
      <w:r>
        <w:rPr>
          <w:rtl w:val="true"/>
        </w:rPr>
        <w:t>و</w:t>
      </w:r>
      <w:r>
        <w:rPr/>
        <w:t>3</w:t>
      </w:r>
      <w:r>
        <w:rPr>
          <w:rtl w:val="true"/>
        </w:rPr>
        <w:t xml:space="preserve">. </w:t>
      </w:r>
      <w:r>
        <w:rPr>
          <w:rtl w:val="true"/>
        </w:rPr>
        <w:t>مذهب حنفی، مالکی و حنبلی</w:t>
      </w:r>
      <w:bookmarkEnd w:id="1323"/>
    </w:p>
    <w:p>
      <w:pPr>
        <w:pStyle w:val="Heading6"/>
        <w:numPr>
          <w:ilvl w:val="5"/>
          <w:numId w:val="1"/>
        </w:numPr>
        <w:rPr/>
      </w:pPr>
      <w:bookmarkStart w:id="1324" w:name="__RefHeading___Toc15203212_1280447820"/>
      <w:bookmarkStart w:id="1325" w:name="_Toc517"/>
      <w:bookmarkEnd w:id="1324"/>
      <w:r>
        <w:rPr>
          <w:rtl w:val="true"/>
        </w:rPr>
        <w:t>اشاره</w:t>
      </w:r>
      <w:bookmarkEnd w:id="132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فقیهان اهل سنت درباره سخن گفتن در مسجد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ها، </w:t>
      </w:r>
      <w:bookmarkStart w:id="1326" w:name="pg19115_195723"/>
    </w:p>
    <w:p>
      <w:pPr>
        <w:pStyle w:val="BookText"/>
        <w:rPr/>
      </w:pPr>
      <w:bookmarkEnd w:id="1326"/>
      <w:r>
        <w:rPr>
          <w:rFonts w:ascii="IRNazanin" w:hAnsi="IRNazanin" w:eastAsia="IRNazanin"/>
          <w:color w:val="111111"/>
          <w:sz w:val="28"/>
          <w:sz w:val="28"/>
          <w:szCs w:val="28"/>
          <w:rtl w:val="true"/>
          <w:lang w:bidi="fa-IR"/>
        </w:rPr>
        <w:t>مالکی ها و حنبلی ها بر این باورند که سخن گفتن در مسجد درباره امور دنیوی کراهت دارد اما شافعیها کلام مباح در مسجد را جایز می دانند</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ابن عابدین از علمای حنفیه می نویسد همانا سخنان مباح در مسجد، مکروه است و نیکی ها را از بین می برد همان گونه که آتش هیزم را می سوزاند و این کراهت تحریمی است؛ زیرا مساجد برای غیر این امور بنا شده اند</w:t>
      </w:r>
      <w:r>
        <w:rPr>
          <w:rFonts w:eastAsia="IRNazanin" w:cs="IRNazanin"/>
          <w:color w:val="111111"/>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بهوتی از فقهای حنابله می گوید مشغول شدن در سخنان دنیوی در مسجد، کراهت دارد و شخصی که داخل مسجد می شود مشغول نماز، خواندن قرآن و ذکر باشد</w:t>
      </w:r>
      <w:r>
        <w:rPr>
          <w:rFonts w:eastAsia="IRNazanin" w:cs="IRNazanin"/>
          <w:color w:val="111111"/>
          <w:sz w:val="28"/>
          <w:szCs w:val="28"/>
          <w:rtl w:val="true"/>
          <w:lang w:bidi="fa-IR"/>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ابن حاج از بزرگان مالکیه می گوید پیامبر خدا صلی الله علیه و آله نهی کرد از این که مردم در مسجد دور هم جمع شوند و درباره امور دنیوی و اتفاقاتی که برای دیگران افتاده سخن بگویند و نشستن در،مسجد، تنها برای خواندن نماز تلاوت قرآن، ذکر خدا و تفکر است</w:t>
      </w:r>
      <w:r>
        <w:rPr>
          <w:rFonts w:eastAsia="IRNazanin" w:cs="IRNazanin"/>
          <w:color w:val="111111"/>
          <w:sz w:val="28"/>
          <w:szCs w:val="28"/>
          <w:rtl w:val="true"/>
          <w:lang w:bidi="fa-IR"/>
        </w:rPr>
        <w:t xml:space="preserve">. </w:t>
      </w:r>
      <w:r>
        <w:rPr>
          <w:rStyle w:val="FootnoteAnchor"/>
          <w:rtl w:val="true"/>
        </w:rPr>
        <w:footnoteReference w:id="1584"/>
      </w:r>
    </w:p>
    <w:p>
      <w:pPr>
        <w:pStyle w:val="Heading6"/>
        <w:numPr>
          <w:ilvl w:val="5"/>
          <w:numId w:val="1"/>
        </w:numPr>
        <w:rPr/>
      </w:pPr>
      <w:bookmarkStart w:id="1327" w:name="__RefHeading___Toc15203214_1280447820"/>
      <w:bookmarkStart w:id="1328" w:name="_Toc518"/>
      <w:bookmarkEnd w:id="1327"/>
      <w:r>
        <w:rPr/>
        <w:t>4</w:t>
      </w:r>
      <w:r>
        <w:rPr>
          <w:rtl w:val="true"/>
        </w:rPr>
        <w:t xml:space="preserve">. </w:t>
      </w:r>
      <w:r>
        <w:rPr>
          <w:rtl w:val="true"/>
        </w:rPr>
        <w:t>مذهب شافعی</w:t>
      </w:r>
      <w:bookmarkEnd w:id="1328"/>
    </w:p>
    <w:p>
      <w:pPr>
        <w:pStyle w:val="BookText"/>
        <w:rPr/>
      </w:pPr>
      <w:r>
        <w:rPr>
          <w:rFonts w:ascii="IRNazanin" w:hAnsi="IRNazanin" w:eastAsia="IRNazanin"/>
          <w:color w:val="111111"/>
          <w:sz w:val="28"/>
          <w:sz w:val="28"/>
          <w:szCs w:val="28"/>
          <w:rtl w:val="true"/>
          <w:lang w:bidi="fa-IR"/>
        </w:rPr>
        <w:t xml:space="preserve">نووی از فقهای شافعی می نویسد جایز است سخن گفتن در مسجد از امور دنیوی که مباح هستند اگرچه موجب خنده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زمانی که مباح است</w:t>
      </w:r>
      <w:r>
        <w:rPr>
          <w:rFonts w:eastAsia="IRNazanin" w:cs="IRNazanin"/>
          <w:color w:val="111111"/>
          <w:sz w:val="28"/>
          <w:szCs w:val="28"/>
          <w:rtl w:val="true"/>
          <w:lang w:bidi="fa-IR"/>
        </w:rPr>
        <w:t xml:space="preserve">). </w:t>
      </w:r>
      <w:r>
        <w:rPr>
          <w:rStyle w:val="FootnoteAnchor"/>
          <w:rtl w:val="true"/>
        </w:rPr>
        <w:footnoteReference w:id="1585"/>
      </w:r>
    </w:p>
    <w:p>
      <w:pPr>
        <w:pStyle w:val="Heading5"/>
        <w:numPr>
          <w:ilvl w:val="4"/>
          <w:numId w:val="1"/>
        </w:numPr>
        <w:rPr/>
      </w:pPr>
      <w:bookmarkStart w:id="1329" w:name="__RefHeading___Toc15203216_1280447820"/>
      <w:bookmarkStart w:id="1330" w:name="_Toc519"/>
      <w:bookmarkEnd w:id="1329"/>
      <w:r>
        <w:rPr>
          <w:rtl w:val="true"/>
        </w:rPr>
        <w:t>گفتار دوم</w:t>
      </w:r>
      <w:r>
        <w:rPr>
          <w:rtl w:val="true"/>
        </w:rPr>
        <w:t xml:space="preserve">: </w:t>
      </w:r>
      <w:r>
        <w:rPr>
          <w:rtl w:val="true"/>
        </w:rPr>
        <w:t>بالا بردن صدا در مسجد</w:t>
      </w:r>
      <w:bookmarkEnd w:id="1330"/>
    </w:p>
    <w:p>
      <w:pPr>
        <w:pStyle w:val="Heading6"/>
        <w:numPr>
          <w:ilvl w:val="5"/>
          <w:numId w:val="1"/>
        </w:numPr>
        <w:rPr/>
      </w:pPr>
      <w:bookmarkStart w:id="1331" w:name="__RefHeading___Toc15203218_1280447820"/>
      <w:bookmarkStart w:id="1332" w:name="_Toc520"/>
      <w:bookmarkEnd w:id="1331"/>
      <w:r>
        <w:rPr>
          <w:rtl w:val="true"/>
        </w:rPr>
        <w:t>اشاره</w:t>
      </w:r>
      <w:bookmarkEnd w:id="133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مکروهات مربوط به مسجد آن است که شخص صدای خود را در مسجد بالا ببرد؛ چرا که این کار هم باعث سرگرم شدن از عبادت می شود و هم با سکینه، وقار و خشوع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منافات دارد و هم این که روایات </w:t>
      </w:r>
      <w:bookmarkStart w:id="1333" w:name="pg19115_195724"/>
    </w:p>
    <w:p>
      <w:pPr>
        <w:pStyle w:val="BookText"/>
        <w:rPr/>
      </w:pPr>
      <w:bookmarkEnd w:id="1333"/>
      <w:r>
        <w:rPr>
          <w:rFonts w:ascii="IRNazanin" w:hAnsi="IRNazanin" w:eastAsia="IRNazanin"/>
          <w:color w:val="111111"/>
          <w:sz w:val="28"/>
          <w:sz w:val="28"/>
          <w:szCs w:val="28"/>
          <w:rtl w:val="true"/>
          <w:lang w:bidi="fa-IR"/>
        </w:rPr>
        <w:t>زیادی از این کار منع کرده اند</w:t>
      </w:r>
      <w:r>
        <w:rPr>
          <w:rFonts w:eastAsia="IRNazanin" w:cs="IRNazanin"/>
          <w:color w:val="111111"/>
          <w:sz w:val="28"/>
          <w:szCs w:val="28"/>
          <w:rtl w:val="true"/>
          <w:lang w:bidi="fa-IR"/>
        </w:rPr>
        <w:t xml:space="preserve">. </w:t>
      </w:r>
      <w:r>
        <w:rPr>
          <w:rStyle w:val="FootnoteAnchor"/>
          <w:rtl w:val="true"/>
        </w:rPr>
        <w:footnoteReference w:id="1586"/>
      </w:r>
    </w:p>
    <w:p>
      <w:pPr>
        <w:pStyle w:val="Heading6"/>
        <w:numPr>
          <w:ilvl w:val="5"/>
          <w:numId w:val="1"/>
        </w:numPr>
        <w:rPr/>
      </w:pPr>
      <w:bookmarkStart w:id="1334" w:name="__RefHeading___Toc15203220_1280447820"/>
      <w:bookmarkStart w:id="1335" w:name="_Toc521"/>
      <w:bookmarkEnd w:id="1334"/>
      <w:r>
        <w:rPr>
          <w:rtl w:val="true"/>
        </w:rPr>
        <w:t>الف</w:t>
      </w:r>
      <w:r>
        <w:rPr>
          <w:rtl w:val="true"/>
        </w:rPr>
        <w:t xml:space="preserve">) </w:t>
      </w:r>
      <w:r>
        <w:rPr>
          <w:rtl w:val="true"/>
        </w:rPr>
        <w:t>ادله کراهت بالا بردن صدا در مسجد</w:t>
      </w:r>
      <w:bookmarkEnd w:id="1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پدران خود از پیامبر صلی الله علیه و اله نقل می 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پانزده کار را انجام دهند بلا بر آنها نازل می شود که یکی از آنها، بالا بردن صدا در مساجد است</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در وصیتی 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هر کس ندا دهنده الهی را پاسخگو بوده و به نیکی مساجد خدا را آباد کند پاداش او از طرف خداوند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مساجد خداوند آباد می شوند؟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صداها مساجد بالا نرفته و سخنان باطل در آنجا رد و بدل نشود</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در مساجد خود دوری گزینید که یکی از آنها بالا بردن صدا در مسجد است</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 xml:space="preserve">شبیه </w:t>
      </w:r>
      <w:bookmarkStart w:id="1336" w:name="pg19115_195725"/>
    </w:p>
    <w:p>
      <w:pPr>
        <w:pStyle w:val="BookText"/>
        <w:rPr/>
      </w:pPr>
      <w:bookmarkEnd w:id="1336"/>
      <w:r>
        <w:rPr>
          <w:rFonts w:ascii="IRNazanin" w:hAnsi="IRNazanin" w:eastAsia="IRNazanin"/>
          <w:color w:val="111111"/>
          <w:sz w:val="28"/>
          <w:sz w:val="28"/>
          <w:szCs w:val="28"/>
          <w:rtl w:val="true"/>
          <w:lang w:bidi="fa-IR"/>
        </w:rPr>
        <w:t>به این مضمون را شیخ صدوق رحمه الله در الفقیه از امیر المؤمنین علی علیه السلام نقل می کند</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شیخ صدوق رحمه الله نقل می کند که بالا بردن صدا در مسجد،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روایت، هم مرفوعه است و هم مضمر و ظاهراً كلام معصومعلیه السلام نیست بلکه شیخ صدوق رحمه الله فتوای پدر خود یا راوی دیگری را نقل می کند</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نهی کرد از این در مسجد حد اجرا شده و صدا در آنجا بالا رود</w:t>
      </w:r>
      <w:r>
        <w:rPr>
          <w:rFonts w:eastAsia="IRNazanin" w:cs="IRNazanin"/>
          <w:color w:val="111111"/>
          <w:sz w:val="28"/>
          <w:szCs w:val="28"/>
          <w:rtl w:val="true"/>
          <w:lang w:bidi="fa-IR"/>
        </w:rPr>
        <w:t xml:space="preserve">. </w:t>
      </w:r>
      <w:r>
        <w:rPr>
          <w:rStyle w:val="FootnoteAnchor"/>
          <w:rtl w:val="true"/>
        </w:rPr>
        <w:footnoteReference w:id="1592"/>
      </w:r>
    </w:p>
    <w:p>
      <w:pPr>
        <w:pStyle w:val="Heading6"/>
        <w:numPr>
          <w:ilvl w:val="5"/>
          <w:numId w:val="1"/>
        </w:numPr>
        <w:rPr/>
      </w:pPr>
      <w:bookmarkStart w:id="1337" w:name="__RefHeading___Toc15203222_1280447820"/>
      <w:bookmarkStart w:id="1338" w:name="_Toc522"/>
      <w:bookmarkEnd w:id="1337"/>
      <w:r>
        <w:rPr>
          <w:rtl w:val="true"/>
        </w:rPr>
        <w:t>ب</w:t>
      </w:r>
      <w:r>
        <w:rPr>
          <w:rtl w:val="true"/>
        </w:rPr>
        <w:t xml:space="preserve">) </w:t>
      </w:r>
      <w:r>
        <w:rPr>
          <w:rtl w:val="true"/>
        </w:rPr>
        <w:t>دیدگاه فقیهان امامیه</w:t>
      </w:r>
      <w:bookmarkEnd w:id="133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کراهت بالا بردن صدا در مسجد، فتوای مشهوری میان فقیهان امامیه می باشد </w:t>
      </w:r>
      <w:r>
        <w:rPr>
          <w:rStyle w:val="FootnoteAnchor"/>
          <w:rtl w:val="true"/>
        </w:rPr>
        <w:footnoteReference w:id="1593"/>
      </w:r>
      <w:r>
        <w:rPr>
          <w:rFonts w:ascii="IRNazanin" w:hAnsi="IRNazanin" w:eastAsia="IRNazanin"/>
          <w:color w:val="111111"/>
          <w:sz w:val="28"/>
          <w:sz w:val="28"/>
          <w:szCs w:val="28"/>
          <w:rtl w:val="true"/>
          <w:lang w:bidi="fa-IR"/>
        </w:rPr>
        <w:t xml:space="preserve">چنان چه شیخ طوسی رحمه الله در نهایه </w:t>
      </w:r>
      <w:r>
        <w:rPr>
          <w:rStyle w:val="FootnoteAnchor"/>
          <w:rtl w:val="true"/>
        </w:rPr>
        <w:footnoteReference w:id="1594"/>
      </w:r>
      <w:r>
        <w:rPr>
          <w:rFonts w:ascii="IRNazanin" w:hAnsi="IRNazanin" w:eastAsia="IRNazanin"/>
          <w:color w:val="111111"/>
          <w:sz w:val="28"/>
          <w:sz w:val="28"/>
          <w:szCs w:val="28"/>
          <w:rtl w:val="true"/>
          <w:lang w:bidi="fa-IR"/>
        </w:rPr>
        <w:t>و مبسوط</w:t>
      </w:r>
      <w:r>
        <w:rPr>
          <w:rStyle w:val="FootnoteAnchor"/>
          <w:rtl w:val="true"/>
        </w:rPr>
        <w:footnoteReference w:id="1595"/>
      </w:r>
      <w:r>
        <w:rPr>
          <w:rFonts w:ascii="IRNazanin" w:hAnsi="IRNazanin" w:eastAsia="IRNazanin"/>
          <w:color w:val="111111"/>
          <w:sz w:val="28"/>
          <w:sz w:val="28"/>
          <w:szCs w:val="28"/>
          <w:rtl w:val="true"/>
          <w:lang w:bidi="fa-IR"/>
        </w:rPr>
        <w:t xml:space="preserve">، محقق در شرائع، </w:t>
      </w:r>
      <w:r>
        <w:rPr>
          <w:rStyle w:val="FootnoteAnchor"/>
          <w:rtl w:val="true"/>
        </w:rPr>
        <w:footnoteReference w:id="1596"/>
      </w:r>
      <w:r>
        <w:rPr>
          <w:rFonts w:ascii="Amiri" w:hAnsi="Amiri" w:eastAsia="Amiri" w:cs="Amiri"/>
          <w:color w:val="111111"/>
          <w:sz w:val="28"/>
          <w:sz w:val="28"/>
          <w:szCs w:val="28"/>
          <w:rtl w:val="true"/>
          <w:lang w:bidi="ar-SA"/>
        </w:rPr>
        <w:t xml:space="preserve">علامه حلّی </w:t>
      </w:r>
      <w:r>
        <w:rPr>
          <w:rStyle w:val="FootnoteAnchor"/>
          <w:rtl w:val="true"/>
        </w:rPr>
        <w:footnoteReference w:id="159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شهید اول در کتب خود </w:t>
      </w:r>
      <w:r>
        <w:rPr>
          <w:rStyle w:val="FootnoteAnchor"/>
          <w:rtl w:val="true"/>
        </w:rPr>
        <w:footnoteReference w:id="1598"/>
      </w:r>
      <w:r>
        <w:rPr>
          <w:rFonts w:ascii="IRNazanin" w:hAnsi="IRNazanin" w:eastAsia="IRNazanin"/>
          <w:color w:val="111111"/>
          <w:sz w:val="28"/>
          <w:sz w:val="28"/>
          <w:szCs w:val="28"/>
          <w:rtl w:val="true"/>
          <w:lang w:bidi="fa-IR"/>
        </w:rPr>
        <w:t xml:space="preserve">و محقق اردبیلی </w:t>
      </w:r>
      <w:r>
        <w:rPr>
          <w:rStyle w:val="FootnoteAnchor"/>
          <w:rtl w:val="true"/>
        </w:rPr>
        <w:footnoteReference w:id="1599"/>
      </w:r>
      <w:r>
        <w:rPr>
          <w:rFonts w:ascii="IRNazanin" w:hAnsi="IRNazanin" w:eastAsia="IRNazanin"/>
          <w:color w:val="111111"/>
          <w:sz w:val="28"/>
          <w:sz w:val="28"/>
          <w:szCs w:val="28"/>
          <w:rtl w:val="true"/>
          <w:lang w:bidi="fa-IR"/>
        </w:rPr>
        <w:t>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برخی از امور از این حکم استثناء شده و بالا بردن صدا برای آنها در مسجد کراهت ندارد چنانچه در روایتی 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کراهت استثنا شده است</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مرحوم مجلسی پس از نقل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فقیهان امامیه آن است که بالا بردن صدا در مسجد، مطلقاً کراهت دارد اگرچه برای قرائت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اخبار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روایت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شاید مراد سایر روایات نیز همین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به کراهت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بالا بردن صدا برای امثال اذان و تکبیر زیباست</w:t>
      </w:r>
      <w:r>
        <w:rPr>
          <w:rFonts w:eastAsia="IRNazanin" w:cs="IRNazanin"/>
          <w:color w:val="111111"/>
          <w:sz w:val="28"/>
          <w:szCs w:val="28"/>
          <w:rtl w:val="true"/>
          <w:lang w:bidi="fa-IR"/>
        </w:rPr>
        <w:t xml:space="preserve">. </w:t>
      </w:r>
      <w:r>
        <w:rPr>
          <w:rStyle w:val="FootnoteAnchor"/>
          <w:rtl w:val="true"/>
        </w:rPr>
        <w:footnoteReference w:id="160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گفته اند مقصود از رفع صوت، بالا بردن صدا به حدی است که از حالت عادی خارج شود</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 xml:space="preserve">فاضل اصفهانی رحمه الله نیز در کشف اللثام پس از ذکر کلام ابن ادریس </w:t>
      </w:r>
      <w:r>
        <w:rPr>
          <w:rStyle w:val="FootnoteAnchor"/>
          <w:rtl w:val="true"/>
        </w:rPr>
        <w:footnoteReference w:id="1603"/>
      </w:r>
      <w:r>
        <w:rPr>
          <w:rFonts w:ascii="IRNazanin" w:hAnsi="IRNazanin" w:eastAsia="IRNazanin"/>
          <w:color w:val="111111"/>
          <w:sz w:val="28"/>
          <w:sz w:val="28"/>
          <w:szCs w:val="28"/>
          <w:rtl w:val="true"/>
          <w:lang w:bidi="fa-IR"/>
        </w:rPr>
        <w:t xml:space="preserve">و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حکم کراهت استثنا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فتاوای فقها مطلق بوده و شامل هر نوع صدای بلندی در مسجد </w:t>
      </w:r>
      <w:bookmarkStart w:id="1339" w:name="pg19115_195727"/>
    </w:p>
    <w:p>
      <w:pPr>
        <w:pStyle w:val="BookText"/>
        <w:rPr/>
      </w:pPr>
      <w:bookmarkEnd w:id="1339"/>
      <w:r>
        <w:rPr>
          <w:rFonts w:ascii="IRNazanin" w:hAnsi="IRNazanin" w:eastAsia="IRNazanin"/>
          <w:color w:val="111111"/>
          <w:sz w:val="28"/>
          <w:sz w:val="28"/>
          <w:szCs w:val="28"/>
          <w:rtl w:val="true"/>
          <w:lang w:bidi="fa-IR"/>
        </w:rPr>
        <w:t>می شود و حال آن که جهر گاهی اوقات واجب و گاهی اوقات مستحب است مثل برخی از قرائتها در،نماز برخی اذکار، اذان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بالا بردن،صدا آن است که صدا از حالت عادی نسبت به همان عمل بلندتر نشود مثلاً صدای عادی در قرائت نماز با اذان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اذان اعلام هر قدر بلندتر گفته شود اولی است</w:t>
      </w:r>
      <w:r>
        <w:rPr>
          <w:rFonts w:eastAsia="IRNazanin" w:cs="IRNazanin"/>
          <w:color w:val="111111"/>
          <w:sz w:val="28"/>
          <w:szCs w:val="28"/>
          <w:rtl w:val="true"/>
          <w:lang w:bidi="fa-IR"/>
        </w:rPr>
        <w:t xml:space="preserve">. </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نکته شایان ذکر آن است که برخی از فقها گفته اند مقصود از رفع صوت بالا بردن صدا به حدی است که از حالت عادی خارج شود</w:t>
      </w:r>
      <w:r>
        <w:rPr>
          <w:rFonts w:eastAsia="IRNazanin" w:cs="IRNazanin"/>
          <w:color w:val="111111"/>
          <w:sz w:val="28"/>
          <w:szCs w:val="28"/>
          <w:rtl w:val="true"/>
          <w:lang w:bidi="fa-IR"/>
        </w:rPr>
        <w:t xml:space="preserve">. </w:t>
      </w:r>
      <w:r>
        <w:rPr>
          <w:rStyle w:val="FootnoteAnchor"/>
          <w:rtl w:val="true"/>
        </w:rPr>
        <w:footnoteReference w:id="1605"/>
      </w:r>
    </w:p>
    <w:p>
      <w:pPr>
        <w:pStyle w:val="Heading6"/>
        <w:numPr>
          <w:ilvl w:val="5"/>
          <w:numId w:val="1"/>
        </w:numPr>
        <w:rPr/>
      </w:pPr>
      <w:bookmarkStart w:id="1340" w:name="__RefHeading___Toc15203224_1280447820"/>
      <w:bookmarkStart w:id="1341" w:name="_Toc523"/>
      <w:bookmarkEnd w:id="1340"/>
      <w:r>
        <w:rPr>
          <w:rtl w:val="true"/>
        </w:rPr>
        <w:t>ج</w:t>
      </w:r>
      <w:r>
        <w:rPr>
          <w:rtl w:val="true"/>
        </w:rPr>
        <w:t xml:space="preserve">) </w:t>
      </w:r>
      <w:r>
        <w:rPr>
          <w:rtl w:val="true"/>
        </w:rPr>
        <w:t>دیدگاه فقیهان اهل سنّت</w:t>
      </w:r>
      <w:bookmarkEnd w:id="1341"/>
    </w:p>
    <w:p>
      <w:pPr>
        <w:pStyle w:val="Heading6"/>
        <w:numPr>
          <w:ilvl w:val="5"/>
          <w:numId w:val="1"/>
        </w:numPr>
        <w:rPr/>
      </w:pPr>
      <w:bookmarkStart w:id="1342" w:name="__RefHeading___Toc15203226_1280447820"/>
      <w:bookmarkStart w:id="1343" w:name="_Toc524"/>
      <w:bookmarkEnd w:id="1342"/>
      <w:r>
        <w:rPr>
          <w:rtl w:val="true"/>
        </w:rPr>
        <w:t>اشاره</w:t>
      </w:r>
      <w:bookmarkEnd w:id="1343"/>
    </w:p>
    <w:p>
      <w:pPr>
        <w:pStyle w:val="BookText"/>
        <w:rPr/>
      </w:pPr>
      <w:r>
        <w:rPr>
          <w:rFonts w:ascii="IRNazanin" w:hAnsi="IRNazanin" w:eastAsia="IRNazanin"/>
          <w:color w:val="111111"/>
          <w:sz w:val="28"/>
          <w:sz w:val="28"/>
          <w:szCs w:val="28"/>
          <w:rtl w:val="true"/>
          <w:lang w:bidi="fa-IR"/>
        </w:rPr>
        <w:t>دیدگاه فقیهان عامه درباره بالا بردن در مسجد مختلف است؛</w:t>
      </w:r>
    </w:p>
    <w:p>
      <w:pPr>
        <w:pStyle w:val="Heading6"/>
        <w:numPr>
          <w:ilvl w:val="5"/>
          <w:numId w:val="1"/>
        </w:numPr>
        <w:rPr/>
      </w:pPr>
      <w:bookmarkStart w:id="1344" w:name="__RefHeading___Toc15203228_1280447820"/>
      <w:bookmarkStart w:id="1345" w:name="_Toc525"/>
      <w:bookmarkEnd w:id="1344"/>
      <w:r>
        <w:rPr/>
        <w:t>1</w:t>
      </w:r>
      <w:r>
        <w:rPr>
          <w:rtl w:val="true"/>
        </w:rPr>
        <w:t xml:space="preserve"> </w:t>
      </w:r>
      <w:r>
        <w:rPr>
          <w:rtl w:val="true"/>
        </w:rPr>
        <w:t xml:space="preserve">و </w:t>
      </w:r>
      <w:r>
        <w:rPr/>
        <w:t>2</w:t>
      </w:r>
      <w:r>
        <w:rPr>
          <w:rtl w:val="true"/>
        </w:rPr>
        <w:t xml:space="preserve">. </w:t>
      </w:r>
      <w:r>
        <w:rPr>
          <w:rtl w:val="true"/>
        </w:rPr>
        <w:t>مذهب حنفی و شافعی</w:t>
      </w:r>
      <w:bookmarkEnd w:id="1345"/>
    </w:p>
    <w:p>
      <w:pPr>
        <w:pStyle w:val="BookText"/>
        <w:rPr/>
      </w:pPr>
      <w:r>
        <w:rPr>
          <w:rFonts w:ascii="IRNazanin" w:hAnsi="IRNazanin" w:eastAsia="IRNazanin"/>
          <w:color w:val="111111"/>
          <w:sz w:val="28"/>
          <w:sz w:val="28"/>
          <w:szCs w:val="28"/>
          <w:rtl w:val="true"/>
          <w:lang w:bidi="fa-IR"/>
        </w:rPr>
        <w:t>حنفیها و شافعی ها بر این باورند که بالا بردن صدا در مسجد برای ذکر گفتن اگر موجب حواس پرتی نمازگزاران یا بیدار شدن افراد خواب شود، کراهت دارد و در غیر این صورت مکروه نیست بلکه گاهی افضل است و آن زمانی است که موجب بیداری قلب ذاکر و برطرف شدن خواب از او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بالا بردن صدا برای کلام دیگری غیر از ذکر گفتن باشد، اگر این کلام حلال،نباشد این کار نیز حرام است و اگر کلام حلالی باشد و موجب حواس پرتی نمازگزاران شود، مکروه است و در غیر این صورت کراهت ندارد</w:t>
      </w:r>
      <w:r>
        <w:rPr>
          <w:rFonts w:eastAsia="IRNazanin" w:cs="IRNazanin"/>
          <w:color w:val="111111"/>
          <w:sz w:val="28"/>
          <w:szCs w:val="28"/>
          <w:rtl w:val="true"/>
          <w:lang w:bidi="fa-IR"/>
        </w:rPr>
        <w:t xml:space="preserve">. </w:t>
      </w:r>
      <w:r>
        <w:rPr>
          <w:rStyle w:val="FootnoteAnchor"/>
          <w:rtl w:val="true"/>
        </w:rPr>
        <w:footnoteReference w:id="1606"/>
      </w:r>
      <w:bookmarkStart w:id="1346" w:name="pg19115_195728"/>
    </w:p>
    <w:p>
      <w:pPr>
        <w:pStyle w:val="Heading6"/>
        <w:numPr>
          <w:ilvl w:val="5"/>
          <w:numId w:val="1"/>
        </w:numPr>
        <w:rPr/>
      </w:pPr>
      <w:bookmarkStart w:id="1347" w:name="__RefHeading___Toc15203230_1280447820"/>
      <w:bookmarkStart w:id="1348" w:name="_Toc526"/>
      <w:bookmarkEnd w:id="1346"/>
      <w:bookmarkEnd w:id="1347"/>
      <w:r>
        <w:rPr/>
        <w:t>3</w:t>
      </w:r>
      <w:r>
        <w:rPr>
          <w:rtl w:val="true"/>
        </w:rPr>
        <w:t xml:space="preserve">. </w:t>
      </w:r>
      <w:r>
        <w:rPr>
          <w:rtl w:val="true"/>
        </w:rPr>
        <w:t>مذهب مالکی</w:t>
      </w:r>
      <w:bookmarkEnd w:id="1348"/>
    </w:p>
    <w:p>
      <w:pPr>
        <w:pStyle w:val="Heading6"/>
        <w:numPr>
          <w:ilvl w:val="5"/>
          <w:numId w:val="1"/>
        </w:numPr>
        <w:rPr/>
      </w:pPr>
      <w:bookmarkStart w:id="1349" w:name="__RefHeading___Toc15203232_1280447820"/>
      <w:bookmarkStart w:id="1350" w:name="_Toc527"/>
      <w:bookmarkEnd w:id="1349"/>
      <w:r>
        <w:rPr>
          <w:rtl w:val="true"/>
        </w:rPr>
        <w:t>اشاره</w:t>
      </w:r>
      <w:bookmarkEnd w:id="1350"/>
    </w:p>
    <w:p>
      <w:pPr>
        <w:pStyle w:val="BookText"/>
        <w:rPr/>
      </w:pPr>
      <w:r>
        <w:rPr>
          <w:rFonts w:ascii="IRNazanin" w:hAnsi="IRNazanin" w:eastAsia="IRNazanin"/>
          <w:color w:val="111111"/>
          <w:sz w:val="28"/>
          <w:sz w:val="28"/>
          <w:szCs w:val="28"/>
          <w:rtl w:val="true"/>
          <w:lang w:bidi="fa-IR"/>
        </w:rPr>
        <w:t>مالکی ها معتقدند که بالا بردن صدا در مسجد کراهت دارد هر چند برای ذکر و علم باشد و چهار استثنا بر این قانون زده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مدرس برای رساندن صدای خود به متعلّمین نیاز باشد که صدای خود را بالا ببرد در این صورت کراهت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صدا در مسجد مکه یا منی برای گفتن تلبیه کراهت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تکبیر گفتن مرابطین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نگهبانی برای اسلام و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که کراهت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بالا بردن صدا در مسجد موجب حواس پرتی نمازگزار شود، حرام است</w:t>
      </w:r>
      <w:r>
        <w:rPr>
          <w:rFonts w:eastAsia="IRNazanin" w:cs="IRNazanin"/>
          <w:color w:val="111111"/>
          <w:sz w:val="28"/>
          <w:szCs w:val="28"/>
          <w:rtl w:val="true"/>
          <w:lang w:bidi="fa-IR"/>
        </w:rPr>
        <w:t>.</w:t>
      </w:r>
    </w:p>
    <w:p>
      <w:pPr>
        <w:pStyle w:val="Heading6"/>
        <w:numPr>
          <w:ilvl w:val="5"/>
          <w:numId w:val="1"/>
        </w:numPr>
        <w:rPr/>
      </w:pPr>
      <w:bookmarkStart w:id="1351" w:name="__RefHeading___Toc15203234_1280447820"/>
      <w:bookmarkStart w:id="1352" w:name="_Toc528"/>
      <w:bookmarkEnd w:id="1351"/>
      <w:r>
        <w:rPr/>
        <w:t>4</w:t>
      </w:r>
      <w:r>
        <w:rPr>
          <w:rtl w:val="true"/>
        </w:rPr>
        <w:t xml:space="preserve">. </w:t>
      </w:r>
      <w:r>
        <w:rPr>
          <w:rtl w:val="true"/>
        </w:rPr>
        <w:t>مذهب حنبلی</w:t>
      </w:r>
      <w:bookmarkEnd w:id="1352"/>
    </w:p>
    <w:p>
      <w:pPr>
        <w:pStyle w:val="BookText"/>
        <w:rPr/>
      </w:pPr>
      <w:r>
        <w:rPr>
          <w:rFonts w:ascii="IRNazanin" w:hAnsi="IRNazanin" w:eastAsia="IRNazanin"/>
          <w:color w:val="111111"/>
          <w:sz w:val="28"/>
          <w:sz w:val="28"/>
          <w:szCs w:val="28"/>
          <w:rtl w:val="true"/>
          <w:lang w:bidi="fa-IR"/>
        </w:rPr>
        <w:t>حنابله معتقدند که بالا بردن صدا در مسجد برای ذکر گفتن مباح است، مگر آن که موجب حواس پرتی نمازگزاران شود که در این صورت،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 بردن صدا برای غیر ذکر، در صورتی که کلام مباحی باشد و موجب تشویش خاطر و حواس پرتی نمازگزاران نشود کراهت ندارد اما اگر کلام غیر مباحی باشد مطلقاً کراهت دارد</w:t>
      </w:r>
      <w:r>
        <w:rPr>
          <w:rFonts w:eastAsia="IRNazanin" w:cs="IRNazanin"/>
          <w:color w:val="111111"/>
          <w:sz w:val="28"/>
          <w:szCs w:val="28"/>
          <w:rtl w:val="true"/>
          <w:lang w:bidi="fa-IR"/>
        </w:rPr>
        <w:t xml:space="preserve">. </w:t>
      </w:r>
      <w:r>
        <w:rPr>
          <w:rStyle w:val="FootnoteAnchor"/>
          <w:rtl w:val="true"/>
        </w:rPr>
        <w:footnoteReference w:id="1607"/>
      </w:r>
    </w:p>
    <w:p>
      <w:pPr>
        <w:pStyle w:val="Heading5"/>
        <w:numPr>
          <w:ilvl w:val="4"/>
          <w:numId w:val="1"/>
        </w:numPr>
        <w:rPr/>
      </w:pPr>
      <w:bookmarkStart w:id="1353" w:name="__RefHeading___Toc15203236_1280447820"/>
      <w:bookmarkStart w:id="1354" w:name="_Toc529"/>
      <w:bookmarkEnd w:id="1353"/>
      <w:r>
        <w:rPr>
          <w:rtl w:val="true"/>
        </w:rPr>
        <w:t>گفتار سوم</w:t>
      </w:r>
      <w:r>
        <w:rPr>
          <w:rtl w:val="true"/>
        </w:rPr>
        <w:t xml:space="preserve">: </w:t>
      </w:r>
      <w:r>
        <w:rPr>
          <w:rtl w:val="true"/>
        </w:rPr>
        <w:t>سخن گفتن به غیر عربی</w:t>
      </w:r>
      <w:bookmarkEnd w:id="1354"/>
    </w:p>
    <w:p>
      <w:pPr>
        <w:pStyle w:val="Heading6"/>
        <w:numPr>
          <w:ilvl w:val="5"/>
          <w:numId w:val="1"/>
        </w:numPr>
        <w:rPr/>
      </w:pPr>
      <w:bookmarkStart w:id="1355" w:name="__RefHeading___Toc15203238_1280447820"/>
      <w:bookmarkStart w:id="1356" w:name="_Toc530"/>
      <w:bookmarkEnd w:id="1355"/>
      <w:r>
        <w:rPr>
          <w:rtl w:val="true"/>
        </w:rPr>
        <w:t>اشاره</w:t>
      </w:r>
      <w:bookmarkEnd w:id="135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مکروهاتی که برخی از فقیهان امامیه برشمردند،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رطانة الاعاجم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گفتن به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فقها عبارتند از؛ علامه حلّى رحمه الله در نهایه الاحکام، </w:t>
      </w:r>
      <w:r>
        <w:rPr>
          <w:rStyle w:val="FootnoteAnchor"/>
          <w:rtl w:val="true"/>
        </w:rPr>
        <w:footnoteReference w:id="1608"/>
      </w:r>
      <w:r>
        <w:rPr>
          <w:rFonts w:ascii="IRNazanin" w:hAnsi="IRNazanin" w:eastAsia="IRNazanin"/>
          <w:color w:val="111111"/>
          <w:sz w:val="28"/>
          <w:sz w:val="28"/>
          <w:szCs w:val="28"/>
          <w:rtl w:val="true"/>
          <w:lang w:bidi="fa-IR"/>
        </w:rPr>
        <w:t xml:space="preserve">شهید در ذکری، </w:t>
      </w:r>
      <w:r>
        <w:rPr>
          <w:rStyle w:val="FootnoteAnchor"/>
          <w:rtl w:val="true"/>
        </w:rPr>
        <w:footnoteReference w:id="1609"/>
      </w:r>
      <w:r>
        <w:rPr>
          <w:rFonts w:ascii="IRNazanin" w:hAnsi="IRNazanin" w:eastAsia="IRNazanin"/>
          <w:color w:val="111111"/>
          <w:sz w:val="28"/>
          <w:sz w:val="28"/>
          <w:szCs w:val="28"/>
          <w:rtl w:val="true"/>
          <w:lang w:bidi="fa-IR"/>
        </w:rPr>
        <w:t xml:space="preserve">صاحب جواهر رحمه الله </w:t>
      </w:r>
      <w:r>
        <w:rPr>
          <w:rStyle w:val="FootnoteAnchor"/>
          <w:rtl w:val="true"/>
        </w:rPr>
        <w:footnoteReference w:id="161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Style w:val="FootnoteAnchor"/>
          <w:rtl w:val="true"/>
        </w:rPr>
        <w:footnoteReference w:id="1611"/>
      </w:r>
      <w:bookmarkStart w:id="1357" w:name="pg19115_195729"/>
    </w:p>
    <w:p>
      <w:pPr>
        <w:pStyle w:val="Heading6"/>
        <w:numPr>
          <w:ilvl w:val="5"/>
          <w:numId w:val="1"/>
        </w:numPr>
        <w:rPr/>
      </w:pPr>
      <w:bookmarkStart w:id="1358" w:name="__RefHeading___Toc15203240_1280447820"/>
      <w:bookmarkStart w:id="1359" w:name="_Toc531"/>
      <w:bookmarkEnd w:id="1357"/>
      <w:bookmarkEnd w:id="1358"/>
      <w:r>
        <w:rPr>
          <w:rtl w:val="true"/>
        </w:rPr>
        <w:t>الف</w:t>
      </w:r>
      <w:r>
        <w:rPr>
          <w:rtl w:val="true"/>
        </w:rPr>
        <w:t xml:space="preserve">) </w:t>
      </w:r>
      <w:r>
        <w:rPr>
          <w:rtl w:val="true"/>
        </w:rPr>
        <w:t>ادله فقیهان و ارزیابی آن</w:t>
      </w:r>
      <w:bookmarkEnd w:id="135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فقها روایتی است که از امام باقر علیه السلام و امام صادق علیه السلام </w:t>
      </w:r>
      <w:r>
        <w:rPr>
          <w:rStyle w:val="FootnoteAnchor"/>
          <w:rtl w:val="true"/>
        </w:rPr>
        <w:footnoteReference w:id="1612"/>
      </w:r>
      <w:r>
        <w:rPr>
          <w:rFonts w:ascii="IRNazanin" w:hAnsi="IRNazanin" w:eastAsia="IRNazanin"/>
          <w:color w:val="111111"/>
          <w:sz w:val="28"/>
          <w:sz w:val="28"/>
          <w:szCs w:val="28"/>
          <w:rtl w:val="true"/>
          <w:lang w:bidi="fa-IR"/>
        </w:rPr>
        <w:t xml:space="preserve">وارد شده که پیامبر اکرم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رطانة الاعاجم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ای که باید بدان دقت داشت،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دید در لغت عرب، آیا تنها به معنای سخن گفتن به زبان غیر عربی در مسجد است یا این که معنای دیگری دارد؟در برخی از کتب لغت،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گفتن به غیر عربی معنا شده است، </w:t>
      </w:r>
      <w:r>
        <w:rPr>
          <w:rStyle w:val="FootnoteAnchor"/>
          <w:rtl w:val="true"/>
        </w:rPr>
        <w:footnoteReference w:id="1613"/>
      </w:r>
      <w:r>
        <w:rPr>
          <w:rFonts w:ascii="IRNazanin" w:hAnsi="IRNazanin" w:eastAsia="IRNazanin"/>
          <w:color w:val="111111"/>
          <w:sz w:val="28"/>
          <w:sz w:val="28"/>
          <w:szCs w:val="28"/>
          <w:rtl w:val="true"/>
          <w:lang w:bidi="fa-IR"/>
        </w:rPr>
        <w:t>اما در بسیاری دیگر از کتب لغت، این کلمه به معنای زبان نامفهومی که همگان آن را نمی فهمند و دو یا چند نفر میان خود وضع کرده باشند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به سخن گفتن دو یا چند نفر که عربها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Style w:val="FootnoteAnchor"/>
          <w:rtl w:val="true"/>
        </w:rPr>
        <w:footnoteReference w:id="1614"/>
      </w:r>
      <w:r>
        <w:rPr>
          <w:rFonts w:ascii="IRNazanin" w:hAnsi="IRNazanin" w:eastAsia="IRNazanin"/>
          <w:color w:val="111111"/>
          <w:sz w:val="28"/>
          <w:sz w:val="28"/>
          <w:szCs w:val="28"/>
          <w:rtl w:val="true"/>
          <w:lang w:bidi="fa-IR"/>
        </w:rPr>
        <w:t>که به اصطلاح فارسی زبان زرگری می گویند</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بنابراین، می توان این روایت را حمل بر زمانی کرد که تمام افراد داخل مسجد عرب هستند و اگر دو یا چند نفر با یکدیگر به زبان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یا ترکی یا غیره</w:t>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بگویند، کسی از محتوای صحبت آنها آگاهی نمی یابد و به اصطلاح به صورت رمزی با هم صحبت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نمی توان گفت که هر کس به زبان فارسی یا ترکی در مسجد سخن بگوید، عمل مکروهی انجام داده است بلکه باید این گونه گفت هر کس که به صورت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اصطلاح،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تا دیگران نفهمند، کار مکروهی انجام داده است مثلاً اگر در مسجدی همه فارس هستند و شخص برای این که دیگران سخن او را نفهمند با دیگری به زبان ترکی یا عربی سخن بگوید عمل مکروهی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سخن آن است که 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گفتگو با زبانی است که دیگران نمی فهمند نه صرف زبان عجمی ثانیاً برخی از فقیهان امامیه نیز از این روایت همین برداشت را کرده اند مانند علامه مجلسی در لوامع صاحبقرانی، </w:t>
      </w:r>
      <w:r>
        <w:rPr>
          <w:rStyle w:val="FootnoteAnchor"/>
          <w:rtl w:val="true"/>
        </w:rPr>
        <w:footnoteReference w:id="1616"/>
      </w:r>
      <w:r>
        <w:rPr>
          <w:rFonts w:ascii="Amiri" w:hAnsi="Amiri" w:eastAsia="Amiri" w:cs="Amiri"/>
          <w:color w:val="111111"/>
          <w:sz w:val="28"/>
          <w:sz w:val="28"/>
          <w:szCs w:val="28"/>
          <w:rtl w:val="true"/>
          <w:lang w:bidi="ar-SA"/>
        </w:rPr>
        <w:t xml:space="preserve">مرحوم كاشف الغطاء، </w:t>
      </w:r>
      <w:r>
        <w:rPr>
          <w:rStyle w:val="FootnoteAnchor"/>
          <w:rtl w:val="true"/>
        </w:rPr>
        <w:footnoteReference w:id="1617"/>
      </w:r>
      <w:r>
        <w:rPr>
          <w:rFonts w:ascii="IRNazanin" w:hAnsi="IRNazanin" w:eastAsia="IRNazanin"/>
          <w:color w:val="111111"/>
          <w:sz w:val="28"/>
          <w:sz w:val="28"/>
          <w:szCs w:val="28"/>
          <w:rtl w:val="true"/>
          <w:lang w:bidi="fa-IR"/>
        </w:rPr>
        <w:t>حاشیه خراسانی و کوه کمره ای بر جامع عباسی</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میرزای قمی در غنائم الایّام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رطانه، کلامی است که برای بیشتر مردم، نامفهوم است، بلکه سخنی است میان دو نفر خاص یا گروهی اندک و عربها، غالباً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مضاف الیه این کلمه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ذکری و دیگر فقیهان، حکم به کراهت به عجمی کرده اند و حال آن که این حکم مشکل است و به نظر من، این که عربها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دهند، از باب تشبیه است نه این که معنای واقعی آن را اراده کرده باشند</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دیدگاه فقیهان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مالکی ها، فرقه های دیگر اهل سنّت، کلامی درباره این مکروه،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ابن الحاج در کتاب المدخل می گوید مالکی ها قائل هستند که سخن گفتن به زبانی غیر از عربی در مسجد کراهت دارد</w:t>
      </w:r>
      <w:r>
        <w:rPr>
          <w:rFonts w:eastAsia="IRNazanin" w:cs="IRNazanin"/>
          <w:color w:val="111111"/>
          <w:sz w:val="28"/>
          <w:szCs w:val="28"/>
          <w:rtl w:val="true"/>
          <w:lang w:bidi="fa-IR"/>
        </w:rPr>
        <w:t xml:space="preserve">. </w:t>
      </w:r>
      <w:r>
        <w:rPr>
          <w:rStyle w:val="FootnoteAnchor"/>
          <w:rtl w:val="true"/>
        </w:rPr>
        <w:footnoteReference w:id="1620"/>
      </w:r>
      <w:bookmarkStart w:id="1360" w:name="pg19115_195732"/>
    </w:p>
    <w:p>
      <w:pPr>
        <w:pStyle w:val="Heading4"/>
        <w:numPr>
          <w:ilvl w:val="3"/>
          <w:numId w:val="1"/>
        </w:numPr>
        <w:rPr/>
      </w:pPr>
      <w:bookmarkStart w:id="1361" w:name="__RefHeading___Toc15203242_1280447820"/>
      <w:bookmarkStart w:id="1362" w:name="_Toc532"/>
      <w:bookmarkEnd w:id="1360"/>
      <w:bookmarkEnd w:id="1361"/>
      <w:r>
        <w:rPr>
          <w:rtl w:val="true"/>
        </w:rPr>
        <w:t>مبحث دوم</w:t>
      </w:r>
      <w:r>
        <w:rPr>
          <w:rtl w:val="true"/>
        </w:rPr>
        <w:t xml:space="preserve">: </w:t>
      </w:r>
      <w:r>
        <w:rPr>
          <w:rtl w:val="true"/>
        </w:rPr>
        <w:t>مکروهات رفتاری</w:t>
      </w:r>
      <w:bookmarkEnd w:id="1362"/>
    </w:p>
    <w:p>
      <w:pPr>
        <w:pStyle w:val="Heading5"/>
        <w:numPr>
          <w:ilvl w:val="4"/>
          <w:numId w:val="1"/>
        </w:numPr>
        <w:rPr/>
      </w:pPr>
      <w:bookmarkStart w:id="1363" w:name="__RefHeading___Toc15203244_1280447820"/>
      <w:bookmarkStart w:id="1364" w:name="_Toc533"/>
      <w:bookmarkEnd w:id="1363"/>
      <w:r>
        <w:rPr>
          <w:rtl w:val="true"/>
        </w:rPr>
        <w:t>گفتار اول</w:t>
      </w:r>
      <w:r>
        <w:rPr>
          <w:rtl w:val="true"/>
        </w:rPr>
        <w:t xml:space="preserve">: </w:t>
      </w:r>
      <w:r>
        <w:rPr>
          <w:rtl w:val="true"/>
        </w:rPr>
        <w:t>ورود به مسجد با بوی نامطبوع دهان</w:t>
      </w:r>
      <w:bookmarkEnd w:id="1364"/>
    </w:p>
    <w:p>
      <w:pPr>
        <w:pStyle w:val="BookText"/>
        <w:rPr/>
      </w:pPr>
      <w:r>
        <w:rPr>
          <w:rFonts w:ascii="IRNazanin" w:hAnsi="IRNazanin" w:eastAsia="IRNazanin"/>
          <w:color w:val="111111"/>
          <w:sz w:val="28"/>
          <w:sz w:val="28"/>
          <w:szCs w:val="28"/>
          <w:rtl w:val="true"/>
          <w:lang w:bidi="fa-IR"/>
        </w:rPr>
        <w:t xml:space="preserve">از دیگر مکروهات مرتبط با کاربران مسجد آن است شخصی که پیاز یا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مواد غذایی که بوی نامطبوع و 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پیش از برطرف شدن بوی نامطبوع آن وارد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بسیاری وارد شده و صاحب وسائل یک باب مستقل را به این موضوع اختصاص داده است</w:t>
      </w:r>
      <w:r>
        <w:rPr>
          <w:rFonts w:eastAsia="IRNazanin" w:cs="IRNazanin"/>
          <w:color w:val="111111"/>
          <w:sz w:val="28"/>
          <w:szCs w:val="28"/>
          <w:rtl w:val="true"/>
          <w:lang w:bidi="fa-IR"/>
        </w:rPr>
        <w:t xml:space="preserve">. </w:t>
      </w:r>
      <w:r>
        <w:rPr>
          <w:rStyle w:val="FootnoteAnchor"/>
          <w:rtl w:val="true"/>
        </w:rPr>
        <w:footnoteReference w:id="1621"/>
      </w:r>
      <w:r>
        <w:rPr>
          <w:rFonts w:ascii="IRNazanin" w:hAnsi="IRNazanin" w:eastAsia="IRNazanin"/>
          <w:color w:val="111111"/>
          <w:sz w:val="28"/>
          <w:sz w:val="28"/>
          <w:szCs w:val="28"/>
          <w:rtl w:val="true"/>
          <w:lang w:bidi="fa-IR"/>
        </w:rPr>
        <w:t>از جمله روایات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 گوید از امام باقر علیه السلام درباره خوردن سیر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تنها به خاطر بوی سیر از آن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سبزی نامطبوع و بد بو را می خورد، به مسجد ما نزدیک نشود</w:t>
      </w:r>
      <w:r>
        <w:rPr>
          <w:rFonts w:eastAsia="IRNazanin" w:cs="IRNazanin"/>
          <w:color w:val="111111"/>
          <w:sz w:val="28"/>
          <w:szCs w:val="28"/>
          <w:rtl w:val="true"/>
          <w:lang w:bidi="fa-IR"/>
        </w:rPr>
        <w:t xml:space="preserve">. </w:t>
      </w:r>
      <w:r>
        <w:rPr>
          <w:rStyle w:val="FootnoteAnchor"/>
          <w:rtl w:val="true"/>
        </w:rPr>
        <w:footnoteReference w:id="16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 از امام صادق علیه السلام پیرامون خوردن سیر پیاز و تره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آنها چه خام و چه پخته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معالجه کردن با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لیکن اگر کسی از آنها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برطرف شدن بوی </w:t>
      </w:r>
    </w:p>
    <w:p>
      <w:pPr>
        <w:pStyle w:val="BookText"/>
        <w:rPr/>
      </w:pPr>
      <w:r>
        <w:rPr>
          <w:rFonts w:ascii="IRNazanin" w:hAnsi="IRNazanin" w:eastAsia="IRNazanin"/>
          <w:color w:val="111111"/>
          <w:sz w:val="28"/>
          <w:sz w:val="28"/>
          <w:szCs w:val="28"/>
          <w:rtl w:val="true"/>
          <w:lang w:bidi="fa-IR"/>
        </w:rPr>
        <w:t>نامطبوع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نرود</w:t>
      </w:r>
      <w:r>
        <w:rPr>
          <w:rFonts w:eastAsia="IRNazanin" w:cs="IRNazanin"/>
          <w:color w:val="111111"/>
          <w:sz w:val="28"/>
          <w:szCs w:val="28"/>
          <w:rtl w:val="true"/>
          <w:lang w:bidi="fa-IR"/>
        </w:rPr>
        <w:t xml:space="preserve">. </w:t>
      </w:r>
      <w:r>
        <w:rPr>
          <w:rStyle w:val="FootnoteAnchor"/>
          <w:rtl w:val="true"/>
        </w:rPr>
        <w:footnoteReference w:id="16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خوردن تره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 خوردن آن چه به صورت خام و چه پخته شده، اشکالی ندارد، لیکن اگر مقداری از آن بخوری که مردم از بوی آن 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نبای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سوی مسجد بروی؛ چرا که مکروه است که در جایی بنشینی که همنشینان تو اذیت و ناراحت شوند</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 از پیامبر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خوردن این سبزی های نامطبوع باز نداشتم؟ کسی که از این گونه سبزیجات بخورد نباید در مسجد ما به ما نزدیک گردد؛ زیرا ملائکه نیز از آنچه انسان را اذیت می کند، اذیت می شوند</w:t>
      </w:r>
      <w:r>
        <w:rPr>
          <w:rFonts w:eastAsia="IRNazanin" w:cs="IRNazanin"/>
          <w:color w:val="111111"/>
          <w:sz w:val="28"/>
          <w:szCs w:val="28"/>
          <w:rtl w:val="true"/>
          <w:lang w:bidi="fa-IR"/>
        </w:rPr>
        <w:t xml:space="preserve">. </w:t>
      </w:r>
      <w:r>
        <w:rPr>
          <w:rStyle w:val="FootnoteAnchor"/>
          <w:rtl w:val="true"/>
        </w:rPr>
        <w:footnoteReference w:id="162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آن است که این کراهت تنها اختصاص به خوردن این سه نوع سبزی ندارد بلکه این سه مورد از باب مصداق بارز ذکر شده و گرنه خوردن هر نوع خوراکی که بوی نامطبوع داشته باشد و موجب اذیت دیگران شود، آمدن به مسجد </w:t>
      </w:r>
    </w:p>
    <w:p>
      <w:pPr>
        <w:pStyle w:val="BookText"/>
        <w:rPr/>
      </w:pPr>
      <w:r>
        <w:rPr>
          <w:rFonts w:ascii="IRNazanin" w:hAnsi="IRNazanin" w:eastAsia="IRNazanin"/>
          <w:color w:val="111111"/>
          <w:sz w:val="28"/>
          <w:sz w:val="28"/>
          <w:szCs w:val="28"/>
          <w:rtl w:val="true"/>
          <w:lang w:bidi="fa-IR"/>
        </w:rPr>
        <w:t>با آن حال برای شخص مکروه است</w:t>
      </w:r>
      <w:r>
        <w:rPr>
          <w:rFonts w:eastAsia="IRNazanin" w:cs="IRNazanin"/>
          <w:color w:val="111111"/>
          <w:sz w:val="28"/>
          <w:szCs w:val="28"/>
          <w:rtl w:val="true"/>
          <w:lang w:bidi="fa-IR"/>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همچنین در برخی از این روایات ملاک کراهت چنین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كَرَاهِيَةً أَذَاهُ مَنْ يُجَالِس</w:t>
      </w:r>
      <w:r>
        <w:rPr>
          <w:rFonts w:ascii="IRNazanin" w:hAnsi="IRNazanin" w:eastAsia="IRNazanin"/>
          <w:color w:val="111111"/>
          <w:sz w:val="28"/>
          <w:sz w:val="28"/>
          <w:szCs w:val="28"/>
          <w:rtl w:val="true"/>
          <w:lang w:bidi="fa-IR"/>
        </w:rPr>
        <w:t xml:space="preserve"> بنابراین هر آن چه همنشینان مسجدی را آزار دهد داخل در حکم کراهت خواهد بود مثل بوی پا و عدم رعایت نظافت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خوراکی بخورد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بوی بد آن اذیت کند نباید نزدیک مسجد شود</w:t>
      </w:r>
      <w:r>
        <w:rPr>
          <w:rFonts w:eastAsia="IRNazanin" w:cs="IRNazanin"/>
          <w:color w:val="111111"/>
          <w:sz w:val="28"/>
          <w:szCs w:val="28"/>
          <w:rtl w:val="true"/>
          <w:lang w:bidi="fa-IR"/>
        </w:rPr>
        <w:t xml:space="preserve">.» </w:t>
      </w:r>
      <w:r>
        <w:rPr>
          <w:rStyle w:val="FootnoteAnchor"/>
          <w:rtl w:val="true"/>
        </w:rPr>
        <w:footnoteReference w:id="162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فقیهان امامیه نیز به مکروه بودن این عمل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مبسوط و نهایة </w:t>
      </w:r>
      <w:r>
        <w:rPr>
          <w:rStyle w:val="FootnoteAnchor"/>
          <w:rtl w:val="true"/>
        </w:rPr>
        <w:footnoteReference w:id="1628"/>
      </w:r>
      <w:r>
        <w:rPr>
          <w:rFonts w:ascii="IRNazanin" w:hAnsi="IRNazanin" w:eastAsia="IRNazanin"/>
          <w:color w:val="111111"/>
          <w:sz w:val="28"/>
          <w:sz w:val="28"/>
          <w:szCs w:val="28"/>
          <w:rtl w:val="true"/>
          <w:lang w:bidi="fa-IR"/>
        </w:rPr>
        <w:t xml:space="preserve">ابن ادریس، </w:t>
      </w:r>
      <w:r>
        <w:rPr>
          <w:rStyle w:val="FootnoteAnchor"/>
          <w:rtl w:val="true"/>
        </w:rPr>
        <w:footnoteReference w:id="1629"/>
      </w:r>
      <w:r>
        <w:rPr>
          <w:rFonts w:ascii="IRNazanin" w:hAnsi="IRNazanin" w:eastAsia="IRNazanin"/>
          <w:color w:val="111111"/>
          <w:sz w:val="28"/>
          <w:sz w:val="28"/>
          <w:szCs w:val="28"/>
          <w:rtl w:val="true"/>
          <w:lang w:bidi="fa-IR"/>
        </w:rPr>
        <w:t xml:space="preserve">محقق حلی در معتبر، </w:t>
      </w:r>
      <w:r>
        <w:rPr>
          <w:rStyle w:val="FootnoteAnchor"/>
          <w:rtl w:val="true"/>
        </w:rPr>
        <w:footnoteReference w:id="1630"/>
      </w:r>
      <w:r>
        <w:rPr>
          <w:rFonts w:ascii="IRNazanin" w:hAnsi="IRNazanin" w:eastAsia="IRNazanin"/>
          <w:color w:val="111111"/>
          <w:sz w:val="28"/>
          <w:sz w:val="28"/>
          <w:szCs w:val="28"/>
          <w:rtl w:val="true"/>
          <w:lang w:bidi="fa-IR"/>
        </w:rPr>
        <w:t xml:space="preserve">ابن سعید حلی، </w:t>
      </w:r>
      <w:r>
        <w:rPr>
          <w:rStyle w:val="FootnoteAnchor"/>
          <w:rtl w:val="true"/>
        </w:rPr>
        <w:footnoteReference w:id="1631"/>
      </w:r>
      <w:r>
        <w:rPr>
          <w:rFonts w:ascii="IRNazanin" w:hAnsi="IRNazanin" w:eastAsia="IRNazanin"/>
          <w:color w:val="111111"/>
          <w:sz w:val="28"/>
          <w:sz w:val="28"/>
          <w:szCs w:val="28"/>
          <w:rtl w:val="true"/>
          <w:lang w:bidi="fa-IR"/>
        </w:rPr>
        <w:t xml:space="preserve">علامه حلی رحمه الله در تحریر </w:t>
      </w:r>
      <w:r>
        <w:rPr>
          <w:rStyle w:val="FootnoteAnchor"/>
          <w:rtl w:val="true"/>
        </w:rPr>
        <w:footnoteReference w:id="1632"/>
      </w:r>
      <w:r>
        <w:rPr>
          <w:rFonts w:ascii="IRNazanin" w:hAnsi="IRNazanin" w:eastAsia="IRNazanin"/>
          <w:color w:val="111111"/>
          <w:sz w:val="28"/>
          <w:sz w:val="28"/>
          <w:szCs w:val="28"/>
          <w:rtl w:val="true"/>
          <w:lang w:bidi="fa-IR"/>
        </w:rPr>
        <w:t xml:space="preserve">، شهید اول در دروس، </w:t>
      </w:r>
      <w:r>
        <w:rPr>
          <w:rStyle w:val="FootnoteAnchor"/>
          <w:rtl w:val="true"/>
        </w:rPr>
        <w:footnoteReference w:id="1633"/>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634"/>
      </w:r>
      <w:r>
        <w:rPr>
          <w:rFonts w:ascii="IRNazanin" w:hAnsi="IRNazanin" w:eastAsia="IRNazanin"/>
          <w:color w:val="111111"/>
          <w:sz w:val="28"/>
          <w:sz w:val="28"/>
          <w:szCs w:val="28"/>
          <w:rtl w:val="true"/>
          <w:lang w:bidi="fa-IR"/>
        </w:rPr>
        <w:t xml:space="preserve">صاحب حدائق، </w:t>
      </w:r>
      <w:r>
        <w:rPr>
          <w:rStyle w:val="FootnoteAnchor"/>
          <w:rtl w:val="true"/>
        </w:rPr>
        <w:footnoteReference w:id="1635"/>
      </w:r>
      <w:r>
        <w:rPr>
          <w:rFonts w:ascii="IRNazanin" w:hAnsi="IRNazanin" w:eastAsia="IRNazanin"/>
          <w:color w:val="111111"/>
          <w:sz w:val="28"/>
          <w:sz w:val="28"/>
          <w:szCs w:val="28"/>
          <w:rtl w:val="true"/>
          <w:lang w:bidi="fa-IR"/>
        </w:rPr>
        <w:t xml:space="preserve">علامه وحید بهبهانی، </w:t>
      </w:r>
      <w:r>
        <w:rPr>
          <w:rStyle w:val="FootnoteAnchor"/>
          <w:rtl w:val="true"/>
        </w:rPr>
        <w:footnoteReference w:id="1636"/>
      </w:r>
      <w:r>
        <w:rPr>
          <w:rFonts w:ascii="IRNazanin" w:hAnsi="IRNazanin" w:eastAsia="IRNazanin"/>
          <w:color w:val="111111"/>
          <w:sz w:val="28"/>
          <w:sz w:val="28"/>
          <w:szCs w:val="28"/>
          <w:rtl w:val="true"/>
          <w:lang w:bidi="fa-IR"/>
        </w:rPr>
        <w:t xml:space="preserve">مرحوم طباطبائی در ریاض، </w:t>
      </w:r>
      <w:r>
        <w:rPr>
          <w:rStyle w:val="FootnoteAnchor"/>
          <w:rtl w:val="true"/>
        </w:rPr>
        <w:footnoteReference w:id="1637"/>
      </w:r>
      <w:bookmarkStart w:id="1365" w:name="pg19115_195735"/>
    </w:p>
    <w:p>
      <w:pPr>
        <w:pStyle w:val="BookText"/>
        <w:rPr/>
      </w:pPr>
      <w:bookmarkEnd w:id="1365"/>
      <w:r>
        <w:rPr>
          <w:rFonts w:ascii="IRNazanin" w:hAnsi="IRNazanin" w:eastAsia="IRNazanin"/>
          <w:color w:val="111111"/>
          <w:sz w:val="28"/>
          <w:sz w:val="28"/>
          <w:szCs w:val="28"/>
          <w:rtl w:val="true"/>
          <w:lang w:bidi="fa-IR"/>
        </w:rPr>
        <w:t xml:space="preserve">میرزای قمی در غنائم الایام، </w:t>
      </w:r>
      <w:r>
        <w:rPr>
          <w:rStyle w:val="FootnoteAnchor"/>
          <w:rtl w:val="true"/>
        </w:rPr>
        <w:footnoteReference w:id="1638"/>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639"/>
      </w:r>
      <w:r>
        <w:rPr>
          <w:rFonts w:ascii="IRNazanin" w:hAnsi="IRNazanin" w:eastAsia="IRNazanin"/>
          <w:color w:val="111111"/>
          <w:sz w:val="28"/>
          <w:sz w:val="28"/>
          <w:szCs w:val="28"/>
          <w:rtl w:val="true"/>
          <w:lang w:bidi="fa-IR"/>
        </w:rPr>
        <w:t xml:space="preserve">صاحب عروه، </w:t>
      </w:r>
      <w:r>
        <w:rPr>
          <w:rStyle w:val="FootnoteAnchor"/>
          <w:rtl w:val="true"/>
        </w:rPr>
        <w:footnoteReference w:id="1640"/>
      </w:r>
      <w:r>
        <w:rPr>
          <w:rFonts w:ascii="IRNazanin" w:hAnsi="IRNazanin" w:eastAsia="IRNazanin"/>
          <w:color w:val="111111"/>
          <w:sz w:val="28"/>
          <w:sz w:val="28"/>
          <w:szCs w:val="28"/>
          <w:rtl w:val="true"/>
          <w:lang w:bidi="fa-IR"/>
        </w:rPr>
        <w:t>مرحوم سبزواری در مهذب الاحكام</w:t>
      </w:r>
      <w:r>
        <w:rPr>
          <w:rFonts w:eastAsia="IRNazanin" w:cs="IRNazanin"/>
          <w:color w:val="111111"/>
          <w:sz w:val="28"/>
          <w:szCs w:val="28"/>
          <w:rtl w:val="true"/>
          <w:lang w:bidi="fa-IR"/>
        </w:rPr>
        <w:t>.</w:t>
      </w:r>
      <w:r>
        <w:rPr>
          <w:rStyle w:val="FootnoteAnchor"/>
          <w:rtl w:val="true"/>
        </w:rPr>
        <w:footnoteReference w:id="1641"/>
      </w:r>
    </w:p>
    <w:p>
      <w:pPr>
        <w:pStyle w:val="Heading5"/>
        <w:numPr>
          <w:ilvl w:val="4"/>
          <w:numId w:val="1"/>
        </w:numPr>
        <w:rPr/>
      </w:pPr>
      <w:bookmarkStart w:id="1366" w:name="__RefHeading___Toc15203246_1280447820"/>
      <w:bookmarkStart w:id="1367" w:name="_Toc534"/>
      <w:bookmarkEnd w:id="1366"/>
      <w:r>
        <w:rPr>
          <w:rtl w:val="true"/>
        </w:rPr>
        <w:t>گفتار دوم</w:t>
      </w:r>
      <w:r>
        <w:rPr>
          <w:rtl w:val="true"/>
        </w:rPr>
        <w:t xml:space="preserve">: </w:t>
      </w:r>
      <w:r>
        <w:rPr>
          <w:rtl w:val="true"/>
        </w:rPr>
        <w:t>انداختن آب دهان و اخلاط سینه در مسجد</w:t>
      </w:r>
      <w:bookmarkEnd w:id="1367"/>
    </w:p>
    <w:p>
      <w:pPr>
        <w:pStyle w:val="Heading6"/>
        <w:numPr>
          <w:ilvl w:val="5"/>
          <w:numId w:val="1"/>
        </w:numPr>
        <w:rPr/>
      </w:pPr>
      <w:bookmarkStart w:id="1368" w:name="__RefHeading___Toc15203248_1280447820"/>
      <w:bookmarkStart w:id="1369" w:name="_Toc535"/>
      <w:bookmarkEnd w:id="1368"/>
      <w:r>
        <w:rPr>
          <w:rtl w:val="true"/>
        </w:rPr>
        <w:t>اشاره</w:t>
      </w:r>
      <w:bookmarkEnd w:id="1369"/>
    </w:p>
    <w:p>
      <w:pPr>
        <w:pStyle w:val="BookText"/>
        <w:rPr/>
      </w:pPr>
      <w:r>
        <w:rPr>
          <w:rFonts w:ascii="IRNazanin" w:hAnsi="IRNazanin" w:eastAsia="IRNazanin"/>
          <w:color w:val="111111"/>
          <w:sz w:val="28"/>
          <w:sz w:val="28"/>
          <w:szCs w:val="28"/>
          <w:rtl w:val="true"/>
          <w:lang w:bidi="fa-IR"/>
        </w:rPr>
        <w:t>در گذشته و در دوران پیامبر صلی الله علیه و آله مساجد مفروش به سنگ ریزه بوده و برخی از مردم اخلاط سینه را در داخل مسجد همانند خیابان بیرون می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دیگر از مکروهات مسجد انداختن آب دهان یا بینی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امامیه به کراهت این عمل فتوا داده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النهايه، </w:t>
      </w:r>
      <w:r>
        <w:rPr>
          <w:rStyle w:val="FootnoteAnchor"/>
          <w:rtl w:val="true"/>
        </w:rPr>
        <w:footnoteReference w:id="1642"/>
      </w:r>
      <w:r>
        <w:rPr>
          <w:rFonts w:ascii="IRNazanin" w:hAnsi="IRNazanin" w:eastAsia="IRNazanin"/>
          <w:color w:val="111111"/>
          <w:sz w:val="28"/>
          <w:sz w:val="28"/>
          <w:szCs w:val="28"/>
          <w:rtl w:val="true"/>
          <w:lang w:bidi="fa-IR"/>
        </w:rPr>
        <w:t>قاضی ابن براج در مهذب،</w:t>
      </w:r>
      <w:r>
        <w:rPr>
          <w:rStyle w:val="FootnoteAnchor"/>
          <w:rtl w:val="true"/>
        </w:rPr>
        <w:footnoteReference w:id="1643"/>
      </w:r>
      <w:r>
        <w:rPr>
          <w:rFonts w:ascii="IRNazanin" w:hAnsi="IRNazanin" w:eastAsia="IRNazanin"/>
          <w:color w:val="111111"/>
          <w:sz w:val="28"/>
          <w:sz w:val="28"/>
          <w:szCs w:val="28"/>
          <w:rtl w:val="true"/>
          <w:lang w:bidi="fa-IR"/>
        </w:rPr>
        <w:t xml:space="preserve">محقق حلی در شرائع الاسلام، </w:t>
      </w:r>
      <w:r>
        <w:rPr>
          <w:rStyle w:val="FootnoteAnchor"/>
          <w:rtl w:val="true"/>
        </w:rPr>
        <w:footnoteReference w:id="1644"/>
      </w:r>
      <w:r>
        <w:rPr>
          <w:rFonts w:ascii="IRNazanin" w:hAnsi="IRNazanin" w:eastAsia="IRNazanin"/>
          <w:color w:val="111111"/>
          <w:sz w:val="28"/>
          <w:sz w:val="28"/>
          <w:szCs w:val="28"/>
          <w:rtl w:val="true"/>
          <w:lang w:bidi="fa-IR"/>
        </w:rPr>
        <w:t xml:space="preserve">علامه حلی رحمه الله در نهایه الاحکام، </w:t>
      </w:r>
      <w:r>
        <w:rPr>
          <w:rStyle w:val="FootnoteAnchor"/>
          <w:rtl w:val="true"/>
        </w:rPr>
        <w:footnoteReference w:id="1645"/>
      </w:r>
      <w:r>
        <w:rPr>
          <w:rFonts w:ascii="Amiri" w:hAnsi="Amiri" w:eastAsia="Amiri" w:cs="Amiri"/>
          <w:color w:val="111111"/>
          <w:sz w:val="28"/>
          <w:sz w:val="28"/>
          <w:szCs w:val="28"/>
          <w:rtl w:val="true"/>
          <w:lang w:bidi="ar-SA"/>
        </w:rPr>
        <w:t xml:space="preserve">ابن سعيد حلّى در الجامع للشرائع، </w:t>
      </w:r>
      <w:r>
        <w:rPr>
          <w:rStyle w:val="FootnoteAnchor"/>
          <w:rtl w:val="true"/>
        </w:rPr>
        <w:footnoteReference w:id="1646"/>
      </w:r>
      <w:r>
        <w:rPr>
          <w:rFonts w:ascii="IRNazanin" w:hAnsi="IRNazanin" w:eastAsia="IRNazanin"/>
          <w:color w:val="111111"/>
          <w:sz w:val="28"/>
          <w:sz w:val="28"/>
          <w:szCs w:val="28"/>
          <w:rtl w:val="true"/>
          <w:lang w:bidi="fa-IR"/>
        </w:rPr>
        <w:t>سید عاملی در مفتاح الكرامه</w:t>
      </w:r>
      <w:r>
        <w:rPr>
          <w:rFonts w:eastAsia="IRNazanin" w:cs="IRNazanin"/>
          <w:color w:val="111111"/>
          <w:sz w:val="28"/>
          <w:szCs w:val="28"/>
          <w:rtl w:val="true"/>
          <w:lang w:bidi="fa-IR"/>
        </w:rPr>
        <w:t xml:space="preserve">. </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در این باره روایات بسیاری وارد شده است که از جمله آنها عبارت است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احترام مسجد را حفظ کند و از انداختن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خودداری نماید در روز،قیامت در حالی که نامه اعمالش</w:t>
      </w:r>
    </w:p>
    <w:p>
      <w:pPr>
        <w:pStyle w:val="BookText"/>
        <w:rPr/>
      </w:pPr>
      <w:r>
        <w:rPr>
          <w:rFonts w:ascii="IRNazanin" w:hAnsi="IRNazanin" w:eastAsia="IRNazanin"/>
          <w:color w:val="111111"/>
          <w:sz w:val="28"/>
          <w:sz w:val="28"/>
          <w:szCs w:val="28"/>
          <w:rtl w:val="true"/>
          <w:lang w:bidi="fa-IR"/>
        </w:rPr>
        <w:t>دست راستش است، خدا را با سرور و شادمانی ملاقات کند</w:t>
      </w:r>
      <w:r>
        <w:rPr>
          <w:rFonts w:eastAsia="IRNazanin" w:cs="IRNazanin"/>
          <w:color w:val="111111"/>
          <w:sz w:val="28"/>
          <w:szCs w:val="28"/>
          <w:rtl w:val="true"/>
          <w:lang w:bidi="fa-IR"/>
        </w:rPr>
        <w:t xml:space="preserve">. </w:t>
      </w:r>
      <w:r>
        <w:rPr>
          <w:rStyle w:val="FootnoteAnchor"/>
          <w:rtl w:val="true"/>
        </w:rPr>
        <w:footnoteReference w:id="16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می گوید 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آب دهان یا اخلاط سینه را در مسجد بیندازد اما این کار را نکرده و در درونش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دردی در درونش نرسد مگر آن که او را از آن درد رهایی دهد</w:t>
      </w:r>
      <w:r>
        <w:rPr>
          <w:rFonts w:eastAsia="IRNazanin" w:cs="IRNazanin"/>
          <w:color w:val="111111"/>
          <w:sz w:val="28"/>
          <w:szCs w:val="28"/>
          <w:rtl w:val="true"/>
          <w:lang w:bidi="fa-IR"/>
        </w:rPr>
        <w:t xml:space="preserve">. </w:t>
      </w:r>
      <w:r>
        <w:rPr>
          <w:rStyle w:val="FootnoteAnchor"/>
          <w:rtl w:val="true"/>
        </w:rPr>
        <w:footnoteReference w:id="16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 بن زید از امام صادق علیه السلام از پدرش علیه السلام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احترام مسجد آب دهان خود را فرو برد خداوند آب دهان او را باعث سلامتی بدنش قرار می دهد و از بیماری های جسمی مصون خواهد ماند</w:t>
      </w:r>
      <w:r>
        <w:rPr>
          <w:rFonts w:eastAsia="IRNazanin" w:cs="IRNazanin"/>
          <w:color w:val="111111"/>
          <w:sz w:val="28"/>
          <w:szCs w:val="28"/>
          <w:rtl w:val="true"/>
          <w:lang w:bidi="fa-IR"/>
        </w:rPr>
        <w:t xml:space="preserve">. </w:t>
      </w:r>
      <w:r>
        <w:rPr>
          <w:rStyle w:val="FootnoteAnchor"/>
          <w:rtl w:val="true"/>
        </w:rPr>
        <w:footnoteReference w:id="16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سکونی از امام صادق علیه السلام از امام باقر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خاطر بزرگداشت و تعظیم مسجد، آب دهان خود را فرو برده و در مسجد نیندازد خداوند این آب دهان را در بدن او به قدرت و توانایی تبدیل کرده و برای او در مقابل این کار ثوابی نوشته و گناهی از او پاک می کند و این آب دهان به هر </w:t>
      </w:r>
    </w:p>
    <w:p>
      <w:pPr>
        <w:pStyle w:val="BookText"/>
        <w:rPr/>
      </w:pPr>
      <w:r>
        <w:rPr>
          <w:rFonts w:ascii="IRNazanin" w:hAnsi="IRNazanin" w:eastAsia="IRNazanin"/>
          <w:color w:val="111111"/>
          <w:sz w:val="28"/>
          <w:sz w:val="28"/>
          <w:szCs w:val="28"/>
          <w:rtl w:val="true"/>
          <w:lang w:bidi="fa-IR"/>
        </w:rPr>
        <w:t>دردی که در بدن است برخورد نماید آن در را برطرف کرده و شفا می بخشد</w:t>
      </w:r>
      <w:r>
        <w:rPr>
          <w:rFonts w:eastAsia="IRNazanin" w:cs="IRNazanin"/>
          <w:color w:val="111111"/>
          <w:sz w:val="28"/>
          <w:szCs w:val="28"/>
          <w:rtl w:val="true"/>
          <w:lang w:bidi="fa-IR"/>
        </w:rPr>
        <w:t xml:space="preserve">. </w:t>
      </w:r>
      <w:r>
        <w:rPr>
          <w:rStyle w:val="FootnoteAnchor"/>
          <w:rtl w:val="true"/>
        </w:rPr>
        <w:footnoteReference w:id="16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دعائم الاسلام از امیر المؤمنین علیه السلام نقل شده که حضرت فرمود هنگامی که کسی آب بینی یا دهان خود را داخل مسجد بیندازد، مسجد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می پیچد همچون به خود پیچیدن یکی از شما زمانی که تازیانه به او زده می شود</w:t>
      </w:r>
      <w:r>
        <w:rPr>
          <w:rFonts w:eastAsia="IRNazanin" w:cs="IRNazanin"/>
          <w:color w:val="111111"/>
          <w:sz w:val="28"/>
          <w:szCs w:val="28"/>
          <w:rtl w:val="true"/>
          <w:lang w:bidi="fa-IR"/>
        </w:rPr>
        <w:t xml:space="preserve">. </w:t>
      </w:r>
      <w:r>
        <w:rPr>
          <w:rStyle w:val="FootnoteAnchor"/>
          <w:rtl w:val="true"/>
        </w:rPr>
        <w:footnoteReference w:id="16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امیر 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کوتاه کردن ناخنها به وسیله دندانها و از مسواک زدن در حمام و از آب دهان و بینی انداختن در مساجد نهی کرد</w:t>
      </w:r>
      <w:r>
        <w:rPr>
          <w:rFonts w:eastAsia="IRNazanin" w:cs="IRNazanin"/>
          <w:color w:val="111111"/>
          <w:sz w:val="28"/>
          <w:szCs w:val="28"/>
          <w:rtl w:val="true"/>
          <w:lang w:bidi="fa-IR"/>
        </w:rPr>
        <w:t xml:space="preserve">. </w:t>
      </w:r>
      <w:r>
        <w:rPr>
          <w:rStyle w:val="FootnoteAnchor"/>
          <w:rtl w:val="true"/>
        </w:rPr>
        <w:footnoteReference w:id="16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انداختن در مسجد، خطیئه است و کفاره آن پوشاندنش می باشد</w:t>
      </w:r>
      <w:r>
        <w:rPr>
          <w:rFonts w:eastAsia="IRNazanin" w:cs="IRNazanin"/>
          <w:color w:val="111111"/>
          <w:sz w:val="28"/>
          <w:szCs w:val="28"/>
          <w:rtl w:val="true"/>
          <w:lang w:bidi="fa-IR"/>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bookmarkStart w:id="1370" w:name="pg19115_195738"/>
    </w:p>
    <w:p>
      <w:pPr>
        <w:pStyle w:val="Heading6"/>
        <w:numPr>
          <w:ilvl w:val="5"/>
          <w:numId w:val="1"/>
        </w:numPr>
        <w:rPr/>
      </w:pPr>
      <w:bookmarkStart w:id="1371" w:name="__RefHeading___Toc15203250_1280447820"/>
      <w:bookmarkStart w:id="1372" w:name="_Toc536"/>
      <w:bookmarkEnd w:id="1370"/>
      <w:bookmarkEnd w:id="1371"/>
      <w:r>
        <w:rPr>
          <w:rtl w:val="true"/>
        </w:rPr>
        <w:t>دیدگاه اهل سنت</w:t>
      </w:r>
      <w:bookmarkEnd w:id="1372"/>
    </w:p>
    <w:p>
      <w:pPr>
        <w:pStyle w:val="Heading6"/>
        <w:numPr>
          <w:ilvl w:val="5"/>
          <w:numId w:val="1"/>
        </w:numPr>
        <w:rPr/>
      </w:pPr>
      <w:bookmarkStart w:id="1373" w:name="__RefHeading___Toc15203252_1280447820"/>
      <w:bookmarkStart w:id="1374" w:name="_Toc537"/>
      <w:bookmarkEnd w:id="1373"/>
      <w:r>
        <w:rPr>
          <w:rtl w:val="true"/>
        </w:rPr>
        <w:t>اشاره</w:t>
      </w:r>
      <w:bookmarkEnd w:id="1374"/>
    </w:p>
    <w:p>
      <w:pPr>
        <w:pStyle w:val="BookText"/>
        <w:rPr/>
      </w:pPr>
      <w:r>
        <w:rPr>
          <w:rFonts w:ascii="IRNazanin" w:hAnsi="IRNazanin" w:eastAsia="IRNazanin"/>
          <w:color w:val="111111"/>
          <w:sz w:val="28"/>
          <w:sz w:val="28"/>
          <w:szCs w:val="28"/>
          <w:rtl w:val="true"/>
          <w:lang w:bidi="fa-IR"/>
        </w:rPr>
        <w:t>از آداب و احتراماتی که انسان مسلمان بایستی در مورد مساجد رعایت کند آن است که تا آنجا که ممکن است از ریختن آب دهان و اخلاط سینه و بینی در مسجد خودداری نماید از این کار در روایات نهی شده است انس بن مالک از پیامبر خدا صلی الله علیه و آله روایت می کند که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آب دهان در مسجد معصیت و گناه است و کفاره آن دفن کردن آن است </w:t>
      </w:r>
      <w:r>
        <w:rPr>
          <w:rStyle w:val="FootnoteAnchor"/>
          <w:rtl w:val="true"/>
        </w:rPr>
        <w:footnoteReference w:id="1656"/>
      </w:r>
      <w:r>
        <w:rPr>
          <w:rFonts w:ascii="IRNazanin" w:hAnsi="IRNazanin" w:eastAsia="IRNazanin"/>
          <w:color w:val="111111"/>
          <w:sz w:val="28"/>
          <w:sz w:val="28"/>
          <w:szCs w:val="28"/>
          <w:rtl w:val="true"/>
          <w:lang w:bidi="fa-IR"/>
        </w:rPr>
        <w:t>و نیز انس بن مالک روایت می کند که پیامبر خدا صلی الله علیه و آله اخلاط سینه یا بینی را در قبله مسجد مشاهده کرد چنان خشمگین شد که صورتش سرخ شد و زنی در طایفه انصار آن را تراشید و زدود، و جای آن را خوشبو و معطر ساخت پیامبر خدا صلی الله علیه و آله فرمود چقدر این کار زیبا است</w:t>
      </w:r>
      <w:r>
        <w:rPr>
          <w:rFonts w:eastAsia="IRNazanin" w:cs="IRNazanin"/>
          <w:color w:val="111111"/>
          <w:sz w:val="28"/>
          <w:szCs w:val="28"/>
          <w:rtl w:val="true"/>
          <w:lang w:bidi="fa-IR"/>
        </w:rPr>
        <w:t xml:space="preserve">. </w:t>
      </w:r>
      <w:r>
        <w:rPr>
          <w:rStyle w:val="FootnoteAnchor"/>
          <w:rtl w:val="true"/>
        </w:rPr>
        <w:footnoteReference w:id="165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روایت می کند که پیامبر خدا صلی الله علیه و آله آب دهانی را که در قبله ی مسجد بود تراشید و زدود </w:t>
      </w:r>
      <w:r>
        <w:rPr>
          <w:rStyle w:val="FootnoteAnchor"/>
          <w:rtl w:val="true"/>
        </w:rPr>
        <w:footnoteReference w:id="1658"/>
      </w:r>
      <w:r>
        <w:rPr>
          <w:rFonts w:ascii="IRNazanin" w:hAnsi="IRNazanin" w:eastAsia="IRNazanin"/>
          <w:color w:val="111111"/>
          <w:sz w:val="28"/>
          <w:sz w:val="28"/>
          <w:szCs w:val="28"/>
          <w:rtl w:val="true"/>
          <w:lang w:bidi="fa-IR"/>
        </w:rPr>
        <w:t>ابو هریره وابو سعید خدری روایت می کنند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پیامبر خدا صلی الله علیه و آله اخلاط سینه و بینی را در دیوار مسجد مشاهده کرد سنگی را برداشت و آن را تراشید</w:t>
      </w:r>
      <w:r>
        <w:rPr>
          <w:rFonts w:eastAsia="IRNazanin" w:cs="IRNazanin"/>
          <w:color w:val="111111"/>
          <w:sz w:val="28"/>
          <w:szCs w:val="28"/>
          <w:rtl w:val="true"/>
          <w:lang w:bidi="fa-IR"/>
        </w:rPr>
        <w:t xml:space="preserve">. </w:t>
      </w:r>
      <w:r>
        <w:rPr>
          <w:rStyle w:val="FootnoteAnchor"/>
          <w:rtl w:val="true"/>
        </w:rPr>
        <w:footnoteReference w:id="1659"/>
      </w:r>
      <w:bookmarkStart w:id="1375" w:name="pg19115_195739"/>
    </w:p>
    <w:p>
      <w:pPr>
        <w:pStyle w:val="BookText"/>
        <w:rPr/>
      </w:pPr>
      <w:bookmarkEnd w:id="1375"/>
      <w:r>
        <w:rPr>
          <w:rFonts w:ascii="IRNazanin" w:hAnsi="IRNazanin" w:eastAsia="IRNazanin"/>
          <w:color w:val="111111"/>
          <w:sz w:val="28"/>
          <w:sz w:val="28"/>
          <w:szCs w:val="28"/>
          <w:rtl w:val="true"/>
          <w:lang w:bidi="fa-IR"/>
        </w:rPr>
        <w:t>البته دیدگاه اهل تسنن در این مسئله متفاوت بوده و هر مذهبی از مذاهب اربعه، حکمی متفاوت با دیگری دارد</w:t>
      </w:r>
      <w:r>
        <w:rPr>
          <w:rFonts w:eastAsia="IRNazanin" w:cs="IRNazanin"/>
          <w:color w:val="111111"/>
          <w:sz w:val="28"/>
          <w:szCs w:val="28"/>
          <w:rtl w:val="true"/>
          <w:lang w:bidi="fa-IR"/>
        </w:rPr>
        <w:t>.</w:t>
      </w:r>
    </w:p>
    <w:p>
      <w:pPr>
        <w:pStyle w:val="Heading6"/>
        <w:numPr>
          <w:ilvl w:val="5"/>
          <w:numId w:val="1"/>
        </w:numPr>
        <w:rPr/>
      </w:pPr>
      <w:bookmarkStart w:id="1376" w:name="__RefHeading___Toc15203254_1280447820"/>
      <w:bookmarkStart w:id="1377" w:name="_Toc538"/>
      <w:bookmarkEnd w:id="1376"/>
      <w:r>
        <w:rPr/>
        <w:t>1</w:t>
      </w:r>
      <w:r>
        <w:rPr>
          <w:rtl w:val="true"/>
        </w:rPr>
        <w:t xml:space="preserve">. </w:t>
      </w:r>
      <w:r>
        <w:rPr>
          <w:rtl w:val="true"/>
        </w:rPr>
        <w:t>مذهب حنفی</w:t>
      </w:r>
      <w:bookmarkEnd w:id="1377"/>
    </w:p>
    <w:p>
      <w:pPr>
        <w:pStyle w:val="BookText"/>
        <w:rPr/>
      </w:pPr>
      <w:r>
        <w:rPr>
          <w:rFonts w:ascii="IRNazanin" w:hAnsi="IRNazanin" w:eastAsia="IRNazanin"/>
          <w:color w:val="111111"/>
          <w:sz w:val="28"/>
          <w:sz w:val="28"/>
          <w:szCs w:val="28"/>
          <w:rtl w:val="true"/>
          <w:lang w:bidi="fa-IR"/>
        </w:rPr>
        <w:t>حنفی ها قائلند به این که این کار حرام است ابن نجیم می گوید نباید آب دهان بر دیوار مسجد یا بر سنگریزه های مسجد بیندازد همچنین از انداختن آب دهان روی حصیر و فرش مسجد یا زیر آن باید خودداری کرده و آب دهان یا بینی را باید با لباس خود بگیرد و اگر در مسجد آب دهان انداخت واجب است که آن را پاک کند و در این حکم فرقی نمی کند که زمین مسجد خاکی باشد یا مفروش</w:t>
      </w:r>
      <w:r>
        <w:rPr>
          <w:rFonts w:eastAsia="IRNazanin" w:cs="IRNazanin"/>
          <w:color w:val="111111"/>
          <w:sz w:val="28"/>
          <w:szCs w:val="28"/>
          <w:rtl w:val="true"/>
          <w:lang w:bidi="fa-IR"/>
        </w:rPr>
        <w:t xml:space="preserve">. </w:t>
      </w:r>
      <w:r>
        <w:rPr>
          <w:rStyle w:val="FootnoteAnchor"/>
          <w:rtl w:val="true"/>
        </w:rPr>
        <w:footnoteReference w:id="1660"/>
      </w:r>
    </w:p>
    <w:p>
      <w:pPr>
        <w:pStyle w:val="Heading6"/>
        <w:numPr>
          <w:ilvl w:val="5"/>
          <w:numId w:val="1"/>
        </w:numPr>
        <w:rPr/>
      </w:pPr>
      <w:bookmarkStart w:id="1378" w:name="__RefHeading___Toc15203256_1280447820"/>
      <w:bookmarkStart w:id="1379" w:name="_Toc539"/>
      <w:bookmarkEnd w:id="1378"/>
      <w:r>
        <w:rPr/>
        <w:t>2</w:t>
      </w:r>
      <w:r>
        <w:rPr>
          <w:rtl w:val="true"/>
        </w:rPr>
        <w:t xml:space="preserve">. </w:t>
      </w:r>
      <w:r>
        <w:rPr>
          <w:rtl w:val="true"/>
        </w:rPr>
        <w:t>مذهب شافعی</w:t>
      </w:r>
      <w:bookmarkEnd w:id="1379"/>
    </w:p>
    <w:p>
      <w:pPr>
        <w:pStyle w:val="BookText"/>
        <w:rPr/>
      </w:pPr>
      <w:r>
        <w:rPr>
          <w:rFonts w:ascii="IRNazanin" w:hAnsi="IRNazanin" w:eastAsia="IRNazanin"/>
          <w:color w:val="111111"/>
          <w:sz w:val="28"/>
          <w:sz w:val="28"/>
          <w:szCs w:val="28"/>
          <w:rtl w:val="true"/>
          <w:lang w:bidi="fa-IR"/>
        </w:rPr>
        <w:t>شافعی ها بر این باورند که اگر شخص چاله یا مانند آن بکند و آب دهان خود را در آن بیندازد و با خاک بپوشاند در این صورت هیچ گناهی بر او نیست، اما اگر قبل از آن که چاله ای حفر،کند ابتدا آب دهان خود را در مسجد بیندازد، در این صورت گناه کرده است اگر بعد آب دهان خود را دفن کند در این صورت تداوم گناه از او برداشته می شود همچنین اگر زمین مسجد سنگ فرش باشد و بر روی آن آب دهان بیندازد تا زمانی که آن را پاک نکرده گناه برای او نوشته می شود</w:t>
      </w:r>
      <w:r>
        <w:rPr>
          <w:rFonts w:eastAsia="IRNazanin" w:cs="IRNazanin"/>
          <w:color w:val="111111"/>
          <w:sz w:val="28"/>
          <w:szCs w:val="28"/>
          <w:rtl w:val="true"/>
          <w:lang w:bidi="fa-IR"/>
        </w:rPr>
        <w:t xml:space="preserve">. </w:t>
      </w:r>
      <w:r>
        <w:rPr>
          <w:rStyle w:val="FootnoteAnchor"/>
          <w:rtl w:val="true"/>
        </w:rPr>
        <w:footnoteReference w:id="1661"/>
      </w:r>
    </w:p>
    <w:p>
      <w:pPr>
        <w:pStyle w:val="Heading6"/>
        <w:numPr>
          <w:ilvl w:val="5"/>
          <w:numId w:val="1"/>
        </w:numPr>
        <w:rPr/>
      </w:pPr>
      <w:bookmarkStart w:id="1380" w:name="__RefHeading___Toc15203258_1280447820"/>
      <w:bookmarkStart w:id="1381" w:name="_Toc540"/>
      <w:bookmarkEnd w:id="1380"/>
      <w:r>
        <w:rPr/>
        <w:t>3</w:t>
      </w:r>
      <w:r>
        <w:rPr>
          <w:rtl w:val="true"/>
        </w:rPr>
        <w:t xml:space="preserve">. </w:t>
      </w:r>
      <w:r>
        <w:rPr>
          <w:rtl w:val="true"/>
        </w:rPr>
        <w:t>مذهب حنبلی</w:t>
      </w:r>
      <w:bookmarkEnd w:id="1381"/>
    </w:p>
    <w:p>
      <w:pPr>
        <w:pStyle w:val="Heading6"/>
        <w:numPr>
          <w:ilvl w:val="5"/>
          <w:numId w:val="1"/>
        </w:numPr>
        <w:rPr/>
      </w:pPr>
      <w:bookmarkStart w:id="1382" w:name="__RefHeading___Toc15203260_1280447820"/>
      <w:bookmarkStart w:id="1383" w:name="_Toc541"/>
      <w:bookmarkEnd w:id="1382"/>
      <w:r>
        <w:rPr>
          <w:rtl w:val="true"/>
        </w:rPr>
        <w:t>اشاره</w:t>
      </w:r>
      <w:bookmarkEnd w:id="138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 ها می گویند آب دهان انداختن در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در مسجد آب دهان انداخت و زمین مسجد، خاکی یا سنگریزه باشد و آب دهان را زیر این خاکها بپوشاند یا آن که اگر زمین مسجد سنگ فرش است آب دهان خود را پاک کند، در این صورت تداوم گناه او برطرف می شود البته اگر با حصیر آب دهان </w:t>
      </w:r>
      <w:bookmarkStart w:id="1384" w:name="pg19115_195740"/>
    </w:p>
    <w:p>
      <w:pPr>
        <w:pStyle w:val="BookText"/>
        <w:rPr/>
      </w:pPr>
      <w:bookmarkEnd w:id="1384"/>
      <w:r>
        <w:rPr>
          <w:rFonts w:ascii="IRNazanin" w:hAnsi="IRNazanin" w:eastAsia="IRNazanin"/>
          <w:color w:val="111111"/>
          <w:sz w:val="28"/>
          <w:sz w:val="28"/>
          <w:szCs w:val="28"/>
          <w:rtl w:val="true"/>
          <w:lang w:bidi="fa-IR"/>
        </w:rPr>
        <w:t>را بپوشاند،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دیده نشود و باید آن را دفن یا پاک کند</w:t>
      </w:r>
      <w:r>
        <w:rPr>
          <w:rFonts w:eastAsia="IRNazanin" w:cs="IRNazanin"/>
          <w:color w:val="111111"/>
          <w:sz w:val="28"/>
          <w:szCs w:val="28"/>
          <w:rtl w:val="true"/>
          <w:lang w:bidi="fa-IR"/>
        </w:rPr>
        <w:t xml:space="preserve">.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فقیه حنبلی بهوتی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آلوده شدن به آب دهان حفظ شود هر چند در فضا و بام آن باشد و ریختن آب دهان در مسجد گناه و معصیت است، اگر چنان که زمین مسجد شن،ریزی یا با خاک و ماسه فرش شده است در این صورت کفاره آن عمل این است که آن را دفن کند و اگر زمین مسجد با سنگ مرمر یا آجر فرش شده واجب است به وسیله پارچه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زایل و برطرف کند و اگر شخصی که مسجد را این گونه آلوده کرده به ازاله آن اقدام نکرد بر دیگران و هر شخصی که بر این امر مطلع شد واجب است به ازاله و برطرف کردن آن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آلودگی در دیوار مسجد هم اتفاق بیفتد ازاله آن نیز واجب،است، چون دیوار هم جزء مسجد است</w:t>
      </w:r>
      <w:r>
        <w:rPr>
          <w:rFonts w:eastAsia="IRNazanin" w:cs="IRNazanin"/>
          <w:color w:val="111111"/>
          <w:sz w:val="28"/>
          <w:szCs w:val="28"/>
          <w:rtl w:val="true"/>
          <w:lang w:bidi="fa-IR"/>
        </w:rPr>
        <w:t xml:space="preserve">. </w:t>
      </w:r>
      <w:r>
        <w:rPr>
          <w:rStyle w:val="FootnoteAnchor"/>
          <w:rtl w:val="true"/>
        </w:rPr>
        <w:footnoteReference w:id="1663"/>
      </w:r>
    </w:p>
    <w:p>
      <w:pPr>
        <w:pStyle w:val="Heading6"/>
        <w:numPr>
          <w:ilvl w:val="5"/>
          <w:numId w:val="1"/>
        </w:numPr>
        <w:rPr/>
      </w:pPr>
      <w:bookmarkStart w:id="1385" w:name="__RefHeading___Toc15203262_1280447820"/>
      <w:bookmarkStart w:id="1386" w:name="_Toc542"/>
      <w:bookmarkEnd w:id="1385"/>
      <w:r>
        <w:rPr/>
        <w:t>4</w:t>
      </w:r>
      <w:r>
        <w:rPr>
          <w:rtl w:val="true"/>
        </w:rPr>
        <w:t xml:space="preserve">. </w:t>
      </w:r>
      <w:r>
        <w:rPr>
          <w:rtl w:val="true"/>
        </w:rPr>
        <w:t>مذهب مالکی</w:t>
      </w:r>
      <w:bookmarkEnd w:id="1386"/>
    </w:p>
    <w:p>
      <w:pPr>
        <w:pStyle w:val="BookText"/>
        <w:rPr/>
      </w:pPr>
      <w:r>
        <w:rPr>
          <w:rFonts w:ascii="IRNazanin" w:hAnsi="IRNazanin" w:eastAsia="IRNazanin"/>
          <w:color w:val="111111"/>
          <w:sz w:val="28"/>
          <w:sz w:val="28"/>
          <w:szCs w:val="28"/>
          <w:rtl w:val="true"/>
          <w:lang w:bidi="fa-IR"/>
        </w:rPr>
        <w:t>مالکیها قائلند به این که اگر زمین مسجد سنگ فرش باشد، انداختن آب دهان اگر کم باشد، کراهت دارد و اگر زیاد باشد حرام،است اما اگر زمین مسجد سنگریزه باشد کراهت هم ندارد</w:t>
      </w:r>
      <w:r>
        <w:rPr>
          <w:rFonts w:eastAsia="IRNazanin" w:cs="IRNazanin"/>
          <w:color w:val="111111"/>
          <w:sz w:val="28"/>
          <w:szCs w:val="28"/>
          <w:rtl w:val="true"/>
          <w:lang w:bidi="fa-IR"/>
        </w:rPr>
        <w:t xml:space="preserve">. </w:t>
      </w:r>
      <w:r>
        <w:rPr>
          <w:rStyle w:val="FootnoteAnchor"/>
          <w:rtl w:val="true"/>
        </w:rPr>
        <w:footnoteReference w:id="1664"/>
      </w:r>
    </w:p>
    <w:p>
      <w:pPr>
        <w:pStyle w:val="Heading5"/>
        <w:numPr>
          <w:ilvl w:val="4"/>
          <w:numId w:val="1"/>
        </w:numPr>
        <w:rPr/>
      </w:pPr>
      <w:bookmarkStart w:id="1387" w:name="__RefHeading___Toc15203264_1280447820"/>
      <w:bookmarkStart w:id="1388" w:name="_Toc543"/>
      <w:bookmarkEnd w:id="1387"/>
      <w:r>
        <w:rPr>
          <w:rtl w:val="true"/>
        </w:rPr>
        <w:t>گفتار سوم</w:t>
      </w:r>
      <w:r>
        <w:rPr>
          <w:rtl w:val="true"/>
        </w:rPr>
        <w:t xml:space="preserve">: </w:t>
      </w:r>
      <w:r>
        <w:rPr>
          <w:rtl w:val="true"/>
        </w:rPr>
        <w:t>پرتاب کردن سنگ ریزه</w:t>
      </w:r>
      <w:bookmarkEnd w:id="1388"/>
    </w:p>
    <w:p>
      <w:pPr>
        <w:pStyle w:val="BookText"/>
        <w:rPr/>
      </w:pPr>
      <w:r>
        <w:rPr>
          <w:rFonts w:ascii="IRNazanin" w:hAnsi="IRNazanin" w:eastAsia="IRNazanin"/>
          <w:color w:val="111111"/>
          <w:sz w:val="28"/>
          <w:sz w:val="28"/>
          <w:szCs w:val="28"/>
          <w:rtl w:val="true"/>
          <w:lang w:bidi="fa-IR"/>
        </w:rPr>
        <w:t>از جمله مکروهاتی که فقها ذکر کرده اند پرتاب کردن سنگریزه در مسجد است؛ چرا که معمولا با سنگ ریزه و اشیای گردی شبیه به آن بازی های خاصی انجام می شود بیهوده و عبث بوده و در شأن مسجد نیست از این رو، سزاوار نیست که در مسجد اعمال بیهوده انجام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پرتاب کردن سنگ ریزه و مانند آن به وسیله انگشتان دست </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البته در کتب فقهی، تعاریف مختلفی پیرامون معنای خذف ذکر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ریزه بر باطن انگشت شصت قرار داده و با ناخن انگشت سبابه پرتاب می شود</w:t>
      </w:r>
      <w:r>
        <w:rPr>
          <w:rFonts w:eastAsia="IRNazanin" w:cs="IRNazanin"/>
          <w:color w:val="111111"/>
          <w:sz w:val="28"/>
          <w:szCs w:val="28"/>
          <w:rtl w:val="true"/>
          <w:lang w:bidi="fa-IR"/>
        </w:rPr>
        <w:t xml:space="preserve">. </w:t>
      </w:r>
      <w:r>
        <w:rPr>
          <w:rStyle w:val="FootnoteAnchor"/>
          <w:rtl w:val="true"/>
        </w:rPr>
        <w:footnoteReference w:id="1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 بر ناخن شصت قرار داده و با سبّابه پرتاب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نیز می گویند بر باطن انگشت شصت نهاده و با انگشت میانی پرتاب می شود</w:t>
      </w:r>
      <w:r>
        <w:rPr>
          <w:rFonts w:eastAsia="IRNazanin" w:cs="IRNazanin"/>
          <w:color w:val="111111"/>
          <w:sz w:val="28"/>
          <w:szCs w:val="28"/>
          <w:rtl w:val="true"/>
          <w:lang w:bidi="fa-IR"/>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فقیهان از گذشته تاکنون بر کراهت این عمل در مسجد نهاده شده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1669"/>
      </w:r>
      <w:r>
        <w:rPr>
          <w:rFonts w:ascii="IRNazanin" w:hAnsi="IRNazanin" w:eastAsia="IRNazanin"/>
          <w:color w:val="111111"/>
          <w:sz w:val="28"/>
          <w:sz w:val="28"/>
          <w:szCs w:val="28"/>
          <w:rtl w:val="true"/>
          <w:lang w:bidi="fa-IR"/>
        </w:rPr>
        <w:t xml:space="preserve">محقق حلی، </w:t>
      </w:r>
      <w:r>
        <w:rPr>
          <w:rStyle w:val="FootnoteAnchor"/>
          <w:rtl w:val="true"/>
        </w:rPr>
        <w:footnoteReference w:id="1670"/>
      </w:r>
      <w:r>
        <w:rPr>
          <w:rFonts w:ascii="Amiri" w:hAnsi="Amiri" w:eastAsia="Amiri" w:cs="Amiri"/>
          <w:color w:val="111111"/>
          <w:sz w:val="28"/>
          <w:sz w:val="28"/>
          <w:szCs w:val="28"/>
          <w:rtl w:val="true"/>
          <w:lang w:bidi="ar-SA"/>
        </w:rPr>
        <w:t xml:space="preserve">علامه حلّی، </w:t>
      </w:r>
      <w:r>
        <w:rPr>
          <w:rStyle w:val="FootnoteAnchor"/>
          <w:rtl w:val="true"/>
        </w:rPr>
        <w:footnoteReference w:id="1671"/>
      </w:r>
      <w:r>
        <w:rPr>
          <w:rFonts w:ascii="IRNazanin" w:hAnsi="IRNazanin" w:eastAsia="IRNazanin"/>
          <w:color w:val="111111"/>
          <w:sz w:val="28"/>
          <w:sz w:val="28"/>
          <w:szCs w:val="28"/>
          <w:rtl w:val="true"/>
          <w:lang w:bidi="fa-IR"/>
        </w:rPr>
        <w:t xml:space="preserve">شهید اول، </w:t>
      </w:r>
      <w:r>
        <w:rPr>
          <w:rStyle w:val="FootnoteAnchor"/>
          <w:rtl w:val="true"/>
        </w:rPr>
        <w:footnoteReference w:id="1672"/>
      </w:r>
      <w:r>
        <w:rPr>
          <w:rFonts w:ascii="IRNazanin" w:hAnsi="IRNazanin" w:eastAsia="IRNazanin"/>
          <w:color w:val="111111"/>
          <w:sz w:val="28"/>
          <w:sz w:val="28"/>
          <w:szCs w:val="28"/>
          <w:rtl w:val="true"/>
          <w:lang w:bidi="fa-IR"/>
        </w:rPr>
        <w:t xml:space="preserve">محقق </w:t>
      </w:r>
    </w:p>
    <w:p>
      <w:pPr>
        <w:pStyle w:val="BookText"/>
        <w:rPr/>
      </w:pPr>
      <w:r>
        <w:rPr>
          <w:rFonts w:ascii="IRNazanin" w:hAnsi="IRNazanin" w:eastAsia="IRNazanin"/>
          <w:color w:val="111111"/>
          <w:sz w:val="28"/>
          <w:sz w:val="28"/>
          <w:szCs w:val="28"/>
          <w:rtl w:val="true"/>
          <w:lang w:bidi="fa-IR"/>
        </w:rPr>
        <w:t xml:space="preserve">ثانی، </w:t>
      </w:r>
      <w:r>
        <w:rPr>
          <w:rStyle w:val="FootnoteAnchor"/>
          <w:rtl w:val="true"/>
        </w:rPr>
        <w:footnoteReference w:id="1673"/>
      </w:r>
      <w:r>
        <w:rPr>
          <w:rFonts w:ascii="IRNazanin" w:hAnsi="IRNazanin" w:eastAsia="IRNazanin"/>
          <w:color w:val="111111"/>
          <w:sz w:val="28"/>
          <w:sz w:val="28"/>
          <w:szCs w:val="28"/>
          <w:rtl w:val="true"/>
          <w:lang w:bidi="fa-IR"/>
        </w:rPr>
        <w:t>شهید ثانی،</w:t>
      </w:r>
      <w:r>
        <w:rPr>
          <w:rStyle w:val="FootnoteAnchor"/>
          <w:rtl w:val="true"/>
        </w:rPr>
        <w:footnoteReference w:id="1674"/>
      </w:r>
      <w:r>
        <w:rPr>
          <w:rFonts w:ascii="IRNazanin" w:hAnsi="IRNazanin" w:eastAsia="IRNazanin"/>
          <w:color w:val="111111"/>
          <w:sz w:val="28"/>
          <w:sz w:val="28"/>
          <w:szCs w:val="28"/>
          <w:rtl w:val="true"/>
          <w:lang w:bidi="fa-IR"/>
        </w:rPr>
        <w:t xml:space="preserve">مرحوم سبزواری، </w:t>
      </w:r>
      <w:r>
        <w:rPr>
          <w:rStyle w:val="FootnoteAnchor"/>
          <w:rtl w:val="true"/>
        </w:rPr>
        <w:footnoteReference w:id="1675"/>
      </w:r>
      <w:r>
        <w:rPr>
          <w:rFonts w:ascii="IRNazanin" w:hAnsi="IRNazanin" w:eastAsia="IRNazanin"/>
          <w:color w:val="111111"/>
          <w:sz w:val="28"/>
          <w:sz w:val="28"/>
          <w:szCs w:val="28"/>
          <w:rtl w:val="true"/>
          <w:lang w:bidi="fa-IR"/>
        </w:rPr>
        <w:t xml:space="preserve">سید عاملی، </w:t>
      </w:r>
      <w:r>
        <w:rPr>
          <w:rStyle w:val="FootnoteAnchor"/>
          <w:rtl w:val="true"/>
        </w:rPr>
        <w:footnoteReference w:id="1676"/>
      </w:r>
      <w:r>
        <w:rPr>
          <w:rFonts w:ascii="IRNazanin" w:hAnsi="IRNazanin" w:eastAsia="IRNazanin"/>
          <w:color w:val="111111"/>
          <w:sz w:val="28"/>
          <w:sz w:val="28"/>
          <w:szCs w:val="28"/>
          <w:rtl w:val="true"/>
          <w:lang w:bidi="fa-IR"/>
        </w:rPr>
        <w:t xml:space="preserve">سید یزدی، </w:t>
      </w:r>
      <w:r>
        <w:rPr>
          <w:rStyle w:val="FootnoteAnchor"/>
          <w:rtl w:val="true"/>
        </w:rPr>
        <w:footnoteReference w:id="1677"/>
      </w:r>
      <w:r>
        <w:rPr>
          <w:rFonts w:ascii="IRNazanin" w:hAnsi="IRNazanin" w:eastAsia="IRNazanin"/>
          <w:color w:val="111111"/>
          <w:sz w:val="28"/>
          <w:sz w:val="28"/>
          <w:szCs w:val="28"/>
          <w:rtl w:val="true"/>
          <w:lang w:bidi="fa-IR"/>
        </w:rPr>
        <w:t xml:space="preserve">محقق خویی </w:t>
      </w:r>
      <w:r>
        <w:rPr>
          <w:rStyle w:val="FootnoteAnchor"/>
          <w:rtl w:val="true"/>
        </w:rPr>
        <w:footnoteReference w:id="1678"/>
      </w:r>
      <w:r>
        <w:rPr>
          <w:rFonts w:ascii="Amiri" w:hAnsi="Amiri" w:eastAsia="Amiri" w:cs="Amiri"/>
          <w:color w:val="111111"/>
          <w:sz w:val="28"/>
          <w:sz w:val="28"/>
          <w:szCs w:val="28"/>
          <w:rtl w:val="true"/>
          <w:lang w:bidi="ar-SA"/>
        </w:rPr>
        <w:t>مرحوم حكيم</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البته برخی با الغای خصوصیت از،خذف پرتاب سنگ ریزه در مسجد را به هرگونه مکروه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مطلق خذف را اعم از این که در مسجد باشد یا غیر مسجد مکروه دانسته اند</w:t>
      </w:r>
      <w:r>
        <w:rPr>
          <w:rFonts w:eastAsia="IRNazanin" w:cs="IRNazanin"/>
          <w:color w:val="111111"/>
          <w:sz w:val="28"/>
          <w:szCs w:val="28"/>
          <w:rtl w:val="true"/>
          <w:lang w:bidi="fa-IR"/>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در این باره روایاتی نیز وارد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صادق علیه السلام از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مردی را دید که در مسجد سنگریزه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این سنگریزه ها بر زمین بیفتد تو را لعنت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 سنگریزه در مجامع، از اخلاق قوم لوط است و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تَأْتُونَ فِي نادِيكُمُ الْمُنْكَرَ</w:t>
      </w:r>
      <w:r>
        <w:rPr>
          <w:rFonts w:ascii="IRNazanin" w:hAnsi="IRNazanin" w:eastAsia="IRNazanin"/>
          <w:color w:val="111111"/>
          <w:sz w:val="28"/>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و در مجامع،ایشان به اعمال زشت و ناشایست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منکر پرتاب کردن سنگریزه است</w:t>
      </w:r>
      <w:r>
        <w:rPr>
          <w:rFonts w:eastAsia="IRNazanin" w:cs="IRNazanin"/>
          <w:color w:val="111111"/>
          <w:sz w:val="28"/>
          <w:szCs w:val="28"/>
          <w:rtl w:val="true"/>
          <w:lang w:bidi="fa-IR"/>
        </w:rPr>
        <w:t xml:space="preserve">. </w:t>
      </w:r>
      <w:r>
        <w:rPr>
          <w:rStyle w:val="FootnoteAnchor"/>
          <w:rtl w:val="true"/>
        </w:rPr>
        <w:footnoteReference w:id="16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منذر از امام باقر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w:t>
      </w:r>
      <w:bookmarkStart w:id="1389" w:name="pg19115_195743"/>
    </w:p>
    <w:p>
      <w:pPr>
        <w:pStyle w:val="BookText"/>
        <w:rPr/>
      </w:pPr>
      <w:bookmarkEnd w:id="1389"/>
      <w:r>
        <w:rPr>
          <w:rFonts w:ascii="IRNazanin" w:hAnsi="IRNazanin" w:eastAsia="IRNazanin"/>
          <w:color w:val="111111"/>
          <w:sz w:val="28"/>
          <w:sz w:val="28"/>
          <w:szCs w:val="28"/>
          <w:rtl w:val="true"/>
          <w:lang w:bidi="fa-IR"/>
        </w:rPr>
        <w:t>سنگریزه و جویدن کندر در مجالس و در راهها از اعمال قوم لوط می باشد</w:t>
      </w:r>
      <w:r>
        <w:rPr>
          <w:rFonts w:eastAsia="IRNazanin" w:cs="IRNazanin"/>
          <w:color w:val="111111"/>
          <w:sz w:val="28"/>
          <w:szCs w:val="28"/>
          <w:rtl w:val="true"/>
          <w:lang w:bidi="fa-IR"/>
        </w:rPr>
        <w:t xml:space="preserve">.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البته باید توجه داشت که در روایت دوم پرتاب سنگریزه به صورت مطلق نهی شده است نه در خصوص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ظاهر كلام شيخ طوسی در نهایه حرمت این کار است</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لیکن چون مسجد جایگاه رفیعی دارد، کراهت این کار در مسجد، شدیدتر است</w:t>
      </w:r>
      <w:r>
        <w:rPr>
          <w:rFonts w:eastAsia="IRNazanin" w:cs="IRNazanin"/>
          <w:color w:val="111111"/>
          <w:sz w:val="28"/>
          <w:szCs w:val="28"/>
          <w:rtl w:val="true"/>
          <w:lang w:bidi="fa-IR"/>
        </w:rPr>
        <w:t xml:space="preserve">. </w:t>
      </w:r>
      <w:r>
        <w:rPr>
          <w:rStyle w:val="FootnoteAnchor"/>
          <w:rtl w:val="true"/>
        </w:rPr>
        <w:footnoteReference w:id="1685"/>
      </w:r>
    </w:p>
    <w:p>
      <w:pPr>
        <w:pStyle w:val="Heading5"/>
        <w:numPr>
          <w:ilvl w:val="4"/>
          <w:numId w:val="1"/>
        </w:numPr>
        <w:rPr/>
      </w:pPr>
      <w:bookmarkStart w:id="1390" w:name="__RefHeading___Toc15203266_1280447820"/>
      <w:bookmarkStart w:id="1391" w:name="_Toc544"/>
      <w:bookmarkEnd w:id="1390"/>
      <w:r>
        <w:rPr>
          <w:rtl w:val="true"/>
        </w:rPr>
        <w:t>گفتار چهارم</w:t>
      </w:r>
      <w:r>
        <w:rPr>
          <w:rtl w:val="true"/>
        </w:rPr>
        <w:t xml:space="preserve">: </w:t>
      </w:r>
      <w:r>
        <w:rPr>
          <w:rtl w:val="true"/>
        </w:rPr>
        <w:t>کشف عورت در مسجد</w:t>
      </w:r>
      <w:bookmarkEnd w:id="1391"/>
    </w:p>
    <w:p>
      <w:pPr>
        <w:pStyle w:val="Heading6"/>
        <w:numPr>
          <w:ilvl w:val="5"/>
          <w:numId w:val="1"/>
        </w:numPr>
        <w:rPr/>
      </w:pPr>
      <w:bookmarkStart w:id="1392" w:name="__RefHeading___Toc15203268_1280447820"/>
      <w:bookmarkStart w:id="1393" w:name="_Toc545"/>
      <w:bookmarkEnd w:id="1392"/>
      <w:r>
        <w:rPr>
          <w:rtl w:val="true"/>
        </w:rPr>
        <w:t>اشاره</w:t>
      </w:r>
      <w:bookmarkEnd w:id="1393"/>
    </w:p>
    <w:p>
      <w:pPr>
        <w:pStyle w:val="BookText"/>
        <w:rPr/>
      </w:pPr>
      <w:r>
        <w:rPr>
          <w:rFonts w:ascii="IRNazanin" w:hAnsi="IRNazanin" w:eastAsia="IRNazanin"/>
          <w:color w:val="111111"/>
          <w:sz w:val="28"/>
          <w:sz w:val="28"/>
          <w:szCs w:val="28"/>
          <w:rtl w:val="true"/>
          <w:lang w:bidi="fa-IR"/>
        </w:rPr>
        <w:t>از دیگر مکروهات مسجد کشف عورت و نیز عریان نمودن،زانو، ران و ناف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بسیاری به کراهت این عمل تصریح کردهاند که از جمله آنها عبارتند از</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در سرائر، </w:t>
      </w:r>
      <w:r>
        <w:rPr>
          <w:rStyle w:val="FootnoteAnchor"/>
          <w:rtl w:val="true"/>
        </w:rPr>
        <w:footnoteReference w:id="1686"/>
      </w:r>
      <w:r>
        <w:rPr>
          <w:rFonts w:ascii="IRNazanin" w:hAnsi="IRNazanin" w:eastAsia="IRNazanin"/>
          <w:color w:val="111111"/>
          <w:sz w:val="28"/>
          <w:sz w:val="28"/>
          <w:szCs w:val="28"/>
          <w:rtl w:val="true"/>
          <w:lang w:bidi="fa-IR"/>
        </w:rPr>
        <w:t xml:space="preserve">محقق حلی رحمه الله در شرائع الاسلام، معتبر و مختصر النافع، </w:t>
      </w:r>
      <w:r>
        <w:rPr>
          <w:rStyle w:val="FootnoteAnchor"/>
          <w:rtl w:val="true"/>
        </w:rPr>
        <w:footnoteReference w:id="1687"/>
      </w:r>
      <w:r>
        <w:rPr>
          <w:rFonts w:ascii="Amiri" w:hAnsi="Amiri" w:eastAsia="Amiri" w:cs="Amiri"/>
          <w:color w:val="111111"/>
          <w:sz w:val="28"/>
          <w:sz w:val="28"/>
          <w:szCs w:val="28"/>
          <w:rtl w:val="true"/>
          <w:lang w:bidi="ar-SA"/>
        </w:rPr>
        <w:t xml:space="preserve">علامه حلى تحرير الأحكام تذكرة الفقهاء، إرشاد الأذهان، نهاية الإحكام، مختلف الشيعة و منتهى المطلب، </w:t>
      </w:r>
      <w:r>
        <w:rPr>
          <w:rStyle w:val="FootnoteAnchor"/>
          <w:rtl w:val="true"/>
        </w:rPr>
        <w:footnoteReference w:id="1688"/>
      </w:r>
      <w:r>
        <w:rPr>
          <w:rFonts w:ascii="IRNazanin" w:hAnsi="IRNazanin" w:eastAsia="IRNazanin"/>
          <w:color w:val="111111"/>
          <w:sz w:val="28"/>
          <w:sz w:val="28"/>
          <w:szCs w:val="28"/>
          <w:rtl w:val="true"/>
          <w:lang w:bidi="fa-IR"/>
        </w:rPr>
        <w:t xml:space="preserve">شهید اول، </w:t>
      </w:r>
      <w:r>
        <w:rPr>
          <w:rStyle w:val="FootnoteAnchor"/>
          <w:rtl w:val="true"/>
        </w:rPr>
        <w:footnoteReference w:id="1689"/>
      </w:r>
      <w:r>
        <w:rPr>
          <w:rFonts w:ascii="IRNazanin" w:hAnsi="IRNazanin" w:eastAsia="IRNazanin"/>
          <w:color w:val="111111"/>
          <w:sz w:val="28"/>
          <w:sz w:val="28"/>
          <w:szCs w:val="28"/>
          <w:rtl w:val="true"/>
          <w:lang w:bidi="fa-IR"/>
        </w:rPr>
        <w:t xml:space="preserve">محقق ثانی در جامع المقاصد و </w:t>
      </w:r>
      <w:bookmarkStart w:id="1394" w:name="pg19115_195744"/>
    </w:p>
    <w:p>
      <w:pPr>
        <w:pStyle w:val="BookText"/>
        <w:rPr/>
      </w:pPr>
      <w:bookmarkEnd w:id="1394"/>
      <w:r>
        <w:rPr>
          <w:rFonts w:ascii="IRNazanin" w:hAnsi="IRNazanin" w:eastAsia="IRNazanin"/>
          <w:color w:val="111111"/>
          <w:sz w:val="28"/>
          <w:sz w:val="28"/>
          <w:szCs w:val="28"/>
          <w:rtl w:val="true"/>
          <w:lang w:bidi="fa-IR"/>
        </w:rPr>
        <w:t xml:space="preserve">فوائد الشرائع، </w:t>
      </w:r>
      <w:r>
        <w:rPr>
          <w:rStyle w:val="FootnoteAnchor"/>
          <w:rtl w:val="true"/>
        </w:rPr>
        <w:footnoteReference w:id="1690"/>
      </w:r>
      <w:r>
        <w:rPr>
          <w:rFonts w:ascii="IRNazanin" w:hAnsi="IRNazanin" w:eastAsia="IRNazanin"/>
          <w:color w:val="111111"/>
          <w:sz w:val="28"/>
          <w:sz w:val="28"/>
          <w:szCs w:val="28"/>
          <w:rtl w:val="true"/>
          <w:lang w:bidi="fa-IR"/>
        </w:rPr>
        <w:t xml:space="preserve">صیمری، </w:t>
      </w:r>
      <w:r>
        <w:rPr>
          <w:rStyle w:val="FootnoteAnchor"/>
          <w:rtl w:val="true"/>
        </w:rPr>
        <w:footnoteReference w:id="1691"/>
      </w:r>
      <w:r>
        <w:rPr>
          <w:rFonts w:ascii="IRNazanin" w:hAnsi="IRNazanin" w:eastAsia="IRNazanin"/>
          <w:color w:val="111111"/>
          <w:sz w:val="28"/>
          <w:sz w:val="28"/>
          <w:szCs w:val="28"/>
          <w:rtl w:val="true"/>
          <w:lang w:bidi="fa-IR"/>
        </w:rPr>
        <w:t xml:space="preserve">شهید ثانی در روض الجنان و مسالک، </w:t>
      </w:r>
      <w:r>
        <w:rPr>
          <w:rStyle w:val="FootnoteAnchor"/>
          <w:rtl w:val="true"/>
        </w:rPr>
        <w:footnoteReference w:id="1692"/>
      </w:r>
      <w:r>
        <w:rPr>
          <w:rFonts w:ascii="IRNazanin" w:hAnsi="IRNazanin" w:eastAsia="IRNazanin"/>
          <w:color w:val="111111"/>
          <w:sz w:val="28"/>
          <w:sz w:val="28"/>
          <w:szCs w:val="28"/>
          <w:rtl w:val="true"/>
          <w:lang w:bidi="fa-IR"/>
        </w:rPr>
        <w:t xml:space="preserve">محقق اردبیلی در مجمع البرهان، </w:t>
      </w:r>
      <w:r>
        <w:rPr>
          <w:rStyle w:val="FootnoteAnchor"/>
          <w:rtl w:val="true"/>
        </w:rPr>
        <w:footnoteReference w:id="1693"/>
      </w:r>
      <w:r>
        <w:rPr>
          <w:rFonts w:ascii="IRNazanin" w:hAnsi="IRNazanin" w:eastAsia="IRNazanin"/>
          <w:color w:val="111111"/>
          <w:sz w:val="28"/>
          <w:sz w:val="28"/>
          <w:szCs w:val="28"/>
          <w:rtl w:val="true"/>
          <w:lang w:bidi="fa-IR"/>
        </w:rPr>
        <w:t xml:space="preserve">فیض کاشانی در مفاتیح الشرائع </w:t>
      </w:r>
      <w:r>
        <w:rPr>
          <w:rStyle w:val="FootnoteAnchor"/>
          <w:rtl w:val="true"/>
        </w:rPr>
        <w:footnoteReference w:id="1694"/>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در مقابل این دیدگاه، شیخ طوسی رحمه الله در نهایه قائل به تحریم این عمل در مسجد شده و در اینباره چند دلیل ذکر می کند</w:t>
      </w:r>
      <w:r>
        <w:rPr>
          <w:rFonts w:eastAsia="IRNazanin" w:cs="IRNazanin"/>
          <w:color w:val="111111"/>
          <w:sz w:val="28"/>
          <w:szCs w:val="28"/>
          <w:rtl w:val="true"/>
          <w:lang w:bidi="fa-IR"/>
        </w:rPr>
        <w:t xml:space="preserve">. </w:t>
      </w:r>
      <w:r>
        <w:rPr>
          <w:rStyle w:val="FootnoteAnchor"/>
          <w:rtl w:val="true"/>
        </w:rPr>
        <w:footnoteReference w:id="1696"/>
      </w:r>
    </w:p>
    <w:p>
      <w:pPr>
        <w:pStyle w:val="Heading6"/>
        <w:numPr>
          <w:ilvl w:val="5"/>
          <w:numId w:val="1"/>
        </w:numPr>
        <w:rPr/>
      </w:pPr>
      <w:bookmarkStart w:id="1395" w:name="__RefHeading___Toc15203270_1280447820"/>
      <w:bookmarkStart w:id="1396" w:name="_Toc546"/>
      <w:bookmarkEnd w:id="1395"/>
      <w:r>
        <w:rPr>
          <w:rtl w:val="true"/>
        </w:rPr>
        <w:t>الف</w:t>
      </w:r>
      <w:r>
        <w:rPr>
          <w:rtl w:val="true"/>
        </w:rPr>
        <w:t xml:space="preserve">) </w:t>
      </w:r>
      <w:r>
        <w:rPr>
          <w:rtl w:val="true"/>
        </w:rPr>
        <w:t>ادله قول به کراهت</w:t>
      </w:r>
      <w:bookmarkEnd w:id="1396"/>
    </w:p>
    <w:p>
      <w:pPr>
        <w:pStyle w:val="BookText"/>
        <w:rPr/>
      </w:pPr>
      <w:r>
        <w:rPr>
          <w:rFonts w:ascii="IRNazanin" w:hAnsi="IRNazanin" w:eastAsia="IRNazanin"/>
          <w:color w:val="111111"/>
          <w:sz w:val="28"/>
          <w:sz w:val="28"/>
          <w:szCs w:val="28"/>
          <w:rtl w:val="true"/>
          <w:lang w:bidi="fa-IR"/>
        </w:rPr>
        <w:t>از جمله ادله ای که می توان برای این دیدگاه ذکر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عورت با عظمت جایگاه مسجد منافات دارد</w:t>
      </w:r>
      <w:r>
        <w:rPr>
          <w:rFonts w:eastAsia="IRNazanin" w:cs="IRNazanin"/>
          <w:color w:val="111111"/>
          <w:sz w:val="28"/>
          <w:szCs w:val="28"/>
          <w:rtl w:val="true"/>
          <w:lang w:bidi="fa-IR"/>
        </w:rPr>
        <w:t xml:space="preserve">. </w:t>
      </w:r>
      <w:r>
        <w:rPr>
          <w:rStyle w:val="FootnoteAnchor"/>
          <w:rtl w:val="true"/>
        </w:rPr>
        <w:footnoteReference w:id="1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عمل، نوعی استخفاف نسبت به جایگاهی که کشف عورت در آن صورت گرفته وجود دارد</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پیامبر اعظم صلی الله علیه و آله و وارد شده که اشعار به کراهت این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نمایاندن ناف، ران و زانو در مسجد، همانند کشف عورت است</w:t>
      </w:r>
      <w:r>
        <w:rPr>
          <w:rFonts w:eastAsia="IRNazanin" w:cs="IRNazanin"/>
          <w:color w:val="111111"/>
          <w:sz w:val="28"/>
          <w:szCs w:val="28"/>
          <w:rtl w:val="true"/>
          <w:lang w:bidi="fa-IR"/>
        </w:rPr>
        <w:t xml:space="preserve">. </w:t>
      </w:r>
      <w:r>
        <w:rPr>
          <w:rStyle w:val="FootnoteAnchor"/>
          <w:rtl w:val="true"/>
        </w:rPr>
        <w:footnoteReference w:id="1699"/>
      </w:r>
      <w:bookmarkStart w:id="1397" w:name="pg19115_195745"/>
    </w:p>
    <w:p>
      <w:pPr>
        <w:pStyle w:val="BookText"/>
        <w:rPr/>
      </w:pPr>
      <w:bookmarkEnd w:id="139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اجماع بر کراهت این عمل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صاحب جواهر رحمه الله بدان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پیداست که مکروه بودن کشف عورت، در صورتی است که ناظر و بیننده ای نباشد و گرنه این،کار حرام است</w:t>
      </w:r>
      <w:r>
        <w:rPr>
          <w:rFonts w:eastAsia="IRNazanin" w:cs="IRNazanin"/>
          <w:color w:val="111111"/>
          <w:sz w:val="28"/>
          <w:szCs w:val="28"/>
          <w:rtl w:val="true"/>
          <w:lang w:bidi="fa-IR"/>
        </w:rPr>
        <w:t xml:space="preserve">. </w:t>
      </w:r>
      <w:r>
        <w:rPr>
          <w:rStyle w:val="FootnoteAnchor"/>
          <w:rtl w:val="true"/>
        </w:rPr>
        <w:footnoteReference w:id="1700"/>
      </w:r>
    </w:p>
    <w:p>
      <w:pPr>
        <w:pStyle w:val="Heading6"/>
        <w:numPr>
          <w:ilvl w:val="5"/>
          <w:numId w:val="1"/>
        </w:numPr>
        <w:rPr/>
      </w:pPr>
      <w:bookmarkStart w:id="1398" w:name="__RefHeading___Toc15203272_1280447820"/>
      <w:bookmarkStart w:id="1399" w:name="_Toc547"/>
      <w:bookmarkEnd w:id="1398"/>
      <w:r>
        <w:rPr>
          <w:rtl w:val="true"/>
        </w:rPr>
        <w:t>ب</w:t>
      </w:r>
      <w:r>
        <w:rPr>
          <w:rtl w:val="true"/>
        </w:rPr>
        <w:t xml:space="preserve">) </w:t>
      </w:r>
      <w:r>
        <w:rPr>
          <w:rtl w:val="true"/>
        </w:rPr>
        <w:t>ادله قول به تحریم</w:t>
      </w:r>
      <w:bookmarkEnd w:id="1399"/>
    </w:p>
    <w:p>
      <w:pPr>
        <w:pStyle w:val="BookText"/>
        <w:rPr/>
      </w:pPr>
      <w:r>
        <w:rPr>
          <w:rFonts w:ascii="IRNazanin" w:hAnsi="IRNazanin" w:eastAsia="IRNazanin"/>
          <w:color w:val="111111"/>
          <w:sz w:val="28"/>
          <w:sz w:val="28"/>
          <w:szCs w:val="28"/>
          <w:rtl w:val="true"/>
          <w:lang w:bidi="fa-IR"/>
        </w:rPr>
        <w:t>شیخ طوسی رحمه الله در کتاب نهایه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ناف، ران و زانو در مسجد جایز نیست؛ چرا که در روایت این موارد جزء عورت شمرده شده و همان گونه که واجب است عورت پوشانده شود و نمایاندن آن حرام است ظاهر کردن این سه مورد نیز حرام است</w:t>
      </w:r>
      <w:r>
        <w:rPr>
          <w:rFonts w:eastAsia="IRNazanin" w:cs="IRNazanin"/>
          <w:color w:val="111111"/>
          <w:sz w:val="28"/>
          <w:szCs w:val="28"/>
          <w:rtl w:val="true"/>
          <w:lang w:bidi="fa-IR"/>
        </w:rPr>
        <w:t xml:space="preserve">.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علامه حلی رحمه الله در نقد این دلیل می نویسد اولاً کشف عورت مطلقاً حرام نیست، ثانیاً نامیدن این سه مورد در روایت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از باب علاقه مجاورت است</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شیخ طوسی رحمه الله در مبسوط قائل به استحباب پوشاندن بین ناف تا زانو در مسجد شده است</w:t>
      </w:r>
      <w:r>
        <w:rPr>
          <w:rFonts w:eastAsia="IRNazanin" w:cs="IRNazanin"/>
          <w:color w:val="111111"/>
          <w:sz w:val="28"/>
          <w:szCs w:val="28"/>
          <w:rtl w:val="true"/>
          <w:lang w:bidi="fa-IR"/>
        </w:rPr>
        <w:t xml:space="preserve">. </w:t>
      </w:r>
      <w:r>
        <w:rPr>
          <w:rStyle w:val="FootnoteAnchor"/>
          <w:rtl w:val="true"/>
        </w:rPr>
        <w:footnoteReference w:id="170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که صاحب مدارک در کراهت این عمل در مسجد، تأمل کرده است</w:t>
      </w:r>
      <w:r>
        <w:rPr>
          <w:rFonts w:eastAsia="IRNazanin" w:cs="IRNazanin"/>
          <w:color w:val="111111"/>
          <w:sz w:val="28"/>
          <w:szCs w:val="28"/>
          <w:rtl w:val="true"/>
          <w:lang w:bidi="fa-IR"/>
        </w:rPr>
        <w:t xml:space="preserve">. </w:t>
      </w:r>
      <w:r>
        <w:rPr>
          <w:rStyle w:val="FootnoteAnchor"/>
          <w:rtl w:val="true"/>
        </w:rPr>
        <w:footnoteReference w:id="170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0" w:name="pg19115_195747"/>
      <w:bookmarkStart w:id="1401" w:name="pg19115_195747"/>
      <w:bookmarkEnd w:id="1401"/>
    </w:p>
    <w:p>
      <w:pPr>
        <w:pStyle w:val="Heading2"/>
        <w:numPr>
          <w:ilvl w:val="1"/>
          <w:numId w:val="1"/>
        </w:numPr>
        <w:rPr/>
      </w:pPr>
      <w:bookmarkStart w:id="1402" w:name="pg19115_195747"/>
      <w:bookmarkStart w:id="1403" w:name="__RefHeading___Toc15203274_1280447820"/>
      <w:bookmarkStart w:id="1404" w:name="_Toc548"/>
      <w:bookmarkEnd w:id="1402"/>
      <w:bookmarkEnd w:id="1403"/>
      <w:r>
        <w:rPr>
          <w:rtl w:val="true"/>
        </w:rPr>
        <w:t>بخش پنجم</w:t>
      </w:r>
      <w:r>
        <w:rPr>
          <w:rtl w:val="true"/>
        </w:rPr>
        <w:t xml:space="preserve">: </w:t>
      </w:r>
      <w:r>
        <w:rPr>
          <w:rtl w:val="true"/>
        </w:rPr>
        <w:t>دست اندرکاران و کارگزاران مسجد</w:t>
      </w:r>
      <w:bookmarkEnd w:id="1404"/>
    </w:p>
    <w:p>
      <w:pPr>
        <w:pStyle w:val="Heading3"/>
        <w:numPr>
          <w:ilvl w:val="2"/>
          <w:numId w:val="1"/>
        </w:numPr>
        <w:rPr/>
      </w:pPr>
      <w:bookmarkStart w:id="1405" w:name="__RefHeading___Toc15203276_1280447820"/>
      <w:bookmarkStart w:id="1406" w:name="_Toc549"/>
      <w:bookmarkEnd w:id="1405"/>
      <w:r>
        <w:rPr>
          <w:rtl w:val="true"/>
        </w:rPr>
        <w:t>اشاره</w:t>
      </w:r>
      <w:bookmarkEnd w:id="140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متولی امور مسجد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و خادم مسجد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7" w:name="pg19115_195749"/>
      <w:bookmarkStart w:id="1408" w:name="pg19115_195749"/>
      <w:bookmarkEnd w:id="1408"/>
    </w:p>
    <w:p>
      <w:pPr>
        <w:pStyle w:val="Heading3"/>
        <w:numPr>
          <w:ilvl w:val="2"/>
          <w:numId w:val="1"/>
        </w:numPr>
        <w:rPr/>
      </w:pPr>
      <w:bookmarkStart w:id="1409" w:name="pg19115_195749"/>
      <w:bookmarkStart w:id="1410" w:name="__RefHeading___Toc15203278_1280447820"/>
      <w:bookmarkStart w:id="1411" w:name="_Toc550"/>
      <w:bookmarkEnd w:id="1409"/>
      <w:bookmarkEnd w:id="1410"/>
      <w:r>
        <w:rPr>
          <w:rtl w:val="true"/>
        </w:rPr>
        <w:t>فصل اول</w:t>
      </w:r>
      <w:r>
        <w:rPr>
          <w:rtl w:val="true"/>
        </w:rPr>
        <w:t xml:space="preserve">: </w:t>
      </w:r>
      <w:r>
        <w:rPr>
          <w:rtl w:val="true"/>
        </w:rPr>
        <w:t>واقف و متولی امور مسجد</w:t>
      </w:r>
      <w:bookmarkEnd w:id="1411"/>
    </w:p>
    <w:p>
      <w:pPr>
        <w:pStyle w:val="Heading4"/>
        <w:numPr>
          <w:ilvl w:val="3"/>
          <w:numId w:val="1"/>
        </w:numPr>
        <w:rPr/>
      </w:pPr>
      <w:bookmarkStart w:id="1412" w:name="__RefHeading___Toc15203280_1280447820"/>
      <w:bookmarkStart w:id="1413" w:name="_Toc551"/>
      <w:bookmarkEnd w:id="1412"/>
      <w:r>
        <w:rPr>
          <w:rtl w:val="true"/>
        </w:rPr>
        <w:t>اشاره</w:t>
      </w:r>
      <w:bookmarkEnd w:id="141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واقف</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 متولی وقف</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بناکردن مسجد توسط کفار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4" w:name="pg19115_195751"/>
      <w:bookmarkStart w:id="1415" w:name="pg19115_195751"/>
      <w:bookmarkEnd w:id="1415"/>
    </w:p>
    <w:p>
      <w:pPr>
        <w:pStyle w:val="Heading4"/>
        <w:numPr>
          <w:ilvl w:val="3"/>
          <w:numId w:val="1"/>
        </w:numPr>
        <w:rPr/>
      </w:pPr>
      <w:bookmarkStart w:id="1416" w:name="pg19115_195751"/>
      <w:bookmarkStart w:id="1417" w:name="__RefHeading___Toc15203282_1280447820"/>
      <w:bookmarkStart w:id="1418" w:name="_Toc552"/>
      <w:bookmarkEnd w:id="1416"/>
      <w:bookmarkEnd w:id="1417"/>
      <w:r>
        <w:rPr>
          <w:rtl w:val="true"/>
        </w:rPr>
        <w:t>مقدمه</w:t>
      </w:r>
      <w:bookmarkEnd w:id="1418"/>
    </w:p>
    <w:p>
      <w:pPr>
        <w:pStyle w:val="Heading5"/>
        <w:numPr>
          <w:ilvl w:val="4"/>
          <w:numId w:val="1"/>
        </w:numPr>
        <w:rPr/>
      </w:pPr>
      <w:bookmarkStart w:id="1419" w:name="__RefHeading___Toc15203284_1280447820"/>
      <w:bookmarkStart w:id="1420" w:name="_Toc553"/>
      <w:bookmarkEnd w:id="1419"/>
      <w:r>
        <w:rPr>
          <w:rtl w:val="true"/>
        </w:rPr>
        <w:t>اشاره</w:t>
      </w:r>
      <w:bookmarkEnd w:id="1420"/>
    </w:p>
    <w:p>
      <w:pPr>
        <w:pStyle w:val="BookText"/>
        <w:rPr/>
      </w:pPr>
      <w:r>
        <w:rPr>
          <w:rFonts w:ascii="IRNazanin" w:hAnsi="IRNazanin" w:eastAsia="IRNazanin"/>
          <w:color w:val="111111"/>
          <w:sz w:val="28"/>
          <w:sz w:val="28"/>
          <w:szCs w:val="28"/>
          <w:rtl w:val="true"/>
          <w:lang w:bidi="fa-IR"/>
        </w:rPr>
        <w:t>اهمیت مسجد به عنوان یک کانون حساس و مقدس ایجاب می کند تنها کسانی که از فضائل برجسته و شرایطی خاص برخوردارند شایستگی و لیاقت ساخت و تعمیر و نگهداری از آن را بر عهده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شریفه شرایطی برای آبادگران مسجد ذکر شده که از جمله آنها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 الْيَوْمِ الْآخِرِ وَأَقَامَ الصَّلاَةَ وَآتَى الزَّكَاةَ وَ لَمْ يَخْشَ إِلَّا اللَّهَ فَعَسَى أُولئِكَ أَنْ يَكُونُوا مِنَ الْمُهْتَدِينَ</w:t>
      </w:r>
      <w:r>
        <w:rPr>
          <w:rStyle w:val="FootnoteAnchor"/>
          <w:rtl w:val="true"/>
        </w:rPr>
        <w:footnoteReference w:id="1705"/>
      </w:r>
      <w:r>
        <w:rPr>
          <w:rFonts w:ascii="IRNazanin" w:hAnsi="IRNazanin" w:eastAsia="IRNazanin"/>
          <w:color w:val="111111"/>
          <w:sz w:val="28"/>
          <w:sz w:val="28"/>
          <w:szCs w:val="28"/>
          <w:rtl w:val="true"/>
          <w:lang w:bidi="fa-IR"/>
        </w:rPr>
        <w:t xml:space="preserve"> مشرکان حق ندارند مساجد خدا را آباد کنند در حالی که به کفر خویش گواهی می دهند آنها اعمالشان نابود و بی ارزش شده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خواهند ماند مساجد خدا را تنها کسی آباد می کند که ایمان به خدا و روز قیامت آورده و نماز را برپا دارد و زکات را بپردازد و جز از خدا نترسد امید است چنین گروهی از هدایت یافتگان باشند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بیانگر آن است که مشرکین شایستگی و لیاقت آباد نمودن مساجد الهی را ندارند تا پیش از نزول این آیه مشرکین در تعمیر ممسجد الحرام شرکت جسته و با حضور خود در اطراف خانه خدا در ایام خاص و موسم حج و یا پرداخت کمکهای مالی خانه خدا را رونق صوری و ظاهری می بخشیدند</w:t>
      </w:r>
      <w:r>
        <w:rPr>
          <w:rFonts w:eastAsia="IRNazanin" w:cs="IRNazanin"/>
          <w:color w:val="111111"/>
          <w:sz w:val="28"/>
          <w:szCs w:val="28"/>
          <w:rtl w:val="true"/>
          <w:lang w:bidi="fa-IR"/>
        </w:rPr>
        <w:t xml:space="preserve">. </w:t>
      </w:r>
      <w:bookmarkStart w:id="1421" w:name="pg19115_195752"/>
    </w:p>
    <w:p>
      <w:pPr>
        <w:pStyle w:val="BookText"/>
        <w:rPr/>
      </w:pPr>
      <w:bookmarkEnd w:id="1421"/>
      <w:r>
        <w:rPr>
          <w:rFonts w:ascii="IRNazanin" w:hAnsi="IRNazanin" w:eastAsia="IRNazanin"/>
          <w:color w:val="111111"/>
          <w:sz w:val="28"/>
          <w:sz w:val="28"/>
          <w:szCs w:val="28"/>
          <w:rtl w:val="true"/>
          <w:lang w:bidi="fa-IR"/>
        </w:rPr>
        <w:t>اما این آیه شریفه مشرکین را که با سخن و عمل به کفر خویش اعتراف می کنند از تعمیر مساجد الهی منع نموده و مرزبندی جدیدی را میان شرک و کفر با تعمیر مساجد اعلام می کند</w:t>
      </w:r>
    </w:p>
    <w:p>
      <w:pPr>
        <w:pStyle w:val="BookText"/>
        <w:rPr/>
      </w:pPr>
      <w:r>
        <w:rPr>
          <w:rFonts w:ascii="IRNazanin" w:hAnsi="IRNazanin" w:eastAsia="IRNazanin"/>
          <w:color w:val="111111"/>
          <w:sz w:val="28"/>
          <w:sz w:val="28"/>
          <w:szCs w:val="28"/>
          <w:rtl w:val="true"/>
          <w:lang w:bidi="fa-IR"/>
        </w:rPr>
        <w:t>آیه دوم نیز پنج شرط اساس را برای آباد کنندگان مساجد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ایمان و اعتقاد به قیامت</w:t>
      </w:r>
    </w:p>
    <w:p>
      <w:pPr>
        <w:pStyle w:val="BookText"/>
        <w:rPr/>
      </w:pPr>
      <w:r>
        <w:rPr>
          <w:rFonts w:ascii="IRNazanin" w:hAnsi="IRNazanin" w:eastAsia="IRNazanin"/>
          <w:color w:val="111111"/>
          <w:sz w:val="28"/>
          <w:sz w:val="28"/>
          <w:szCs w:val="28"/>
          <w:rtl w:val="true"/>
          <w:lang w:bidi="fa-IR"/>
        </w:rPr>
        <w:t>از جمله شرایط و ویژگیهای آباد کنندگان مسجد ایمان به خداوند متعال است که اولین شرط آبادکنندگان مسجد می باشد همچنین ایمان و اعتقاد به روز رستاخیز نیز از جمله شرائطی است که در این آیه شریفه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بقره این ویژگی یکی از خصوصیات متقین شمرده شده و متقین را کسانی می داند که ایمان به روز قیامت دارند</w:t>
      </w:r>
      <w:r>
        <w:rPr>
          <w:rFonts w:eastAsia="IRNazanin" w:cs="IRNazanin"/>
          <w:color w:val="111111"/>
          <w:sz w:val="28"/>
          <w:szCs w:val="28"/>
          <w:rtl w:val="true"/>
          <w:lang w:bidi="fa-IR"/>
        </w:rPr>
        <w:t xml:space="preserve">.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در آیه فوق خداوند علاوه بر شرط ایمان به خدا ایمان به روز جزا را ذکر کرده است به این جهت که مشرکین خدا را قبول داشتند و تفاوتشان با مؤمنین صرف نظر از شرک این بود که به روز جزا ایمان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شریفه دیگر قرآن اگر انسان اعمال صالحی انجام دهد، لیکن به آخرت ایمان نداشته باشد و آن را تکذیب کند اثرش حبط و باطل می گردد</w:t>
      </w:r>
      <w:r>
        <w:rPr>
          <w:rFonts w:eastAsia="IRNazanin" w:cs="IRNazanin"/>
          <w:color w:val="111111"/>
          <w:sz w:val="28"/>
          <w:szCs w:val="28"/>
          <w:rtl w:val="true"/>
          <w:lang w:bidi="fa-IR"/>
        </w:rPr>
        <w:t xml:space="preserve">. </w:t>
      </w:r>
      <w:r>
        <w:rPr>
          <w:rStyle w:val="FootnoteAnchor"/>
          <w:rtl w:val="true"/>
        </w:rPr>
        <w:footnoteReference w:id="1707"/>
      </w:r>
    </w:p>
    <w:p>
      <w:pPr>
        <w:pStyle w:val="Heading5"/>
        <w:numPr>
          <w:ilvl w:val="4"/>
          <w:numId w:val="1"/>
        </w:numPr>
        <w:rPr/>
      </w:pPr>
      <w:bookmarkStart w:id="1422" w:name="__RefHeading___Toc15203286_1280447820"/>
      <w:bookmarkStart w:id="1423" w:name="_Toc554"/>
      <w:bookmarkEnd w:id="1422"/>
      <w:r>
        <w:rPr>
          <w:rtl w:val="true"/>
        </w:rPr>
        <w:t>ب</w:t>
      </w:r>
      <w:r>
        <w:rPr>
          <w:rtl w:val="true"/>
        </w:rPr>
        <w:t xml:space="preserve">. </w:t>
      </w:r>
      <w:r>
        <w:rPr>
          <w:rtl w:val="true"/>
        </w:rPr>
        <w:t>اقامه نماز</w:t>
      </w:r>
      <w:bookmarkEnd w:id="1423"/>
    </w:p>
    <w:p>
      <w:pPr>
        <w:pStyle w:val="BookText"/>
        <w:rPr/>
      </w:pPr>
      <w:r>
        <w:rPr>
          <w:rFonts w:ascii="IRNazanin" w:hAnsi="IRNazanin" w:eastAsia="IRNazanin"/>
          <w:color w:val="111111"/>
          <w:sz w:val="28"/>
          <w:sz w:val="28"/>
          <w:szCs w:val="28"/>
          <w:rtl w:val="true"/>
          <w:lang w:bidi="fa-IR"/>
        </w:rPr>
        <w:t>آباد کنندگان مساجد باید کسانی باشند که نماز را با حدود و مقررات آن بپا دارند؛ چه آن که نماز به عنوان مظهر بندگی و راز و نیاز با خداوند، مشخصه انسان هایی است که بندگی و عبودیت را از قلب به اعضا و جوارح خویش سرایت داده 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دیدگاه قرآن،کریم آنان که با نماز انس ندارند و با نمازگزاران همدم و همراز نیستند، هر چند به گونه ای در رونق ظاهری مسجد و یا ساختن بنای </w:t>
      </w:r>
      <w:bookmarkStart w:id="1424" w:name="pg19115_195753"/>
    </w:p>
    <w:p>
      <w:pPr>
        <w:pStyle w:val="BookText"/>
        <w:rPr/>
      </w:pPr>
      <w:bookmarkEnd w:id="1424"/>
      <w:r>
        <w:rPr>
          <w:rFonts w:ascii="IRNazanin" w:hAnsi="IRNazanin" w:eastAsia="IRNazanin"/>
          <w:color w:val="111111"/>
          <w:sz w:val="28"/>
          <w:sz w:val="28"/>
          <w:szCs w:val="28"/>
          <w:rtl w:val="true"/>
          <w:lang w:bidi="fa-IR"/>
        </w:rPr>
        <w:t>مسجد شرکت داشته باشند، از آبادکنندگان مساجد به شمار نمی آیند</w:t>
      </w:r>
      <w:r>
        <w:rPr>
          <w:rFonts w:eastAsia="IRNazanin" w:cs="IRNazanin"/>
          <w:color w:val="111111"/>
          <w:sz w:val="28"/>
          <w:szCs w:val="28"/>
          <w:rtl w:val="true"/>
          <w:lang w:bidi="fa-IR"/>
        </w:rPr>
        <w:t>.</w:t>
      </w:r>
    </w:p>
    <w:p>
      <w:pPr>
        <w:pStyle w:val="Heading5"/>
        <w:numPr>
          <w:ilvl w:val="4"/>
          <w:numId w:val="1"/>
        </w:numPr>
        <w:rPr/>
      </w:pPr>
      <w:bookmarkStart w:id="1425" w:name="__RefHeading___Toc15203288_1280447820"/>
      <w:bookmarkStart w:id="1426" w:name="_Toc555"/>
      <w:bookmarkEnd w:id="1425"/>
      <w:r>
        <w:rPr>
          <w:rtl w:val="true"/>
        </w:rPr>
        <w:t>ج</w:t>
      </w:r>
      <w:r>
        <w:rPr>
          <w:rtl w:val="true"/>
        </w:rPr>
        <w:t xml:space="preserve">. </w:t>
      </w:r>
      <w:r>
        <w:rPr>
          <w:rtl w:val="true"/>
        </w:rPr>
        <w:t>پرداخت زکات</w:t>
      </w:r>
      <w:bookmarkEnd w:id="1426"/>
    </w:p>
    <w:p>
      <w:pPr>
        <w:pStyle w:val="BookText"/>
        <w:rPr/>
      </w:pPr>
      <w:r>
        <w:rPr>
          <w:rFonts w:ascii="IRNazanin" w:hAnsi="IRNazanin" w:eastAsia="IRNazanin"/>
          <w:color w:val="111111"/>
          <w:sz w:val="28"/>
          <w:sz w:val="28"/>
          <w:szCs w:val="28"/>
          <w:rtl w:val="true"/>
          <w:lang w:bidi="fa-IR"/>
        </w:rPr>
        <w:t>شرط دیگری که آیه شریفه برای سازندگان و آبادکنندگان مساجد برمی شمارد پرداخت زکات است؛ یعنی حقوق مالی واجب خویش را ادا می کنند نه این که ساختن و آباد کردن،مسجد بهانه ای برای شانه خالی کردن از زیر بار وجوهات و حقوق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قرآن کریم آنان که حقوق مالی خویش را پرداخت نمی کنند نمی توانند صرفاً با ساختن مسجد هر چند،مجلل در ردیف آبادکنندگان مساجد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شمار آیند و ثوابها و فضایلی را که برای تعمیرگران مساجد ذکر شده، به دست آورند</w:t>
      </w:r>
      <w:r>
        <w:rPr>
          <w:rFonts w:eastAsia="IRNazanin" w:cs="IRNazanin"/>
          <w:color w:val="111111"/>
          <w:sz w:val="28"/>
          <w:szCs w:val="28"/>
          <w:rtl w:val="true"/>
          <w:lang w:bidi="fa-IR"/>
        </w:rPr>
        <w:t>.</w:t>
      </w:r>
    </w:p>
    <w:p>
      <w:pPr>
        <w:pStyle w:val="Heading5"/>
        <w:numPr>
          <w:ilvl w:val="4"/>
          <w:numId w:val="1"/>
        </w:numPr>
        <w:rPr/>
      </w:pPr>
      <w:bookmarkStart w:id="1427" w:name="__RefHeading___Toc15203290_1280447820"/>
      <w:bookmarkStart w:id="1428" w:name="_Toc556"/>
      <w:bookmarkEnd w:id="1427"/>
      <w:r>
        <w:rPr>
          <w:rtl w:val="true"/>
        </w:rPr>
        <w:t>د</w:t>
      </w:r>
      <w:r>
        <w:rPr>
          <w:rtl w:val="true"/>
        </w:rPr>
        <w:t xml:space="preserve">. </w:t>
      </w:r>
      <w:r>
        <w:rPr>
          <w:rtl w:val="true"/>
        </w:rPr>
        <w:t>ترس از خداوند</w:t>
      </w:r>
      <w:bookmarkEnd w:id="1428"/>
    </w:p>
    <w:p>
      <w:pPr>
        <w:pStyle w:val="BookText"/>
        <w:rPr/>
      </w:pPr>
      <w:r>
        <w:rPr>
          <w:rFonts w:ascii="IRNazanin" w:hAnsi="IRNazanin" w:eastAsia="IRNazanin"/>
          <w:color w:val="111111"/>
          <w:sz w:val="28"/>
          <w:sz w:val="28"/>
          <w:szCs w:val="28"/>
          <w:rtl w:val="true"/>
          <w:lang w:bidi="fa-IR"/>
        </w:rPr>
        <w:t>خداوند متعال در مقام بیان چهارمین ویژگی آبادکنندگان مساجد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تنها خشیت خدای را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رحمه الله بر اساس قرائن و شواهدی که ارائه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به جای عبادت، تعبیر به خشیت شده آن است که میان عبادت و خشیت، ملازمه وجود دارد</w:t>
      </w:r>
      <w:r>
        <w:rPr>
          <w:rFonts w:eastAsia="IRNazanin" w:cs="IRNazanin"/>
          <w:color w:val="111111"/>
          <w:sz w:val="28"/>
          <w:szCs w:val="28"/>
          <w:rtl w:val="true"/>
          <w:lang w:bidi="fa-IR"/>
        </w:rPr>
        <w:t xml:space="preserve">. </w:t>
      </w:r>
      <w:r>
        <w:rPr>
          <w:rStyle w:val="FootnoteAnchor"/>
          <w:rtl w:val="true"/>
        </w:rPr>
        <w:footnoteReference w:id="170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توان گفت که این بخش از آیه در حقیقت مؤكّد صدر آیه قبل است که مشرکین را از عمارت مساجد نهی می کند و مناسبت وجود این شرط برای آبادکنندگان مساجد آن است که قرآن کریم اصرار دارد عمارت مسجد توسط موحدان و خداجویان صورت گیرد و از آنجا که عبادت غیر از خداوند،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محسوب می شود پس آنان که غیر خدا را عبادت می کنند و یا همراه با عبادت خداوند چیزی دیگری را هم پرستش می کنند لیقات و شایستگی تعمیر مساجد را ندارند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تفسیر نمونه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نشان می دهد که عمران و آبادی و نگاهداری مساجد جز در سایه شهامت و شجاعت ممکن نیست هنگامی این مراکز مقدس اسلامی به صورت کانون های انسان سازی و کلاسهای عالی تربیت در می آید که بنیان گزاران و پاسدارانی شجاع داشته باشد آنها که از هیچ کس جز خدا نترسند و تحت تأثیر هیچ مقام و قدرتی قرار نگیرند و برنامه ای جز برنامه های الهی در آن پیاده نکنند</w:t>
      </w:r>
      <w:r>
        <w:rPr>
          <w:rFonts w:eastAsia="IRNazanin" w:cs="IRNazanin"/>
          <w:color w:val="111111"/>
          <w:sz w:val="28"/>
          <w:szCs w:val="28"/>
          <w:rtl w:val="true"/>
          <w:lang w:bidi="fa-IR"/>
        </w:rPr>
        <w:t xml:space="preserve">» </w:t>
      </w:r>
      <w:r>
        <w:rPr>
          <w:rStyle w:val="FootnoteAnchor"/>
          <w:rtl w:val="true"/>
        </w:rPr>
        <w:footnoteReference w:id="1709"/>
      </w:r>
      <w:bookmarkStart w:id="1429" w:name="pg19115_195755"/>
    </w:p>
    <w:p>
      <w:pPr>
        <w:pStyle w:val="Heading4"/>
        <w:numPr>
          <w:ilvl w:val="3"/>
          <w:numId w:val="1"/>
        </w:numPr>
        <w:rPr/>
      </w:pPr>
      <w:bookmarkStart w:id="1430" w:name="__RefHeading___Toc15203292_1280447820"/>
      <w:bookmarkStart w:id="1431" w:name="_Toc557"/>
      <w:bookmarkEnd w:id="1429"/>
      <w:bookmarkEnd w:id="1430"/>
      <w:r>
        <w:rPr>
          <w:rtl w:val="true"/>
        </w:rPr>
        <w:t>مبحث اول</w:t>
      </w:r>
      <w:r>
        <w:rPr>
          <w:rtl w:val="true"/>
        </w:rPr>
        <w:t xml:space="preserve">: </w:t>
      </w:r>
      <w:r>
        <w:rPr>
          <w:rtl w:val="true"/>
        </w:rPr>
        <w:t>شرایط واقف</w:t>
      </w:r>
      <w:bookmarkEnd w:id="1431"/>
    </w:p>
    <w:p>
      <w:pPr>
        <w:pStyle w:val="BookText"/>
        <w:rPr/>
      </w:pPr>
      <w:r>
        <w:rPr>
          <w:rFonts w:ascii="IRNazanin" w:hAnsi="IRNazanin" w:eastAsia="IRNazanin"/>
          <w:color w:val="111111"/>
          <w:sz w:val="28"/>
          <w:sz w:val="28"/>
          <w:szCs w:val="28"/>
          <w:rtl w:val="true"/>
          <w:lang w:bidi="fa-IR"/>
        </w:rPr>
        <w:t>از آنجایی که مسجد نوعی وقف عام به شمار می آید لازم است ابتدا شرایطی که در کتب فقهی برای واقف ذکر شده ذکر گردد این شرایط عبارت است از این که واقف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مکلّف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اختیار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شرعاً بتواند در مال خود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سفیهی که در حال بالغ شدن سفیه بوده یا حاکم شرع او را از تصرف در اموالش جلوگیری کرده است چون حق ندارد در مال خود تصرف نماید، اگر چیزی را وقف کند صحیح نیست همچنین است مفلسی که حاکم شرع او را از تصرف در امورش منع نموده است</w:t>
      </w:r>
      <w:r>
        <w:rPr>
          <w:rFonts w:eastAsia="IRNazanin" w:cs="IRNazanin"/>
          <w:color w:val="111111"/>
          <w:sz w:val="28"/>
          <w:szCs w:val="28"/>
          <w:rtl w:val="true"/>
          <w:lang w:bidi="fa-IR"/>
        </w:rPr>
        <w:t xml:space="preserve">. </w:t>
      </w:r>
      <w:r>
        <w:rPr>
          <w:rStyle w:val="FootnoteAnchor"/>
          <w:rtl w:val="true"/>
        </w:rPr>
        <w:footnoteReference w:id="171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ذکر آن است که برخی وقف کردن بچه ای که ده سال دارد را نیز صحیح می دانند و برای اثبات این دیدگاه به روایاتی نیز استدلال می کنند، لیکن دیدگاه مشهور فقها عدم صحت وقف او می باشد</w:t>
      </w:r>
      <w:r>
        <w:rPr>
          <w:rFonts w:eastAsia="IRNazanin" w:cs="IRNazanin"/>
          <w:color w:val="111111"/>
          <w:sz w:val="28"/>
          <w:szCs w:val="28"/>
          <w:rtl w:val="true"/>
          <w:lang w:bidi="fa-IR"/>
        </w:rPr>
        <w:t xml:space="preserve">. </w:t>
      </w:r>
      <w:r>
        <w:rPr>
          <w:rStyle w:val="FootnoteAnchor"/>
          <w:rtl w:val="true"/>
        </w:rPr>
        <w:footnoteReference w:id="171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مورد بررسی قرار گیرد آن است که آیا واقف می تواند خود را به عنوان ناظر و متولی بر وقف قرار دهد یا این که آیا می تواند دیگری را به عنوان ناظر انتخاب کند یا آن که حق انتخاب ناظر در اختیار حاکم شرع است؟ پاسخ این پرسش در مبحث آینده روشن خواهد شد</w:t>
      </w:r>
      <w:r>
        <w:rPr>
          <w:rFonts w:eastAsia="IRNazanin" w:cs="IRNazanin"/>
          <w:color w:val="111111"/>
          <w:sz w:val="28"/>
          <w:szCs w:val="28"/>
          <w:rtl w:val="true"/>
          <w:lang w:bidi="fa-IR"/>
        </w:rPr>
        <w:t xml:space="preserve">. </w:t>
      </w:r>
      <w:bookmarkStart w:id="1432" w:name="pg19115_195757"/>
    </w:p>
    <w:p>
      <w:pPr>
        <w:pStyle w:val="Heading4"/>
        <w:numPr>
          <w:ilvl w:val="3"/>
          <w:numId w:val="1"/>
        </w:numPr>
        <w:rPr/>
      </w:pPr>
      <w:bookmarkStart w:id="1433" w:name="__RefHeading___Toc15203294_1280447820"/>
      <w:bookmarkStart w:id="1434" w:name="_Toc558"/>
      <w:bookmarkEnd w:id="1432"/>
      <w:bookmarkEnd w:id="1433"/>
      <w:r>
        <w:rPr>
          <w:rtl w:val="true"/>
        </w:rPr>
        <w:t>مبحث دوم</w:t>
      </w:r>
      <w:r>
        <w:rPr>
          <w:rtl w:val="true"/>
        </w:rPr>
        <w:t xml:space="preserve">: </w:t>
      </w:r>
      <w:r>
        <w:rPr>
          <w:rtl w:val="true"/>
        </w:rPr>
        <w:t>ناظر و متولی وقف</w:t>
      </w:r>
      <w:bookmarkEnd w:id="1434"/>
    </w:p>
    <w:p>
      <w:pPr>
        <w:pStyle w:val="Heading5"/>
        <w:numPr>
          <w:ilvl w:val="4"/>
          <w:numId w:val="1"/>
        </w:numPr>
        <w:rPr/>
      </w:pPr>
      <w:bookmarkStart w:id="1435" w:name="__RefHeading___Toc15203296_1280447820"/>
      <w:bookmarkStart w:id="1436" w:name="_Toc559"/>
      <w:bookmarkEnd w:id="1435"/>
      <w:r>
        <w:rPr>
          <w:rtl w:val="true"/>
        </w:rPr>
        <w:t>گفتار اول</w:t>
      </w:r>
      <w:r>
        <w:rPr>
          <w:rtl w:val="true"/>
        </w:rPr>
        <w:t xml:space="preserve">: </w:t>
      </w:r>
      <w:r>
        <w:rPr>
          <w:rtl w:val="true"/>
        </w:rPr>
        <w:t>نکات آغازین</w:t>
      </w:r>
      <w:bookmarkEnd w:id="1436"/>
    </w:p>
    <w:p>
      <w:pPr>
        <w:pStyle w:val="Heading6"/>
        <w:numPr>
          <w:ilvl w:val="5"/>
          <w:numId w:val="1"/>
        </w:numPr>
        <w:rPr/>
      </w:pPr>
      <w:bookmarkStart w:id="1437" w:name="__RefHeading___Toc15203298_1280447820"/>
      <w:bookmarkStart w:id="1438" w:name="_Toc560"/>
      <w:bookmarkEnd w:id="1437"/>
      <w:r>
        <w:rPr>
          <w:rtl w:val="true"/>
        </w:rPr>
        <w:t>الف</w:t>
      </w:r>
      <w:r>
        <w:rPr>
          <w:rtl w:val="true"/>
        </w:rPr>
        <w:t xml:space="preserve">) </w:t>
      </w:r>
      <w:r>
        <w:rPr>
          <w:rtl w:val="true"/>
        </w:rPr>
        <w:t xml:space="preserve">تعريف </w:t>
      </w:r>
      <w:r>
        <w:rPr>
          <w:rtl w:val="true"/>
        </w:rPr>
        <w:t>«</w:t>
      </w:r>
      <w:r>
        <w:rPr>
          <w:rtl w:val="true"/>
        </w:rPr>
        <w:t>ناظر</w:t>
      </w:r>
      <w:r>
        <w:rPr>
          <w:rtl w:val="true"/>
        </w:rPr>
        <w:t>»</w:t>
      </w:r>
      <w:bookmarkEnd w:id="1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اصطلاحاتی است که بیشتر در کتاب های فقهی پیشینیان کاربرد داشته است از این واژه، معمولا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في امر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في مصالح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في مصالح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في مصالح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ناظر و نظارت در فقه، در سه معنای متفاوت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کسی است که امور با اطلاع وی انجام می شود و هدف از نظارت بر مجری، این است که از وظایفش تخلّف نکند و اگر از او خلافی را ببیند، می تواند اعتراض کند و مستقیما حق دخل و تصرف و یا تصمیم گیری در امور مورد نظارت را ندارد؛ همانند نظارت در باب،وصیت که مورث پس از تعیین وصی شخصی را به عنوان ناظر بر اعمال وی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مورث با صراحت، نوع نظارت را مشخص نکرده باشد با توجه به شرایط زمان و مکان و احوال و شخص این امکان وجود دارد که دخالت،ناظر، در حد اطلاع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کسی است که بر اعمال مجری نظارت می کند و علاوه بر مراقبت امور، شخصا اختیار هر گونه تصمیم گیری در امر مورد نظارت را دارد و مجری مجاز به مخالفت با نظرات و تصمیمات وی نیست؛ همانند نظارت در باب،وصیت که مورث پس از تعیین وصی شخصی را به عنوان ناظر بر اعمال وی تعیین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کسی است که علاوه بر نظارت وظیفه اجرا را نیز بر عهده دارد؛ به عبارت دیگر، ناظر و،مجری بر کسی اطلاق می شود که هم تصمیم گیرنده است و </w:t>
      </w:r>
      <w:bookmarkStart w:id="1439" w:name="pg19115_195758"/>
    </w:p>
    <w:p>
      <w:pPr>
        <w:pStyle w:val="BookText"/>
        <w:rPr/>
      </w:pPr>
      <w:bookmarkEnd w:id="1439"/>
      <w:r>
        <w:rPr>
          <w:rFonts w:ascii="IRNazanin" w:hAnsi="IRNazanin" w:eastAsia="IRNazanin"/>
          <w:color w:val="111111"/>
          <w:sz w:val="28"/>
          <w:sz w:val="28"/>
          <w:szCs w:val="28"/>
          <w:rtl w:val="true"/>
          <w:lang w:bidi="fa-IR"/>
        </w:rPr>
        <w:t>هم اجراکننده؛ همانند نظارت در باب وقف که با توجه به وظایف و اختیاراتی که برای ناظر ذکر شده می توان گفت همانند متولی است و همه امور مربوط به موقوفه را به عهده می گیرد</w:t>
      </w:r>
      <w:r>
        <w:rPr>
          <w:rFonts w:eastAsia="IRNazanin" w:cs="IRNazanin"/>
          <w:color w:val="111111"/>
          <w:sz w:val="28"/>
          <w:szCs w:val="28"/>
          <w:rtl w:val="true"/>
          <w:lang w:bidi="fa-IR"/>
        </w:rPr>
        <w:t xml:space="preserve">. </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بنابراین با توجه به مطلب فوق متولی و ناظر در باب وقف به یک معنا بوده و مراد از ناظر در باب وقف کسی است که در شؤون مال وقف شده نظارت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باشد و امور آن را به خوبی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کلمه متولی بر شخصی اطلاق می شود که به صورت مستقیم و مباشرةً امور وقف را به صورت مستقل یا با شراکت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تدبیر می کند،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اطلاق می شود که لازم است تصرفات متولی با اطلاع و یا تصویب و تأیید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ناظر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ناظرى كه اعمال متولی با اطلاع او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استطلاعی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ناظری که اعمال متولی با تصویب و تأیید او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استصوابی دارد</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نتیجه آن که در باب،وقف کلمه ناظر و متولی به یک معنا به کار برده می شود و مراد کسی است که نظارت بر عین موقوفه داشته و وظیفه نگهبانی و سرپرستی از موقوفات را به عهده دارد</w:t>
      </w:r>
      <w:r>
        <w:rPr>
          <w:rFonts w:eastAsia="IRNazanin" w:cs="IRNazanin"/>
          <w:color w:val="111111"/>
          <w:sz w:val="28"/>
          <w:szCs w:val="28"/>
          <w:rtl w:val="true"/>
          <w:lang w:bidi="fa-IR"/>
        </w:rPr>
        <w:t>.</w:t>
      </w:r>
    </w:p>
    <w:p>
      <w:pPr>
        <w:pStyle w:val="Heading6"/>
        <w:numPr>
          <w:ilvl w:val="5"/>
          <w:numId w:val="1"/>
        </w:numPr>
        <w:rPr/>
      </w:pPr>
      <w:bookmarkStart w:id="1440" w:name="__RefHeading___Toc15203300_1280447820"/>
      <w:bookmarkStart w:id="1441" w:name="_Toc561"/>
      <w:bookmarkEnd w:id="1440"/>
      <w:r>
        <w:rPr>
          <w:rtl w:val="true"/>
        </w:rPr>
        <w:t>ب</w:t>
      </w:r>
      <w:r>
        <w:rPr>
          <w:rtl w:val="true"/>
        </w:rPr>
        <w:t xml:space="preserve">) </w:t>
      </w:r>
      <w:r>
        <w:rPr>
          <w:rtl w:val="true"/>
        </w:rPr>
        <w:t>شرایط ناظر و متولی</w:t>
      </w:r>
      <w:bookmarkEnd w:id="144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متولی بر مال وقف عبارتند از</w:t>
      </w:r>
      <w:r>
        <w:rPr>
          <w:rFonts w:eastAsia="IRNazanin" w:cs="IRNazanin"/>
          <w:color w:val="111111"/>
          <w:sz w:val="28"/>
          <w:szCs w:val="28"/>
          <w:rtl w:val="true"/>
          <w:lang w:bidi="fa-IR"/>
        </w:rPr>
        <w:t xml:space="preserve">: </w:t>
      </w:r>
      <w:bookmarkStart w:id="1442" w:name="pg19115_195759"/>
    </w:p>
    <w:p>
      <w:pPr>
        <w:pStyle w:val="BookText"/>
        <w:rPr/>
      </w:pPr>
      <w:bookmarkEnd w:id="144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پس تولی غیر بالغ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پستولی دیوانه صحیح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به حدی که بتواند مصالح و مفاسد را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پس تولیت خیانت کار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شرایط یاد شده در متولی بین فریقین اختلافی نیست، فقط در اعتبار و اشتراط عدالت در متولی اختلاف هست که در آینده به آن اشاره خواهد شد</w:t>
      </w:r>
      <w:r>
        <w:rPr>
          <w:rFonts w:eastAsia="IRNazanin" w:cs="IRNazanin"/>
          <w:color w:val="111111"/>
          <w:sz w:val="28"/>
          <w:szCs w:val="28"/>
          <w:rtl w:val="true"/>
          <w:lang w:bidi="fa-IR"/>
        </w:rPr>
        <w:t xml:space="preserve">. </w:t>
      </w:r>
      <w:r>
        <w:rPr>
          <w:rStyle w:val="FootnoteAnchor"/>
          <w:rtl w:val="true"/>
        </w:rPr>
        <w:footnoteReference w:id="1714"/>
      </w:r>
    </w:p>
    <w:p>
      <w:pPr>
        <w:pStyle w:val="Heading6"/>
        <w:numPr>
          <w:ilvl w:val="5"/>
          <w:numId w:val="1"/>
        </w:numPr>
        <w:rPr/>
      </w:pPr>
      <w:bookmarkStart w:id="1443" w:name="__RefHeading___Toc15203302_1280447820"/>
      <w:bookmarkStart w:id="1444" w:name="_Toc562"/>
      <w:bookmarkEnd w:id="1443"/>
      <w:r>
        <w:rPr>
          <w:rtl w:val="true"/>
        </w:rPr>
        <w:t>ج</w:t>
      </w:r>
      <w:r>
        <w:rPr>
          <w:rtl w:val="true"/>
        </w:rPr>
        <w:t xml:space="preserve">) </w:t>
      </w:r>
      <w:r>
        <w:rPr>
          <w:rtl w:val="true"/>
        </w:rPr>
        <w:t>بررسی اشتراط عدالت در ناظر</w:t>
      </w:r>
      <w:bookmarkEnd w:id="1444"/>
    </w:p>
    <w:p>
      <w:pPr>
        <w:pStyle w:val="Heading6"/>
        <w:numPr>
          <w:ilvl w:val="5"/>
          <w:numId w:val="1"/>
        </w:numPr>
        <w:rPr/>
      </w:pPr>
      <w:bookmarkStart w:id="1445" w:name="__RefHeading___Toc15203304_1280447820"/>
      <w:bookmarkStart w:id="1446" w:name="_Toc563"/>
      <w:bookmarkEnd w:id="1445"/>
      <w:r>
        <w:rPr>
          <w:rtl w:val="true"/>
        </w:rPr>
        <w:t>اشاره</w:t>
      </w:r>
      <w:bookmarkEnd w:id="1446"/>
    </w:p>
    <w:p>
      <w:pPr>
        <w:pStyle w:val="BookText"/>
        <w:rPr/>
      </w:pPr>
      <w:r>
        <w:rPr>
          <w:rFonts w:ascii="IRNazanin" w:hAnsi="IRNazanin" w:eastAsia="IRNazanin"/>
          <w:color w:val="111111"/>
          <w:sz w:val="28"/>
          <w:sz w:val="28"/>
          <w:szCs w:val="28"/>
          <w:rtl w:val="true"/>
          <w:lang w:bidi="fa-IR"/>
        </w:rPr>
        <w:t>یکی دیگر از مباحثی که در مورد ناظر مطرح می شود آن است که آیا ناظر و متولی وقف باید عادل باشد یا این که عدالت در او شرط نیست؟</w:t>
      </w:r>
    </w:p>
    <w:p>
      <w:pPr>
        <w:pStyle w:val="BookText"/>
        <w:rPr/>
      </w:pPr>
      <w:r>
        <w:rPr>
          <w:rFonts w:ascii="IRNazanin" w:hAnsi="IRNazanin" w:eastAsia="IRNazanin"/>
          <w:color w:val="111111"/>
          <w:sz w:val="28"/>
          <w:sz w:val="28"/>
          <w:szCs w:val="28"/>
          <w:rtl w:val="true"/>
          <w:lang w:bidi="fa-IR"/>
        </w:rPr>
        <w:t>این مسئله دارای سه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خود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شخص دیگری را به عنوان ناظر انتخاب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شرع ناظر را مشخص کند</w:t>
      </w:r>
      <w:r>
        <w:rPr>
          <w:rFonts w:eastAsia="IRNazanin" w:cs="IRNazanin"/>
          <w:color w:val="111111"/>
          <w:sz w:val="28"/>
          <w:szCs w:val="28"/>
          <w:rtl w:val="true"/>
          <w:lang w:bidi="fa-IR"/>
        </w:rPr>
        <w:t>.</w:t>
      </w:r>
    </w:p>
    <w:p>
      <w:pPr>
        <w:pStyle w:val="Heading6"/>
        <w:numPr>
          <w:ilvl w:val="5"/>
          <w:numId w:val="1"/>
        </w:numPr>
        <w:rPr/>
      </w:pPr>
      <w:bookmarkStart w:id="1447" w:name="__RefHeading___Toc15203306_1280447820"/>
      <w:bookmarkStart w:id="1448" w:name="_Toc564"/>
      <w:bookmarkEnd w:id="1447"/>
      <w:r>
        <w:rPr/>
        <w:t>1</w:t>
      </w:r>
      <w:r>
        <w:rPr>
          <w:rtl w:val="true"/>
        </w:rPr>
        <w:t xml:space="preserve">. </w:t>
      </w:r>
      <w:r>
        <w:rPr>
          <w:rtl w:val="true"/>
        </w:rPr>
        <w:t>صورت اول</w:t>
      </w:r>
      <w:bookmarkEnd w:id="144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واقف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که عدالت در او شرط نیست؛ یعنی لازم نیست که واقفی که خود را به عنوان ناظر و متولی قرار داده عادل هم باشد، البته برخی از فقیهان همانند شهید ثانی در مسالک </w:t>
      </w:r>
      <w:r>
        <w:rPr>
          <w:rStyle w:val="FootnoteAnchor"/>
          <w:rtl w:val="true"/>
        </w:rPr>
        <w:footnoteReference w:id="1715"/>
      </w:r>
      <w:r>
        <w:rPr>
          <w:rFonts w:ascii="IRNazanin" w:hAnsi="IRNazanin" w:eastAsia="IRNazanin"/>
          <w:color w:val="111111"/>
          <w:sz w:val="28"/>
          <w:sz w:val="28"/>
          <w:szCs w:val="28"/>
          <w:rtl w:val="true"/>
          <w:lang w:bidi="fa-IR"/>
        </w:rPr>
        <w:t xml:space="preserve">احتمال اشتراط عدالت را داده اند و در کفایه الاحکام </w:t>
      </w:r>
      <w:r>
        <w:rPr>
          <w:rStyle w:val="FootnoteAnchor"/>
          <w:rtl w:val="true"/>
        </w:rPr>
        <w:footnoteReference w:id="1716"/>
      </w:r>
      <w:r>
        <w:rPr>
          <w:rFonts w:ascii="IRNazanin" w:hAnsi="IRNazanin" w:eastAsia="IRNazanin"/>
          <w:color w:val="111111"/>
          <w:sz w:val="28"/>
          <w:sz w:val="28"/>
          <w:szCs w:val="28"/>
          <w:rtl w:val="true"/>
          <w:lang w:bidi="fa-IR"/>
        </w:rPr>
        <w:t xml:space="preserve">و ریاض </w:t>
      </w:r>
      <w:r>
        <w:rPr>
          <w:rStyle w:val="FootnoteAnchor"/>
          <w:rtl w:val="true"/>
        </w:rPr>
        <w:footnoteReference w:id="1717"/>
      </w:r>
      <w:r>
        <w:rPr>
          <w:rFonts w:ascii="IRNazanin" w:hAnsi="IRNazanin" w:eastAsia="IRNazanin"/>
          <w:color w:val="111111"/>
          <w:sz w:val="28"/>
          <w:sz w:val="28"/>
          <w:szCs w:val="28"/>
          <w:rtl w:val="true"/>
          <w:lang w:bidi="fa-IR"/>
        </w:rPr>
        <w:t>دو قول در این باره نقل شده است، اما مشهور فقیهان امامیه قائل به عدم اشتراط عدالت هستند در صورتی که خود واقف ناظر باشد</w:t>
      </w:r>
      <w:r>
        <w:rPr>
          <w:rFonts w:eastAsia="IRNazanin" w:cs="IRNazanin"/>
          <w:color w:val="111111"/>
          <w:sz w:val="28"/>
          <w:szCs w:val="28"/>
          <w:rtl w:val="true"/>
          <w:lang w:bidi="fa-IR"/>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از جمله ادله ای که می توان بر عدم اشتراط عدالت در این صورت اقامه کرد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گفتیم واقف هنگام وقف شرط کند که خود او ناظر باشد و این کار از شؤون اوست و این اشتراط نافذ،است دیگر فرقی نمی کند که واقف عادل باشد یا غیر عادل به بیان،دیگر واقف مال خود را در راه وقف بذل کرده است، پس باید به نظر او احترام گذاشته شده و از آن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این رو دیگر عادل بودن یا نبودن او در نظر گرفته نمی شود</w:t>
      </w:r>
      <w:r>
        <w:rPr>
          <w:rFonts w:eastAsia="IRNazanin" w:cs="IRNazanin"/>
          <w:color w:val="111111"/>
          <w:sz w:val="28"/>
          <w:szCs w:val="28"/>
          <w:rtl w:val="true"/>
          <w:lang w:bidi="fa-IR"/>
        </w:rPr>
        <w:t xml:space="preserve">. </w:t>
      </w:r>
      <w:r>
        <w:rPr>
          <w:rStyle w:val="FootnoteAnchor"/>
          <w:rtl w:val="true"/>
        </w:rPr>
        <w:footnoteReference w:id="1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الْوُقُوفُ عَلَى حَسَبِ مَا يَقِفُهَا أَهْلُهَا</w:t>
      </w:r>
      <w:r>
        <w:rPr>
          <w:rStyle w:val="FootnoteAnchor"/>
          <w:rtl w:val="true"/>
        </w:rPr>
        <w:footnoteReference w:id="1720"/>
      </w:r>
      <w:r>
        <w:rPr>
          <w:rFonts w:ascii="IRNazanin" w:hAnsi="IRNazanin" w:eastAsia="IRNazanin"/>
          <w:color w:val="111111"/>
          <w:sz w:val="28"/>
          <w:sz w:val="28"/>
          <w:szCs w:val="28"/>
          <w:rtl w:val="true"/>
          <w:lang w:bidi="fa-IR"/>
        </w:rPr>
        <w:t xml:space="preserve">نشانگر آن است که تصدی تولیت وقف از شؤون واقف است و این روایت از حیث عادل بودن یا نبودن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شامل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واقف می تواند ناظر باشد هر چند عادل هم نباشد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نیز به عدم اشتراط عدالت در صورتی که خود واقف ناظر باشد اشاره کرده و می نویسد مقتضای اطلاق روایات و فتاوی آن است که فرقی نیست بین این که واقفی که ناظر است عادل باشد یا نباشد بلکه هیچ اختلافی در این باره نیافتم</w:t>
      </w:r>
      <w:r>
        <w:rPr>
          <w:rFonts w:eastAsia="IRNazanin" w:cs="IRNazanin"/>
          <w:color w:val="111111"/>
          <w:sz w:val="28"/>
          <w:szCs w:val="28"/>
          <w:rtl w:val="true"/>
          <w:lang w:bidi="fa-IR"/>
        </w:rPr>
        <w:t xml:space="preserve">.» </w:t>
      </w:r>
      <w:r>
        <w:rPr>
          <w:rStyle w:val="FootnoteAnchor"/>
          <w:rtl w:val="true"/>
        </w:rPr>
        <w:footnoteReference w:id="1721"/>
      </w:r>
      <w:bookmarkStart w:id="1449" w:name="pg19115_195761"/>
    </w:p>
    <w:p>
      <w:pPr>
        <w:pStyle w:val="Heading6"/>
        <w:numPr>
          <w:ilvl w:val="5"/>
          <w:numId w:val="1"/>
        </w:numPr>
        <w:rPr/>
      </w:pPr>
      <w:bookmarkStart w:id="1450" w:name="__RefHeading___Toc15203308_1280447820"/>
      <w:bookmarkStart w:id="1451" w:name="_Toc565"/>
      <w:bookmarkEnd w:id="1449"/>
      <w:bookmarkEnd w:id="1450"/>
      <w:r>
        <w:rPr/>
        <w:t>2</w:t>
      </w:r>
      <w:r>
        <w:rPr>
          <w:rtl w:val="true"/>
        </w:rPr>
        <w:t xml:space="preserve">. </w:t>
      </w:r>
      <w:r>
        <w:rPr>
          <w:rtl w:val="true"/>
        </w:rPr>
        <w:t>صورت دوم</w:t>
      </w:r>
      <w:bookmarkEnd w:id="1451"/>
    </w:p>
    <w:p>
      <w:pPr>
        <w:pStyle w:val="BookText"/>
        <w:rPr/>
      </w:pPr>
      <w:r>
        <w:rPr>
          <w:rFonts w:ascii="IRNazanin" w:hAnsi="IRNazanin" w:eastAsia="IRNazanin"/>
          <w:color w:val="111111"/>
          <w:sz w:val="28"/>
          <w:sz w:val="28"/>
          <w:szCs w:val="28"/>
          <w:rtl w:val="true"/>
          <w:lang w:bidi="fa-IR"/>
        </w:rPr>
        <w:t>صورت دوم مسئله آن است که واقف خود را متولی بر وقف قرار ندهد، بلکه دیگری را به عنوان ناظر و متولی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دیدگاه میان فقها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فقها عدالت را در ناظر در صورتی که خود واقف نباشد شرط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ادعای اتفاق فقها بر اعتبار عدالت در ناظر غیر واقف دارد و این اتفاق نظر را جماعتی مانند صاحب کفایه </w:t>
      </w:r>
      <w:r>
        <w:rPr>
          <w:rStyle w:val="FootnoteAnchor"/>
          <w:rtl w:val="true"/>
        </w:rPr>
        <w:footnoteReference w:id="1722"/>
      </w:r>
      <w:r>
        <w:rPr>
          <w:rFonts w:ascii="IRNazanin" w:hAnsi="IRNazanin" w:eastAsia="IRNazanin"/>
          <w:color w:val="111111"/>
          <w:sz w:val="28"/>
          <w:sz w:val="28"/>
          <w:szCs w:val="28"/>
          <w:rtl w:val="true"/>
          <w:lang w:bidi="fa-IR"/>
        </w:rPr>
        <w:t>و صاحب حدائق</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حکایت کرده اند</w:t>
      </w:r>
      <w:r>
        <w:rPr>
          <w:rFonts w:eastAsia="IRNazanin" w:cs="IRNazanin"/>
          <w:color w:val="111111"/>
          <w:sz w:val="28"/>
          <w:szCs w:val="28"/>
          <w:rtl w:val="true"/>
          <w:lang w:bidi="fa-IR"/>
        </w:rPr>
        <w:t xml:space="preserve">. </w:t>
      </w:r>
      <w:r>
        <w:rPr>
          <w:rStyle w:val="FootnoteAnchor"/>
          <w:rtl w:val="true"/>
        </w:rPr>
        <w:footnoteReference w:id="17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ای از فقها نیز عدالت را شرط ناظر می دانند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الكرامه از زمره فقیهانی است که عدالت را شرط ندانسته و به این سخن صاحب ریاض اشکال کرده و می نویسد هیچ یک از فقها را نیافتم که دلالت بر اتفاق فقها بر اعتبار عدالت باشد مگر آنچه صاحب كفايه الاحكام ذكر کرده که شاید تلویحاً از آن این اتفاق برداشت شده باشد 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مذهب اصحاب اعتبار عدالت است</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این در حالی است که فقیهانی که متعرض اعتبار عدالت در غیر واقف شده باشند بسیار کم هستند و تنها در کتابهایی </w:t>
      </w:r>
    </w:p>
    <w:p>
      <w:pPr>
        <w:pStyle w:val="BookText"/>
        <w:rPr/>
      </w:pPr>
      <w:r>
        <w:rPr>
          <w:rFonts w:ascii="IRNazanin" w:hAnsi="IRNazanin" w:eastAsia="IRNazanin"/>
          <w:color w:val="111111"/>
          <w:sz w:val="28"/>
          <w:sz w:val="28"/>
          <w:szCs w:val="28"/>
          <w:rtl w:val="true"/>
          <w:lang w:bidi="fa-IR"/>
        </w:rPr>
        <w:t xml:space="preserve">همچون تذکره، </w:t>
      </w:r>
      <w:r>
        <w:rPr>
          <w:rStyle w:val="FootnoteAnchor"/>
          <w:rtl w:val="true"/>
        </w:rPr>
        <w:footnoteReference w:id="1726"/>
      </w:r>
      <w:r>
        <w:rPr>
          <w:rFonts w:ascii="IRNazanin" w:hAnsi="IRNazanin" w:eastAsia="IRNazanin"/>
          <w:color w:val="111111"/>
          <w:sz w:val="28"/>
          <w:sz w:val="28"/>
          <w:szCs w:val="28"/>
          <w:rtl w:val="true"/>
          <w:lang w:bidi="fa-IR"/>
        </w:rPr>
        <w:t xml:space="preserve">دروس، </w:t>
      </w:r>
      <w:r>
        <w:rPr>
          <w:rStyle w:val="FootnoteAnchor"/>
          <w:rtl w:val="true"/>
        </w:rPr>
        <w:footnoteReference w:id="1727"/>
      </w:r>
      <w:r>
        <w:rPr>
          <w:rFonts w:ascii="IRNazanin" w:hAnsi="IRNazanin" w:eastAsia="IRNazanin"/>
          <w:color w:val="111111"/>
          <w:sz w:val="28"/>
          <w:sz w:val="28"/>
          <w:szCs w:val="28"/>
          <w:rtl w:val="true"/>
          <w:lang w:bidi="fa-IR"/>
        </w:rPr>
        <w:t xml:space="preserve">مسالک، </w:t>
      </w:r>
      <w:r>
        <w:rPr>
          <w:rStyle w:val="FootnoteAnchor"/>
          <w:rtl w:val="true"/>
        </w:rPr>
        <w:footnoteReference w:id="1728"/>
      </w:r>
      <w:r>
        <w:rPr>
          <w:rFonts w:ascii="IRNazanin" w:hAnsi="IRNazanin" w:eastAsia="IRNazanin"/>
          <w:color w:val="111111"/>
          <w:sz w:val="28"/>
          <w:sz w:val="28"/>
          <w:szCs w:val="28"/>
          <w:rtl w:val="true"/>
          <w:lang w:bidi="fa-IR"/>
        </w:rPr>
        <w:t xml:space="preserve">روضه، </w:t>
      </w:r>
      <w:r>
        <w:rPr>
          <w:rStyle w:val="FootnoteAnchor"/>
          <w:rtl w:val="true"/>
        </w:rPr>
        <w:footnoteReference w:id="1729"/>
      </w:r>
      <w:r>
        <w:rPr>
          <w:rFonts w:ascii="IRNazanin" w:hAnsi="IRNazanin" w:eastAsia="IRNazanin"/>
          <w:color w:val="111111"/>
          <w:sz w:val="28"/>
          <w:sz w:val="28"/>
          <w:szCs w:val="28"/>
          <w:rtl w:val="true"/>
          <w:lang w:bidi="fa-IR"/>
        </w:rPr>
        <w:t xml:space="preserve">مفاتیح </w:t>
      </w:r>
      <w:r>
        <w:rPr>
          <w:rStyle w:val="FootnoteAnchor"/>
          <w:rtl w:val="true"/>
        </w:rPr>
        <w:footnoteReference w:id="1730"/>
      </w:r>
      <w:r>
        <w:rPr>
          <w:rFonts w:ascii="IRNazanin" w:hAnsi="IRNazanin" w:eastAsia="IRNazanin"/>
          <w:color w:val="111111"/>
          <w:sz w:val="28"/>
          <w:sz w:val="28"/>
          <w:szCs w:val="28"/>
          <w:rtl w:val="true"/>
          <w:lang w:bidi="fa-IR"/>
        </w:rPr>
        <w:t>به اشتراط عدالت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هایی همانند وسیله </w:t>
      </w:r>
      <w:r>
        <w:rPr>
          <w:rStyle w:val="FootnoteAnchor"/>
          <w:rtl w:val="true"/>
        </w:rPr>
        <w:footnoteReference w:id="1731"/>
      </w:r>
      <w:r>
        <w:rPr>
          <w:rFonts w:ascii="IRNazanin" w:hAnsi="IRNazanin" w:eastAsia="IRNazanin"/>
          <w:color w:val="111111"/>
          <w:sz w:val="28"/>
          <w:sz w:val="28"/>
          <w:szCs w:val="28"/>
          <w:rtl w:val="true"/>
          <w:lang w:bidi="fa-IR"/>
        </w:rPr>
        <w:t xml:space="preserve">و الجامع للشرائع </w:t>
      </w:r>
      <w:r>
        <w:rPr>
          <w:rStyle w:val="FootnoteAnchor"/>
          <w:rtl w:val="true"/>
        </w:rPr>
        <w:footnoteReference w:id="1732"/>
      </w:r>
      <w:r>
        <w:rPr>
          <w:rFonts w:ascii="IRNazanin" w:hAnsi="IRNazanin" w:eastAsia="IRNazanin"/>
          <w:color w:val="111111"/>
          <w:sz w:val="28"/>
          <w:sz w:val="28"/>
          <w:szCs w:val="28"/>
          <w:rtl w:val="true"/>
          <w:lang w:bidi="fa-IR"/>
        </w:rPr>
        <w:t>نيز ثقه بودن ناظر را معتبر دانسته و شرط کرده اند که شاید این را به معنای عدالت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علامه حلی رحمه الله در تحریر </w:t>
      </w:r>
      <w:r>
        <w:rPr>
          <w:rStyle w:val="FootnoteAnchor"/>
          <w:rtl w:val="true"/>
        </w:rPr>
        <w:footnoteReference w:id="1733"/>
      </w:r>
      <w:r>
        <w:rPr>
          <w:rFonts w:ascii="IRNazanin" w:hAnsi="IRNazanin" w:eastAsia="IRNazanin"/>
          <w:color w:val="111111"/>
          <w:sz w:val="28"/>
          <w:sz w:val="28"/>
          <w:szCs w:val="28"/>
          <w:rtl w:val="true"/>
          <w:lang w:bidi="fa-IR"/>
        </w:rPr>
        <w:t>با اشتراط عدالت در ناظر مخالفت کرده و عدالت را لازم نمی داند</w:t>
      </w:r>
      <w:r>
        <w:rPr>
          <w:rFonts w:eastAsia="IRNazanin" w:cs="IRNazanin"/>
          <w:color w:val="111111"/>
          <w:sz w:val="28"/>
          <w:szCs w:val="28"/>
          <w:rtl w:val="true"/>
          <w:lang w:bidi="fa-IR"/>
        </w:rPr>
        <w:t xml:space="preserve">.» </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صاحب جواهر رحمه الله نیز به این ادعای اتفاق صاحب ریاض رحمه الله اشکال کرده و آن را رد می نماید و در پایان عدالت را در متولی وقف شرط نمی داند</w:t>
      </w:r>
      <w:r>
        <w:rPr>
          <w:rFonts w:eastAsia="IRNazanin" w:cs="IRNazanin"/>
          <w:color w:val="111111"/>
          <w:sz w:val="28"/>
          <w:szCs w:val="28"/>
          <w:rtl w:val="true"/>
          <w:lang w:bidi="fa-IR"/>
        </w:rPr>
        <w:t xml:space="preserve">. </w:t>
      </w:r>
      <w:r>
        <w:rPr>
          <w:rStyle w:val="FootnoteAnchor"/>
          <w:rtl w:val="true"/>
        </w:rPr>
        <w:footnoteReference w:id="173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 که بر عدم اشتراط عدالت ذکر شده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عموم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على حسب ما يقفها أهلها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تولیت و نظارت هر کسی را که واقف تأیید کند جایز است و در عنوانی که اینجا معتبر است اشتراط عدالت وجود ندارد</w:t>
      </w:r>
      <w:r>
        <w:rPr>
          <w:rFonts w:eastAsia="IRNazanin" w:cs="IRNazanin"/>
          <w:color w:val="111111"/>
          <w:sz w:val="28"/>
          <w:szCs w:val="28"/>
          <w:rtl w:val="true"/>
          <w:lang w:bidi="fa-IR"/>
        </w:rPr>
        <w:t xml:space="preserve">. </w:t>
      </w:r>
      <w:r>
        <w:rPr>
          <w:rStyle w:val="FootnoteAnchor"/>
          <w:rtl w:val="true"/>
        </w:rPr>
        <w:footnoteReference w:id="17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عدالت در ناظر نیازمند به دلیل است و هیچ دلیلی بر این شرط وجود ندارد</w:t>
      </w:r>
      <w:r>
        <w:rPr>
          <w:rFonts w:eastAsia="IRNazanin" w:cs="IRNazanin"/>
          <w:color w:val="111111"/>
          <w:sz w:val="28"/>
          <w:szCs w:val="28"/>
          <w:rtl w:val="true"/>
          <w:lang w:bidi="fa-IR"/>
        </w:rPr>
        <w:t xml:space="preserve">.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سید یزدی رحمه الله نیز عدالت ناظر را شرط نمی داند، اما در پایان به دو نکته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که واقف کسی را به عنوان ناظر نصب کند که به وقف خیانت کرده و شخص مورد اطمینانی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واقف عدالت ناظر را شرط کند، ناظر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معلوم شد که فاسق است، کشف از این می شود که چنین شخص فاسقی اصلاً متولی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تصرفات او فضولی می شود مثل این که شخصی عادل باشد و بعداً که فاسق شود که تولیت او نیز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عدالت او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w:t>
      </w:r>
      <w:bookmarkStart w:id="1452" w:name="pg19115_195764"/>
    </w:p>
    <w:p>
      <w:pPr>
        <w:pStyle w:val="BookText"/>
        <w:rPr/>
      </w:pPr>
      <w:bookmarkEnd w:id="1452"/>
      <w:r>
        <w:rPr>
          <w:rFonts w:ascii="IRNazanin" w:hAnsi="IRNazanin" w:eastAsia="IRNazanin"/>
          <w:color w:val="111111"/>
          <w:sz w:val="28"/>
          <w:sz w:val="28"/>
          <w:szCs w:val="28"/>
          <w:rtl w:val="true"/>
          <w:lang w:bidi="fa-IR"/>
        </w:rPr>
        <w:t>از فسق خود دست برداشته و دوباره عادل شد در این صورت تولیت به او باز می گردد</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امام خمینی رحمه الله نیز عدالت را شرط ندانسته و تنها امانتداری و کفایت ناظر را کافی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تولیت و نظارت را برای خودش قرار می دهد بدون اشکال عدالت در او معتبر نیست و بنابر اقوی اگر برای دیگری هم قرار دهد معتبر نمی باشد البته در او امانت و کفایت معتبر است؛ پس قرار دادن تولیت برای کسی که خائن و غیر موثق است خصوصا در جهات و مصالح عامه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کسی که در تولیت امور،وقف کفایت نداشته باشد</w:t>
      </w:r>
      <w:r>
        <w:rPr>
          <w:rFonts w:eastAsia="IRNazanin" w:cs="IRNazanin"/>
          <w:color w:val="111111"/>
          <w:sz w:val="28"/>
          <w:szCs w:val="28"/>
          <w:rtl w:val="true"/>
          <w:lang w:bidi="fa-IR"/>
        </w:rPr>
        <w:t xml:space="preserve">.» </w:t>
      </w:r>
      <w:r>
        <w:rPr>
          <w:rStyle w:val="FootnoteAnchor"/>
          <w:rtl w:val="true"/>
        </w:rPr>
        <w:footnoteReference w:id="1739"/>
      </w:r>
    </w:p>
    <w:p>
      <w:pPr>
        <w:pStyle w:val="Heading6"/>
        <w:numPr>
          <w:ilvl w:val="5"/>
          <w:numId w:val="1"/>
        </w:numPr>
        <w:rPr/>
      </w:pPr>
      <w:bookmarkStart w:id="1453" w:name="__RefHeading___Toc15203310_1280447820"/>
      <w:bookmarkStart w:id="1454" w:name="_Toc566"/>
      <w:bookmarkEnd w:id="1453"/>
      <w:r>
        <w:rPr/>
        <w:t>3</w:t>
      </w:r>
      <w:r>
        <w:rPr>
          <w:rtl w:val="true"/>
        </w:rPr>
        <w:t xml:space="preserve">. </w:t>
      </w:r>
      <w:r>
        <w:rPr>
          <w:rtl w:val="true"/>
        </w:rPr>
        <w:t>صورت سوم</w:t>
      </w:r>
      <w:bookmarkEnd w:id="1454"/>
    </w:p>
    <w:p>
      <w:pPr>
        <w:pStyle w:val="Heading6"/>
        <w:numPr>
          <w:ilvl w:val="5"/>
          <w:numId w:val="1"/>
        </w:numPr>
        <w:rPr/>
      </w:pPr>
      <w:bookmarkStart w:id="1455" w:name="__RefHeading___Toc15203312_1280447820"/>
      <w:bookmarkStart w:id="1456" w:name="_Toc567"/>
      <w:bookmarkEnd w:id="1455"/>
      <w:r>
        <w:rPr>
          <w:rtl w:val="true"/>
        </w:rPr>
        <w:t>اشاره</w:t>
      </w:r>
      <w:bookmarkEnd w:id="1456"/>
    </w:p>
    <w:p>
      <w:pPr>
        <w:pStyle w:val="BookText"/>
        <w:rPr/>
      </w:pPr>
      <w:r>
        <w:rPr>
          <w:rFonts w:ascii="IRNazanin" w:hAnsi="IRNazanin" w:eastAsia="IRNazanin"/>
          <w:color w:val="111111"/>
          <w:sz w:val="28"/>
          <w:sz w:val="28"/>
          <w:szCs w:val="28"/>
          <w:rtl w:val="true"/>
          <w:lang w:bidi="fa-IR"/>
        </w:rPr>
        <w:t>مرحوم بجنوردی در القواعد الفقهیه در مورد صورت سوم می نویسد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شرع کسی را به عنوان متولی و ناظر تعیین،کرد، باید مورد اطمینان امین باشد؛ زیرا باید مراعات مصالح وقف را بنماید و به همین جهت حاکم نمی تواند کسی که خائن است را امین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فاسقی که مرتکب گناه هرچند صغیره می شود اگر در اعمالش امین و مورد اطمینان است به گونهای که انسان اطمینان به تدبیر امور وقف و عدم اهمال کاری او در امور مربوط به وقف پیدا کند و شخصی باشد که طبق وقف عمل کرده و از مضمون وقف تعدی و تجاوز نکند، در این صورت نمی توان گفت که جایز نیست او به عنوان متولی تعیین شود؛ زیرا دلیلی بر </w:t>
      </w:r>
      <w:bookmarkStart w:id="1457" w:name="pg19115_195765"/>
    </w:p>
    <w:p>
      <w:pPr>
        <w:pStyle w:val="BookText"/>
        <w:rPr/>
      </w:pPr>
      <w:bookmarkEnd w:id="1457"/>
      <w:r>
        <w:rPr>
          <w:rFonts w:ascii="IRNazanin" w:hAnsi="IRNazanin" w:eastAsia="IRNazanin"/>
          <w:color w:val="111111"/>
          <w:sz w:val="28"/>
          <w:sz w:val="28"/>
          <w:szCs w:val="28"/>
          <w:rtl w:val="true"/>
          <w:lang w:bidi="fa-IR"/>
        </w:rPr>
        <w:t>اعتبار عدالت ناظر وجود ندارد جز آن که عدالت را وسیله ای جهت اطمینان برای حفظ شؤون وقف می دانیم پس وقتی این اطمینان بدون عدالت ناظر هم حاصل می شود دیگری وجهی برای اعتبار عدالت نیست</w:t>
      </w:r>
      <w:r>
        <w:rPr>
          <w:rFonts w:eastAsia="IRNazanin" w:cs="IRNazanin"/>
          <w:color w:val="111111"/>
          <w:sz w:val="28"/>
          <w:szCs w:val="28"/>
          <w:rtl w:val="true"/>
          <w:lang w:bidi="fa-IR"/>
        </w:rPr>
        <w:t xml:space="preserve">.» </w:t>
      </w:r>
      <w:r>
        <w:rPr>
          <w:rStyle w:val="FootnoteAnchor"/>
          <w:rtl w:val="true"/>
        </w:rPr>
        <w:footnoteReference w:id="1740"/>
      </w:r>
    </w:p>
    <w:p>
      <w:pPr>
        <w:pStyle w:val="Heading6"/>
        <w:numPr>
          <w:ilvl w:val="5"/>
          <w:numId w:val="1"/>
        </w:numPr>
        <w:rPr/>
      </w:pPr>
      <w:bookmarkStart w:id="1458" w:name="__RefHeading___Toc15203314_1280447820"/>
      <w:bookmarkStart w:id="1459" w:name="_Toc568"/>
      <w:bookmarkEnd w:id="1458"/>
      <w:r>
        <w:rPr>
          <w:rtl w:val="true"/>
        </w:rPr>
        <w:t>دیدگاه اهل سنت</w:t>
      </w:r>
      <w:bookmarkEnd w:id="1459"/>
    </w:p>
    <w:p>
      <w:pPr>
        <w:pStyle w:val="BookText"/>
        <w:rPr/>
      </w:pPr>
      <w:r>
        <w:rPr>
          <w:rFonts w:ascii="IRNazanin" w:hAnsi="IRNazanin" w:eastAsia="IRNazanin"/>
          <w:color w:val="111111"/>
          <w:sz w:val="28"/>
          <w:sz w:val="28"/>
          <w:szCs w:val="28"/>
          <w:rtl w:val="true"/>
          <w:lang w:bidi="fa-IR"/>
        </w:rPr>
        <w:t xml:space="preserve">شافعیان عدالت را از شرایط متولی می دانند </w:t>
      </w:r>
      <w:r>
        <w:rPr>
          <w:rStyle w:val="FootnoteAnchor"/>
          <w:rtl w:val="true"/>
        </w:rPr>
        <w:footnoteReference w:id="1741"/>
      </w:r>
      <w:r>
        <w:rPr>
          <w:rFonts w:ascii="IRNazanin" w:hAnsi="IRNazanin" w:eastAsia="IRNazanin"/>
          <w:color w:val="111111"/>
          <w:sz w:val="28"/>
          <w:sz w:val="28"/>
          <w:szCs w:val="28"/>
          <w:rtl w:val="true"/>
          <w:lang w:bidi="fa-IR"/>
        </w:rPr>
        <w:t>ولی حنفیان و مالکین و حنبلیان آن را از شرایط متولی نمی دانند و تنها،بلوغ عقل رشد و امانت داری را از شرایط او می دانند</w:t>
      </w:r>
      <w:r>
        <w:rPr>
          <w:rFonts w:eastAsia="IRNazanin" w:cs="IRNazanin"/>
          <w:color w:val="111111"/>
          <w:sz w:val="28"/>
          <w:szCs w:val="28"/>
          <w:rtl w:val="true"/>
          <w:lang w:bidi="fa-IR"/>
        </w:rPr>
        <w:t xml:space="preserve">. </w:t>
      </w:r>
      <w:r>
        <w:rPr>
          <w:rStyle w:val="FootnoteAnchor"/>
          <w:rtl w:val="true"/>
        </w:rPr>
        <w:footnoteReference w:id="1742"/>
      </w:r>
    </w:p>
    <w:p>
      <w:pPr>
        <w:pStyle w:val="Heading6"/>
        <w:numPr>
          <w:ilvl w:val="5"/>
          <w:numId w:val="1"/>
        </w:numPr>
        <w:rPr/>
      </w:pPr>
      <w:bookmarkStart w:id="1460" w:name="__RefHeading___Toc15203316_1280447820"/>
      <w:bookmarkStart w:id="1461" w:name="_Toc569"/>
      <w:bookmarkEnd w:id="1460"/>
      <w:r>
        <w:rPr>
          <w:rtl w:val="true"/>
        </w:rPr>
        <w:t>د</w:t>
      </w:r>
      <w:r>
        <w:rPr>
          <w:rtl w:val="true"/>
        </w:rPr>
        <w:t xml:space="preserve">) </w:t>
      </w:r>
      <w:r>
        <w:rPr>
          <w:rtl w:val="true"/>
        </w:rPr>
        <w:t>اقسام ناظر و متولی وقف</w:t>
      </w:r>
      <w:bookmarkEnd w:id="1461"/>
    </w:p>
    <w:p>
      <w:pPr>
        <w:pStyle w:val="BookText"/>
        <w:rPr/>
      </w:pPr>
      <w:r>
        <w:rPr>
          <w:rFonts w:ascii="IRNazanin" w:hAnsi="IRNazanin" w:eastAsia="IRNazanin"/>
          <w:color w:val="111111"/>
          <w:sz w:val="28"/>
          <w:sz w:val="28"/>
          <w:szCs w:val="28"/>
          <w:rtl w:val="true"/>
          <w:lang w:bidi="fa-IR"/>
        </w:rPr>
        <w:t>ناظر در وقف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 در ضمن عقد وقف شرط شده است در این صورت واقف دیگر نمی تواند او را عزل کند؛ زیرا عمل به شرط وجوب وفا دارد مگر آن که آنچه موجب عزل او شود از او ظاهر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در ضمن عقد وقف شرط نشده است به این صورت که بعد از عقد وقف واقف او را نصب می کند در این صورت هر گاه که واقف خواست می تواند او را عزل کند؛ زیرا در این صورت در حکم وکیلی است که موکل بعد از وکالت هر گاه که </w:t>
      </w:r>
      <w:bookmarkStart w:id="1462" w:name="pg19115_195766"/>
    </w:p>
    <w:p>
      <w:pPr>
        <w:pStyle w:val="BookText"/>
        <w:rPr/>
      </w:pPr>
      <w:bookmarkEnd w:id="1462"/>
      <w:r>
        <w:rPr>
          <w:rFonts w:ascii="IRNazanin" w:hAnsi="IRNazanin" w:eastAsia="IRNazanin"/>
          <w:color w:val="111111"/>
          <w:sz w:val="28"/>
          <w:sz w:val="28"/>
          <w:szCs w:val="28"/>
          <w:rtl w:val="true"/>
          <w:lang w:bidi="fa-IR"/>
        </w:rPr>
        <w:t>بخواهد می تواند او را عزل کند</w:t>
      </w:r>
      <w:r>
        <w:rPr>
          <w:rFonts w:eastAsia="IRNazanin" w:cs="IRNazanin"/>
          <w:color w:val="111111"/>
          <w:sz w:val="28"/>
          <w:szCs w:val="28"/>
          <w:rtl w:val="true"/>
          <w:lang w:bidi="fa-IR"/>
        </w:rPr>
        <w:t xml:space="preserve">. </w:t>
      </w:r>
      <w:r>
        <w:rPr>
          <w:rStyle w:val="FootnoteAnchor"/>
          <w:rtl w:val="true"/>
        </w:rPr>
        <w:footnoteReference w:id="1743"/>
      </w:r>
    </w:p>
    <w:p>
      <w:pPr>
        <w:pStyle w:val="Heading5"/>
        <w:numPr>
          <w:ilvl w:val="4"/>
          <w:numId w:val="1"/>
        </w:numPr>
        <w:rPr/>
      </w:pPr>
      <w:bookmarkStart w:id="1463" w:name="__RefHeading___Toc15203318_1280447820"/>
      <w:bookmarkStart w:id="1464" w:name="_Toc570"/>
      <w:bookmarkEnd w:id="1463"/>
      <w:r>
        <w:rPr>
          <w:rtl w:val="true"/>
        </w:rPr>
        <w:t>گفتار دوم</w:t>
      </w:r>
      <w:r>
        <w:rPr>
          <w:rtl w:val="true"/>
        </w:rPr>
        <w:t xml:space="preserve">: </w:t>
      </w:r>
      <w:r>
        <w:rPr>
          <w:rtl w:val="true"/>
        </w:rPr>
        <w:t>بررسی جواز تعیین ناظر توسط واقف</w:t>
      </w:r>
      <w:bookmarkEnd w:id="1464"/>
    </w:p>
    <w:p>
      <w:pPr>
        <w:pStyle w:val="BookText"/>
        <w:rPr/>
      </w:pPr>
      <w:r>
        <w:rPr>
          <w:rFonts w:ascii="IRNazanin" w:hAnsi="IRNazanin" w:eastAsia="IRNazanin"/>
          <w:color w:val="111111"/>
          <w:sz w:val="28"/>
          <w:sz w:val="28"/>
          <w:szCs w:val="28"/>
          <w:rtl w:val="true"/>
          <w:lang w:bidi="fa-IR"/>
        </w:rPr>
        <w:t>یکی از مباحث مطرح درباره واقف آن است که آیا خودِ واقف می تواند متولی وقف را تعیین کند یا خیر؟ به بیان دیگر آیا واقف می تواند خود یا دیگری را متولی وقف قرار دهد؟ و در صورتی که واقف متولی را تعیین نکرد چه کسی متولی وقف می شود؟ آیا حاکم شرع متولی می شود یا موقوف علیهم؟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امامیه بر این باورند که واقف می تواند خود را به عنوان متولی وقف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عبارتند از شیخ طوسی رحمه الله در مبسوط، </w:t>
      </w:r>
      <w:r>
        <w:rPr>
          <w:rStyle w:val="FootnoteAnchor"/>
          <w:rtl w:val="true"/>
        </w:rPr>
        <w:footnoteReference w:id="1744"/>
      </w:r>
      <w:r>
        <w:rPr>
          <w:rFonts w:ascii="IRNazanin" w:hAnsi="IRNazanin" w:eastAsia="IRNazanin"/>
          <w:color w:val="111111"/>
          <w:sz w:val="28"/>
          <w:sz w:val="28"/>
          <w:szCs w:val="28"/>
          <w:rtl w:val="true"/>
          <w:lang w:bidi="fa-IR"/>
        </w:rPr>
        <w:t xml:space="preserve">محقق حلی در شرائع و مختصر النافع، </w:t>
      </w:r>
      <w:r>
        <w:rPr>
          <w:rStyle w:val="FootnoteAnchor"/>
          <w:rtl w:val="true"/>
        </w:rPr>
        <w:footnoteReference w:id="1745"/>
      </w:r>
      <w:r>
        <w:rPr>
          <w:rFonts w:ascii="IRNazanin" w:hAnsi="IRNazanin" w:eastAsia="IRNazanin"/>
          <w:color w:val="111111"/>
          <w:sz w:val="28"/>
          <w:sz w:val="28"/>
          <w:szCs w:val="28"/>
          <w:rtl w:val="true"/>
          <w:lang w:bidi="fa-IR"/>
        </w:rPr>
        <w:t xml:space="preserve">علامه حلی رحمه الله در تذکره، تحریر، ارشاد، تبصره و مختلف، </w:t>
      </w:r>
      <w:r>
        <w:rPr>
          <w:rStyle w:val="FootnoteAnchor"/>
          <w:rtl w:val="true"/>
        </w:rPr>
        <w:footnoteReference w:id="1746"/>
      </w:r>
      <w:r>
        <w:rPr>
          <w:rFonts w:ascii="IRNazanin" w:hAnsi="IRNazanin" w:eastAsia="IRNazanin"/>
          <w:color w:val="111111"/>
          <w:sz w:val="28"/>
          <w:sz w:val="28"/>
          <w:szCs w:val="28"/>
          <w:rtl w:val="true"/>
          <w:lang w:bidi="fa-IR"/>
        </w:rPr>
        <w:t xml:space="preserve">شهید اول در دروس و لمعه </w:t>
      </w:r>
      <w:r>
        <w:rPr>
          <w:rStyle w:val="FootnoteAnchor"/>
          <w:rtl w:val="true"/>
        </w:rPr>
        <w:footnoteReference w:id="1747"/>
      </w:r>
      <w:r>
        <w:rPr>
          <w:rFonts w:ascii="IRNazanin" w:hAnsi="IRNazanin" w:eastAsia="IRNazanin"/>
          <w:color w:val="111111"/>
          <w:sz w:val="28"/>
          <w:sz w:val="28"/>
          <w:szCs w:val="28"/>
          <w:rtl w:val="true"/>
          <w:lang w:bidi="fa-IR"/>
        </w:rPr>
        <w:t xml:space="preserve">سیوری در تنقیح، </w:t>
      </w:r>
      <w:r>
        <w:rPr>
          <w:rStyle w:val="FootnoteAnchor"/>
          <w:rtl w:val="true"/>
        </w:rPr>
        <w:footnoteReference w:id="1748"/>
      </w:r>
      <w:r>
        <w:rPr>
          <w:rFonts w:ascii="IRNazanin" w:hAnsi="IRNazanin" w:eastAsia="IRNazanin"/>
          <w:color w:val="111111"/>
          <w:sz w:val="28"/>
          <w:sz w:val="28"/>
          <w:szCs w:val="28"/>
          <w:rtl w:val="true"/>
          <w:lang w:bidi="fa-IR"/>
        </w:rPr>
        <w:t xml:space="preserve">محقق ثانی در جامع المقاصد، </w:t>
      </w:r>
      <w:r>
        <w:rPr>
          <w:rStyle w:val="FootnoteAnchor"/>
          <w:rtl w:val="true"/>
        </w:rPr>
        <w:footnoteReference w:id="1749"/>
      </w:r>
      <w:r>
        <w:rPr>
          <w:rFonts w:ascii="IRNazanin" w:hAnsi="IRNazanin" w:eastAsia="IRNazanin"/>
          <w:color w:val="111111"/>
          <w:sz w:val="28"/>
          <w:sz w:val="28"/>
          <w:szCs w:val="28"/>
          <w:rtl w:val="true"/>
          <w:lang w:bidi="fa-IR"/>
        </w:rPr>
        <w:t xml:space="preserve">شهید ثانی در مسالک و روضه، </w:t>
      </w:r>
      <w:r>
        <w:rPr>
          <w:rStyle w:val="FootnoteAnchor"/>
          <w:rtl w:val="true"/>
        </w:rPr>
        <w:footnoteReference w:id="1750"/>
      </w:r>
      <w:r>
        <w:rPr>
          <w:rFonts w:ascii="IRNazanin" w:hAnsi="IRNazanin" w:eastAsia="IRNazanin"/>
          <w:color w:val="111111"/>
          <w:sz w:val="28"/>
          <w:sz w:val="28"/>
          <w:szCs w:val="28"/>
          <w:rtl w:val="true"/>
          <w:lang w:bidi="fa-IR"/>
        </w:rPr>
        <w:t xml:space="preserve">محقق سبزواری در کفایه الاحکام </w:t>
      </w:r>
      <w:r>
        <w:rPr>
          <w:rStyle w:val="FootnoteAnchor"/>
          <w:rtl w:val="true"/>
        </w:rPr>
        <w:footnoteReference w:id="1751"/>
      </w:r>
      <w:r>
        <w:rPr>
          <w:rFonts w:ascii="IRNazanin" w:hAnsi="IRNazanin" w:eastAsia="IRNazanin"/>
          <w:color w:val="111111"/>
          <w:sz w:val="28"/>
          <w:sz w:val="28"/>
          <w:szCs w:val="28"/>
          <w:rtl w:val="true"/>
          <w:lang w:bidi="fa-IR"/>
        </w:rPr>
        <w:t xml:space="preserve">فیض کاشانی در مفاتیح،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صاحب ریاض رحمه الله </w:t>
      </w:r>
      <w:r>
        <w:rPr>
          <w:rStyle w:val="FootnoteAnchor"/>
          <w:rtl w:val="true"/>
        </w:rPr>
        <w:footnoteReference w:id="1753"/>
      </w:r>
      <w:r>
        <w:rPr>
          <w:rFonts w:ascii="IRNazanin" w:hAnsi="IRNazanin" w:eastAsia="IRNazanin"/>
          <w:color w:val="111111"/>
          <w:sz w:val="28"/>
          <w:sz w:val="28"/>
          <w:szCs w:val="28"/>
          <w:rtl w:val="true"/>
          <w:lang w:bidi="fa-IR"/>
        </w:rPr>
        <w:t>و بسیاری از متأخرین</w:t>
      </w:r>
      <w:r>
        <w:rPr>
          <w:rFonts w:eastAsia="IRNazanin" w:cs="IRNazanin"/>
          <w:color w:val="111111"/>
          <w:sz w:val="28"/>
          <w:szCs w:val="28"/>
          <w:rtl w:val="true"/>
          <w:lang w:bidi="fa-IR"/>
        </w:rPr>
        <w:t xml:space="preserve">. </w:t>
      </w:r>
      <w:r>
        <w:rPr>
          <w:rStyle w:val="FootnoteAnchor"/>
          <w:rtl w:val="true"/>
        </w:rPr>
        <w:footnoteReference w:id="1754"/>
      </w:r>
      <w:r>
        <w:rPr>
          <w:rFonts w:ascii="IRNazanin" w:hAnsi="IRNazanin" w:eastAsia="IRNazanin"/>
          <w:color w:val="111111"/>
          <w:sz w:val="28"/>
          <w:sz w:val="28"/>
          <w:szCs w:val="28"/>
          <w:rtl w:val="true"/>
          <w:lang w:bidi="fa-IR"/>
        </w:rPr>
        <w:t>همچنین علامه در مختلف و شهید ثانی در مسالک ادعای عدم خلاف بر این مطلب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آن است که اولین فقیهی که با حق تولی واقف مخالفت کرده است، ابن ادریس و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فهد حلی در مقتصر</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شرائط وقف آن است که واقف خود را متولی قرار ندهد یا این که هر گونه تغییری که بخواهد در وقف انجام دهد</w:t>
      </w:r>
      <w:r>
        <w:rPr>
          <w:rFonts w:eastAsia="IRNazanin" w:cs="IRNazanin"/>
          <w:color w:val="111111"/>
          <w:sz w:val="28"/>
          <w:szCs w:val="28"/>
          <w:rtl w:val="true"/>
          <w:lang w:bidi="fa-IR"/>
        </w:rPr>
        <w:t xml:space="preserve">.»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سید عاملی در مفتاح الکرامه درباره این عبارت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ابن ادریس آن است که واقف حق ندارد که در متن قرار داد وقف شرط کند که هر گاه خواست متولی وقف خود او باشد و هر گاه خواست دیگری را متولی قرار دهد به این معنا که گاه خواست خود یا دیگری را از متولی بودن عزل کند؛ چرا که گروهی از فقها به این مطلب تصریح کرده اند که اگر در عقد وقف کسی را به عنوان ناظر شرط شده، دیگر جایز نیست که واقف او را تغییر دهد</w:t>
      </w:r>
      <w:r>
        <w:rPr>
          <w:rFonts w:eastAsia="IRNazanin" w:cs="IRNazanin"/>
          <w:color w:val="111111"/>
          <w:sz w:val="28"/>
          <w:szCs w:val="28"/>
          <w:rtl w:val="true"/>
          <w:lang w:bidi="fa-IR"/>
        </w:rPr>
        <w:t xml:space="preserve">.» </w:t>
      </w:r>
      <w:r>
        <w:rPr>
          <w:rStyle w:val="FootnoteAnchor"/>
          <w:rtl w:val="true"/>
        </w:rPr>
        <w:footnoteReference w:id="175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اجماع امامیه بر آن است که واقف می تواند دیگری را به عنوان ناظر و متولی وقف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همانند علامه حلی رحمه الله در تذکره، </w:t>
      </w:r>
      <w:r>
        <w:rPr>
          <w:rStyle w:val="FootnoteAnchor"/>
          <w:rtl w:val="true"/>
        </w:rPr>
        <w:footnoteReference w:id="1758"/>
      </w:r>
      <w:r>
        <w:rPr>
          <w:rFonts w:ascii="IRNazanin" w:hAnsi="IRNazanin" w:eastAsia="IRNazanin"/>
          <w:color w:val="111111"/>
          <w:sz w:val="28"/>
          <w:sz w:val="28"/>
          <w:szCs w:val="28"/>
          <w:rtl w:val="true"/>
          <w:lang w:bidi="fa-IR"/>
        </w:rPr>
        <w:t xml:space="preserve">شهید ثانی در </w:t>
      </w:r>
    </w:p>
    <w:p>
      <w:pPr>
        <w:pStyle w:val="BookText"/>
        <w:rPr/>
      </w:pPr>
      <w:r>
        <w:rPr>
          <w:rFonts w:ascii="IRNazanin" w:hAnsi="IRNazanin" w:eastAsia="IRNazanin"/>
          <w:color w:val="111111"/>
          <w:sz w:val="28"/>
          <w:sz w:val="28"/>
          <w:szCs w:val="28"/>
          <w:rtl w:val="true"/>
          <w:lang w:bidi="fa-IR"/>
        </w:rPr>
        <w:t xml:space="preserve">مسالک، </w:t>
      </w:r>
      <w:r>
        <w:rPr>
          <w:rStyle w:val="FootnoteAnchor"/>
          <w:rtl w:val="true"/>
        </w:rPr>
        <w:footnoteReference w:id="1759"/>
      </w:r>
      <w:r>
        <w:rPr>
          <w:rFonts w:ascii="IRNazanin" w:hAnsi="IRNazanin" w:eastAsia="IRNazanin"/>
          <w:color w:val="111111"/>
          <w:sz w:val="28"/>
          <w:sz w:val="28"/>
          <w:szCs w:val="28"/>
          <w:rtl w:val="true"/>
          <w:lang w:bidi="fa-IR"/>
        </w:rPr>
        <w:t xml:space="preserve">محقق سبزواری در کفایه </w:t>
      </w:r>
      <w:r>
        <w:rPr>
          <w:rStyle w:val="FootnoteAnchor"/>
          <w:rtl w:val="true"/>
        </w:rPr>
        <w:footnoteReference w:id="1760"/>
      </w:r>
      <w:r>
        <w:rPr>
          <w:rFonts w:ascii="IRNazanin" w:hAnsi="IRNazanin" w:eastAsia="IRNazanin"/>
          <w:color w:val="111111"/>
          <w:sz w:val="28"/>
          <w:sz w:val="28"/>
          <w:szCs w:val="28"/>
          <w:rtl w:val="true"/>
          <w:lang w:bidi="fa-IR"/>
        </w:rPr>
        <w:t>و سید عاملی در مفتاح الکرامه</w:t>
      </w:r>
      <w:r>
        <w:rPr>
          <w:rStyle w:val="FootnoteAnchor"/>
          <w:rtl w:val="true"/>
        </w:rPr>
        <w:footnoteReference w:id="1761"/>
      </w:r>
      <w:r>
        <w:rPr>
          <w:rFonts w:ascii="IRNazanin" w:hAnsi="IRNazanin" w:eastAsia="IRNazanin"/>
          <w:color w:val="111111"/>
          <w:sz w:val="28"/>
          <w:sz w:val="28"/>
          <w:szCs w:val="28"/>
          <w:rtl w:val="true"/>
          <w:lang w:bidi="fa-IR"/>
        </w:rPr>
        <w:t>در این مسئله ادعای اجماع نموده 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روایات بسیاری نیز وارد شده است که در حد استفاضه می باشد</w:t>
      </w:r>
      <w:r>
        <w:rPr>
          <w:rFonts w:eastAsia="IRNazanin" w:cs="IRNazanin"/>
          <w:color w:val="111111"/>
          <w:sz w:val="28"/>
          <w:szCs w:val="28"/>
          <w:rtl w:val="true"/>
          <w:lang w:bidi="fa-IR"/>
        </w:rPr>
        <w:t xml:space="preserve">. </w:t>
      </w:r>
      <w:r>
        <w:rPr>
          <w:rStyle w:val="FootnoteAnchor"/>
          <w:rtl w:val="true"/>
        </w:rPr>
        <w:footnoteReference w:id="1762"/>
      </w:r>
      <w:r>
        <w:rPr>
          <w:rFonts w:ascii="IRNazanin" w:hAnsi="IRNazanin" w:eastAsia="IRNazanin"/>
          <w:color w:val="111111"/>
          <w:sz w:val="28"/>
          <w:sz w:val="28"/>
          <w:szCs w:val="28"/>
          <w:rtl w:val="true"/>
          <w:lang w:bidi="fa-IR"/>
        </w:rPr>
        <w:t xml:space="preserve">از جمله آنها عبارت است از توقیع حضرت حجت علیه السلام که متضمن این معنا می باشد </w:t>
      </w:r>
      <w:r>
        <w:rPr>
          <w:rStyle w:val="FootnoteAnchor"/>
          <w:rtl w:val="true"/>
        </w:rPr>
        <w:footnoteReference w:id="1763"/>
      </w:r>
      <w:r>
        <w:rPr>
          <w:rFonts w:ascii="IRNazanin" w:hAnsi="IRNazanin" w:eastAsia="IRNazanin"/>
          <w:color w:val="111111"/>
          <w:sz w:val="28"/>
          <w:sz w:val="28"/>
          <w:szCs w:val="28"/>
          <w:rtl w:val="true"/>
          <w:lang w:bidi="fa-IR"/>
        </w:rPr>
        <w:t xml:space="preserve">و سیره ائمه علیهم السلام در تعیین ناظر برای وقف هایی که در این باره نیز روایاتی از امیرالمؤمنین علیه السلام حضرت زهرا علیها السلام </w:t>
      </w:r>
      <w:r>
        <w:rPr>
          <w:rStyle w:val="FootnoteAnchor"/>
          <w:rtl w:val="true"/>
        </w:rPr>
        <w:footnoteReference w:id="1764"/>
      </w:r>
      <w:r>
        <w:rPr>
          <w:rFonts w:ascii="IRNazanin" w:hAnsi="IRNazanin" w:eastAsia="IRNazanin"/>
          <w:color w:val="111111"/>
          <w:sz w:val="28"/>
          <w:sz w:val="28"/>
          <w:szCs w:val="28"/>
          <w:rtl w:val="true"/>
          <w:lang w:bidi="fa-IR"/>
        </w:rPr>
        <w:t xml:space="preserve">و امام کاظم علیه السلام </w:t>
      </w:r>
      <w:r>
        <w:rPr>
          <w:rStyle w:val="FootnoteAnchor"/>
          <w:rtl w:val="true"/>
        </w:rPr>
        <w:footnoteReference w:id="176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bookmarkStart w:id="1465" w:name="pg19115_195769"/>
    </w:p>
    <w:p>
      <w:pPr>
        <w:pStyle w:val="BookText"/>
        <w:rPr/>
      </w:pPr>
      <w:bookmarkEnd w:id="1465"/>
      <w:r>
        <w:rPr>
          <w:rFonts w:ascii="IRNazanin" w:hAnsi="IRNazanin" w:eastAsia="IRNazanin"/>
          <w:color w:val="111111"/>
          <w:sz w:val="28"/>
          <w:sz w:val="28"/>
          <w:szCs w:val="28"/>
          <w:rtl w:val="true"/>
          <w:lang w:bidi="fa-IR"/>
        </w:rPr>
        <w:t>سید یزدی رحمه الله درباره تعیین ناظر توسط واقف چند فرع را مطرح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اشکال و اختلافی نیست در این که جایز است که واقف تا زمانی که زنده است یا تا مدت معینی خود را متولی و ناظر وقف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واقف دیگری را متولی وقف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می تواند مسئله انتخاب ناظر را برای خود قرار دهد؛ یعنی شرط کند که هر کس را که او می خواهد متولی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می تواند مسئله انتخاب متولی را به دیگری واگذار کند به این صورت کسی را که دیگری می خواهد می تواند به عنوان ناظر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می تواند این اختیار را برای ناظر و متولی قرار دهد که متولی الآن متولی بعد از خودش را نیز نصب کند</w:t>
      </w:r>
      <w:r>
        <w:rPr>
          <w:rFonts w:eastAsia="IRNazanin" w:cs="IRNazanin"/>
          <w:color w:val="111111"/>
          <w:sz w:val="28"/>
          <w:szCs w:val="28"/>
          <w:rtl w:val="true"/>
          <w:lang w:bidi="fa-IR"/>
        </w:rPr>
        <w:t xml:space="preserve">. </w:t>
      </w:r>
      <w:r>
        <w:rPr>
          <w:rStyle w:val="FootnoteAnchor"/>
          <w:rtl w:val="true"/>
        </w:rPr>
        <w:footnoteReference w:id="1766"/>
      </w:r>
    </w:p>
    <w:p>
      <w:pPr>
        <w:pStyle w:val="Heading5"/>
        <w:numPr>
          <w:ilvl w:val="4"/>
          <w:numId w:val="1"/>
        </w:numPr>
        <w:rPr/>
      </w:pPr>
      <w:bookmarkStart w:id="1466" w:name="__RefHeading___Toc15203320_1280447820"/>
      <w:bookmarkStart w:id="1467" w:name="_Toc571"/>
      <w:bookmarkEnd w:id="1466"/>
      <w:r>
        <w:rPr>
          <w:rtl w:val="true"/>
        </w:rPr>
        <w:t>گفتار سوم</w:t>
      </w:r>
      <w:r>
        <w:rPr>
          <w:rtl w:val="true"/>
        </w:rPr>
        <w:t xml:space="preserve">: </w:t>
      </w:r>
      <w:r>
        <w:rPr>
          <w:rtl w:val="true"/>
        </w:rPr>
        <w:t>تعیین ناظر در صورت عدم تعیین واقف</w:t>
      </w:r>
      <w:bookmarkEnd w:id="1467"/>
    </w:p>
    <w:p>
      <w:pPr>
        <w:pStyle w:val="Heading6"/>
        <w:numPr>
          <w:ilvl w:val="5"/>
          <w:numId w:val="1"/>
        </w:numPr>
        <w:rPr/>
      </w:pPr>
      <w:bookmarkStart w:id="1468" w:name="__RefHeading___Toc15203322_1280447820"/>
      <w:bookmarkStart w:id="1469" w:name="_Toc572"/>
      <w:bookmarkEnd w:id="1468"/>
      <w:r>
        <w:rPr>
          <w:rtl w:val="true"/>
        </w:rPr>
        <w:t>اشاره</w:t>
      </w:r>
      <w:bookmarkEnd w:id="1469"/>
    </w:p>
    <w:p>
      <w:pPr>
        <w:pStyle w:val="BookText"/>
        <w:rPr/>
      </w:pPr>
      <w:r>
        <w:rPr>
          <w:rFonts w:ascii="IRNazanin" w:hAnsi="IRNazanin" w:eastAsia="IRNazanin"/>
          <w:color w:val="111111"/>
          <w:sz w:val="28"/>
          <w:sz w:val="28"/>
          <w:szCs w:val="28"/>
          <w:rtl w:val="true"/>
          <w:lang w:bidi="fa-IR"/>
        </w:rPr>
        <w:t>در صورتی که واقف ضمن صیغه وقف ناظر و متولی را معین نکند، این سؤال مطرح می شود که ناظر کیست؟ آیا ناظر خود واقف است یا این که موقوف علیهم ناظر هستند یا این که حاکم شرع ناظر است؟ پاسخ این سؤال مبتنی بر دیدگاه ما در مورد انتقال عین موقوفه است که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 واقف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موقوفه مطلقا به ملک موقوف علیهم منتقل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موقوفه مطلقا به خداوند منتقل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خاص باشد عین موقوفه به موقوف عليهم منتقل شده و اگر وقف عام باشد به خداوند متعال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دوم و قسمت اول صورت چهارم، تعیین ناظر با واقف یا موقوف علیهم است و در صورت سوم و قسمت دوم صورت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وقف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ناظر به عهده حاکم شرع است نه واقف یا موقوف عليهم</w:t>
      </w:r>
      <w:r>
        <w:rPr>
          <w:rFonts w:eastAsia="IRNazanin" w:cs="IRNazanin"/>
          <w:color w:val="111111"/>
          <w:sz w:val="28"/>
          <w:szCs w:val="28"/>
          <w:rtl w:val="true"/>
          <w:lang w:bidi="fa-IR"/>
        </w:rPr>
        <w:t xml:space="preserve">.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نکته شایان ذکر آن است که نگاه فقیهان به این مسئله از دو زاویه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زاویه ملکیت عین موقوفه به مسئله نگاه کرده اند به این بیان که اگر بگوییم عین موقوفه از ملک واقف خارج شده و به ملک خداوند در آمده است در این صورت تعیین ناظر به عهده حاکم است که خود و ناظر باشد یا شخص دیگری را انتخاب کند، اما اگر بگوییم عین موقوفه به موقوف علیهم منتقل می شود، در این صورت انتخاب ناظر به عهده خود ایشان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فقیهانی که از این جهت حکم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مبسوط، </w:t>
      </w:r>
      <w:r>
        <w:rPr>
          <w:rStyle w:val="FootnoteAnchor"/>
          <w:rtl w:val="true"/>
        </w:rPr>
        <w:footnoteReference w:id="1768"/>
      </w:r>
      <w:r>
        <w:rPr>
          <w:rFonts w:ascii="IRNazanin" w:hAnsi="IRNazanin" w:eastAsia="IRNazanin"/>
          <w:color w:val="111111"/>
          <w:sz w:val="28"/>
          <w:sz w:val="28"/>
          <w:szCs w:val="28"/>
          <w:rtl w:val="true"/>
          <w:lang w:bidi="fa-IR"/>
        </w:rPr>
        <w:t>محقق حلی در شرائع و مختصر النافع،</w:t>
      </w:r>
      <w:r>
        <w:rPr>
          <w:rStyle w:val="FootnoteAnchor"/>
          <w:rtl w:val="true"/>
        </w:rPr>
        <w:footnoteReference w:id="1769"/>
      </w:r>
      <w:r>
        <w:rPr>
          <w:rFonts w:ascii="IRNazanin" w:hAnsi="IRNazanin" w:eastAsia="IRNazanin"/>
          <w:color w:val="111111"/>
          <w:sz w:val="28"/>
          <w:sz w:val="28"/>
          <w:szCs w:val="28"/>
          <w:rtl w:val="true"/>
          <w:lang w:bidi="fa-IR"/>
        </w:rPr>
        <w:t xml:space="preserve">علامه حلی رحمه الله در تحریر، تذکره، ارشاد الاذهان و تبصره المتعلمین، </w:t>
      </w:r>
      <w:r>
        <w:rPr>
          <w:rStyle w:val="FootnoteAnchor"/>
          <w:rtl w:val="true"/>
        </w:rPr>
        <w:footnoteReference w:id="1770"/>
      </w:r>
      <w:r>
        <w:rPr>
          <w:rFonts w:ascii="IRNazanin" w:hAnsi="IRNazanin" w:eastAsia="IRNazanin"/>
          <w:color w:val="111111"/>
          <w:sz w:val="28"/>
          <w:sz w:val="28"/>
          <w:szCs w:val="28"/>
          <w:rtl w:val="true"/>
          <w:lang w:bidi="fa-IR"/>
        </w:rPr>
        <w:t>فخر المحققین در ایضاح،</w:t>
      </w:r>
      <w:r>
        <w:rPr>
          <w:rStyle w:val="FootnoteAnchor"/>
          <w:rtl w:val="true"/>
        </w:rPr>
        <w:footnoteReference w:id="1771"/>
      </w:r>
      <w:r>
        <w:rPr>
          <w:rFonts w:ascii="IRNazanin" w:hAnsi="IRNazanin" w:eastAsia="IRNazanin"/>
          <w:color w:val="111111"/>
          <w:sz w:val="28"/>
          <w:sz w:val="28"/>
          <w:szCs w:val="28"/>
          <w:rtl w:val="true"/>
          <w:lang w:bidi="fa-IR"/>
        </w:rPr>
        <w:t xml:space="preserve">سیوری در </w:t>
      </w:r>
    </w:p>
    <w:p>
      <w:pPr>
        <w:pStyle w:val="BookText"/>
        <w:rPr/>
      </w:pPr>
      <w:r>
        <w:rPr>
          <w:rFonts w:ascii="Amiri" w:hAnsi="Amiri" w:eastAsia="Amiri" w:cs="Amiri"/>
          <w:color w:val="111111"/>
          <w:sz w:val="28"/>
          <w:sz w:val="28"/>
          <w:szCs w:val="28"/>
          <w:rtl w:val="true"/>
          <w:lang w:bidi="ar-SA"/>
        </w:rPr>
        <w:t xml:space="preserve">النتقيح، </w:t>
      </w:r>
      <w:r>
        <w:rPr>
          <w:rStyle w:val="FootnoteAnchor"/>
          <w:rtl w:val="true"/>
        </w:rPr>
        <w:footnoteReference w:id="1772"/>
      </w:r>
      <w:r>
        <w:rPr>
          <w:rFonts w:ascii="IRNazanin" w:hAnsi="IRNazanin" w:eastAsia="IRNazanin"/>
          <w:color w:val="111111"/>
          <w:sz w:val="28"/>
          <w:sz w:val="28"/>
          <w:szCs w:val="28"/>
          <w:rtl w:val="true"/>
          <w:lang w:bidi="fa-IR"/>
        </w:rPr>
        <w:t xml:space="preserve">محقق ثانی در جامع المقاصد، </w:t>
      </w:r>
      <w:r>
        <w:rPr>
          <w:rStyle w:val="FootnoteAnchor"/>
          <w:rtl w:val="true"/>
        </w:rPr>
        <w:footnoteReference w:id="1773"/>
      </w:r>
      <w:r>
        <w:rPr>
          <w:rFonts w:ascii="IRNazanin" w:hAnsi="IRNazanin" w:eastAsia="IRNazanin"/>
          <w:color w:val="111111"/>
          <w:sz w:val="28"/>
          <w:sz w:val="28"/>
          <w:szCs w:val="28"/>
          <w:rtl w:val="true"/>
          <w:lang w:bidi="fa-IR"/>
        </w:rPr>
        <w:t xml:space="preserve">شهید ثانی در مسالک، </w:t>
      </w:r>
      <w:r>
        <w:rPr>
          <w:rStyle w:val="FootnoteAnchor"/>
          <w:rtl w:val="true"/>
        </w:rPr>
        <w:footnoteReference w:id="1774"/>
      </w:r>
      <w:r>
        <w:rPr>
          <w:rFonts w:ascii="IRNazanin" w:hAnsi="IRNazanin" w:eastAsia="IRNazanin"/>
          <w:color w:val="111111"/>
          <w:sz w:val="28"/>
          <w:sz w:val="28"/>
          <w:szCs w:val="28"/>
          <w:rtl w:val="true"/>
          <w:lang w:bidi="fa-IR"/>
        </w:rPr>
        <w:t>محقق سبزواری در كفايه،</w:t>
      </w:r>
      <w:r>
        <w:rPr>
          <w:rStyle w:val="FootnoteAnchor"/>
          <w:rtl w:val="true"/>
        </w:rPr>
        <w:footnoteReference w:id="1775"/>
      </w:r>
      <w:r>
        <w:rPr>
          <w:rFonts w:ascii="IRNazanin" w:hAnsi="IRNazanin" w:eastAsia="IRNazanin"/>
          <w:color w:val="111111"/>
          <w:sz w:val="28"/>
          <w:sz w:val="28"/>
          <w:szCs w:val="28"/>
          <w:rtl w:val="true"/>
          <w:lang w:bidi="fa-IR"/>
        </w:rPr>
        <w:t xml:space="preserve">فیض کاشانی در مفاتیح، </w:t>
      </w:r>
      <w:r>
        <w:rPr>
          <w:rStyle w:val="FootnoteAnchor"/>
          <w:rtl w:val="true"/>
        </w:rPr>
        <w:footnoteReference w:id="1776"/>
      </w:r>
      <w:r>
        <w:rPr>
          <w:rFonts w:ascii="IRNazanin" w:hAnsi="IRNazanin" w:eastAsia="IRNazanin"/>
          <w:color w:val="111111"/>
          <w:sz w:val="28"/>
          <w:sz w:val="28"/>
          <w:szCs w:val="28"/>
          <w:rtl w:val="true"/>
          <w:lang w:bidi="fa-IR"/>
        </w:rPr>
        <w:t xml:space="preserve">صاحب ریاض </w:t>
      </w:r>
      <w:r>
        <w:rPr>
          <w:rStyle w:val="FootnoteAnchor"/>
          <w:rtl w:val="true"/>
        </w:rPr>
        <w:footnoteReference w:id="1777"/>
      </w:r>
      <w:r>
        <w:rPr>
          <w:rFonts w:ascii="IRNazanin" w:hAnsi="IRNazanin" w:eastAsia="IRNazanin"/>
          <w:color w:val="111111"/>
          <w:sz w:val="28"/>
          <w:sz w:val="28"/>
          <w:szCs w:val="28"/>
          <w:rtl w:val="true"/>
          <w:lang w:bidi="fa-IR"/>
        </w:rPr>
        <w:t>و سید عاملی رحمه الله در مفتاح الکرامه</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زاویه عام یا خاص بودن وقف به مسئله نگریسته اند به این بیان که اگر وقف عام باشد حاکم شرع متولی آن خواهد بود و اگر خاص باشد موقوف علیهم ناظر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می توانند ناظر را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فقیهانی که از این زاویه به مسئله توجه نمودهاند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حلی در الجامع للشرائع </w:t>
      </w:r>
      <w:r>
        <w:rPr>
          <w:rStyle w:val="FootnoteAnchor"/>
          <w:rtl w:val="true"/>
        </w:rPr>
        <w:footnoteReference w:id="1779"/>
      </w:r>
      <w:r>
        <w:rPr>
          <w:rFonts w:ascii="IRNazanin" w:hAnsi="IRNazanin" w:eastAsia="IRNazanin"/>
          <w:color w:val="111111"/>
          <w:sz w:val="28"/>
          <w:sz w:val="28"/>
          <w:szCs w:val="28"/>
          <w:rtl w:val="true"/>
          <w:lang w:bidi="fa-IR"/>
        </w:rPr>
        <w:t xml:space="preserve">، شهید اول در دروس و لمعه، </w:t>
      </w:r>
      <w:r>
        <w:rPr>
          <w:rStyle w:val="FootnoteAnchor"/>
          <w:rtl w:val="true"/>
        </w:rPr>
        <w:footnoteReference w:id="1780"/>
      </w:r>
      <w:r>
        <w:rPr>
          <w:rFonts w:ascii="IRNazanin" w:hAnsi="IRNazanin" w:eastAsia="IRNazanin"/>
          <w:color w:val="111111"/>
          <w:sz w:val="28"/>
          <w:sz w:val="28"/>
          <w:szCs w:val="28"/>
          <w:rtl w:val="true"/>
          <w:lang w:bidi="fa-IR"/>
        </w:rPr>
        <w:t>شهید ثانی در روضه</w:t>
      </w:r>
      <w:r>
        <w:rPr>
          <w:rFonts w:eastAsia="IRNazanin" w:cs="IRNazanin"/>
          <w:color w:val="111111"/>
          <w:sz w:val="28"/>
          <w:szCs w:val="28"/>
          <w:rtl w:val="true"/>
          <w:lang w:bidi="fa-IR"/>
        </w:rPr>
        <w:t>.</w:t>
      </w:r>
      <w:r>
        <w:rPr>
          <w:rStyle w:val="FootnoteAnchor"/>
          <w:rtl w:val="true"/>
        </w:rPr>
        <w:footnoteReference w:id="1781"/>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یزدی رحمه الله در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در همه حالت تعیین ناظر با حاکم شرع است ایشان در این باره به ذکر ادله خود برای اثبات این مدعا می پردازد</w:t>
      </w:r>
      <w:r>
        <w:rPr>
          <w:rFonts w:eastAsia="IRNazanin" w:cs="IRNazanin"/>
          <w:color w:val="111111"/>
          <w:sz w:val="28"/>
          <w:szCs w:val="28"/>
          <w:rtl w:val="true"/>
          <w:lang w:bidi="fa-IR"/>
        </w:rPr>
        <w:t xml:space="preserve">. </w:t>
      </w:r>
      <w:r>
        <w:rPr>
          <w:rStyle w:val="FootnoteAnchor"/>
          <w:rtl w:val="true"/>
        </w:rPr>
        <w:footnoteReference w:id="1782"/>
      </w:r>
      <w:bookmarkStart w:id="1470" w:name="pg19115_195772"/>
    </w:p>
    <w:p>
      <w:pPr>
        <w:pStyle w:val="Heading6"/>
        <w:numPr>
          <w:ilvl w:val="5"/>
          <w:numId w:val="1"/>
        </w:numPr>
        <w:rPr/>
      </w:pPr>
      <w:bookmarkStart w:id="1471" w:name="__RefHeading___Toc15203324_1280447820"/>
      <w:bookmarkStart w:id="1472" w:name="_Toc573"/>
      <w:bookmarkEnd w:id="1470"/>
      <w:bookmarkEnd w:id="1471"/>
      <w:r>
        <w:rPr>
          <w:rtl w:val="true"/>
        </w:rPr>
        <w:t>دیدگاه اهل سنت</w:t>
      </w:r>
      <w:bookmarkEnd w:id="1472"/>
    </w:p>
    <w:p>
      <w:pPr>
        <w:pStyle w:val="Heading6"/>
        <w:numPr>
          <w:ilvl w:val="5"/>
          <w:numId w:val="1"/>
        </w:numPr>
        <w:rPr/>
      </w:pPr>
      <w:bookmarkStart w:id="1473" w:name="__RefHeading___Toc15203326_1280447820"/>
      <w:bookmarkStart w:id="1474" w:name="_Toc574"/>
      <w:bookmarkEnd w:id="1473"/>
      <w:r>
        <w:rPr/>
        <w:t>1</w:t>
      </w:r>
      <w:r>
        <w:rPr>
          <w:rtl w:val="true"/>
        </w:rPr>
        <w:t xml:space="preserve">. </w:t>
      </w:r>
      <w:r>
        <w:rPr>
          <w:rtl w:val="true"/>
        </w:rPr>
        <w:t>مذهب حنفی</w:t>
      </w:r>
      <w:bookmarkEnd w:id="1474"/>
    </w:p>
    <w:p>
      <w:pPr>
        <w:pStyle w:val="Heading6"/>
        <w:numPr>
          <w:ilvl w:val="5"/>
          <w:numId w:val="1"/>
        </w:numPr>
        <w:rPr/>
      </w:pPr>
      <w:bookmarkStart w:id="1475" w:name="__RefHeading___Toc15203328_1280447820"/>
      <w:bookmarkStart w:id="1476" w:name="_Toc575"/>
      <w:bookmarkEnd w:id="1475"/>
      <w:r>
        <w:rPr>
          <w:rtl w:val="true"/>
        </w:rPr>
        <w:t>اشاره</w:t>
      </w:r>
      <w:bookmarkEnd w:id="1476"/>
    </w:p>
    <w:p>
      <w:pPr>
        <w:pStyle w:val="BookText"/>
        <w:rPr/>
      </w:pPr>
      <w:r>
        <w:rPr>
          <w:rFonts w:ascii="IRNazanin" w:hAnsi="IRNazanin" w:eastAsia="IRNazanin"/>
          <w:color w:val="111111"/>
          <w:sz w:val="28"/>
          <w:sz w:val="28"/>
          <w:szCs w:val="28"/>
          <w:rtl w:val="true"/>
          <w:lang w:bidi="fa-IR"/>
        </w:rPr>
        <w:t>عالمان حنفی در فرض مسأله بر این نظرند که ولایت و سرپرستی بر مال موقوفه از آن وقف است هر چند به آن تصریح نکرده باشد</w:t>
      </w:r>
      <w:r>
        <w:rPr>
          <w:rFonts w:eastAsia="IRNazanin" w:cs="IRNazanin"/>
          <w:color w:val="111111"/>
          <w:sz w:val="28"/>
          <w:szCs w:val="28"/>
          <w:rtl w:val="true"/>
          <w:lang w:bidi="fa-IR"/>
        </w:rPr>
        <w:t xml:space="preserve">. </w:t>
      </w:r>
      <w:r>
        <w:rPr>
          <w:rStyle w:val="FootnoteAnchor"/>
          <w:rtl w:val="true"/>
        </w:rPr>
        <w:footnoteReference w:id="1783"/>
      </w:r>
    </w:p>
    <w:p>
      <w:pPr>
        <w:pStyle w:val="Heading6"/>
        <w:numPr>
          <w:ilvl w:val="5"/>
          <w:numId w:val="1"/>
        </w:numPr>
        <w:rPr/>
      </w:pPr>
      <w:bookmarkStart w:id="1477" w:name="__RefHeading___Toc15203330_1280447820"/>
      <w:bookmarkStart w:id="1478" w:name="_Toc576"/>
      <w:bookmarkEnd w:id="1477"/>
      <w:r>
        <w:rPr/>
        <w:t>2</w:t>
      </w:r>
      <w:r>
        <w:rPr>
          <w:rtl w:val="true"/>
        </w:rPr>
        <w:t xml:space="preserve">و </w:t>
      </w:r>
      <w:r>
        <w:rPr/>
        <w:t>3</w:t>
      </w:r>
      <w:r>
        <w:rPr>
          <w:rtl w:val="true"/>
        </w:rPr>
        <w:t xml:space="preserve">. </w:t>
      </w:r>
      <w:r>
        <w:rPr>
          <w:rtl w:val="true"/>
        </w:rPr>
        <w:t>مذهب مالکی و حنبلی</w:t>
      </w:r>
      <w:bookmarkEnd w:id="1478"/>
    </w:p>
    <w:p>
      <w:pPr>
        <w:pStyle w:val="BookText"/>
        <w:rPr/>
      </w:pPr>
      <w:r>
        <w:rPr>
          <w:rFonts w:ascii="IRNazanin" w:hAnsi="IRNazanin" w:eastAsia="IRNazanin"/>
          <w:color w:val="111111"/>
          <w:sz w:val="28"/>
          <w:sz w:val="28"/>
          <w:szCs w:val="28"/>
          <w:rtl w:val="true"/>
          <w:lang w:bidi="fa-IR"/>
        </w:rPr>
        <w:t>عالمان مالکیه و حنبلیه بر این اعتقادند در صورتی که موقوف علیهم افراد محدودی باشند ولایت بر آن از ایشان است و در غیر این صورت از آن حاکم است</w:t>
      </w:r>
      <w:r>
        <w:rPr>
          <w:rFonts w:eastAsia="IRNazanin" w:cs="IRNazanin"/>
          <w:color w:val="111111"/>
          <w:sz w:val="28"/>
          <w:szCs w:val="28"/>
          <w:rtl w:val="true"/>
          <w:lang w:bidi="fa-IR"/>
        </w:rPr>
        <w:t xml:space="preserve">. </w:t>
      </w:r>
      <w:r>
        <w:rPr>
          <w:rStyle w:val="FootnoteAnchor"/>
          <w:rtl w:val="true"/>
        </w:rPr>
        <w:footnoteReference w:id="1784"/>
      </w:r>
    </w:p>
    <w:p>
      <w:pPr>
        <w:pStyle w:val="Heading6"/>
        <w:numPr>
          <w:ilvl w:val="5"/>
          <w:numId w:val="1"/>
        </w:numPr>
        <w:rPr/>
      </w:pPr>
      <w:bookmarkStart w:id="1479" w:name="__RefHeading___Toc15203332_1280447820"/>
      <w:bookmarkStart w:id="1480" w:name="_Toc577"/>
      <w:bookmarkEnd w:id="1479"/>
      <w:r>
        <w:rPr/>
        <w:t>4</w:t>
      </w:r>
      <w:r>
        <w:rPr>
          <w:rtl w:val="true"/>
        </w:rPr>
        <w:t xml:space="preserve">. </w:t>
      </w:r>
      <w:r>
        <w:rPr>
          <w:rtl w:val="true"/>
        </w:rPr>
        <w:t>مذهب شافعی</w:t>
      </w:r>
      <w:bookmarkEnd w:id="1480"/>
    </w:p>
    <w:p>
      <w:pPr>
        <w:pStyle w:val="BookText"/>
        <w:rPr/>
      </w:pPr>
      <w:r>
        <w:rPr>
          <w:rFonts w:ascii="IRNazanin" w:hAnsi="IRNazanin" w:eastAsia="IRNazanin"/>
          <w:color w:val="111111"/>
          <w:sz w:val="28"/>
          <w:sz w:val="28"/>
          <w:szCs w:val="28"/>
          <w:rtl w:val="true"/>
          <w:lang w:bidi="fa-IR"/>
        </w:rPr>
        <w:t>از عالمان شافعیه سه نظریه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نظارت به 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موقوف علیهم زیرا منفعت برای آنان و نظارت نیز متعلق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حاکم </w:t>
      </w:r>
      <w:r>
        <w:rPr>
          <w:rStyle w:val="FootnoteAnchor"/>
          <w:rtl w:val="true"/>
        </w:rPr>
        <w:footnoteReference w:id="1785"/>
      </w:r>
    </w:p>
    <w:p>
      <w:pPr>
        <w:pStyle w:val="Heading5"/>
        <w:numPr>
          <w:ilvl w:val="4"/>
          <w:numId w:val="1"/>
        </w:numPr>
        <w:rPr/>
      </w:pPr>
      <w:bookmarkStart w:id="1481" w:name="__RefHeading___Toc15203334_1280447820"/>
      <w:bookmarkStart w:id="1482" w:name="_Toc578"/>
      <w:bookmarkEnd w:id="1481"/>
      <w:r>
        <w:rPr>
          <w:rtl w:val="true"/>
        </w:rPr>
        <w:t>گفتار چهارم</w:t>
      </w:r>
      <w:r>
        <w:rPr>
          <w:rtl w:val="true"/>
        </w:rPr>
        <w:t xml:space="preserve">: </w:t>
      </w:r>
      <w:r>
        <w:rPr>
          <w:rtl w:val="true"/>
        </w:rPr>
        <w:t>عدم وجوب قبول نظارت بر وقف</w:t>
      </w:r>
      <w:bookmarkEnd w:id="1482"/>
    </w:p>
    <w:p>
      <w:pPr>
        <w:pStyle w:val="BookText"/>
        <w:rPr/>
      </w:pPr>
      <w:r>
        <w:rPr>
          <w:rFonts w:ascii="IRNazanin" w:hAnsi="IRNazanin" w:eastAsia="IRNazanin"/>
          <w:color w:val="111111"/>
          <w:sz w:val="28"/>
          <w:sz w:val="28"/>
          <w:szCs w:val="28"/>
          <w:rtl w:val="true"/>
          <w:lang w:bidi="fa-IR"/>
        </w:rPr>
        <w:t>نکته دیگری که باید بدان توجه داشت آن است که اگر واقف کسی را ناظر قرار داد واجب نیست که 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نویسد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تولیت را برای شخصی قرار دهد بر او واجب نیست که قبول کند؛ چه در مجلس عقد حاضر باشد یا غائب باشد و خبر و لو بعد از فوت واقف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تولیت را برای اشخاصی به ترتیب قرار دهد و بعضی از آنان قبول کنند بر کسی که بعد از او است واجب نیست که قبول کند و با قبول نکردن تولیت، وقف بدون متولی منصوب است و اگر تولیت را قبول کند آیا برایش جایز است که خودش را عزل کند مانند وکیل یا نه؟ دو قول است احتیاط به عزل نکردن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1483" w:name="pg19115_195773"/>
    </w:p>
    <w:p>
      <w:pPr>
        <w:pStyle w:val="BookText"/>
        <w:rPr/>
      </w:pPr>
      <w:bookmarkEnd w:id="1483"/>
      <w:r>
        <w:rPr>
          <w:rFonts w:ascii="IRNazanin" w:hAnsi="IRNazanin" w:eastAsia="IRNazanin"/>
          <w:color w:val="111111"/>
          <w:sz w:val="28"/>
          <w:sz w:val="28"/>
          <w:szCs w:val="28"/>
          <w:rtl w:val="true"/>
          <w:lang w:bidi="fa-IR"/>
        </w:rPr>
        <w:t>صورت عزل خود با مراجعه به حاکم و نصب او قیام به وظائفش می کند</w:t>
      </w:r>
      <w:r>
        <w:rPr>
          <w:rFonts w:eastAsia="IRNazanin" w:cs="IRNazanin"/>
          <w:color w:val="111111"/>
          <w:sz w:val="28"/>
          <w:szCs w:val="28"/>
          <w:rtl w:val="true"/>
          <w:lang w:bidi="fa-IR"/>
        </w:rPr>
        <w:t xml:space="preserve">.» </w:t>
      </w:r>
      <w:r>
        <w:rPr>
          <w:rStyle w:val="FootnoteAnchor"/>
          <w:rtl w:val="true"/>
        </w:rPr>
        <w:footnoteReference w:id="1786"/>
      </w:r>
      <w:r>
        <w:rPr>
          <w:rFonts w:ascii="IRNazanin" w:hAnsi="IRNazanin" w:eastAsia="IRNazanin"/>
          <w:color w:val="111111"/>
          <w:sz w:val="28"/>
          <w:sz w:val="28"/>
          <w:szCs w:val="28"/>
          <w:rtl w:val="true"/>
          <w:lang w:bidi="fa-IR"/>
        </w:rPr>
        <w:t xml:space="preserve">صاحب حدائق </w:t>
      </w:r>
      <w:r>
        <w:rPr>
          <w:rStyle w:val="FootnoteAnchor"/>
          <w:rtl w:val="true"/>
        </w:rPr>
        <w:footnoteReference w:id="1787"/>
      </w:r>
      <w:r>
        <w:rPr>
          <w:rFonts w:ascii="IRNazanin" w:hAnsi="IRNazanin" w:eastAsia="IRNazanin"/>
          <w:color w:val="111111"/>
          <w:sz w:val="28"/>
          <w:sz w:val="28"/>
          <w:szCs w:val="28"/>
          <w:rtl w:val="true"/>
          <w:lang w:bidi="fa-IR"/>
        </w:rPr>
        <w:t xml:space="preserve">و سید یزدی </w:t>
      </w:r>
      <w:r>
        <w:rPr>
          <w:rStyle w:val="FootnoteAnchor"/>
          <w:rtl w:val="true"/>
        </w:rPr>
        <w:footnoteReference w:id="1788"/>
      </w:r>
      <w:r>
        <w:rPr>
          <w:rFonts w:ascii="IRNazanin" w:hAnsi="IRNazanin" w:eastAsia="IRNazanin"/>
          <w:color w:val="111111"/>
          <w:sz w:val="28"/>
          <w:sz w:val="28"/>
          <w:szCs w:val="28"/>
          <w:rtl w:val="true"/>
          <w:lang w:bidi="fa-IR"/>
        </w:rPr>
        <w:t>نیز به این مطلب تصریح نموده اند</w:t>
      </w:r>
      <w:r>
        <w:rPr>
          <w:rFonts w:eastAsia="IRNazanin" w:cs="IRNazanin"/>
          <w:color w:val="111111"/>
          <w:sz w:val="28"/>
          <w:szCs w:val="28"/>
          <w:rtl w:val="true"/>
          <w:lang w:bidi="fa-IR"/>
        </w:rPr>
        <w:t>.</w:t>
      </w:r>
    </w:p>
    <w:p>
      <w:pPr>
        <w:pStyle w:val="Heading5"/>
        <w:numPr>
          <w:ilvl w:val="4"/>
          <w:numId w:val="1"/>
        </w:numPr>
        <w:rPr/>
      </w:pPr>
      <w:bookmarkStart w:id="1484" w:name="__RefHeading___Toc15203336_1280447820"/>
      <w:bookmarkStart w:id="1485" w:name="_Toc579"/>
      <w:bookmarkEnd w:id="1484"/>
      <w:r>
        <w:rPr>
          <w:rtl w:val="true"/>
        </w:rPr>
        <w:t>گفتار پنجم</w:t>
      </w:r>
      <w:r>
        <w:rPr>
          <w:rtl w:val="true"/>
        </w:rPr>
        <w:t xml:space="preserve">: </w:t>
      </w:r>
      <w:r>
        <w:rPr>
          <w:rtl w:val="true"/>
        </w:rPr>
        <w:t>وظیفه ناظر</w:t>
      </w:r>
      <w:bookmarkEnd w:id="1485"/>
    </w:p>
    <w:p>
      <w:pPr>
        <w:pStyle w:val="BookText"/>
        <w:rPr/>
      </w:pPr>
      <w:r>
        <w:rPr>
          <w:rFonts w:ascii="IRNazanin" w:hAnsi="IRNazanin" w:eastAsia="IRNazanin"/>
          <w:color w:val="111111"/>
          <w:sz w:val="28"/>
          <w:sz w:val="28"/>
          <w:szCs w:val="28"/>
          <w:rtl w:val="true"/>
          <w:lang w:bidi="fa-IR"/>
        </w:rPr>
        <w:t>امام خمینی رحمه الله پیرامون وظیفه متولی این گونه توضیح می دهد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واقف وظیفه متولی و کار او را تعیین کند همان متابعت می شود و اگر مطلق بگذارد وظیفه اش آن چیزی است که متعارف می باشد از تعمیر وقف و اجاره دادن آن و تحصیل اجرت و تقسیم آن بر ارباب وقف و ادای خراجش و مانند اینها همه اینها باید به صورت احتیاط و مراعات صلاح باشد و کسی حق ندارد که در آن مزاحم او باشد حتی موقوف علیهم و جایز است که واقف تولیت بعضی از امور وقف را برای شخصی و بعضی دیگر را برای شخص دیگری قرار دهد؛ پس امر تعمیر و تحصیل منافع را مثلا برای یکی و امر حفاظت و تقسیم آن بر ارباب وقف را برای یکی دیگر قرار می دهد یا برای یکی قرار می دهد که وقف در دست و حفظ او باشد و برای دیگری تصرفات قرار دهد و اگر امری را به یکی تفویض نماید مانند تعمیر و تحصیل فایده و بقیه جهات وقف از حفاظت و تقسیم و غیر اینها را مهمل بگذارد وقف نسبت به آنچه تفویض به او نشده است بدون متولی منصوب است، پس جاری </w:t>
      </w:r>
      <w:bookmarkStart w:id="1486" w:name="pg19115_195774"/>
    </w:p>
    <w:p>
      <w:pPr>
        <w:pStyle w:val="BookText"/>
        <w:rPr/>
      </w:pPr>
      <w:bookmarkEnd w:id="1486"/>
      <w:r>
        <w:rPr>
          <w:rFonts w:ascii="IRNazanin" w:hAnsi="IRNazanin" w:eastAsia="IRNazanin"/>
          <w:color w:val="111111"/>
          <w:sz w:val="28"/>
          <w:sz w:val="28"/>
          <w:szCs w:val="28"/>
          <w:rtl w:val="true"/>
          <w:lang w:bidi="fa-IR"/>
        </w:rPr>
        <w:t>می شود بر آن حکم آن که می آید</w:t>
      </w:r>
      <w:r>
        <w:rPr>
          <w:rFonts w:eastAsia="IRNazanin" w:cs="IRNazanin"/>
          <w:color w:val="111111"/>
          <w:sz w:val="28"/>
          <w:szCs w:val="28"/>
          <w:rtl w:val="true"/>
          <w:lang w:bidi="fa-IR"/>
        </w:rPr>
        <w:t xml:space="preserve">. </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 xml:space="preserve">دیگر فقیهان امامیه نیز به این وظائف اشاره کرده اند از جمله صاحب حدائق، </w:t>
      </w:r>
      <w:r>
        <w:rPr>
          <w:rStyle w:val="FootnoteAnchor"/>
          <w:rtl w:val="true"/>
        </w:rPr>
        <w:footnoteReference w:id="1790"/>
      </w:r>
      <w:r>
        <w:rPr>
          <w:rFonts w:ascii="IRNazanin" w:hAnsi="IRNazanin" w:eastAsia="IRNazanin"/>
          <w:color w:val="111111"/>
          <w:sz w:val="28"/>
          <w:sz w:val="28"/>
          <w:szCs w:val="28"/>
          <w:rtl w:val="true"/>
          <w:lang w:bidi="fa-IR"/>
        </w:rPr>
        <w:t>صاحب جواهر،</w:t>
      </w:r>
      <w:r>
        <w:rPr>
          <w:rStyle w:val="FootnoteAnchor"/>
          <w:rtl w:val="true"/>
        </w:rPr>
        <w:footnoteReference w:id="1791"/>
      </w:r>
      <w:r>
        <w:rPr>
          <w:rFonts w:ascii="IRNazanin" w:hAnsi="IRNazanin" w:eastAsia="IRNazanin"/>
          <w:color w:val="111111"/>
          <w:sz w:val="28"/>
          <w:sz w:val="28"/>
          <w:szCs w:val="28"/>
          <w:rtl w:val="true"/>
          <w:lang w:bidi="fa-IR"/>
        </w:rPr>
        <w:t xml:space="preserve">سید یزدی </w:t>
      </w:r>
      <w:r>
        <w:rPr>
          <w:rStyle w:val="FootnoteAnchor"/>
          <w:rtl w:val="true"/>
        </w:rPr>
        <w:footnoteReference w:id="1792"/>
      </w:r>
    </w:p>
    <w:p>
      <w:pPr>
        <w:pStyle w:val="Heading5"/>
        <w:numPr>
          <w:ilvl w:val="4"/>
          <w:numId w:val="1"/>
        </w:numPr>
        <w:rPr/>
      </w:pPr>
      <w:bookmarkStart w:id="1487" w:name="__RefHeading___Toc15203338_1280447820"/>
      <w:bookmarkStart w:id="1488" w:name="_Toc580"/>
      <w:bookmarkEnd w:id="1487"/>
      <w:r>
        <w:rPr>
          <w:rtl w:val="true"/>
        </w:rPr>
        <w:t>گفتار ششم</w:t>
      </w:r>
      <w:r>
        <w:rPr>
          <w:rtl w:val="true"/>
        </w:rPr>
        <w:t xml:space="preserve">: </w:t>
      </w:r>
      <w:r>
        <w:rPr>
          <w:rtl w:val="true"/>
        </w:rPr>
        <w:t>نظارت حاکم بر وقف</w:t>
      </w:r>
      <w:bookmarkEnd w:id="1488"/>
    </w:p>
    <w:p>
      <w:pPr>
        <w:pStyle w:val="BookText"/>
        <w:rPr/>
      </w:pPr>
      <w:r>
        <w:rPr>
          <w:rFonts w:ascii="IRNazanin" w:hAnsi="IRNazanin" w:eastAsia="IRNazanin"/>
          <w:color w:val="111111"/>
          <w:sz w:val="28"/>
          <w:sz w:val="28"/>
          <w:szCs w:val="28"/>
          <w:rtl w:val="true"/>
          <w:lang w:bidi="fa-IR"/>
        </w:rPr>
        <w:t>نظارت حاکم و دخالت او بر وقف در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او بر حسن اجرای وقف و مفاد وقف نامه ها و این اختیار برای حاکم دارای نقش سازنده ای است در حفظ اموال موقوفه و عدم سوء استفاده متولیان از آن و این نظارت او تضمینی است برای اهل وقف تا با خاطری آسوده به وقف اموال خود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او بر اوقافی که ناظر نداشته و یا داشته ولی از عدالت ساقط شده 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اداره موقوفات عامی که فاقد متولی یا مجهول التولیه باشند و نیز موقوفات خاص در صورتی که مصلحت وقف اقتضای آن را داشته باشد</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می تواند به گونهای موقوفات عمومی را سازمان دهی کند که به عنوان یک منبع مالی بتوان از آنها برای از بین بردن فقر و محرومیت، تأمین بهداشت و درمان، آموزش و پرورش تبلیغات اسلامی و تامین عدالت اجتماعی استفاده کرد</w:t>
      </w:r>
      <w:r>
        <w:rPr>
          <w:rFonts w:eastAsia="IRNazanin" w:cs="IRNazanin"/>
          <w:color w:val="111111"/>
          <w:sz w:val="28"/>
          <w:szCs w:val="28"/>
          <w:rtl w:val="true"/>
          <w:lang w:bidi="fa-IR"/>
        </w:rPr>
        <w:t xml:space="preserve">. </w:t>
      </w:r>
      <w:r>
        <w:rPr>
          <w:rStyle w:val="FootnoteAnchor"/>
          <w:rtl w:val="true"/>
        </w:rPr>
        <w:footnoteReference w:id="1793"/>
      </w:r>
      <w:bookmarkStart w:id="1489" w:name="pg19115_195776"/>
    </w:p>
    <w:p>
      <w:pPr>
        <w:pStyle w:val="Heading4"/>
        <w:numPr>
          <w:ilvl w:val="3"/>
          <w:numId w:val="1"/>
        </w:numPr>
        <w:rPr/>
      </w:pPr>
      <w:bookmarkStart w:id="1490" w:name="__RefHeading___Toc15203340_1280447820"/>
      <w:bookmarkStart w:id="1491" w:name="_Toc581"/>
      <w:bookmarkEnd w:id="1489"/>
      <w:bookmarkEnd w:id="1490"/>
      <w:r>
        <w:rPr>
          <w:rtl w:val="true"/>
        </w:rPr>
        <w:t>مبحث سوم</w:t>
      </w:r>
      <w:r>
        <w:rPr>
          <w:rtl w:val="true"/>
        </w:rPr>
        <w:t xml:space="preserve">: </w:t>
      </w:r>
      <w:r>
        <w:rPr>
          <w:rtl w:val="true"/>
        </w:rPr>
        <w:t>بنا کردن مسجد توسط کفّار</w:t>
      </w:r>
      <w:bookmarkEnd w:id="1491"/>
    </w:p>
    <w:p>
      <w:pPr>
        <w:pStyle w:val="Heading5"/>
        <w:numPr>
          <w:ilvl w:val="4"/>
          <w:numId w:val="1"/>
        </w:numPr>
        <w:rPr/>
      </w:pPr>
      <w:bookmarkStart w:id="1492" w:name="__RefHeading___Toc15203342_1280447820"/>
      <w:bookmarkStart w:id="1493" w:name="_Toc582"/>
      <w:bookmarkEnd w:id="1492"/>
      <w:r>
        <w:rPr>
          <w:rtl w:val="true"/>
        </w:rPr>
        <w:t>اشاره</w:t>
      </w:r>
      <w:bookmarkEnd w:id="1493"/>
    </w:p>
    <w:p>
      <w:pPr>
        <w:pStyle w:val="BookText"/>
        <w:rPr/>
      </w:pPr>
      <w:r>
        <w:rPr>
          <w:rFonts w:ascii="IRNazanin" w:hAnsi="IRNazanin" w:eastAsia="IRNazanin"/>
          <w:color w:val="111111"/>
          <w:sz w:val="28"/>
          <w:sz w:val="28"/>
          <w:szCs w:val="28"/>
          <w:rtl w:val="true"/>
          <w:lang w:bidi="fa-IR"/>
        </w:rPr>
        <w:t>مراد از بنا کردن مسجد، اعم از وقف کردن زمین مسجد و ساختن مسجد توسط کفار می باشد که باید بررسی شود آیا وقف کردن،کفار صحیح است یا خیر؟ این مسئله متفرع بر این مطلب است که در وقف،کردن آیا قصد قربت شرط است یا خیر؟ به بیان دیگر، وقف یک عمل توصلی است یا تعبدی؟</w:t>
      </w:r>
    </w:p>
    <w:p>
      <w:pPr>
        <w:pStyle w:val="BookText"/>
        <w:rPr/>
      </w:pPr>
      <w:r>
        <w:rPr>
          <w:rFonts w:ascii="IRNazanin" w:hAnsi="IRNazanin" w:eastAsia="IRNazanin"/>
          <w:color w:val="111111"/>
          <w:sz w:val="28"/>
          <w:sz w:val="28"/>
          <w:szCs w:val="28"/>
          <w:rtl w:val="true"/>
          <w:lang w:bidi="fa-IR"/>
        </w:rPr>
        <w:t>اگر گفته شود که وقف یک عمل توصلی است نیازی به قصد قربت نداشته و با صرف وقف کردن اگرچه واقف قصد قربت هم نکند وقف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قصد قربت از طرف واقف باشد ثواب بر کار او مترتب می شود همان گونه که در تمام توصلیات اگر قصد قربت باشد ثواب نیز بر آن عمل مترتب می شود، اما این ترتب ثواب غیر از شرط بودن قصد قربت در آن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شود که وقف یک عمل عبادی و از عبادیات است نه از توصلیات، در این صورت قصد قربت در صحت وقف دخیل بوده و اگر واقف، قصد قربت نداشته باشد اصلاً وقف صحیح نیست نه آن که صحیح باشد و ثوابی بر آن مترتب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قصد قربت در افعال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عنوانها قصد قربت مقوم و جزء است و با نبودش، آن عنوان تحقق پیدا نمی کند مانند قصد قربت در صدقه به معنای خاص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شرط صحت است نه مقوم مانند عنوان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قصد قربت عنوان و مفهوم صوم تحقق پیدا می کند اما از نظر شرعی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قصد قربت نه مقوم و نه شرط صحت،است بلکه موجب کمال است و استحباب دارد مانند قصد قربت در عقد نکاح و تمام کارهای غیر عبادی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قصد قربت نسبت به وقف مقوم نیست بلکه اختلاف فقیهان در این </w:t>
      </w:r>
    </w:p>
    <w:p>
      <w:pPr>
        <w:pStyle w:val="BookText"/>
        <w:rPr/>
      </w:pPr>
      <w:r>
        <w:rPr>
          <w:rFonts w:ascii="IRNazanin" w:hAnsi="IRNazanin" w:eastAsia="IRNazanin"/>
          <w:color w:val="111111"/>
          <w:sz w:val="28"/>
          <w:sz w:val="28"/>
          <w:szCs w:val="28"/>
          <w:rtl w:val="true"/>
          <w:lang w:bidi="fa-IR"/>
        </w:rPr>
        <w:t>است که قصد قربت در،وقف شرط صحت است و یا شرط کمال و مستحب می باشد؟ برخی بر این باورند که قصد قربت شرط صحت وقف نیست بلکه همانند قصد قربت در عقد نکاح و دیگر عقود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آن است که پنج دلیل برای اشتراط قصد قربت ذکر شده است؛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دلیل آن است که این اجماع اجماع تعبدی که کشف از رأی معصوم علیه السلام کند نیست؛ زیرا ممکن است استناد مجمعین به ادله ای باشد که در این بحث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عنوان صدقه بر وقف در این روایات، به صورت مطلق وارد شده است از جمله این روایات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امام کاظم علیه السلام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علیه السلام بِهَذِهِ الصَّدَقَةِ هَذَا مَا تَصَدَّقَ بِهِ مُوسَى بْنُ جَعْفَرٍ تَصَدَقَ بِأَرْضِهِ فِي مَكَانِ كَذَا وَكَذَا كُلَّهَا وَحَدَّ الْأَرْضِ كَذَا وَكَذَا تَصَدَّقَ بِهَا كُلَّهَا وَنَحْلِهَا وَ أَرْضِهَا وَ قَنَاتِهَا وَ مَائِهَا وَ أَرْحَابها</w:t>
      </w:r>
      <w:r>
        <w:rPr>
          <w:rFonts w:eastAsia="Amiri" w:cs="Amiri" w:ascii="Amiri" w:hAnsi="Amiri"/>
          <w:color w:val="111111"/>
          <w:sz w:val="28"/>
          <w:szCs w:val="28"/>
          <w:rtl w:val="true"/>
          <w:lang w:bidi="ar-SA"/>
        </w:rPr>
        <w:t>...</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وقف، صدقه اطلاق شده است مانند کلام شیخ مفید،</w:t>
      </w:r>
      <w:r>
        <w:rPr>
          <w:rStyle w:val="FootnoteAnchor"/>
          <w:rtl w:val="true"/>
        </w:rPr>
        <w:footnoteReference w:id="1795"/>
      </w:r>
      <w:r>
        <w:rPr>
          <w:rFonts w:ascii="IRNazanin" w:hAnsi="IRNazanin" w:eastAsia="IRNazanin"/>
          <w:color w:val="111111"/>
          <w:sz w:val="28"/>
          <w:sz w:val="28"/>
          <w:szCs w:val="28"/>
          <w:rtl w:val="true"/>
          <w:lang w:bidi="fa-IR"/>
        </w:rPr>
        <w:t>شیخ طوسی،</w:t>
      </w:r>
      <w:r>
        <w:rPr>
          <w:rStyle w:val="FootnoteAnchor"/>
          <w:rtl w:val="true"/>
        </w:rPr>
        <w:footnoteReference w:id="1796"/>
      </w:r>
      <w:r>
        <w:rPr>
          <w:rFonts w:ascii="IRNazanin" w:hAnsi="IRNazanin" w:eastAsia="IRNazanin"/>
          <w:color w:val="111111"/>
          <w:sz w:val="28"/>
          <w:sz w:val="28"/>
          <w:szCs w:val="28"/>
          <w:rtl w:val="true"/>
          <w:lang w:bidi="fa-IR"/>
        </w:rPr>
        <w:t xml:space="preserve">ابن ادریس، </w:t>
      </w:r>
      <w:r>
        <w:rPr>
          <w:rStyle w:val="FootnoteAnchor"/>
          <w:rtl w:val="true"/>
        </w:rPr>
        <w:footnoteReference w:id="1797"/>
      </w:r>
      <w:r>
        <w:rPr>
          <w:rFonts w:ascii="IRNazanin" w:hAnsi="IRNazanin" w:eastAsia="IRNazanin"/>
          <w:color w:val="111111"/>
          <w:sz w:val="28"/>
          <w:sz w:val="28"/>
          <w:szCs w:val="28"/>
          <w:rtl w:val="true"/>
          <w:lang w:bidi="fa-IR"/>
        </w:rPr>
        <w:t xml:space="preserve">علامه حلی رحمه الله، </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صاحب حدائق رحمه الله و</w:t>
      </w:r>
      <w:r>
        <w:rPr>
          <w:rFonts w:eastAsia="IRNazanin" w:cs="IRNazanin"/>
          <w:color w:val="111111"/>
          <w:sz w:val="28"/>
          <w:szCs w:val="28"/>
          <w:rtl w:val="true"/>
          <w:lang w:bidi="fa-IR"/>
        </w:rPr>
        <w:t xml:space="preserve">... </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از طرف دیگر، روایاتی وارد شده است که دلالت بر اشتراط قربت در صدقه می کند مانند روایت جمیل از امام صادق علیه السلام است که جمیل از حضرت می پرسد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لِأَبِي عَبْدِ اللَّهِ علیه السلام الرَّجُلُ يَتَصَدَّقُ عَلَى بَعْضِ وَلْدِهِ بِصَدَقَةٍ وَ هُمْ صِغَارٌ أَ لَهُ أَنْ يَرْجِعَ فِيهَا قَالَ لَا الصَّدَقَةُ لِلَّهِ تَعَالَى</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 xml:space="preserve">روایت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صَدَقَةَ وَ لَا عِتْقَ إِلَّا مَا أُريدَ بهِ وَجْهُ اللَّهِ عَزَّ وَ جَلَّ</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 xml:space="preserve">در نتیجه در هر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وقف که اطلاق صدقه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قصد قربت باشد و گرنه آن صدقه صحیح نمی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دلیل آن است که آنچه از فعل ائمه علیهم السلام استفاده می شود عبارت است </w:t>
      </w:r>
    </w:p>
    <w:p>
      <w:pPr>
        <w:pStyle w:val="BookText"/>
        <w:rPr/>
      </w:pPr>
      <w:r>
        <w:rPr>
          <w:rFonts w:ascii="IRNazanin" w:hAnsi="IRNazanin" w:eastAsia="IRNazanin"/>
          <w:color w:val="111111"/>
          <w:sz w:val="28"/>
          <w:sz w:val="28"/>
          <w:szCs w:val="28"/>
          <w:rtl w:val="true"/>
          <w:lang w:bidi="fa-IR"/>
        </w:rPr>
        <w:t>آن که وقف می تواند مصداقی برای صدقه باشد و مستفاد از دلیل اشتراط قصد قربت در صدقه آن است که تحقق صدقه تنها با قصد قربت ممکن است، اما دلیلی نداریم بر این که قوام وقف به قصد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آنچه از ادله استفاده می شود آن است که قصد قربت در صدقه شرط است اما از این نصوص استفاده نمی شود که تمام اقسام وقف امر قربی باشد و نیاز به قصد قربت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 علیهم السلام بر این بوده که در وقف، قصد قربت کرده و برای خداوند متعال وقف می کردند و تبعیت از سیره ائمه علیهم السلام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دلیل آن که هیچ اشکالی در جواز قصد قربت در وقف وجود ندارد و اشکال در لزوم قصد قربت در وقف است که هیچ دلیلی بر پیروی کردن در چیزی که لازم نیست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عدم عدم تحقق وقف بدون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دلیل آن که مجالی برای این اصل نیست؛ زیرا با وجود مقتضی صحت در وقف و نبودن دلیلی بر اشتراط قصد قربت مجالی برای اصل عدم تحقق بدون قربت نمی ماند همچنین سیره خارجی اقتضای عدم اشتراط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اوامر تعبدیت است نه توصلیت اشکال این دلیل آن است که در علم اصول ثابت شده است که مقضای قاعده اولیه توصلیت است نه تعبدیت و تعبدیت نیازمند دلیل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رد تمام ادله اشتراط قصد قربت دلیلی که بر صحت وقف بدون قربت وجود دارد آن است که اشکالی در وقفی که از مخالفین و کفار صادر می شود وجود ندارد و حال آن که مخالف و کافر نمی تواند قصد قربت کند؛ زیرا عبادت غیر شیعه صحیح نمی باشد</w:t>
      </w:r>
      <w:r>
        <w:rPr>
          <w:rFonts w:eastAsia="IRNazanin" w:cs="IRNazanin"/>
          <w:color w:val="111111"/>
          <w:sz w:val="28"/>
          <w:szCs w:val="28"/>
          <w:rtl w:val="true"/>
          <w:lang w:bidi="fa-IR"/>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در مفتاح الکرامه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از کافران صحیح است همان گونه که در مقنعه کافی، 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مهذب،،وسیله سرایر جامع الشرايع،شرایع،نافع کشف،الرموز تبصره، تحریر، مختلف تنقيح، ايضاح النافع جامع المقاصد و مفایح نیز آمده است</w:t>
      </w:r>
      <w:r>
        <w:rPr>
          <w:rFonts w:eastAsia="IRNazanin" w:cs="IRNazanin"/>
          <w:color w:val="111111"/>
          <w:sz w:val="28"/>
          <w:szCs w:val="28"/>
          <w:rtl w:val="true"/>
          <w:lang w:bidi="fa-IR"/>
        </w:rPr>
        <w:t xml:space="preserve">.»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همان گونه که به صورت اجمال بیان شد، وقف کردن کافر و مخالف نیز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تفصیل این پرسش بررسی می شود که آیا واقف باید مسلمان و شیعه باشد یا آن که کافر نیز می تواند وقف کند؟</w:t>
      </w:r>
    </w:p>
    <w:p>
      <w:pPr>
        <w:pStyle w:val="BookText"/>
        <w:rPr/>
      </w:pPr>
      <w:r>
        <w:rPr>
          <w:rFonts w:ascii="IRNazanin" w:hAnsi="IRNazanin" w:eastAsia="IRNazanin"/>
          <w:color w:val="111111"/>
          <w:sz w:val="28"/>
          <w:sz w:val="28"/>
          <w:szCs w:val="28"/>
          <w:rtl w:val="true"/>
          <w:lang w:bidi="fa-IR"/>
        </w:rPr>
        <w:t xml:space="preserve">در پاسخ از این سؤال باید به تبیین شروط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فقهی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آن که روشن شود که مسلم یا شیعی بودن یکی از شرائط واقف است یا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در بیان شرائط واقف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 که واقف، بالغ بوده و عقل او کامل باشد و جایز التصرف باشد</w:t>
      </w:r>
      <w:r>
        <w:rPr>
          <w:rFonts w:eastAsia="IRNazanin" w:cs="IRNazanin"/>
          <w:color w:val="111111"/>
          <w:sz w:val="28"/>
          <w:szCs w:val="28"/>
          <w:rtl w:val="true"/>
          <w:lang w:bidi="fa-IR"/>
        </w:rPr>
        <w:t xml:space="preserve">.»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مرحوم علامه حلی رحمه الله شرائط واقف را این گونه برمی شمارد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است که واقف جایز التصرف باشد یعنی محجور نباشد برای سفاهت افلاس، پس اگر محجور بود وقف او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علاوه بر این شرط، عقل، بلوغ، قصد و اختیار در اینجا نیز معتبر می باشد</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 xml:space="preserve">ایشان در کتاب تحریر الاحکام و </w:t>
      </w:r>
      <w:bookmarkStart w:id="1494" w:name="pg19115_195781"/>
    </w:p>
    <w:p>
      <w:pPr>
        <w:pStyle w:val="BookText"/>
        <w:rPr/>
      </w:pPr>
      <w:bookmarkEnd w:id="1494"/>
      <w:r>
        <w:rPr>
          <w:rFonts w:ascii="IRNazanin" w:hAnsi="IRNazanin" w:eastAsia="IRNazanin"/>
          <w:color w:val="111111"/>
          <w:sz w:val="28"/>
          <w:sz w:val="28"/>
          <w:szCs w:val="28"/>
          <w:rtl w:val="true"/>
          <w:lang w:bidi="fa-IR"/>
        </w:rPr>
        <w:t>قصد تقرب الهی را نیز شرط می داند</w:t>
      </w:r>
      <w:r>
        <w:rPr>
          <w:rFonts w:eastAsia="IRNazanin" w:cs="IRNazanin"/>
          <w:color w:val="111111"/>
          <w:sz w:val="28"/>
          <w:szCs w:val="28"/>
          <w:rtl w:val="true"/>
          <w:lang w:bidi="fa-IR"/>
        </w:rPr>
        <w:t xml:space="preserve">.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 xml:space="preserve">با توجه به این شرائطی که برای واقف ذکر شده است و دیگر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شهید ثانی رحمه الله، </w:t>
      </w:r>
      <w:r>
        <w:rPr>
          <w:rStyle w:val="FootnoteAnchor"/>
          <w:rtl w:val="true"/>
        </w:rPr>
        <w:footnoteReference w:id="1807"/>
      </w:r>
      <w:r>
        <w:rPr>
          <w:rFonts w:ascii="IRNazanin" w:hAnsi="IRNazanin" w:eastAsia="IRNazanin"/>
          <w:color w:val="111111"/>
          <w:sz w:val="28"/>
          <w:sz w:val="28"/>
          <w:szCs w:val="28"/>
          <w:rtl w:val="true"/>
          <w:lang w:bidi="fa-IR"/>
        </w:rPr>
        <w:t>صاحب حدائق رحمه الله</w:t>
      </w:r>
      <w:r>
        <w:rPr>
          <w:rFonts w:eastAsia="IRNazanin" w:cs="IRNazanin"/>
          <w:color w:val="111111"/>
          <w:sz w:val="28"/>
          <w:szCs w:val="28"/>
          <w:rtl w:val="true"/>
          <w:lang w:bidi="fa-IR"/>
        </w:rPr>
        <w:t xml:space="preserve">) </w:t>
      </w:r>
      <w:r>
        <w:rPr>
          <w:rStyle w:val="FootnoteAnchor"/>
          <w:rtl w:val="true"/>
        </w:rPr>
        <w:footnoteReference w:id="1808"/>
      </w:r>
      <w:r>
        <w:rPr>
          <w:rFonts w:ascii="IRNazanin" w:hAnsi="IRNazanin" w:eastAsia="IRNazanin"/>
          <w:color w:val="111111"/>
          <w:sz w:val="28"/>
          <w:sz w:val="28"/>
          <w:szCs w:val="28"/>
          <w:rtl w:val="true"/>
          <w:lang w:bidi="fa-IR"/>
        </w:rPr>
        <w:t>نیز تنها این شرائط را برای واقف لازم دانسته اند نه بیشتر می توان بدین نتیجه رسید که مسلم یا شیعی بودن واقف، شرط صحت 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وقف، از زمره توصلیات است نه تعبدیات و به همین دلیل قصد قربت در صحت آن شرط نیست و اگر شخصی مسجدی را وقف کند، اما قصد قربت نداشته باشد وقف او صحیح است و به تبع وقف مخالفین و کفار نیز صحیح می باشد</w:t>
      </w:r>
      <w:r>
        <w:rPr>
          <w:rFonts w:eastAsia="IRNazanin" w:cs="IRNazanin"/>
          <w:color w:val="111111"/>
          <w:sz w:val="28"/>
          <w:szCs w:val="28"/>
          <w:rtl w:val="true"/>
          <w:lang w:bidi="fa-IR"/>
        </w:rPr>
        <w:t>.</w:t>
      </w:r>
    </w:p>
    <w:p>
      <w:pPr>
        <w:pStyle w:val="Heading5"/>
        <w:numPr>
          <w:ilvl w:val="4"/>
          <w:numId w:val="1"/>
        </w:numPr>
        <w:rPr/>
      </w:pPr>
      <w:bookmarkStart w:id="1495" w:name="__RefHeading___Toc15203344_1280447820"/>
      <w:bookmarkStart w:id="1496" w:name="_Toc583"/>
      <w:bookmarkEnd w:id="1495"/>
      <w:r>
        <w:rPr>
          <w:rtl w:val="true"/>
        </w:rPr>
        <w:t>خاتمه</w:t>
      </w:r>
      <w:bookmarkEnd w:id="1496"/>
    </w:p>
    <w:p>
      <w:pPr>
        <w:pStyle w:val="BookText"/>
        <w:rPr/>
      </w:pPr>
      <w:r>
        <w:rPr>
          <w:rFonts w:ascii="IRNazanin" w:hAnsi="IRNazanin" w:eastAsia="IRNazanin"/>
          <w:color w:val="111111"/>
          <w:sz w:val="28"/>
          <w:sz w:val="28"/>
          <w:szCs w:val="28"/>
          <w:rtl w:val="true"/>
          <w:lang w:bidi="fa-IR"/>
        </w:rPr>
        <w:t>برخی از راههای تأمین مخارج مسجد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حاصل از موقوفات مخصوص به همان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حاصل از موقوفات عامی که جهت مصرف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چیزی را به عنوان سبیل الله یا راه های خیر وقف کند،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عایدات و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راهی که مایه وصول به ثواب باشد صرف نمود</w:t>
      </w:r>
      <w:r>
        <w:rPr>
          <w:rFonts w:eastAsia="IRNazanin" w:cs="IRNazanin"/>
          <w:color w:val="111111"/>
          <w:sz w:val="28"/>
          <w:szCs w:val="28"/>
          <w:rtl w:val="true"/>
          <w:lang w:bidi="fa-IR"/>
        </w:rPr>
        <w:t xml:space="preserve">. </w:t>
      </w:r>
      <w:r>
        <w:rPr>
          <w:rStyle w:val="FootnoteAnchor"/>
          <w:rtl w:val="true"/>
        </w:rPr>
        <w:footnoteReference w:id="18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 و انفاقهای مؤمنین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زکات مال و زکات فطره در جهت ساختن مسجد و یا تأمین مخارج آن؛ چرا که یکی از مصارف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صرف زکات در جهت آبادی و بنای مسجد از مصادیق صرف در سبیل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در مورد زکات فطره صرف کردن آن برای فقرا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کردن سهم امام در ساخت مسجد و تعمیر آن به شرط آن که اذن خاص از مجتهد گرفته شود</w:t>
      </w:r>
      <w:r>
        <w:rPr>
          <w:rFonts w:eastAsia="IRNazanin" w:cs="IRNazanin"/>
          <w:color w:val="111111"/>
          <w:sz w:val="28"/>
          <w:szCs w:val="28"/>
          <w:rtl w:val="true"/>
          <w:lang w:bidi="fa-IR"/>
        </w:rPr>
        <w:t xml:space="preserve">. </w:t>
      </w:r>
      <w:bookmarkStart w:id="1497" w:name="pg19115_195783"/>
    </w:p>
    <w:p>
      <w:pPr>
        <w:pStyle w:val="Heading3"/>
        <w:numPr>
          <w:ilvl w:val="2"/>
          <w:numId w:val="1"/>
        </w:numPr>
        <w:rPr/>
      </w:pPr>
      <w:bookmarkStart w:id="1498" w:name="__RefHeading___Toc15203346_1280447820"/>
      <w:bookmarkStart w:id="1499" w:name="_Toc584"/>
      <w:bookmarkEnd w:id="1497"/>
      <w:bookmarkEnd w:id="1498"/>
      <w:r>
        <w:rPr>
          <w:rtl w:val="true"/>
        </w:rPr>
        <w:t>فصل دوم</w:t>
      </w:r>
      <w:r>
        <w:rPr>
          <w:rtl w:val="true"/>
        </w:rPr>
        <w:t xml:space="preserve">: </w:t>
      </w:r>
      <w:r>
        <w:rPr>
          <w:rtl w:val="true"/>
        </w:rPr>
        <w:t>امام جماعت</w:t>
      </w:r>
      <w:bookmarkEnd w:id="1499"/>
    </w:p>
    <w:p>
      <w:pPr>
        <w:pStyle w:val="Heading4"/>
        <w:numPr>
          <w:ilvl w:val="3"/>
          <w:numId w:val="1"/>
        </w:numPr>
        <w:rPr/>
      </w:pPr>
      <w:bookmarkStart w:id="1500" w:name="__RefHeading___Toc15203348_1280447820"/>
      <w:bookmarkStart w:id="1501" w:name="_Toc585"/>
      <w:bookmarkEnd w:id="1500"/>
      <w:r>
        <w:rPr>
          <w:rtl w:val="true"/>
        </w:rPr>
        <w:t>اشاره</w:t>
      </w:r>
      <w:bookmarkEnd w:id="1501"/>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 جماعت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انتخاب امام جماعت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2" w:name="pg19115_195785"/>
      <w:bookmarkStart w:id="1503" w:name="pg19115_195785"/>
      <w:bookmarkEnd w:id="1503"/>
    </w:p>
    <w:p>
      <w:pPr>
        <w:pStyle w:val="Heading4"/>
        <w:numPr>
          <w:ilvl w:val="3"/>
          <w:numId w:val="1"/>
        </w:numPr>
        <w:rPr/>
      </w:pPr>
      <w:bookmarkStart w:id="1504" w:name="pg19115_195785"/>
      <w:bookmarkStart w:id="1505" w:name="__RefHeading___Toc15203350_1280447820"/>
      <w:bookmarkStart w:id="1506" w:name="_Toc586"/>
      <w:bookmarkEnd w:id="1504"/>
      <w:bookmarkEnd w:id="1505"/>
      <w:r>
        <w:rPr>
          <w:rtl w:val="true"/>
        </w:rPr>
        <w:t>مقدمه</w:t>
      </w:r>
      <w:bookmarkEnd w:id="1506"/>
    </w:p>
    <w:p>
      <w:pPr>
        <w:pStyle w:val="BookText"/>
        <w:rPr/>
      </w:pPr>
      <w:r>
        <w:rPr>
          <w:rFonts w:ascii="IRNazanin" w:hAnsi="IRNazanin" w:eastAsia="IRNazanin"/>
          <w:color w:val="111111"/>
          <w:sz w:val="28"/>
          <w:sz w:val="28"/>
          <w:szCs w:val="28"/>
          <w:rtl w:val="true"/>
          <w:lang w:bidi="fa-IR"/>
        </w:rPr>
        <w:t>از جمله کسانی که نقش بسزایی در مدیریت مسجد دارد و شاید بتوان گفت اصلی ترین نقش را بر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امام جماعت مسجد است؛ چه آن که وظیفه امام جماعت در مسجد، تنها خواندن نماز جماعت نیست که البته انجام این وظیفه نیز بسیار پر اهمیت می باشد بلکه ساماندهی برنامههای مسجد و ارتباط گیری با اهل مسجد و دیگر برنامه نیز جزء وظایف یک امام جماعت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بیان شرایط امام جماعت و برخی از مسائل فقهی پیرامون آن خواهیم پرداخت</w:t>
      </w:r>
      <w:r>
        <w:rPr>
          <w:rFonts w:eastAsia="IRNazanin" w:cs="IRNazanin"/>
          <w:color w:val="111111"/>
          <w:sz w:val="28"/>
          <w:szCs w:val="28"/>
          <w:rtl w:val="true"/>
          <w:lang w:bidi="fa-IR"/>
        </w:rPr>
        <w:t>.</w:t>
      </w:r>
    </w:p>
    <w:p>
      <w:pPr>
        <w:pStyle w:val="Heading4"/>
        <w:numPr>
          <w:ilvl w:val="3"/>
          <w:numId w:val="1"/>
        </w:numPr>
        <w:rPr/>
      </w:pPr>
      <w:bookmarkStart w:id="1507" w:name="__RefHeading___Toc15203352_1280447820"/>
      <w:bookmarkStart w:id="1508" w:name="_Toc587"/>
      <w:bookmarkEnd w:id="1507"/>
      <w:r>
        <w:rPr>
          <w:rtl w:val="true"/>
        </w:rPr>
        <w:t>مبحث اول</w:t>
      </w:r>
      <w:r>
        <w:rPr>
          <w:rtl w:val="true"/>
        </w:rPr>
        <w:t xml:space="preserve">: </w:t>
      </w:r>
      <w:r>
        <w:rPr>
          <w:rtl w:val="true"/>
        </w:rPr>
        <w:t>شرایط امام جماعت</w:t>
      </w:r>
      <w:bookmarkEnd w:id="1508"/>
    </w:p>
    <w:p>
      <w:pPr>
        <w:pStyle w:val="Heading5"/>
        <w:numPr>
          <w:ilvl w:val="4"/>
          <w:numId w:val="1"/>
        </w:numPr>
        <w:rPr/>
      </w:pPr>
      <w:bookmarkStart w:id="1509" w:name="__RefHeading___Toc15203354_1280447820"/>
      <w:bookmarkStart w:id="1510" w:name="_Toc588"/>
      <w:bookmarkEnd w:id="1509"/>
      <w:r>
        <w:rPr>
          <w:rtl w:val="true"/>
        </w:rPr>
        <w:t>گفتار اول</w:t>
      </w:r>
      <w:r>
        <w:rPr>
          <w:rtl w:val="true"/>
        </w:rPr>
        <w:t xml:space="preserve">: </w:t>
      </w:r>
      <w:r>
        <w:rPr>
          <w:rtl w:val="true"/>
        </w:rPr>
        <w:t>عاقل بودن</w:t>
      </w:r>
      <w:bookmarkEnd w:id="1510"/>
    </w:p>
    <w:p>
      <w:pPr>
        <w:pStyle w:val="BookText"/>
        <w:rPr/>
      </w:pPr>
      <w:r>
        <w:rPr>
          <w:rFonts w:ascii="IRNazanin" w:hAnsi="IRNazanin" w:eastAsia="IRNazanin"/>
          <w:color w:val="111111"/>
          <w:sz w:val="28"/>
          <w:sz w:val="28"/>
          <w:szCs w:val="28"/>
          <w:rtl w:val="true"/>
          <w:lang w:bidi="fa-IR"/>
        </w:rPr>
        <w:t>یکی از شرایط امام جماعت عقل است که صاحب مفتاح الکرامه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شرطی است که اجماع بر آن است فقیهانی همانند محقق حلی در معتبر، </w:t>
      </w:r>
      <w:r>
        <w:rPr>
          <w:rStyle w:val="FootnoteAnchor"/>
          <w:rtl w:val="true"/>
        </w:rPr>
        <w:footnoteReference w:id="1810"/>
      </w:r>
      <w:r>
        <w:rPr>
          <w:rFonts w:ascii="IRNazanin" w:hAnsi="IRNazanin" w:eastAsia="IRNazanin"/>
          <w:color w:val="111111"/>
          <w:sz w:val="28"/>
          <w:sz w:val="28"/>
          <w:szCs w:val="28"/>
          <w:rtl w:val="true"/>
          <w:lang w:bidi="fa-IR"/>
        </w:rPr>
        <w:t xml:space="preserve">علامه حلی رحمه الله در تحریر، تذکره و نهايه الاحکام، </w:t>
      </w:r>
      <w:r>
        <w:rPr>
          <w:rStyle w:val="FootnoteAnchor"/>
          <w:rtl w:val="true"/>
        </w:rPr>
        <w:footnoteReference w:id="1811"/>
      </w:r>
      <w:r>
        <w:rPr>
          <w:rFonts w:ascii="IRNazanin" w:hAnsi="IRNazanin" w:eastAsia="IRNazanin"/>
          <w:color w:val="111111"/>
          <w:sz w:val="28"/>
          <w:sz w:val="28"/>
          <w:szCs w:val="28"/>
          <w:rtl w:val="true"/>
          <w:lang w:bidi="fa-IR"/>
        </w:rPr>
        <w:t xml:space="preserve">شهید اول در ذکری </w:t>
      </w:r>
      <w:r>
        <w:rPr>
          <w:rStyle w:val="FootnoteAnchor"/>
          <w:rtl w:val="true"/>
        </w:rPr>
        <w:footnoteReference w:id="1812"/>
      </w:r>
      <w:r>
        <w:rPr>
          <w:rFonts w:ascii="IRNazanin" w:hAnsi="IRNazanin" w:eastAsia="IRNazanin"/>
          <w:color w:val="111111"/>
          <w:sz w:val="28"/>
          <w:sz w:val="28"/>
          <w:szCs w:val="28"/>
          <w:rtl w:val="true"/>
          <w:lang w:bidi="fa-IR"/>
        </w:rPr>
        <w:t>ادعای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ابن زهره در غنیه </w:t>
      </w:r>
      <w:r>
        <w:rPr>
          <w:rStyle w:val="FootnoteAnchor"/>
          <w:rtl w:val="true"/>
        </w:rPr>
        <w:footnoteReference w:id="1813"/>
      </w:r>
      <w:r>
        <w:rPr>
          <w:rFonts w:ascii="IRNazanin" w:hAnsi="IRNazanin" w:eastAsia="IRNazanin"/>
          <w:color w:val="111111"/>
          <w:sz w:val="28"/>
          <w:sz w:val="28"/>
          <w:szCs w:val="28"/>
          <w:rtl w:val="true"/>
          <w:lang w:bidi="fa-IR"/>
        </w:rPr>
        <w:t xml:space="preserve">و علامه حلی رحمه الله در منتهی </w:t>
      </w:r>
      <w:r>
        <w:rPr>
          <w:rStyle w:val="FootnoteAnchor"/>
          <w:rtl w:val="true"/>
        </w:rPr>
        <w:footnoteReference w:id="1814"/>
      </w:r>
      <w:r>
        <w:rPr>
          <w:rFonts w:ascii="IRNazanin" w:hAnsi="IRNazanin" w:eastAsia="IRNazanin"/>
          <w:color w:val="111111"/>
          <w:sz w:val="28"/>
          <w:sz w:val="28"/>
          <w:szCs w:val="28"/>
          <w:rtl w:val="true"/>
          <w:lang w:bidi="fa-IR"/>
        </w:rPr>
        <w:t>نیز اجماع می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شکی در این نیست که امام جماعت باید دارای این شرط باشد، لیکن </w:t>
      </w:r>
    </w:p>
    <w:p>
      <w:pPr>
        <w:pStyle w:val="BookText"/>
        <w:rPr/>
      </w:pPr>
      <w:r>
        <w:rPr>
          <w:rFonts w:ascii="IRNazanin" w:hAnsi="IRNazanin" w:eastAsia="IRNazanin"/>
          <w:color w:val="111111"/>
          <w:sz w:val="28"/>
          <w:sz w:val="28"/>
          <w:szCs w:val="28"/>
          <w:rtl w:val="true"/>
          <w:lang w:bidi="fa-IR"/>
        </w:rPr>
        <w:t>پرسشی که در ادامه مطرح می شود آن است که اگر جنون شخص، ادواری باشد گاهی از اوقات حالت افاقه به او دست دهد آیا در زمانی که هوشیار است می تواند امام جماعت باشد یا خیر؟</w:t>
      </w:r>
    </w:p>
    <w:p>
      <w:pPr>
        <w:pStyle w:val="BookText"/>
        <w:rPr/>
      </w:pPr>
      <w:r>
        <w:rPr>
          <w:rFonts w:ascii="IRNazanin" w:hAnsi="IRNazanin" w:eastAsia="IRNazanin"/>
          <w:color w:val="111111"/>
          <w:sz w:val="28"/>
          <w:sz w:val="28"/>
          <w:szCs w:val="28"/>
          <w:rtl w:val="true"/>
          <w:lang w:bidi="fa-IR"/>
        </w:rPr>
        <w:t>دو دیدگاه در میان فقها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جنون دارد هر چند ادواری،باشد به هیچ وجه حتی در حالت افاقه نیز نمی تواند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شیخ طوسی در خلاف ادعای اجماع کرده بر این که مجنون در هر حالی نمی تواند امام جماعت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حلی رحمه الله در تذکره و نهایه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جنون بر او عارض می شود، حتی در وقت افاقه و هوشیاری نیز نمی تواند امام جماعت باشد؛ چرا که در آن لحظه نیز ممکن است جنون بر او عارض شود</w:t>
      </w:r>
      <w:r>
        <w:rPr>
          <w:rFonts w:eastAsia="IRNazanin" w:cs="IRNazanin"/>
          <w:color w:val="111111"/>
          <w:sz w:val="28"/>
          <w:szCs w:val="28"/>
          <w:rtl w:val="true"/>
          <w:lang w:bidi="fa-IR"/>
        </w:rPr>
        <w:t xml:space="preserve">.» </w:t>
      </w:r>
      <w:r>
        <w:rPr>
          <w:rStyle w:val="FootnoteAnchor"/>
          <w:rtl w:val="true"/>
        </w:rPr>
        <w:footnoteReference w:id="1815"/>
      </w:r>
    </w:p>
    <w:p>
      <w:pPr>
        <w:pStyle w:val="BookText"/>
        <w:rPr/>
      </w:pPr>
      <w:r>
        <w:rPr>
          <w:rFonts w:ascii="IRNazanin" w:hAnsi="IRNazanin" w:eastAsia="IRNazanin"/>
          <w:color w:val="111111"/>
          <w:sz w:val="28"/>
          <w:sz w:val="28"/>
          <w:szCs w:val="28"/>
          <w:rtl w:val="true"/>
          <w:lang w:bidi="fa-IR"/>
        </w:rPr>
        <w:t xml:space="preserve">آقا وحید بهبهانی رحمه الله در مصابیح الظلام نیز این قسم از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جنون ادواری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افراد روایات این باب می داند؛ زیرا کسی که جنون دائمی دارد به دلائل مختلف و بسیار زیادی امکان امامت او نبوده و نیازی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روایات به چنین فردی نیز اشاره شود</w:t>
      </w:r>
      <w:r>
        <w:rPr>
          <w:rFonts w:eastAsia="IRNazanin" w:cs="IRNazanin"/>
          <w:color w:val="111111"/>
          <w:sz w:val="28"/>
          <w:szCs w:val="28"/>
          <w:rtl w:val="true"/>
          <w:lang w:bidi="fa-IR"/>
        </w:rPr>
        <w:t xml:space="preserve">. </w:t>
      </w:r>
      <w:r>
        <w:rPr>
          <w:rStyle w:val="FootnoteAnchor"/>
          <w:rtl w:val="true"/>
        </w:rPr>
        <w:footnoteReference w:id="18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ادواری در حالت افاقه اگر سایر شرایط را داشته باشد می تواند امام جماعت باشد لیکن کراهت 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فقیهانی همچون محقق حلی در معتبر، </w:t>
      </w:r>
      <w:r>
        <w:rPr>
          <w:rStyle w:val="FootnoteAnchor"/>
          <w:rtl w:val="true"/>
        </w:rPr>
        <w:footnoteReference w:id="1817"/>
      </w:r>
      <w:r>
        <w:rPr>
          <w:rFonts w:ascii="IRNazanin" w:hAnsi="IRNazanin" w:eastAsia="IRNazanin"/>
          <w:color w:val="111111"/>
          <w:sz w:val="28"/>
          <w:sz w:val="28"/>
          <w:szCs w:val="28"/>
          <w:rtl w:val="true"/>
          <w:lang w:bidi="fa-IR"/>
        </w:rPr>
        <w:t xml:space="preserve">علامه حلی رحمه الله در منتهی </w:t>
      </w:r>
      <w:r>
        <w:rPr>
          <w:rStyle w:val="FootnoteAnchor"/>
          <w:rtl w:val="true"/>
        </w:rPr>
        <w:footnoteReference w:id="1818"/>
      </w:r>
      <w:r>
        <w:rPr>
          <w:rFonts w:ascii="IRNazanin" w:hAnsi="IRNazanin" w:eastAsia="IRNazanin"/>
          <w:color w:val="111111"/>
          <w:sz w:val="28"/>
          <w:sz w:val="28"/>
          <w:szCs w:val="28"/>
          <w:rtl w:val="true"/>
          <w:lang w:bidi="fa-IR"/>
        </w:rPr>
        <w:t xml:space="preserve">و تذکره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 دیگری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نهايه الاحکام،</w:t>
      </w:r>
      <w:r>
        <w:rPr>
          <w:rStyle w:val="FootnoteAnchor"/>
          <w:rtl w:val="true"/>
        </w:rPr>
        <w:footnoteReference w:id="1820"/>
      </w:r>
      <w:r>
        <w:rPr>
          <w:rFonts w:ascii="IRNazanin" w:hAnsi="IRNazanin" w:eastAsia="IRNazanin"/>
          <w:color w:val="111111"/>
          <w:sz w:val="28"/>
          <w:sz w:val="28"/>
          <w:szCs w:val="28"/>
          <w:rtl w:val="true"/>
          <w:lang w:bidi="fa-IR"/>
        </w:rPr>
        <w:t>شهید اول در دروس، نفلیه و ذکری،</w:t>
      </w:r>
      <w:r>
        <w:rPr>
          <w:rStyle w:val="FootnoteAnchor"/>
          <w:rtl w:val="true"/>
        </w:rPr>
        <w:footnoteReference w:id="1821"/>
      </w:r>
      <w:r>
        <w:rPr>
          <w:rFonts w:ascii="IRNazanin" w:hAnsi="IRNazanin" w:eastAsia="IRNazanin"/>
          <w:color w:val="111111"/>
          <w:sz w:val="28"/>
          <w:sz w:val="28"/>
          <w:szCs w:val="28"/>
          <w:rtl w:val="true"/>
          <w:lang w:bidi="fa-IR"/>
        </w:rPr>
        <w:t xml:space="preserve">صیمری در كشف الالتباس، </w:t>
      </w:r>
      <w:r>
        <w:rPr>
          <w:rStyle w:val="FootnoteAnchor"/>
          <w:rtl w:val="true"/>
        </w:rPr>
        <w:footnoteReference w:id="1822"/>
      </w:r>
      <w:r>
        <w:rPr>
          <w:rFonts w:ascii="IRNazanin" w:hAnsi="IRNazanin" w:eastAsia="IRNazanin"/>
          <w:color w:val="111111"/>
          <w:sz w:val="28"/>
          <w:sz w:val="28"/>
          <w:szCs w:val="28"/>
          <w:rtl w:val="true"/>
          <w:lang w:bidi="fa-IR"/>
        </w:rPr>
        <w:t xml:space="preserve">محقق ثانی، </w:t>
      </w:r>
      <w:r>
        <w:rPr>
          <w:rStyle w:val="FootnoteAnchor"/>
          <w:rtl w:val="true"/>
        </w:rPr>
        <w:footnoteReference w:id="1823"/>
      </w:r>
      <w:r>
        <w:rPr>
          <w:rFonts w:ascii="IRNazanin" w:hAnsi="IRNazanin" w:eastAsia="IRNazanin"/>
          <w:color w:val="111111"/>
          <w:sz w:val="28"/>
          <w:sz w:val="28"/>
          <w:szCs w:val="28"/>
          <w:rtl w:val="true"/>
          <w:lang w:bidi="fa-IR"/>
        </w:rPr>
        <w:t xml:space="preserve">شهید ثانی، </w:t>
      </w:r>
      <w:r>
        <w:rPr>
          <w:rStyle w:val="FootnoteAnchor"/>
          <w:rtl w:val="true"/>
        </w:rPr>
        <w:footnoteReference w:id="1824"/>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825"/>
      </w:r>
      <w:r>
        <w:rPr>
          <w:rFonts w:ascii="IRNazanin" w:hAnsi="IRNazanin" w:eastAsia="IRNazanin"/>
          <w:color w:val="111111"/>
          <w:sz w:val="28"/>
          <w:sz w:val="28"/>
          <w:szCs w:val="28"/>
          <w:rtl w:val="true"/>
          <w:lang w:bidi="fa-IR"/>
        </w:rPr>
        <w:t xml:space="preserve">مرحوم سبزواری در ذخیره و کفایه </w:t>
      </w:r>
      <w:r>
        <w:rPr>
          <w:rStyle w:val="FootnoteAnchor"/>
          <w:rtl w:val="true"/>
        </w:rPr>
        <w:footnoteReference w:id="1826"/>
      </w:r>
      <w:r>
        <w:rPr>
          <w:rFonts w:ascii="IRNazanin" w:hAnsi="IRNazanin" w:eastAsia="IRNazanin"/>
          <w:color w:val="111111"/>
          <w:sz w:val="28"/>
          <w:sz w:val="28"/>
          <w:szCs w:val="28"/>
          <w:rtl w:val="true"/>
          <w:lang w:bidi="fa-IR"/>
        </w:rPr>
        <w:t>و فاضل هندی در کشف اللثام،</w:t>
      </w:r>
      <w:r>
        <w:rPr>
          <w:rStyle w:val="FootnoteAnchor"/>
          <w:rtl w:val="true"/>
        </w:rPr>
        <w:footnoteReference w:id="1827"/>
      </w:r>
      <w:r>
        <w:rPr>
          <w:rFonts w:ascii="IRNazanin" w:hAnsi="IRNazanin" w:eastAsia="IRNazanin"/>
          <w:color w:val="111111"/>
          <w:sz w:val="28"/>
          <w:sz w:val="28"/>
          <w:szCs w:val="28"/>
          <w:rtl w:val="true"/>
          <w:lang w:bidi="fa-IR"/>
        </w:rPr>
        <w:t>قائل به جواز امامت مجنون در حالت افاقه و هوشیاری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فقیهان تصریح به کراهت این عمل کرده اند</w:t>
      </w:r>
      <w:r>
        <w:rPr>
          <w:rFonts w:eastAsia="IRNazanin" w:cs="IRNazanin"/>
          <w:color w:val="111111"/>
          <w:sz w:val="28"/>
          <w:szCs w:val="28"/>
          <w:rtl w:val="true"/>
          <w:lang w:bidi="fa-IR"/>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9"/>
      </w:r>
      <w:bookmarkStart w:id="1511" w:name="pg19115_195788"/>
    </w:p>
    <w:p>
      <w:pPr>
        <w:pStyle w:val="Heading5"/>
        <w:numPr>
          <w:ilvl w:val="4"/>
          <w:numId w:val="1"/>
        </w:numPr>
        <w:rPr/>
      </w:pPr>
      <w:bookmarkStart w:id="1512" w:name="__RefHeading___Toc15203356_1280447820"/>
      <w:bookmarkStart w:id="1513" w:name="_Toc589"/>
      <w:bookmarkEnd w:id="1511"/>
      <w:bookmarkEnd w:id="1512"/>
      <w:r>
        <w:rPr>
          <w:rtl w:val="true"/>
        </w:rPr>
        <w:t>گفتار دوم</w:t>
      </w:r>
      <w:r>
        <w:rPr>
          <w:rtl w:val="true"/>
        </w:rPr>
        <w:t xml:space="preserve">: </w:t>
      </w:r>
      <w:r>
        <w:rPr>
          <w:rtl w:val="true"/>
        </w:rPr>
        <w:t>بالغ بودن</w:t>
      </w:r>
      <w:bookmarkEnd w:id="1513"/>
    </w:p>
    <w:p>
      <w:pPr>
        <w:pStyle w:val="Heading6"/>
        <w:numPr>
          <w:ilvl w:val="5"/>
          <w:numId w:val="1"/>
        </w:numPr>
        <w:rPr/>
      </w:pPr>
      <w:bookmarkStart w:id="1514" w:name="__RefHeading___Toc15203358_1280447820"/>
      <w:bookmarkStart w:id="1515" w:name="_Toc590"/>
      <w:bookmarkEnd w:id="1514"/>
      <w:r>
        <w:rPr>
          <w:rtl w:val="true"/>
        </w:rPr>
        <w:t>اشاره</w:t>
      </w:r>
      <w:bookmarkEnd w:id="1515"/>
    </w:p>
    <w:p>
      <w:pPr>
        <w:pStyle w:val="BookText"/>
        <w:rPr/>
      </w:pPr>
      <w:r>
        <w:rPr>
          <w:rFonts w:ascii="IRNazanin" w:hAnsi="IRNazanin" w:eastAsia="IRNazanin"/>
          <w:color w:val="111111"/>
          <w:sz w:val="28"/>
          <w:sz w:val="28"/>
          <w:szCs w:val="28"/>
          <w:rtl w:val="true"/>
          <w:lang w:bidi="fa-IR"/>
        </w:rPr>
        <w:t>یکی از شرایطی که در مورد امام جماعت مورد بحث واقع شده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فقیهان بحث از بلوغ را در ذیل امامت جمعه بحث کرده و از شرایط کسی برشمرده اند که از طرف امام معصوم علیه السلام و سلطان عادل به عنوان نائب در خواندن نماز جمعه است لیکن در بحث امام جماعت به همان بحث شرائط امام جمعه ارجاع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بالغ بودن امام جماعت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شرط بوده و بچه غیر بالغ مطلقا نمی تواند امام جماعت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شرط نبوده و بچه غیر بالغ اگر مراهق و ممیز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خوب و بد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امام جماعت باشد و لازم نیست که حتماً بالغ باشد</w:t>
      </w:r>
      <w:r>
        <w:rPr>
          <w:rFonts w:eastAsia="IRNazanin" w:cs="IRNazanin"/>
          <w:color w:val="111111"/>
          <w:sz w:val="28"/>
          <w:szCs w:val="28"/>
          <w:rtl w:val="true"/>
          <w:lang w:bidi="fa-IR"/>
        </w:rPr>
        <w:t>.</w:t>
      </w:r>
    </w:p>
    <w:p>
      <w:pPr>
        <w:pStyle w:val="Heading6"/>
        <w:numPr>
          <w:ilvl w:val="5"/>
          <w:numId w:val="1"/>
        </w:numPr>
        <w:rPr/>
      </w:pPr>
      <w:bookmarkStart w:id="1516" w:name="__RefHeading___Toc15203360_1280447820"/>
      <w:bookmarkStart w:id="1517" w:name="_Toc591"/>
      <w:bookmarkEnd w:id="1516"/>
      <w:r>
        <w:rPr>
          <w:rtl w:val="true"/>
        </w:rPr>
        <w:t>الف</w:t>
      </w:r>
      <w:r>
        <w:rPr>
          <w:rtl w:val="true"/>
        </w:rPr>
        <w:t xml:space="preserve">) </w:t>
      </w:r>
      <w:r>
        <w:rPr>
          <w:rtl w:val="true"/>
        </w:rPr>
        <w:t>دیدگاه نخست</w:t>
      </w:r>
      <w:r>
        <w:rPr>
          <w:rtl w:val="true"/>
        </w:rPr>
        <w:t xml:space="preserve">: </w:t>
      </w:r>
      <w:r>
        <w:rPr>
          <w:rtl w:val="true"/>
        </w:rPr>
        <w:t>شرط بودن بلوغ</w:t>
      </w:r>
      <w:bookmarkEnd w:id="1517"/>
    </w:p>
    <w:p>
      <w:pPr>
        <w:pStyle w:val="BookText"/>
        <w:rPr/>
      </w:pPr>
      <w:r>
        <w:rPr>
          <w:rFonts w:ascii="IRNazanin" w:hAnsi="IRNazanin" w:eastAsia="IRNazanin"/>
          <w:color w:val="111111"/>
          <w:sz w:val="28"/>
          <w:sz w:val="28"/>
          <w:szCs w:val="28"/>
          <w:rtl w:val="true"/>
          <w:lang w:bidi="fa-IR"/>
        </w:rPr>
        <w:t xml:space="preserve">علامه حلی رحمه الله در کتاب منتهی </w:t>
      </w:r>
      <w:r>
        <w:rPr>
          <w:rStyle w:val="FootnoteAnchor"/>
          <w:rtl w:val="true"/>
        </w:rPr>
        <w:footnoteReference w:id="1830"/>
      </w:r>
      <w:r>
        <w:rPr>
          <w:rFonts w:ascii="IRNazanin" w:hAnsi="IRNazanin" w:eastAsia="IRNazanin"/>
          <w:color w:val="111111"/>
          <w:sz w:val="28"/>
          <w:sz w:val="28"/>
          <w:szCs w:val="28"/>
          <w:rtl w:val="true"/>
          <w:lang w:bidi="fa-IR"/>
        </w:rPr>
        <w:t xml:space="preserve">ادعای اجماع بر این مطلب کرده و مرحوم سبزواری در ذخیره المعاد و کفایه الاحکام </w:t>
      </w:r>
      <w:r>
        <w:rPr>
          <w:rStyle w:val="FootnoteAnchor"/>
          <w:rtl w:val="true"/>
        </w:rPr>
        <w:footnoteReference w:id="1831"/>
      </w:r>
      <w:r>
        <w:rPr>
          <w:rFonts w:ascii="IRNazanin" w:hAnsi="IRNazanin" w:eastAsia="IRNazanin"/>
          <w:color w:val="111111"/>
          <w:sz w:val="28"/>
          <w:sz w:val="28"/>
          <w:szCs w:val="28"/>
          <w:rtl w:val="true"/>
          <w:lang w:bidi="fa-IR"/>
        </w:rPr>
        <w:t xml:space="preserve">و علامه بهبهانی در مصابیح الظلام </w:t>
      </w:r>
      <w:r>
        <w:rPr>
          <w:rStyle w:val="FootnoteAnchor"/>
          <w:rtl w:val="true"/>
        </w:rPr>
        <w:footnoteReference w:id="1832"/>
      </w:r>
      <w:r>
        <w:rPr>
          <w:rFonts w:ascii="IRNazanin" w:hAnsi="IRNazanin" w:eastAsia="IRNazanin"/>
          <w:color w:val="111111"/>
          <w:sz w:val="28"/>
          <w:sz w:val="28"/>
          <w:szCs w:val="28"/>
          <w:rtl w:val="true"/>
          <w:lang w:bidi="fa-IR"/>
        </w:rPr>
        <w:t>قائل به شهرت این مطلب شده 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بزرگی همچون شیخ مفید رحمه الله در مقنعه، </w:t>
      </w:r>
      <w:r>
        <w:rPr>
          <w:rStyle w:val="FootnoteAnchor"/>
          <w:rtl w:val="true"/>
        </w:rPr>
        <w:footnoteReference w:id="1833"/>
      </w:r>
      <w:r>
        <w:rPr>
          <w:rFonts w:ascii="IRNazanin" w:hAnsi="IRNazanin" w:eastAsia="IRNazanin"/>
          <w:color w:val="111111"/>
          <w:sz w:val="28"/>
          <w:sz w:val="28"/>
          <w:szCs w:val="28"/>
          <w:rtl w:val="true"/>
          <w:lang w:bidi="fa-IR"/>
        </w:rPr>
        <w:t xml:space="preserve">شیخ طوسی رحمه الله در تهذیب، استبصار، نهایه و مبسوط، </w:t>
      </w:r>
      <w:r>
        <w:rPr>
          <w:rStyle w:val="FootnoteAnchor"/>
          <w:rtl w:val="true"/>
        </w:rPr>
        <w:footnoteReference w:id="1834"/>
      </w:r>
      <w:r>
        <w:rPr>
          <w:rFonts w:ascii="IRNazanin" w:hAnsi="IRNazanin" w:eastAsia="IRNazanin"/>
          <w:color w:val="111111"/>
          <w:sz w:val="28"/>
          <w:sz w:val="28"/>
          <w:szCs w:val="28"/>
          <w:rtl w:val="true"/>
          <w:lang w:bidi="fa-IR"/>
        </w:rPr>
        <w:t xml:space="preserve">ابن حمزه، </w:t>
      </w:r>
      <w:r>
        <w:rPr>
          <w:rStyle w:val="FootnoteAnchor"/>
          <w:rtl w:val="true"/>
        </w:rPr>
        <w:footnoteReference w:id="1835"/>
      </w:r>
      <w:r>
        <w:rPr>
          <w:rFonts w:ascii="IRNazanin" w:hAnsi="IRNazanin" w:eastAsia="IRNazanin"/>
          <w:color w:val="111111"/>
          <w:sz w:val="28"/>
          <w:sz w:val="28"/>
          <w:szCs w:val="28"/>
          <w:rtl w:val="true"/>
          <w:lang w:bidi="fa-IR"/>
        </w:rPr>
        <w:t xml:space="preserve">محقق حلی در معتبر </w:t>
      </w:r>
      <w:r>
        <w:rPr>
          <w:rStyle w:val="FootnoteAnchor"/>
          <w:rtl w:val="true"/>
        </w:rPr>
        <w:footnoteReference w:id="1836"/>
      </w:r>
      <w:r>
        <w:rPr>
          <w:rFonts w:ascii="IRNazanin" w:hAnsi="IRNazanin" w:eastAsia="IRNazanin"/>
          <w:color w:val="111111"/>
          <w:sz w:val="28"/>
          <w:sz w:val="28"/>
          <w:szCs w:val="28"/>
          <w:rtl w:val="true"/>
          <w:lang w:bidi="fa-IR"/>
        </w:rPr>
        <w:t xml:space="preserve">و دیگران </w:t>
      </w:r>
      <w:r>
        <w:rPr>
          <w:rStyle w:val="FootnoteAnchor"/>
          <w:rtl w:val="true"/>
        </w:rPr>
        <w:footnoteReference w:id="1837"/>
      </w:r>
      <w:r>
        <w:rPr>
          <w:rFonts w:ascii="IRNazanin" w:hAnsi="IRNazanin" w:eastAsia="IRNazanin"/>
          <w:color w:val="111111"/>
          <w:sz w:val="28"/>
          <w:sz w:val="28"/>
          <w:szCs w:val="28"/>
          <w:rtl w:val="true"/>
          <w:lang w:bidi="fa-IR"/>
        </w:rPr>
        <w:t xml:space="preserve">تصریح به </w:t>
      </w:r>
      <w:bookmarkStart w:id="1518" w:name="pg19115_195789"/>
    </w:p>
    <w:p>
      <w:pPr>
        <w:pStyle w:val="BookText"/>
        <w:rPr/>
      </w:pPr>
      <w:bookmarkEnd w:id="1518"/>
      <w:r>
        <w:rPr>
          <w:rFonts w:ascii="IRNazanin" w:hAnsi="IRNazanin" w:eastAsia="IRNazanin"/>
          <w:color w:val="111111"/>
          <w:sz w:val="28"/>
          <w:sz w:val="28"/>
          <w:szCs w:val="28"/>
          <w:rtl w:val="true"/>
          <w:lang w:bidi="fa-IR"/>
        </w:rPr>
        <w:t>این شرط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دیدگاه نخست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اجماع توسط علامه در منتهی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شهرت فتوایی </w:t>
      </w:r>
      <w:r>
        <w:rPr>
          <w:rStyle w:val="FootnoteAnchor"/>
          <w:rtl w:val="true"/>
        </w:rPr>
        <w:footnoteReference w:id="18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اسحاق بن عمار از امام صادق علیه السلام است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نیست در این که بچه قبل از محتلم شدن اذان بگوید، اما نمی تواند امام جماعت بایستد تا این که محتلم شود</w:t>
      </w:r>
      <w:r>
        <w:rPr>
          <w:rFonts w:eastAsia="IRNazanin" w:cs="IRNazanin"/>
          <w:color w:val="111111"/>
          <w:sz w:val="28"/>
          <w:szCs w:val="28"/>
          <w:rtl w:val="true"/>
          <w:lang w:bidi="fa-IR"/>
        </w:rPr>
        <w:t xml:space="preserve">» </w:t>
      </w:r>
      <w:r>
        <w:rPr>
          <w:rStyle w:val="FootnoteAnchor"/>
          <w:rtl w:val="true"/>
        </w:rPr>
        <w:footnoteReference w:id="1839"/>
      </w:r>
    </w:p>
    <w:p>
      <w:pPr>
        <w:pStyle w:val="Heading6"/>
        <w:numPr>
          <w:ilvl w:val="5"/>
          <w:numId w:val="1"/>
        </w:numPr>
        <w:rPr/>
      </w:pPr>
      <w:bookmarkStart w:id="1519" w:name="__RefHeading___Toc15203362_1280447820"/>
      <w:bookmarkStart w:id="1520" w:name="_Toc592"/>
      <w:bookmarkEnd w:id="1519"/>
      <w:r>
        <w:rPr>
          <w:rtl w:val="true"/>
        </w:rPr>
        <w:t>ب</w:t>
      </w:r>
      <w:r>
        <w:rPr>
          <w:rtl w:val="true"/>
        </w:rPr>
        <w:t xml:space="preserve">) </w:t>
      </w:r>
      <w:r>
        <w:rPr>
          <w:rtl w:val="true"/>
        </w:rPr>
        <w:t>دیدگاه دوم</w:t>
      </w:r>
      <w:r>
        <w:rPr>
          <w:rtl w:val="true"/>
        </w:rPr>
        <w:t xml:space="preserve">: </w:t>
      </w:r>
      <w:r>
        <w:rPr>
          <w:rtl w:val="true"/>
        </w:rPr>
        <w:t>صحت امامت صبي مميّز</w:t>
      </w:r>
      <w:bookmarkEnd w:id="1520"/>
    </w:p>
    <w:p>
      <w:pPr>
        <w:pStyle w:val="Heading6"/>
        <w:numPr>
          <w:ilvl w:val="5"/>
          <w:numId w:val="1"/>
        </w:numPr>
        <w:rPr/>
      </w:pPr>
      <w:bookmarkStart w:id="1521" w:name="__RefHeading___Toc15203364_1280447820"/>
      <w:bookmarkStart w:id="1522" w:name="_Toc593"/>
      <w:bookmarkEnd w:id="1521"/>
      <w:r>
        <w:rPr>
          <w:rtl w:val="true"/>
        </w:rPr>
        <w:t>اشاره</w:t>
      </w:r>
      <w:bookmarkEnd w:id="1522"/>
    </w:p>
    <w:p>
      <w:pPr>
        <w:pStyle w:val="BookText"/>
        <w:rPr/>
      </w:pPr>
      <w:r>
        <w:rPr>
          <w:rFonts w:ascii="IRNazanin" w:hAnsi="IRNazanin" w:eastAsia="IRNazanin"/>
          <w:color w:val="111111"/>
          <w:sz w:val="28"/>
          <w:sz w:val="28"/>
          <w:szCs w:val="28"/>
          <w:rtl w:val="true"/>
          <w:lang w:bidi="fa-IR"/>
        </w:rPr>
        <w:t>در مقابل دیدگاه نخست، عده ای از فقها بلوغ را در امام جماعت شرط ندانسته و معتقدند که صبی ممیز و عاقل که دارای سایر شرایط است نیز می تواند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فقیهانی همانند سید مرتضی در مصباح،</w:t>
      </w:r>
      <w:r>
        <w:rPr>
          <w:rStyle w:val="FootnoteAnchor"/>
          <w:rtl w:val="true"/>
        </w:rPr>
        <w:footnoteReference w:id="1840"/>
      </w:r>
      <w:r>
        <w:rPr>
          <w:rFonts w:ascii="IRNazanin" w:hAnsi="IRNazanin" w:eastAsia="IRNazanin"/>
          <w:color w:val="111111"/>
          <w:sz w:val="28"/>
          <w:sz w:val="28"/>
          <w:szCs w:val="28"/>
          <w:rtl w:val="true"/>
          <w:lang w:bidi="fa-IR"/>
        </w:rPr>
        <w:t xml:space="preserve">شیخ طوسی رحمه الله در خلاف </w:t>
      </w:r>
      <w:r>
        <w:rPr>
          <w:rStyle w:val="FootnoteAnchor"/>
          <w:rtl w:val="true"/>
        </w:rPr>
        <w:footnoteReference w:id="1841"/>
      </w:r>
      <w:r>
        <w:rPr>
          <w:rFonts w:ascii="IRNazanin" w:hAnsi="IRNazanin" w:eastAsia="IRNazanin"/>
          <w:color w:val="111111"/>
          <w:sz w:val="28"/>
          <w:sz w:val="28"/>
          <w:szCs w:val="28"/>
          <w:rtl w:val="true"/>
          <w:lang w:bidi="fa-IR"/>
        </w:rPr>
        <w:t>و جمل و العقود</w:t>
      </w:r>
      <w:r>
        <w:rPr>
          <w:rFonts w:eastAsia="IRNazanin" w:cs="IRNazanin"/>
          <w:color w:val="111111"/>
          <w:sz w:val="28"/>
          <w:szCs w:val="28"/>
          <w:rtl w:val="true"/>
          <w:lang w:bidi="fa-IR"/>
        </w:rPr>
        <w:t xml:space="preserve">. </w:t>
      </w:r>
      <w:r>
        <w:rPr>
          <w:rStyle w:val="FootnoteAnchor"/>
          <w:rtl w:val="true"/>
        </w:rPr>
        <w:footnoteReference w:id="1842"/>
      </w:r>
    </w:p>
    <w:p>
      <w:pPr>
        <w:pStyle w:val="Heading6"/>
        <w:numPr>
          <w:ilvl w:val="5"/>
          <w:numId w:val="1"/>
        </w:numPr>
        <w:rPr/>
      </w:pPr>
      <w:bookmarkStart w:id="1523" w:name="__RefHeading___Toc15203366_1280447820"/>
      <w:bookmarkStart w:id="1524" w:name="_Toc594"/>
      <w:bookmarkEnd w:id="1523"/>
      <w:r>
        <w:rPr>
          <w:rtl w:val="true"/>
        </w:rPr>
        <w:t>ادله دیدگاه دوم</w:t>
      </w:r>
      <w:bookmarkEnd w:id="1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اجماع شیخ طوسی رحمه الله در خلاف</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فرزندانتان به هفت سالگی رسیدند، آنها را به نماز خواندن امر کنید</w:t>
      </w:r>
      <w:r>
        <w:rPr>
          <w:rFonts w:eastAsia="IRNazanin" w:cs="IRNazanin"/>
          <w:color w:val="111111"/>
          <w:sz w:val="28"/>
          <w:szCs w:val="28"/>
          <w:rtl w:val="true"/>
          <w:lang w:bidi="fa-IR"/>
        </w:rPr>
        <w:t xml:space="preserve">.» </w:t>
      </w:r>
      <w:r>
        <w:rPr>
          <w:rStyle w:val="FootnoteAnchor"/>
          <w:rtl w:val="true"/>
        </w:rPr>
        <w:footnoteReference w:id="1843"/>
      </w:r>
      <w:r>
        <w:rPr>
          <w:rFonts w:ascii="IRNazanin" w:hAnsi="IRNazanin" w:eastAsia="IRNazanin"/>
          <w:color w:val="111111"/>
          <w:sz w:val="28"/>
          <w:sz w:val="28"/>
          <w:szCs w:val="28"/>
          <w:rtl w:val="true"/>
          <w:lang w:bidi="fa-IR"/>
        </w:rPr>
        <w:t>این روایت نشانگر آن است که عبادت بچه ها نیز مشروع است</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بن زید از امام باقر علیه السلام نقل می کند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نیست در این که غلامی که محتلم نشده اذان بگوید و امام جماعت بایستد</w:t>
      </w:r>
      <w:r>
        <w:rPr>
          <w:rFonts w:eastAsia="IRNazanin" w:cs="IRNazanin"/>
          <w:color w:val="111111"/>
          <w:sz w:val="28"/>
          <w:szCs w:val="28"/>
          <w:rtl w:val="true"/>
          <w:lang w:bidi="fa-IR"/>
        </w:rPr>
        <w:t xml:space="preserve">.» </w:t>
      </w:r>
      <w:r>
        <w:rPr>
          <w:rStyle w:val="FootnoteAnchor"/>
          <w:rtl w:val="true"/>
        </w:rPr>
        <w:footnoteReference w:id="18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بن ابراهیم از امام صادق علیه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نیست در این که بچه ای که محتلم نشده امام جماعت باشد و ذان بگوید</w:t>
      </w:r>
      <w:r>
        <w:rPr>
          <w:rFonts w:eastAsia="IRNazanin" w:cs="IRNazanin"/>
          <w:color w:val="111111"/>
          <w:sz w:val="28"/>
          <w:szCs w:val="28"/>
          <w:rtl w:val="true"/>
          <w:lang w:bidi="fa-IR"/>
        </w:rPr>
        <w:t xml:space="preserve">.» </w:t>
      </w:r>
      <w:r>
        <w:rPr>
          <w:rStyle w:val="FootnoteAnchor"/>
          <w:rtl w:val="true"/>
        </w:rPr>
        <w:footnoteReference w:id="18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بن مهران از امام صادق علیه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غلام و آزاد کردن برده توسط او جایز است و هنگامی که به سن ده سال برسد می تواند امامت مردم را به عهده بگیرد</w:t>
      </w:r>
      <w:r>
        <w:rPr>
          <w:rFonts w:eastAsia="IRNazanin" w:cs="IRNazanin"/>
          <w:color w:val="111111"/>
          <w:sz w:val="28"/>
          <w:szCs w:val="28"/>
          <w:rtl w:val="true"/>
          <w:lang w:bidi="fa-IR"/>
        </w:rPr>
        <w:t xml:space="preserve">.» </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علامه حلی رحمه الله در مورد ادله ای که غالبا شیخ طوسی در خلاف بر عدم اشتراط بلوغ در امام جماعت ذکر شده این گونه اشکال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اجماعی بر وجوب تکلیف غیر بالغ نداریم بلکه اگر بر خلاف این ادعا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طوسی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اشتراط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ولی به این که فرزندان خود را امر به نماز کنند امر به خود فرزندان نیست؛ زیرا امر به امر به شیء امر به همان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فرض هم که بگوییم امر به خود فرزندان است اگر مراد از مشروعیت نماز کودکان هفت سال، مطلوب بودن تمرین برای نماز خواندن،است این را می پذیریم وگرنه اگر مراد این باشد که مستحق ثواب هستند سخنی ناصحیح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طلحه بن زید از نظر سند ضعیف است؛ زیرا طلحه بتری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از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پذیرش اعتبار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پذیرش دو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تأویل می بریم به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الذى لم یحلم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غلامی است که به سن پانزده سالگی رسیده اما هنوز محتلم نشده است</w:t>
      </w:r>
      <w:r>
        <w:rPr>
          <w:rFonts w:eastAsia="IRNazanin" w:cs="IRNazanin"/>
          <w:color w:val="111111"/>
          <w:sz w:val="28"/>
          <w:szCs w:val="28"/>
          <w:rtl w:val="true"/>
          <w:lang w:bidi="fa-IR"/>
        </w:rPr>
        <w:t xml:space="preserve">. </w:t>
      </w:r>
      <w:r>
        <w:rPr>
          <w:rStyle w:val="FootnoteAnchor"/>
          <w:rtl w:val="true"/>
        </w:rPr>
        <w:footnoteReference w:id="18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روایت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عاملی از شهید اول </w:t>
      </w:r>
      <w:r>
        <w:rPr>
          <w:rStyle w:val="FootnoteAnchor"/>
          <w:rtl w:val="true"/>
        </w:rPr>
        <w:footnoteReference w:id="1849"/>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1850"/>
      </w:r>
      <w:bookmarkStart w:id="1525" w:name="pg19115_195792"/>
    </w:p>
    <w:p>
      <w:pPr>
        <w:pStyle w:val="BookText"/>
        <w:rPr/>
      </w:pPr>
      <w:bookmarkEnd w:id="1525"/>
      <w:r>
        <w:rPr>
          <w:rFonts w:ascii="IRNazanin" w:hAnsi="IRNazanin" w:eastAsia="IRNazanin"/>
          <w:color w:val="111111"/>
          <w:sz w:val="28"/>
          <w:sz w:val="28"/>
          <w:szCs w:val="28"/>
          <w:rtl w:val="true"/>
          <w:lang w:bidi="fa-IR"/>
        </w:rPr>
        <w:t>نقل می کند که این روایت اولاً مرسل و دارای ضعف سند می باشد و ثانیاً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امامت کودک ممیز در نمازهای مستحبی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جماعت خواند و یا حمل بر اضطرار می شود</w:t>
      </w:r>
      <w:r>
        <w:rPr>
          <w:rFonts w:eastAsia="IRNazanin" w:cs="IRNazanin"/>
          <w:color w:val="111111"/>
          <w:sz w:val="28"/>
          <w:szCs w:val="28"/>
          <w:rtl w:val="true"/>
          <w:lang w:bidi="fa-IR"/>
        </w:rPr>
        <w:t xml:space="preserve">.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البته باید توجه داشت که این راه جمع روایات را علامه حلی رحمه الله از شیخ طوسی گرفته است</w:t>
      </w:r>
      <w:r>
        <w:rPr>
          <w:rFonts w:eastAsia="IRNazanin" w:cs="IRNazanin"/>
          <w:color w:val="111111"/>
          <w:sz w:val="28"/>
          <w:szCs w:val="28"/>
          <w:rtl w:val="true"/>
          <w:lang w:bidi="fa-IR"/>
        </w:rPr>
        <w:t xml:space="preserve">. </w:t>
      </w:r>
      <w:r>
        <w:rPr>
          <w:rStyle w:val="FootnoteAnchor"/>
          <w:rtl w:val="true"/>
        </w:rPr>
        <w:footnoteReference w:id="1852"/>
      </w:r>
      <w:r>
        <w:rPr>
          <w:rFonts w:ascii="IRNazanin" w:hAnsi="IRNazanin" w:eastAsia="IRNazanin"/>
          <w:color w:val="111111"/>
          <w:sz w:val="28"/>
          <w:sz w:val="28"/>
          <w:szCs w:val="28"/>
          <w:rtl w:val="true"/>
          <w:lang w:bidi="fa-IR"/>
        </w:rPr>
        <w:t>راه جمع دیگری که صاحب وسائل بدان اشاره دارد آن است که روایات مجوزه برای امامت نابالغ برای افراد نابالغ صادر شده است</w:t>
      </w:r>
      <w:r>
        <w:rPr>
          <w:rFonts w:eastAsia="IRNazanin" w:cs="IRNazanin"/>
          <w:color w:val="111111"/>
          <w:sz w:val="28"/>
          <w:szCs w:val="28"/>
          <w:rtl w:val="true"/>
          <w:lang w:bidi="fa-IR"/>
        </w:rPr>
        <w:t xml:space="preserve">. </w:t>
      </w:r>
      <w:r>
        <w:rPr>
          <w:rStyle w:val="FootnoteAnchor"/>
          <w:rtl w:val="true"/>
        </w:rPr>
        <w:footnoteReference w:id="1853"/>
      </w:r>
    </w:p>
    <w:p>
      <w:pPr>
        <w:pStyle w:val="Heading6"/>
        <w:numPr>
          <w:ilvl w:val="5"/>
          <w:numId w:val="1"/>
        </w:numPr>
        <w:rPr/>
      </w:pPr>
      <w:bookmarkStart w:id="1526" w:name="__RefHeading___Toc15203368_1280447820"/>
      <w:bookmarkStart w:id="1527" w:name="_Toc595"/>
      <w:bookmarkEnd w:id="1526"/>
      <w:r>
        <w:rPr>
          <w:rtl w:val="true"/>
        </w:rPr>
        <w:t>ج</w:t>
      </w:r>
      <w:r>
        <w:rPr>
          <w:rtl w:val="true"/>
        </w:rPr>
        <w:t xml:space="preserve">) </w:t>
      </w:r>
      <w:r>
        <w:rPr>
          <w:rtl w:val="true"/>
        </w:rPr>
        <w:t>دیدگاه اهل سنت</w:t>
      </w:r>
      <w:bookmarkEnd w:id="1527"/>
    </w:p>
    <w:p>
      <w:pPr>
        <w:pStyle w:val="Heading6"/>
        <w:numPr>
          <w:ilvl w:val="5"/>
          <w:numId w:val="1"/>
        </w:numPr>
        <w:rPr/>
      </w:pPr>
      <w:bookmarkStart w:id="1528" w:name="__RefHeading___Toc15203370_1280447820"/>
      <w:bookmarkStart w:id="1529" w:name="_Toc596"/>
      <w:bookmarkEnd w:id="1528"/>
      <w:r>
        <w:rPr>
          <w:rtl w:val="true"/>
        </w:rPr>
        <w:t>اشاره</w:t>
      </w:r>
      <w:bookmarkEnd w:id="1529"/>
    </w:p>
    <w:p>
      <w:pPr>
        <w:pStyle w:val="Heading6"/>
        <w:numPr>
          <w:ilvl w:val="5"/>
          <w:numId w:val="1"/>
        </w:numPr>
        <w:rPr/>
      </w:pPr>
      <w:bookmarkStart w:id="1530" w:name="__RefHeading___Toc15203372_1280447820"/>
      <w:bookmarkStart w:id="1531" w:name="_Toc597"/>
      <w:bookmarkEnd w:id="1530"/>
      <w:r>
        <w:rPr/>
        <w:t>1</w:t>
      </w:r>
      <w:r>
        <w:rPr>
          <w:rtl w:val="true"/>
        </w:rPr>
        <w:t>و</w:t>
      </w:r>
      <w:r>
        <w:rPr/>
        <w:t>2</w:t>
      </w:r>
      <w:r>
        <w:rPr>
          <w:rtl w:val="true"/>
        </w:rPr>
        <w:t xml:space="preserve">. </w:t>
      </w:r>
      <w:r>
        <w:rPr>
          <w:rtl w:val="true"/>
        </w:rPr>
        <w:t>مذهب حنبلی و مالکی</w:t>
      </w:r>
      <w:bookmarkEnd w:id="153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نمازی که برگزار می شود نماز فریضه باشد مذاهب حنبلی و مالکی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این باورند که از جمله شروط صحت،امامت بالغ بودن است از این رو، اقتدا کردن شخص بالغ در نماز واجب بر صبی ممیز صحیح نیست</w:t>
      </w:r>
      <w:r>
        <w:rPr>
          <w:rFonts w:eastAsia="IRNazanin" w:cs="IRNazanin"/>
          <w:color w:val="111111"/>
          <w:sz w:val="28"/>
          <w:szCs w:val="28"/>
          <w:rtl w:val="true"/>
          <w:lang w:bidi="fa-IR"/>
        </w:rPr>
        <w:t xml:space="preserve">. </w:t>
      </w:r>
      <w:r>
        <w:rPr>
          <w:rStyle w:val="FootnoteAnchor"/>
          <w:rtl w:val="true"/>
        </w:rPr>
        <w:footnoteReference w:id="185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نمازی که به جماعت خوانده می شود، نماز مستحبی باشد، معتقدند که صحیح است که شخص بالغ در نماز نافله به صبى مميّز اقتدا کند</w:t>
      </w:r>
      <w:r>
        <w:rPr>
          <w:rFonts w:eastAsia="IRNazanin" w:cs="IRNazanin"/>
          <w:color w:val="111111"/>
          <w:sz w:val="28"/>
          <w:szCs w:val="28"/>
          <w:rtl w:val="true"/>
          <w:lang w:bidi="fa-IR"/>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حنفیحنفیها خود دارای دو دیدگاه هستند</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این باورند که صبی ممیز به هیچ وجه نمی تواند امام باشد و اقتدا کردن به او نیز جایز نیست نه در نماز واجب و نه در نماز مستحب</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می گویند صبی ممیز میتواند امام جماعت باشد و می توان به او اقتدا کرد به شرطی که نماز مستحبی باشد اما در نماز واجب به هیچ وجه نمی توان به او اقتدا کرد</w:t>
      </w:r>
      <w:r>
        <w:rPr>
          <w:rFonts w:eastAsia="IRNazanin" w:cs="IRNazanin"/>
          <w:color w:val="111111"/>
          <w:sz w:val="28"/>
          <w:szCs w:val="28"/>
          <w:rtl w:val="true"/>
          <w:lang w:bidi="fa-IR"/>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شافعیشافعی ها می گویند اقتدا کردن بالغ بر صبی ممیز در نماز واجب جایز است مگر در نماز جمعه اگر در نماز جمعه امام جماعت جزء تعدادی که نماز جمعه تنها با آن تعداد صحیح است به شمار می آید در این صورت صبی ممیز نمی تواند به عنوان امام جمعه باشد، اما اگر تعداد نمازگزاران بیشتر از تعداد تشکیل نماز جمعه بوده و نیازی به شمار آمدن امام جمعه جزء آنها نیست در این صورت صبی ممیز می تواند امام جمعه باشد</w:t>
      </w:r>
      <w:r>
        <w:rPr>
          <w:rFonts w:eastAsia="IRNazanin" w:cs="IRNazanin"/>
          <w:color w:val="111111"/>
          <w:sz w:val="28"/>
          <w:szCs w:val="28"/>
          <w:rtl w:val="true"/>
          <w:lang w:bidi="fa-IR"/>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اشارهیکی دیگر از شرایط امام جماعت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به این معنا كه ولد الزنا نباشد؛ یعنی اگر معلوم نباشد که شخصی ولد الزناست یا نه </w:t>
      </w:r>
      <w:r>
        <w:rPr>
          <w:rStyle w:val="FootnoteAnchor"/>
          <w:rtl w:val="true"/>
        </w:rPr>
        <w:footnoteReference w:id="1859"/>
      </w:r>
      <w:r>
        <w:rPr>
          <w:rFonts w:ascii="IRNazanin" w:hAnsi="IRNazanin" w:eastAsia="IRNazanin"/>
          <w:color w:val="111111"/>
          <w:sz w:val="28"/>
          <w:sz w:val="28"/>
          <w:szCs w:val="28"/>
          <w:rtl w:val="true"/>
          <w:lang w:bidi="fa-IR"/>
        </w:rPr>
        <w:t>هر چند بین مردم مشهور شده باشد که ولد الزناست اما شرعاً ثابت نشده یا این که ولد الشبهه باشد یا این که معلوم نباشد پدرش،کیست اگر سایر شرایط را داشته باشد می تواند امام جماعت باشد</w:t>
      </w:r>
      <w:r>
        <w:rPr>
          <w:rFonts w:eastAsia="IRNazanin" w:cs="IRNazanin"/>
          <w:color w:val="111111"/>
          <w:sz w:val="28"/>
          <w:szCs w:val="28"/>
          <w:rtl w:val="true"/>
          <w:lang w:bidi="fa-IR"/>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اگر شرعاً ثابت شود که شخصی ولد الزناست صحیح نیست که امام جماعت باشد این شرط اجماعی بوده و فقیهان بزرگی ادعای اجماع و نفی خلاف نسبت به آن داشته اند که از جمله ایشان عبارتند از</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انتصار، </w:t>
      </w:r>
      <w:r>
        <w:rPr>
          <w:rStyle w:val="FootnoteAnchor"/>
          <w:rtl w:val="true"/>
        </w:rPr>
        <w:footnoteReference w:id="1861"/>
      </w:r>
      <w:r>
        <w:rPr>
          <w:rFonts w:ascii="IRNazanin" w:hAnsi="IRNazanin" w:eastAsia="IRNazanin"/>
          <w:color w:val="111111"/>
          <w:sz w:val="28"/>
          <w:sz w:val="28"/>
          <w:szCs w:val="28"/>
          <w:rtl w:val="true"/>
          <w:lang w:bidi="fa-IR"/>
        </w:rPr>
        <w:t xml:space="preserve">شیخ طوسی در خلاف، </w:t>
      </w:r>
      <w:r>
        <w:rPr>
          <w:rStyle w:val="FootnoteAnchor"/>
          <w:rtl w:val="true"/>
        </w:rPr>
        <w:footnoteReference w:id="1862"/>
      </w:r>
      <w:r>
        <w:rPr>
          <w:rFonts w:ascii="IRNazanin" w:hAnsi="IRNazanin" w:eastAsia="IRNazanin"/>
          <w:color w:val="111111"/>
          <w:sz w:val="28"/>
          <w:sz w:val="28"/>
          <w:szCs w:val="28"/>
          <w:rtl w:val="true"/>
          <w:lang w:bidi="fa-IR"/>
        </w:rPr>
        <w:t xml:space="preserve">ابن زهره در غنیه </w:t>
      </w:r>
      <w:r>
        <w:rPr>
          <w:rStyle w:val="FootnoteAnchor"/>
          <w:rtl w:val="true"/>
        </w:rPr>
        <w:footnoteReference w:id="1863"/>
      </w:r>
      <w:r>
        <w:rPr>
          <w:rFonts w:ascii="IRNazanin" w:hAnsi="IRNazanin" w:eastAsia="IRNazanin"/>
          <w:color w:val="111111"/>
          <w:sz w:val="28"/>
          <w:sz w:val="28"/>
          <w:szCs w:val="28"/>
          <w:rtl w:val="true"/>
          <w:lang w:bidi="fa-IR"/>
        </w:rPr>
        <w:t>، محقق حلی در معتبر،</w:t>
      </w:r>
      <w:r>
        <w:rPr>
          <w:rStyle w:val="FootnoteAnchor"/>
          <w:rtl w:val="true"/>
        </w:rPr>
        <w:footnoteReference w:id="1864"/>
      </w:r>
      <w:r>
        <w:rPr>
          <w:rFonts w:ascii="IRNazanin" w:hAnsi="IRNazanin" w:eastAsia="IRNazanin"/>
          <w:color w:val="111111"/>
          <w:sz w:val="28"/>
          <w:sz w:val="28"/>
          <w:szCs w:val="28"/>
          <w:rtl w:val="true"/>
          <w:lang w:bidi="fa-IR"/>
        </w:rPr>
        <w:t xml:space="preserve">علامه حلی رحمه الله در نهایه و تذکره </w:t>
      </w:r>
      <w:r>
        <w:rPr>
          <w:rStyle w:val="FootnoteAnchor"/>
          <w:rtl w:val="true"/>
        </w:rPr>
        <w:footnoteReference w:id="1865"/>
      </w:r>
      <w:r>
        <w:rPr>
          <w:rFonts w:ascii="IRNazanin" w:hAnsi="IRNazanin" w:eastAsia="IRNazanin"/>
          <w:color w:val="111111"/>
          <w:sz w:val="28"/>
          <w:sz w:val="28"/>
          <w:szCs w:val="28"/>
          <w:rtl w:val="true"/>
          <w:lang w:bidi="fa-IR"/>
        </w:rPr>
        <w:t xml:space="preserve">شهید اول در ذکری، </w:t>
      </w:r>
      <w:r>
        <w:rPr>
          <w:rStyle w:val="FootnoteAnchor"/>
          <w:rtl w:val="true"/>
        </w:rPr>
        <w:footnoteReference w:id="1866"/>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867"/>
      </w:r>
      <w:r>
        <w:rPr>
          <w:rFonts w:ascii="IRNazanin" w:hAnsi="IRNazanin" w:eastAsia="IRNazanin"/>
          <w:color w:val="111111"/>
          <w:sz w:val="28"/>
          <w:sz w:val="28"/>
          <w:szCs w:val="28"/>
          <w:rtl w:val="true"/>
          <w:lang w:bidi="fa-IR"/>
        </w:rPr>
        <w:t xml:space="preserve">سبزواری در ذخیره المعاد، </w:t>
      </w:r>
      <w:r>
        <w:rPr>
          <w:rStyle w:val="FootnoteAnchor"/>
          <w:rtl w:val="true"/>
        </w:rPr>
        <w:footnoteReference w:id="1868"/>
      </w:r>
      <w:r>
        <w:rPr>
          <w:rFonts w:ascii="IRNazanin" w:hAnsi="IRNazanin" w:eastAsia="IRNazanin"/>
          <w:color w:val="111111"/>
          <w:sz w:val="28"/>
          <w:sz w:val="28"/>
          <w:szCs w:val="28"/>
          <w:rtl w:val="true"/>
          <w:lang w:bidi="fa-IR"/>
        </w:rPr>
        <w:t>آقا وحید بهبهانی در مصابیح الظلام</w:t>
      </w:r>
      <w:r>
        <w:rPr>
          <w:rFonts w:eastAsia="IRNazanin" w:cs="IRNazanin"/>
          <w:color w:val="111111"/>
          <w:sz w:val="28"/>
          <w:szCs w:val="28"/>
          <w:rtl w:val="true"/>
          <w:lang w:bidi="fa-IR"/>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روایاتی نیز در این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گروه هستند که در هیچ حالی امام مردم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از جمله این پنج گروه، مجنون و ولد الزنا را برشمرد</w:t>
      </w:r>
      <w:r>
        <w:rPr>
          <w:rFonts w:eastAsia="IRNazanin" w:cs="IRNazanin"/>
          <w:color w:val="111111"/>
          <w:sz w:val="28"/>
          <w:szCs w:val="28"/>
          <w:rtl w:val="true"/>
          <w:lang w:bidi="fa-IR"/>
        </w:rPr>
        <w:t xml:space="preserve">. </w:t>
      </w:r>
      <w:r>
        <w:rPr>
          <w:rStyle w:val="FootnoteAnchor"/>
          <w:rtl w:val="true"/>
        </w:rPr>
        <w:footnoteReference w:id="187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نباید پشت سر مجنون و ولدالزنا نماز بخواند</w:t>
      </w:r>
      <w:r>
        <w:rPr>
          <w:rFonts w:eastAsia="IRNazanin" w:cs="IRNazanin"/>
          <w:color w:val="111111"/>
          <w:sz w:val="28"/>
          <w:szCs w:val="28"/>
          <w:rtl w:val="true"/>
          <w:lang w:bidi="fa-IR"/>
        </w:rPr>
        <w:t xml:space="preserve">» </w:t>
      </w:r>
      <w:r>
        <w:rPr>
          <w:rStyle w:val="FootnoteAnchor"/>
          <w:rtl w:val="true"/>
        </w:rPr>
        <w:footnoteReference w:id="1871"/>
      </w:r>
      <w:bookmarkStart w:id="1532" w:name="pg19115_195796"/>
    </w:p>
    <w:p>
      <w:pPr>
        <w:pStyle w:val="BookText"/>
        <w:rPr/>
      </w:pPr>
      <w:bookmarkEnd w:id="15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گروه هستند که امام مردم نمی شوند و با مردم نماز واجب را به جماعت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ایشان ولد الزنا است</w:t>
      </w:r>
      <w:r>
        <w:rPr>
          <w:rFonts w:eastAsia="IRNazanin" w:cs="IRNazanin"/>
          <w:color w:val="111111"/>
          <w:sz w:val="28"/>
          <w:szCs w:val="28"/>
          <w:rtl w:val="true"/>
          <w:lang w:bidi="fa-IR"/>
        </w:rPr>
        <w:t xml:space="preserve">.» </w:t>
      </w:r>
      <w:r>
        <w:rPr>
          <w:rStyle w:val="FootnoteAnchor"/>
          <w:rtl w:val="true"/>
        </w:rPr>
        <w:footnoteReference w:id="18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از امیرالمؤمنین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گروه هستند که سزاوار نیست امامت مردم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ولد الزناست</w:t>
      </w:r>
      <w:r>
        <w:rPr>
          <w:rFonts w:eastAsia="IRNazanin" w:cs="IRNazanin"/>
          <w:color w:val="111111"/>
          <w:sz w:val="28"/>
          <w:szCs w:val="28"/>
          <w:rtl w:val="true"/>
          <w:lang w:bidi="fa-IR"/>
        </w:rPr>
        <w:t xml:space="preserve">.» </w:t>
      </w:r>
      <w:r>
        <w:rPr>
          <w:rStyle w:val="FootnoteAnchor"/>
          <w:rtl w:val="true"/>
        </w:rPr>
        <w:footnoteReference w:id="1873"/>
      </w:r>
    </w:p>
    <w:p>
      <w:pPr>
        <w:pStyle w:val="Heading6"/>
        <w:numPr>
          <w:ilvl w:val="5"/>
          <w:numId w:val="1"/>
        </w:numPr>
        <w:rPr/>
      </w:pPr>
      <w:bookmarkStart w:id="1533" w:name="__RefHeading___Toc15203374_1280447820"/>
      <w:bookmarkStart w:id="1534" w:name="_Toc598"/>
      <w:bookmarkEnd w:id="1533"/>
      <w:r>
        <w:rPr>
          <w:rtl w:val="true"/>
        </w:rPr>
        <w:t>دیدگاه اهل سنت</w:t>
      </w:r>
      <w:bookmarkEnd w:id="1534"/>
    </w:p>
    <w:p>
      <w:pPr>
        <w:pStyle w:val="Heading6"/>
        <w:numPr>
          <w:ilvl w:val="5"/>
          <w:numId w:val="1"/>
        </w:numPr>
        <w:rPr/>
      </w:pPr>
      <w:bookmarkStart w:id="1535" w:name="__RefHeading___Toc15203376_1280447820"/>
      <w:bookmarkStart w:id="1536" w:name="_Toc599"/>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هر چهار مذهب اهل تسنن قائل به جواز امامت ولد الزنا شده اند، لیکن برخی مکروه دانسته و برخی تفصیل داده اند</w:t>
      </w:r>
      <w:r>
        <w:rPr>
          <w:rFonts w:eastAsia="IRNazanin" w:cs="IRNazanin"/>
          <w:color w:val="111111"/>
          <w:sz w:val="28"/>
          <w:szCs w:val="28"/>
          <w:rtl w:val="true"/>
          <w:lang w:bidi="fa-IR"/>
        </w:rPr>
        <w:t>.</w:t>
      </w:r>
    </w:p>
    <w:p>
      <w:pPr>
        <w:pStyle w:val="Heading6"/>
        <w:numPr>
          <w:ilvl w:val="5"/>
          <w:numId w:val="1"/>
        </w:numPr>
        <w:rPr/>
      </w:pPr>
      <w:bookmarkStart w:id="1537" w:name="__RefHeading___Toc15203378_1280447820"/>
      <w:bookmarkStart w:id="1538" w:name="_Toc600"/>
      <w:bookmarkEnd w:id="1537"/>
      <w:r>
        <w:rPr/>
        <w:t>1</w:t>
      </w:r>
      <w:r>
        <w:rPr>
          <w:rtl w:val="true"/>
        </w:rPr>
        <w:t xml:space="preserve">. </w:t>
      </w:r>
      <w:r>
        <w:rPr>
          <w:rtl w:val="true"/>
        </w:rPr>
        <w:t>مذهب شافعی</w:t>
      </w:r>
      <w:bookmarkEnd w:id="1538"/>
    </w:p>
    <w:p>
      <w:pPr>
        <w:pStyle w:val="BookText"/>
        <w:rPr/>
      </w:pPr>
      <w:r>
        <w:rPr>
          <w:rFonts w:ascii="IRNazanin" w:hAnsi="IRNazanin" w:eastAsia="IRNazanin"/>
          <w:color w:val="111111"/>
          <w:sz w:val="28"/>
          <w:sz w:val="28"/>
          <w:szCs w:val="28"/>
          <w:rtl w:val="true"/>
          <w:lang w:bidi="fa-IR"/>
        </w:rPr>
        <w:t>شافعی ها معتقدند که امامت ولد الزنا جایز اما مکروه است</w:t>
      </w:r>
      <w:r>
        <w:rPr>
          <w:rFonts w:eastAsia="IRNazanin" w:cs="IRNazanin"/>
          <w:color w:val="111111"/>
          <w:sz w:val="28"/>
          <w:szCs w:val="28"/>
          <w:rtl w:val="true"/>
          <w:lang w:bidi="fa-IR"/>
        </w:rPr>
        <w:t xml:space="preserve">. </w:t>
      </w:r>
      <w:r>
        <w:rPr>
          <w:rStyle w:val="FootnoteAnchor"/>
          <w:rtl w:val="true"/>
        </w:rPr>
        <w:footnoteReference w:id="1874"/>
      </w:r>
    </w:p>
    <w:p>
      <w:pPr>
        <w:pStyle w:val="Heading6"/>
        <w:numPr>
          <w:ilvl w:val="5"/>
          <w:numId w:val="1"/>
        </w:numPr>
        <w:rPr/>
      </w:pPr>
      <w:bookmarkStart w:id="1539" w:name="__RefHeading___Toc15203380_1280447820"/>
      <w:bookmarkStart w:id="1540" w:name="_Toc601"/>
      <w:bookmarkEnd w:id="1539"/>
      <w:r>
        <w:rPr/>
        <w:t>2</w:t>
      </w:r>
      <w:r>
        <w:rPr>
          <w:rtl w:val="true"/>
        </w:rPr>
        <w:t xml:space="preserve">. </w:t>
      </w:r>
      <w:r>
        <w:rPr>
          <w:rtl w:val="true"/>
        </w:rPr>
        <w:t>مذهب مالکی</w:t>
      </w:r>
      <w:bookmarkEnd w:id="154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ولد الزنا بخواهد همیشه امام جماعت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اما اگر به صورت غیر راتب امام جماعت باشد کراهت نیز ندارد</w:t>
      </w:r>
      <w:r>
        <w:rPr>
          <w:rFonts w:eastAsia="IRNazanin" w:cs="IRNazanin"/>
          <w:color w:val="111111"/>
          <w:sz w:val="28"/>
          <w:szCs w:val="28"/>
          <w:rtl w:val="true"/>
          <w:lang w:bidi="fa-IR"/>
        </w:rPr>
        <w:t xml:space="preserve">. </w:t>
      </w:r>
      <w:r>
        <w:rPr>
          <w:rStyle w:val="FootnoteAnchor"/>
          <w:rtl w:val="true"/>
        </w:rPr>
        <w:footnoteReference w:id="1875"/>
      </w:r>
      <w:bookmarkStart w:id="1541" w:name="pg19115_195797"/>
    </w:p>
    <w:p>
      <w:pPr>
        <w:pStyle w:val="Heading6"/>
        <w:numPr>
          <w:ilvl w:val="5"/>
          <w:numId w:val="1"/>
        </w:numPr>
        <w:rPr/>
      </w:pPr>
      <w:bookmarkStart w:id="1542" w:name="__RefHeading___Toc15203382_1280447820"/>
      <w:bookmarkStart w:id="1543" w:name="_Toc602"/>
      <w:bookmarkEnd w:id="1541"/>
      <w:bookmarkEnd w:id="1542"/>
      <w:r>
        <w:rPr/>
        <w:t>3</w:t>
      </w:r>
      <w:r>
        <w:rPr>
          <w:rtl w:val="true"/>
        </w:rPr>
        <w:t xml:space="preserve">. </w:t>
      </w:r>
      <w:r>
        <w:rPr>
          <w:rtl w:val="true"/>
        </w:rPr>
        <w:t>مذهب حنبلی</w:t>
      </w:r>
      <w:bookmarkEnd w:id="1543"/>
    </w:p>
    <w:p>
      <w:pPr>
        <w:pStyle w:val="Heading6"/>
        <w:numPr>
          <w:ilvl w:val="5"/>
          <w:numId w:val="1"/>
        </w:numPr>
        <w:rPr/>
      </w:pPr>
      <w:bookmarkStart w:id="1544" w:name="__RefHeading___Toc15203384_1280447820"/>
      <w:bookmarkStart w:id="1545" w:name="_Toc603"/>
      <w:bookmarkEnd w:id="1544"/>
      <w:r>
        <w:rPr>
          <w:rtl w:val="true"/>
        </w:rPr>
        <w:t>اشاره</w:t>
      </w:r>
      <w:bookmarkEnd w:id="1545"/>
    </w:p>
    <w:p>
      <w:pPr>
        <w:pStyle w:val="Heading5"/>
        <w:numPr>
          <w:ilvl w:val="4"/>
          <w:numId w:val="1"/>
        </w:numPr>
        <w:rPr/>
      </w:pPr>
      <w:bookmarkStart w:id="1546" w:name="__RefHeading___Toc15203386_1280447820"/>
      <w:bookmarkStart w:id="1547" w:name="_Toc604"/>
      <w:bookmarkEnd w:id="1546"/>
      <w:r>
        <w:rPr>
          <w:rtl w:val="true"/>
        </w:rPr>
        <w:t>گفتار چهارم</w:t>
      </w:r>
      <w:r>
        <w:rPr>
          <w:rtl w:val="true"/>
        </w:rPr>
        <w:t xml:space="preserve">: </w:t>
      </w:r>
      <w:r>
        <w:rPr>
          <w:rtl w:val="true"/>
        </w:rPr>
        <w:t>ایمان</w:t>
      </w:r>
      <w:bookmarkEnd w:id="1547"/>
    </w:p>
    <w:p>
      <w:pPr>
        <w:pStyle w:val="BookText"/>
        <w:rPr/>
      </w:pPr>
      <w:r>
        <w:rPr>
          <w:rFonts w:ascii="IRNazanin" w:hAnsi="IRNazanin" w:eastAsia="IRNazanin"/>
          <w:color w:val="111111"/>
          <w:sz w:val="28"/>
          <w:sz w:val="28"/>
          <w:szCs w:val="28"/>
          <w:rtl w:val="true"/>
          <w:lang w:bidi="fa-IR"/>
        </w:rPr>
        <w:t>ایمان نزد امامیه تنها از راه اعتراف به امامت ائمه اثنا عشر علیهم السلام محقق می شود مگر کسی که در زمان یک امام علیه السلام از دنیا رفته باشد که در این صورت اگر امام زمان خود و ائمه علیهم السلام پیشین را شناخته و نسبت به آنها معرفت داشته و امامت ایشان را بپذیرد کافی است</w:t>
      </w:r>
      <w:r>
        <w:rPr>
          <w:rFonts w:eastAsia="IRNazanin" w:cs="IRNazanin"/>
          <w:color w:val="111111"/>
          <w:sz w:val="28"/>
          <w:szCs w:val="28"/>
          <w:rtl w:val="true"/>
          <w:lang w:bidi="fa-IR"/>
        </w:rPr>
        <w:t xml:space="preserve">. </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این شرط اجماعی بوده و اختلافی در آن وجود ندارد از جمله فقیهانی که به این اجماع تصریح کرده اند عبارتند از</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رحمه الله در خلاف، </w:t>
      </w:r>
      <w:r>
        <w:rPr>
          <w:rStyle w:val="FootnoteAnchor"/>
          <w:rtl w:val="true"/>
        </w:rPr>
        <w:footnoteReference w:id="1877"/>
      </w:r>
      <w:r>
        <w:rPr>
          <w:rFonts w:ascii="IRNazanin" w:hAnsi="IRNazanin" w:eastAsia="IRNazanin"/>
          <w:color w:val="111111"/>
          <w:sz w:val="28"/>
          <w:sz w:val="28"/>
          <w:szCs w:val="28"/>
          <w:rtl w:val="true"/>
          <w:lang w:bidi="fa-IR"/>
        </w:rPr>
        <w:t xml:space="preserve">محقق حلی در معتبر </w:t>
      </w:r>
      <w:r>
        <w:rPr>
          <w:rStyle w:val="FootnoteAnchor"/>
          <w:rtl w:val="true"/>
        </w:rPr>
        <w:footnoteReference w:id="1878"/>
      </w:r>
      <w:r>
        <w:rPr>
          <w:rFonts w:ascii="IRNazanin" w:hAnsi="IRNazanin" w:eastAsia="IRNazanin"/>
          <w:color w:val="111111"/>
          <w:sz w:val="28"/>
          <w:sz w:val="28"/>
          <w:szCs w:val="28"/>
          <w:rtl w:val="true"/>
          <w:lang w:bidi="fa-IR"/>
        </w:rPr>
        <w:t xml:space="preserve">علامه حلی رحمه الله در منتهی و </w:t>
      </w:r>
    </w:p>
    <w:p>
      <w:pPr>
        <w:pStyle w:val="BookText"/>
        <w:rPr/>
      </w:pPr>
      <w:r>
        <w:rPr>
          <w:rFonts w:ascii="IRNazanin" w:hAnsi="IRNazanin" w:eastAsia="IRNazanin"/>
          <w:color w:val="111111"/>
          <w:sz w:val="28"/>
          <w:sz w:val="28"/>
          <w:szCs w:val="28"/>
          <w:rtl w:val="true"/>
          <w:lang w:bidi="fa-IR"/>
        </w:rPr>
        <w:t xml:space="preserve">تذکره، </w:t>
      </w:r>
      <w:r>
        <w:rPr>
          <w:rStyle w:val="FootnoteAnchor"/>
          <w:rtl w:val="true"/>
        </w:rPr>
        <w:footnoteReference w:id="1879"/>
      </w:r>
      <w:r>
        <w:rPr>
          <w:rFonts w:ascii="IRNazanin" w:hAnsi="IRNazanin" w:eastAsia="IRNazanin"/>
          <w:color w:val="111111"/>
          <w:sz w:val="28"/>
          <w:sz w:val="28"/>
          <w:szCs w:val="28"/>
          <w:rtl w:val="true"/>
          <w:lang w:bidi="fa-IR"/>
        </w:rPr>
        <w:t xml:space="preserve">شهید اول در ذکری، </w:t>
      </w:r>
      <w:r>
        <w:rPr>
          <w:rStyle w:val="FootnoteAnchor"/>
          <w:rtl w:val="true"/>
        </w:rPr>
        <w:footnoteReference w:id="1880"/>
      </w:r>
      <w:r>
        <w:rPr>
          <w:rFonts w:ascii="IRNazanin" w:hAnsi="IRNazanin" w:eastAsia="IRNazanin"/>
          <w:color w:val="111111"/>
          <w:sz w:val="28"/>
          <w:sz w:val="28"/>
          <w:szCs w:val="28"/>
          <w:rtl w:val="true"/>
          <w:lang w:bidi="fa-IR"/>
        </w:rPr>
        <w:t>صیمری در کشف الالتباس،</w:t>
      </w:r>
      <w:r>
        <w:rPr>
          <w:rStyle w:val="FootnoteAnchor"/>
          <w:rtl w:val="true"/>
        </w:rPr>
        <w:footnoteReference w:id="1881"/>
      </w:r>
      <w:r>
        <w:rPr>
          <w:rFonts w:ascii="IRNazanin" w:hAnsi="IRNazanin" w:eastAsia="IRNazanin"/>
          <w:color w:val="111111"/>
          <w:sz w:val="28"/>
          <w:sz w:val="28"/>
          <w:szCs w:val="28"/>
          <w:rtl w:val="true"/>
          <w:lang w:bidi="fa-IR"/>
        </w:rPr>
        <w:t>فاضل هندی در اللثام</w:t>
      </w:r>
      <w:r>
        <w:rPr>
          <w:rFonts w:eastAsia="IRNazanin" w:cs="IRNazanin"/>
          <w:color w:val="111111"/>
          <w:sz w:val="28"/>
          <w:szCs w:val="28"/>
          <w:rtl w:val="true"/>
          <w:lang w:bidi="fa-IR"/>
        </w:rPr>
        <w:t xml:space="preserve">.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البته برخی دیگر از فقها نیز نفی خلاف از این مسئله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در غنیه، </w:t>
      </w:r>
      <w:r>
        <w:rPr>
          <w:rStyle w:val="FootnoteAnchor"/>
          <w:rtl w:val="true"/>
        </w:rPr>
        <w:footnoteReference w:id="1883"/>
      </w:r>
      <w:r>
        <w:rPr>
          <w:rFonts w:ascii="IRNazanin" w:hAnsi="IRNazanin" w:eastAsia="IRNazanin"/>
          <w:color w:val="111111"/>
          <w:sz w:val="28"/>
          <w:sz w:val="28"/>
          <w:szCs w:val="28"/>
          <w:rtl w:val="true"/>
          <w:lang w:bidi="fa-IR"/>
        </w:rPr>
        <w:t xml:space="preserve">مرحوم سبزواری در ذخیره، </w:t>
      </w:r>
      <w:r>
        <w:rPr>
          <w:rStyle w:val="FootnoteAnchor"/>
          <w:rtl w:val="true"/>
        </w:rPr>
        <w:footnoteReference w:id="1884"/>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885"/>
      </w:r>
      <w:r>
        <w:rPr>
          <w:rFonts w:ascii="IRNazanin" w:hAnsi="IRNazanin" w:eastAsia="IRNazanin"/>
          <w:color w:val="111111"/>
          <w:sz w:val="28"/>
          <w:sz w:val="28"/>
          <w:szCs w:val="28"/>
          <w:rtl w:val="true"/>
          <w:lang w:bidi="fa-IR"/>
        </w:rPr>
        <w:t xml:space="preserve">آقاوحید بهبهانی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 xml:space="preserve">بنابراین، همان گونه که سید عاملی در مفتاح الکرامه اشاره دارد، از ادله عقلیه و نقلیه بسیاری به دست می آید که مؤمن به کسی گفته می شود که اصول پنج گانه را با دلیل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این اصول امامت ائمه اثناعشر است</w:t>
      </w:r>
      <w:r>
        <w:rPr>
          <w:rFonts w:eastAsia="IRNazanin" w:cs="IRNazanin"/>
          <w:color w:val="111111"/>
          <w:sz w:val="28"/>
          <w:szCs w:val="28"/>
          <w:rtl w:val="true"/>
          <w:lang w:bidi="fa-IR"/>
        </w:rPr>
        <w:t xml:space="preserve">.] </w:t>
      </w:r>
      <w:r>
        <w:rPr>
          <w:rStyle w:val="FootnoteAnchor"/>
          <w:rtl w:val="true"/>
        </w:rPr>
        <w:footnoteReference w:id="188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عدم جواز اقتدا به مخالفین در صورتی است که تقیه نباشد، اما اگر از روی تقیه باشد اشکالی ندارد شیخ حر عاملی رحمه الله در این باره در کتاب وسائل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ذیل بابی با این عنوان گردآوری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است که امام جماعت مؤمن و از موالی ائمه علیهم السلام باشد و جایز نیست اقتدا به کسی که با اعتقادات اصولی صحیح مخالف است مگر این که به جهت تقیه اقتدا کند</w:t>
      </w:r>
      <w:r>
        <w:rPr>
          <w:rFonts w:eastAsia="IRNazanin" w:cs="IRNazanin"/>
          <w:color w:val="111111"/>
          <w:sz w:val="28"/>
          <w:szCs w:val="28"/>
          <w:rtl w:val="true"/>
          <w:lang w:bidi="fa-IR"/>
        </w:rPr>
        <w:t xml:space="preserve">» </w:t>
      </w:r>
      <w:r>
        <w:rPr>
          <w:rStyle w:val="FootnoteAnchor"/>
          <w:rtl w:val="true"/>
        </w:rPr>
        <w:footnoteReference w:id="1888"/>
      </w:r>
      <w:bookmarkStart w:id="1548" w:name="pg19115_195799"/>
    </w:p>
    <w:p>
      <w:pPr>
        <w:pStyle w:val="Heading5"/>
        <w:numPr>
          <w:ilvl w:val="4"/>
          <w:numId w:val="1"/>
        </w:numPr>
        <w:rPr/>
      </w:pPr>
      <w:bookmarkStart w:id="1549" w:name="__RefHeading___Toc15203388_1280447820"/>
      <w:bookmarkStart w:id="1550" w:name="_Toc605"/>
      <w:bookmarkEnd w:id="1548"/>
      <w:bookmarkEnd w:id="1549"/>
      <w:r>
        <w:rPr>
          <w:rtl w:val="true"/>
        </w:rPr>
        <w:t>گفتار پنجم</w:t>
      </w:r>
      <w:r>
        <w:rPr>
          <w:rtl w:val="true"/>
        </w:rPr>
        <w:t xml:space="preserve">: </w:t>
      </w:r>
      <w:r>
        <w:rPr>
          <w:rtl w:val="true"/>
        </w:rPr>
        <w:t>مرد بودن</w:t>
      </w:r>
      <w:bookmarkEnd w:id="1550"/>
    </w:p>
    <w:p>
      <w:pPr>
        <w:pStyle w:val="Heading6"/>
        <w:numPr>
          <w:ilvl w:val="5"/>
          <w:numId w:val="1"/>
        </w:numPr>
        <w:rPr/>
      </w:pPr>
      <w:bookmarkStart w:id="1551" w:name="__RefHeading___Toc15203390_1280447820"/>
      <w:bookmarkStart w:id="1552" w:name="_Toc606"/>
      <w:bookmarkEnd w:id="1551"/>
      <w:r>
        <w:rPr>
          <w:rtl w:val="true"/>
        </w:rPr>
        <w:t>اشاره</w:t>
      </w:r>
      <w:bookmarkEnd w:id="1552"/>
    </w:p>
    <w:p>
      <w:pPr>
        <w:pStyle w:val="BookText"/>
        <w:rPr/>
      </w:pPr>
      <w:r>
        <w:rPr>
          <w:rFonts w:ascii="IRNazanin" w:hAnsi="IRNazanin" w:eastAsia="IRNazanin"/>
          <w:color w:val="111111"/>
          <w:sz w:val="28"/>
          <w:sz w:val="28"/>
          <w:szCs w:val="28"/>
          <w:rtl w:val="true"/>
          <w:lang w:bidi="fa-IR"/>
        </w:rPr>
        <w:t>یکی دیگر از شرایطی که در کتب فقهی برای امام جماعت ذکر شده است 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مأمومین مرد هستند امام جماعت باید مرد باشد و زن تنها می تواند برای زن امامت،کند ولی زن برای خنثی حق ندارد امامت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احتمال دارد که خنثی در واقع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طریق اولی اگر زن برای مرد امامت کند حرام است ادله این شرط عبارتند از</w:t>
      </w:r>
      <w:r>
        <w:rPr>
          <w:rFonts w:eastAsia="IRNazanin" w:cs="IRNazanin"/>
          <w:color w:val="111111"/>
          <w:sz w:val="28"/>
          <w:szCs w:val="28"/>
          <w:rtl w:val="true"/>
          <w:lang w:bidi="fa-IR"/>
        </w:rPr>
        <w:t>:</w:t>
      </w:r>
    </w:p>
    <w:p>
      <w:pPr>
        <w:pStyle w:val="Heading6"/>
        <w:numPr>
          <w:ilvl w:val="5"/>
          <w:numId w:val="1"/>
        </w:numPr>
        <w:rPr/>
      </w:pPr>
      <w:bookmarkStart w:id="1553" w:name="__RefHeading___Toc15203392_1280447820"/>
      <w:bookmarkStart w:id="1554" w:name="_Toc607"/>
      <w:bookmarkEnd w:id="1553"/>
      <w:r>
        <w:rPr>
          <w:rtl w:val="true"/>
        </w:rPr>
        <w:t>الف</w:t>
      </w:r>
      <w:r>
        <w:rPr>
          <w:rtl w:val="true"/>
        </w:rPr>
        <w:t xml:space="preserve">) </w:t>
      </w:r>
      <w:r>
        <w:rPr>
          <w:rtl w:val="true"/>
        </w:rPr>
        <w:t>ادله شرط بودن رجولیت</w:t>
      </w:r>
      <w:bookmarkEnd w:id="1554"/>
    </w:p>
    <w:p>
      <w:pPr>
        <w:pStyle w:val="Heading6"/>
        <w:numPr>
          <w:ilvl w:val="5"/>
          <w:numId w:val="1"/>
        </w:numPr>
        <w:rPr/>
      </w:pPr>
      <w:bookmarkStart w:id="1555" w:name="__RefHeading___Toc15203394_1280447820"/>
      <w:bookmarkStart w:id="1556" w:name="_Toc608"/>
      <w:bookmarkEnd w:id="1555"/>
      <w:r>
        <w:rPr/>
        <w:t>1</w:t>
      </w:r>
      <w:r>
        <w:rPr>
          <w:rtl w:val="true"/>
        </w:rPr>
        <w:t xml:space="preserve">. </w:t>
      </w:r>
      <w:r>
        <w:rPr>
          <w:rtl w:val="true"/>
        </w:rPr>
        <w:t>اجماع</w:t>
      </w:r>
      <w:bookmarkEnd w:id="1556"/>
    </w:p>
    <w:p>
      <w:pPr>
        <w:pStyle w:val="BookText"/>
        <w:rPr/>
      </w:pPr>
      <w:r>
        <w:rPr>
          <w:rFonts w:ascii="IRNazanin" w:hAnsi="IRNazanin" w:eastAsia="IRNazanin"/>
          <w:color w:val="111111"/>
          <w:sz w:val="28"/>
          <w:sz w:val="28"/>
          <w:szCs w:val="28"/>
          <w:rtl w:val="true"/>
          <w:lang w:bidi="fa-IR"/>
        </w:rPr>
        <w:t>از جمله فقیهانی که بر این شرط ادعای اجماع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خلاف، </w:t>
      </w:r>
      <w:r>
        <w:rPr>
          <w:rStyle w:val="FootnoteAnchor"/>
          <w:rtl w:val="true"/>
        </w:rPr>
        <w:footnoteReference w:id="1889"/>
      </w:r>
      <w:r>
        <w:rPr>
          <w:rFonts w:ascii="IRNazanin" w:hAnsi="IRNazanin" w:eastAsia="IRNazanin"/>
          <w:color w:val="111111"/>
          <w:sz w:val="28"/>
          <w:sz w:val="28"/>
          <w:szCs w:val="28"/>
          <w:rtl w:val="true"/>
          <w:lang w:bidi="fa-IR"/>
        </w:rPr>
        <w:t xml:space="preserve">محقق حلی در معتبر، </w:t>
      </w:r>
      <w:r>
        <w:rPr>
          <w:rStyle w:val="FootnoteAnchor"/>
          <w:rtl w:val="true"/>
        </w:rPr>
        <w:footnoteReference w:id="1890"/>
      </w:r>
      <w:r>
        <w:rPr>
          <w:rFonts w:ascii="IRNazanin" w:hAnsi="IRNazanin" w:eastAsia="IRNazanin"/>
          <w:color w:val="111111"/>
          <w:sz w:val="28"/>
          <w:sz w:val="28"/>
          <w:szCs w:val="28"/>
          <w:rtl w:val="true"/>
          <w:lang w:bidi="fa-IR"/>
        </w:rPr>
        <w:t xml:space="preserve">علامه حلی رحمه الله در تذکره و نهايه الإحكام، </w:t>
      </w:r>
      <w:r>
        <w:rPr>
          <w:rStyle w:val="FootnoteAnchor"/>
          <w:rtl w:val="true"/>
        </w:rPr>
        <w:footnoteReference w:id="1891"/>
      </w:r>
      <w:r>
        <w:rPr>
          <w:rFonts w:ascii="IRNazanin" w:hAnsi="IRNazanin" w:eastAsia="IRNazanin"/>
          <w:color w:val="111111"/>
          <w:sz w:val="28"/>
          <w:sz w:val="28"/>
          <w:szCs w:val="28"/>
          <w:rtl w:val="true"/>
          <w:lang w:bidi="fa-IR"/>
        </w:rPr>
        <w:t xml:space="preserve">شهيد اول در ذکری، </w:t>
      </w:r>
      <w:r>
        <w:rPr>
          <w:rStyle w:val="FootnoteAnchor"/>
          <w:rtl w:val="true"/>
        </w:rPr>
        <w:footnoteReference w:id="1892"/>
      </w:r>
      <w:r>
        <w:rPr>
          <w:rFonts w:ascii="IRNazanin" w:hAnsi="IRNazanin" w:eastAsia="IRNazanin"/>
          <w:color w:val="111111"/>
          <w:sz w:val="28"/>
          <w:sz w:val="28"/>
          <w:szCs w:val="28"/>
          <w:rtl w:val="true"/>
          <w:lang w:bidi="fa-IR"/>
        </w:rPr>
        <w:t>سید عاملی در مفتاح الکرامه</w:t>
      </w:r>
      <w:r>
        <w:rPr>
          <w:rFonts w:eastAsia="IRNazanin" w:cs="IRNazanin"/>
          <w:color w:val="111111"/>
          <w:sz w:val="28"/>
          <w:szCs w:val="28"/>
          <w:rtl w:val="true"/>
          <w:lang w:bidi="fa-IR"/>
        </w:rPr>
        <w:t xml:space="preserve">. </w:t>
      </w:r>
      <w:r>
        <w:rPr>
          <w:rStyle w:val="FootnoteAnchor"/>
          <w:rtl w:val="true"/>
        </w:rPr>
        <w:footnoteReference w:id="1893"/>
      </w:r>
    </w:p>
    <w:p>
      <w:pPr>
        <w:pStyle w:val="Heading6"/>
        <w:numPr>
          <w:ilvl w:val="5"/>
          <w:numId w:val="1"/>
        </w:numPr>
        <w:rPr/>
      </w:pPr>
      <w:bookmarkStart w:id="1557" w:name="__RefHeading___Toc15203396_1280447820"/>
      <w:bookmarkStart w:id="1558" w:name="_Toc609"/>
      <w:bookmarkEnd w:id="1557"/>
      <w:r>
        <w:rPr/>
        <w:t>2</w:t>
      </w:r>
      <w:r>
        <w:rPr>
          <w:rtl w:val="true"/>
        </w:rPr>
        <w:t xml:space="preserve">. </w:t>
      </w:r>
      <w:r>
        <w:rPr>
          <w:rtl w:val="true"/>
        </w:rPr>
        <w:t>روایات و سایر ادله</w:t>
      </w:r>
      <w:bookmarkEnd w:id="1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جا از کتاب دعائم الاسلام از امیر مؤمنان علیه السلام روایت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امام جماعت برای مردان نمی شود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اهل سنت روایت شده که پیامبر صلی الله علیه و آله فرمود زن امامت مردان را بر عهده نمی گیرد</w:t>
      </w:r>
      <w:r>
        <w:rPr>
          <w:rFonts w:eastAsia="IRNazanin" w:cs="IRNazanin"/>
          <w:color w:val="111111"/>
          <w:sz w:val="28"/>
          <w:szCs w:val="28"/>
          <w:rtl w:val="true"/>
          <w:lang w:bidi="fa-IR"/>
        </w:rPr>
        <w:t xml:space="preserve">.» </w:t>
      </w:r>
      <w:r>
        <w:rPr>
          <w:rStyle w:val="FootnoteAnchor"/>
          <w:rtl w:val="true"/>
        </w:rPr>
        <w:footnoteReference w:id="18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نیز از طریق عامه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برخی منابع روایی شیعی نیز آمده</w:t>
      </w:r>
      <w:r>
        <w:rPr>
          <w:rFonts w:eastAsia="IRNazanin" w:cs="IRNazanin"/>
          <w:color w:val="111111"/>
          <w:sz w:val="28"/>
          <w:szCs w:val="28"/>
          <w:rtl w:val="true"/>
          <w:lang w:bidi="fa-IR"/>
        </w:rPr>
        <w:t xml:space="preserve">) </w:t>
      </w:r>
      <w:r>
        <w:rPr>
          <w:rStyle w:val="FootnoteAnchor"/>
          <w:rtl w:val="true"/>
        </w:rPr>
        <w:footnoteReference w:id="1895"/>
      </w:r>
      <w:r>
        <w:rPr>
          <w:rFonts w:ascii="IRNazanin" w:hAnsi="IRNazanin" w:eastAsia="IRNazanin"/>
          <w:color w:val="111111"/>
          <w:sz w:val="28"/>
          <w:sz w:val="28"/>
          <w:szCs w:val="28"/>
          <w:rtl w:val="true"/>
          <w:lang w:bidi="fa-IR"/>
        </w:rPr>
        <w:t>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عقب قرار دهید چرا که خداوند آنها را مؤخّر قرار داده است</w:t>
      </w:r>
      <w:r>
        <w:rPr>
          <w:rFonts w:eastAsia="IRNazanin" w:cs="IRNazanin"/>
          <w:color w:val="111111"/>
          <w:sz w:val="28"/>
          <w:szCs w:val="28"/>
          <w:rtl w:val="true"/>
          <w:lang w:bidi="fa-IR"/>
        </w:rPr>
        <w:t xml:space="preserve">.» </w:t>
      </w:r>
      <w:r>
        <w:rPr>
          <w:rStyle w:val="FootnoteAnchor"/>
          <w:rtl w:val="true"/>
        </w:rPr>
        <w:footnoteReference w:id="18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حدائق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استدلال بر عدم جواز امامت زن برای مرد آن است که به اخباری تمسک شود که جایز نیست زن در نماز خواندن کنار مرد یا جلوتر از مرد بایستد</w:t>
      </w:r>
      <w:r>
        <w:rPr>
          <w:rFonts w:eastAsia="IRNazanin" w:cs="IRNazanin"/>
          <w:color w:val="111111"/>
          <w:sz w:val="28"/>
          <w:szCs w:val="28"/>
          <w:rtl w:val="true"/>
          <w:lang w:bidi="fa-IR"/>
        </w:rPr>
        <w:t xml:space="preserve">. </w:t>
      </w:r>
      <w:r>
        <w:rPr>
          <w:rStyle w:val="FootnoteAnchor"/>
          <w:rtl w:val="true"/>
        </w:rPr>
        <w:footnoteReference w:id="18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می نویسد عبادات توقیفی بوده و از طرف شارع نه چنین کاری انجام شده و نه امری به این کار صادر شده است</w:t>
      </w:r>
      <w:r>
        <w:rPr>
          <w:rFonts w:eastAsia="IRNazanin" w:cs="IRNazanin"/>
          <w:color w:val="111111"/>
          <w:sz w:val="28"/>
          <w:szCs w:val="28"/>
          <w:rtl w:val="true"/>
          <w:lang w:bidi="fa-IR"/>
        </w:rPr>
        <w:t xml:space="preserve">. </w:t>
      </w:r>
      <w:r>
        <w:rPr>
          <w:rStyle w:val="FootnoteAnchor"/>
          <w:rtl w:val="true"/>
        </w:rPr>
        <w:footnoteReference w:id="18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شریعت مقدس اسلام زن امر به حیا و پوشش و استتار خود از مردان شده و حال آن که امامت زن برای مردان اقتضای آشکار شدن و در معرض نگاه مردان قرار گرفتن را دارد</w:t>
      </w:r>
      <w:r>
        <w:rPr>
          <w:rFonts w:eastAsia="IRNazanin" w:cs="IRNazanin"/>
          <w:color w:val="111111"/>
          <w:sz w:val="28"/>
          <w:szCs w:val="28"/>
          <w:rtl w:val="true"/>
          <w:lang w:bidi="fa-IR"/>
        </w:rPr>
        <w:t xml:space="preserve">. </w:t>
      </w:r>
      <w:r>
        <w:rPr>
          <w:rStyle w:val="FootnoteAnchor"/>
          <w:rtl w:val="true"/>
        </w:rPr>
        <w:footnoteReference w:id="1899"/>
      </w:r>
      <w:bookmarkStart w:id="1559" w:name="pg19115_195801"/>
    </w:p>
    <w:p>
      <w:pPr>
        <w:pStyle w:val="Heading6"/>
        <w:numPr>
          <w:ilvl w:val="5"/>
          <w:numId w:val="1"/>
        </w:numPr>
        <w:rPr/>
      </w:pPr>
      <w:bookmarkStart w:id="1560" w:name="__RefHeading___Toc15203398_1280447820"/>
      <w:bookmarkStart w:id="1561" w:name="_Toc610"/>
      <w:bookmarkEnd w:id="1559"/>
      <w:bookmarkEnd w:id="1560"/>
      <w:r>
        <w:rPr>
          <w:rtl w:val="true"/>
        </w:rPr>
        <w:t>ب</w:t>
      </w:r>
      <w:r>
        <w:rPr>
          <w:rtl w:val="true"/>
        </w:rPr>
        <w:t xml:space="preserve">) </w:t>
      </w:r>
      <w:r>
        <w:rPr>
          <w:rtl w:val="true"/>
        </w:rPr>
        <w:t>امامت زن برای زنان</w:t>
      </w:r>
      <w:bookmarkEnd w:id="1561"/>
    </w:p>
    <w:p>
      <w:pPr>
        <w:pStyle w:val="Heading6"/>
        <w:numPr>
          <w:ilvl w:val="5"/>
          <w:numId w:val="1"/>
        </w:numPr>
        <w:rPr/>
      </w:pPr>
      <w:bookmarkStart w:id="1562" w:name="__RefHeading___Toc15203400_1280447820"/>
      <w:bookmarkStart w:id="1563" w:name="_Toc611"/>
      <w:bookmarkEnd w:id="1562"/>
      <w:r>
        <w:rPr>
          <w:rtl w:val="true"/>
        </w:rPr>
        <w:t>اشاره</w:t>
      </w:r>
      <w:bookmarkEnd w:id="1563"/>
    </w:p>
    <w:p>
      <w:pPr>
        <w:pStyle w:val="BookText"/>
        <w:rPr/>
      </w:pPr>
      <w:r>
        <w:rPr>
          <w:rFonts w:ascii="IRNazanin" w:hAnsi="IRNazanin" w:eastAsia="IRNazanin"/>
          <w:color w:val="111111"/>
          <w:sz w:val="28"/>
          <w:sz w:val="28"/>
          <w:szCs w:val="28"/>
          <w:rtl w:val="true"/>
          <w:lang w:bidi="fa-IR"/>
        </w:rPr>
        <w:t>در مورد امام جماعت بودن زن برای دیگر زنها در میان فقیهان امامیه سه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می تواند امام جماعت برای زنان باشد چه در نمازهای واجب و چه در نمازهای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مشهور فقیهان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تنها در نمازهای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به جماعت خواند مثل نماز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امام جماعت برای زنان باشد اما در نمازهای واجب نمی تواند این دیدگاه متعلق به سید مرتضی </w:t>
      </w:r>
      <w:r>
        <w:rPr>
          <w:rStyle w:val="FootnoteAnchor"/>
          <w:rtl w:val="true"/>
        </w:rPr>
        <w:footnoteReference w:id="1900"/>
      </w:r>
      <w:r>
        <w:rPr>
          <w:rFonts w:ascii="IRNazanin" w:hAnsi="IRNazanin" w:eastAsia="IRNazanin"/>
          <w:color w:val="111111"/>
          <w:sz w:val="28"/>
          <w:sz w:val="28"/>
          <w:szCs w:val="28"/>
          <w:rtl w:val="true"/>
          <w:lang w:bidi="fa-IR"/>
        </w:rPr>
        <w:t xml:space="preserve">و ابن جنید اسکافی، جعفی </w:t>
      </w:r>
      <w:r>
        <w:rPr>
          <w:rStyle w:val="FootnoteAnchor"/>
          <w:rtl w:val="true"/>
        </w:rPr>
        <w:footnoteReference w:id="1901"/>
      </w:r>
      <w:r>
        <w:rPr>
          <w:rFonts w:ascii="IRNazanin" w:hAnsi="IRNazanin" w:eastAsia="IRNazanin"/>
          <w:color w:val="111111"/>
          <w:sz w:val="28"/>
          <w:sz w:val="28"/>
          <w:szCs w:val="28"/>
          <w:rtl w:val="true"/>
          <w:lang w:bidi="fa-IR"/>
        </w:rPr>
        <w:t>بوده و صاحب مدارک نیز متمایل به این دیدگاه می باشد</w:t>
      </w:r>
      <w:r>
        <w:rPr>
          <w:rFonts w:eastAsia="IRNazanin" w:cs="IRNazanin"/>
          <w:color w:val="111111"/>
          <w:sz w:val="28"/>
          <w:szCs w:val="28"/>
          <w:rtl w:val="true"/>
          <w:lang w:bidi="fa-IR"/>
        </w:rPr>
        <w:t xml:space="preserve">. </w:t>
      </w:r>
      <w:r>
        <w:rPr>
          <w:rStyle w:val="FootnoteAnchor"/>
          <w:rtl w:val="true"/>
        </w:rPr>
        <w:footnoteReference w:id="19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زن امام جماعت برای نمازگزاران زن باشد؛ چه در نمازهای واجب و چه در نمازهای مستحبی این دیدگاه شیخ طوسی در خلاف می باشد</w:t>
      </w:r>
      <w:r>
        <w:rPr>
          <w:rFonts w:eastAsia="IRNazanin" w:cs="IRNazanin"/>
          <w:color w:val="111111"/>
          <w:sz w:val="28"/>
          <w:szCs w:val="28"/>
          <w:rtl w:val="true"/>
          <w:lang w:bidi="fa-IR"/>
        </w:rPr>
        <w:t xml:space="preserve">. </w:t>
      </w:r>
      <w:r>
        <w:rPr>
          <w:rStyle w:val="FootnoteAnchor"/>
          <w:rtl w:val="true"/>
        </w:rPr>
        <w:footnoteReference w:id="1903"/>
      </w:r>
    </w:p>
    <w:p>
      <w:pPr>
        <w:pStyle w:val="Heading6"/>
        <w:numPr>
          <w:ilvl w:val="5"/>
          <w:numId w:val="1"/>
        </w:numPr>
        <w:rPr/>
      </w:pPr>
      <w:bookmarkStart w:id="1564" w:name="__RefHeading___Toc15203402_1280447820"/>
      <w:bookmarkStart w:id="1565" w:name="_Toc612"/>
      <w:bookmarkEnd w:id="1564"/>
      <w:r>
        <w:rPr/>
        <w:t>1</w:t>
      </w:r>
      <w:r>
        <w:rPr>
          <w:rtl w:val="true"/>
        </w:rPr>
        <w:t xml:space="preserve">. </w:t>
      </w:r>
      <w:r>
        <w:rPr>
          <w:rtl w:val="true"/>
        </w:rPr>
        <w:t>دیدگاه نخست</w:t>
      </w:r>
      <w:r>
        <w:rPr>
          <w:rtl w:val="true"/>
        </w:rPr>
        <w:t xml:space="preserve">: </w:t>
      </w:r>
      <w:r>
        <w:rPr>
          <w:rtl w:val="true"/>
        </w:rPr>
        <w:t>جواز مطلقا</w:t>
      </w:r>
      <w:bookmarkEnd w:id="1565"/>
    </w:p>
    <w:p>
      <w:pPr>
        <w:pStyle w:val="Heading6"/>
        <w:numPr>
          <w:ilvl w:val="5"/>
          <w:numId w:val="1"/>
        </w:numPr>
        <w:rPr/>
      </w:pPr>
      <w:bookmarkStart w:id="1566" w:name="__RefHeading___Toc15203404_1280447820"/>
      <w:bookmarkStart w:id="1567" w:name="_Toc613"/>
      <w:bookmarkEnd w:id="1566"/>
      <w:r>
        <w:rPr>
          <w:rtl w:val="true"/>
        </w:rPr>
        <w:t>اشاره</w:t>
      </w:r>
      <w:bookmarkEnd w:id="156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دیدگاه آن است که زن می تواند امام جماعت برای زنان باشد چه در نمازهای واجب و چه در نمازهای مستحبی، این دیدگاه نظر مشهور فقها بوده و </w:t>
      </w:r>
      <w:bookmarkStart w:id="1568" w:name="pg19115_195802"/>
    </w:p>
    <w:p>
      <w:pPr>
        <w:pStyle w:val="BookText"/>
        <w:rPr/>
      </w:pPr>
      <w:bookmarkEnd w:id="1568"/>
      <w:r>
        <w:rPr>
          <w:rFonts w:ascii="IRNazanin" w:hAnsi="IRNazanin" w:eastAsia="IRNazanin"/>
          <w:color w:val="111111"/>
          <w:sz w:val="28"/>
          <w:sz w:val="28"/>
          <w:szCs w:val="28"/>
          <w:rtl w:val="true"/>
          <w:lang w:bidi="fa-IR"/>
        </w:rPr>
        <w:t>حتی بر آن ادهای اجماع شده است</w:t>
      </w:r>
      <w:r>
        <w:rPr>
          <w:rFonts w:eastAsia="IRNazanin" w:cs="IRNazanin"/>
          <w:color w:val="111111"/>
          <w:sz w:val="28"/>
          <w:szCs w:val="28"/>
          <w:rtl w:val="true"/>
          <w:lang w:bidi="fa-IR"/>
        </w:rPr>
        <w:t>.</w:t>
      </w:r>
    </w:p>
    <w:p>
      <w:pPr>
        <w:pStyle w:val="Heading6"/>
        <w:numPr>
          <w:ilvl w:val="5"/>
          <w:numId w:val="1"/>
        </w:numPr>
        <w:rPr/>
      </w:pPr>
      <w:bookmarkStart w:id="1569" w:name="__RefHeading___Toc15203406_1280447820"/>
      <w:bookmarkStart w:id="1570" w:name="_Toc614"/>
      <w:bookmarkEnd w:id="1569"/>
      <w:r>
        <w:rPr>
          <w:rtl w:val="true"/>
        </w:rPr>
        <w:t>ادله دیدگاه نخست</w:t>
      </w:r>
      <w:bookmarkEnd w:id="1570"/>
    </w:p>
    <w:p>
      <w:pPr>
        <w:pStyle w:val="Heading6"/>
        <w:numPr>
          <w:ilvl w:val="5"/>
          <w:numId w:val="1"/>
        </w:numPr>
        <w:rPr/>
      </w:pPr>
      <w:bookmarkStart w:id="1571" w:name="__RefHeading___Toc15203408_1280447820"/>
      <w:bookmarkStart w:id="1572" w:name="_Toc615"/>
      <w:bookmarkEnd w:id="1571"/>
      <w:r>
        <w:rPr>
          <w:rtl w:val="true"/>
        </w:rPr>
        <w:t>اجماع و شهرت</w:t>
      </w:r>
      <w:bookmarkEnd w:id="1572"/>
    </w:p>
    <w:p>
      <w:pPr>
        <w:pStyle w:val="BookText"/>
        <w:rPr/>
      </w:pPr>
      <w:r>
        <w:rPr>
          <w:rFonts w:ascii="IRNazanin" w:hAnsi="IRNazanin" w:eastAsia="IRNazanin"/>
          <w:color w:val="111111"/>
          <w:sz w:val="28"/>
          <w:sz w:val="28"/>
          <w:szCs w:val="28"/>
          <w:rtl w:val="true"/>
          <w:lang w:bidi="fa-IR"/>
        </w:rPr>
        <w:t xml:space="preserve">فقیهانی همچون شیخ طوسی در خلاف </w:t>
      </w:r>
      <w:r>
        <w:rPr>
          <w:rStyle w:val="FootnoteAnchor"/>
          <w:rtl w:val="true"/>
        </w:rPr>
        <w:footnoteReference w:id="1904"/>
      </w:r>
      <w:r>
        <w:rPr>
          <w:rFonts w:ascii="IRNazanin" w:hAnsi="IRNazanin" w:eastAsia="IRNazanin"/>
          <w:color w:val="111111"/>
          <w:sz w:val="28"/>
          <w:sz w:val="28"/>
          <w:szCs w:val="28"/>
          <w:rtl w:val="true"/>
          <w:lang w:bidi="fa-IR"/>
        </w:rPr>
        <w:t xml:space="preserve">ابن زهره </w:t>
      </w:r>
      <w:r>
        <w:rPr>
          <w:rStyle w:val="FootnoteAnchor"/>
          <w:rtl w:val="true"/>
        </w:rPr>
        <w:footnoteReference w:id="1905"/>
      </w:r>
      <w:r>
        <w:rPr>
          <w:rFonts w:ascii="IRNazanin" w:hAnsi="IRNazanin" w:eastAsia="IRNazanin"/>
          <w:color w:val="111111"/>
          <w:sz w:val="28"/>
          <w:sz w:val="28"/>
          <w:szCs w:val="28"/>
          <w:rtl w:val="true"/>
          <w:lang w:bidi="fa-IR"/>
        </w:rPr>
        <w:t xml:space="preserve">و علامه حلی رحمه الله </w:t>
      </w:r>
      <w:r>
        <w:rPr>
          <w:rStyle w:val="FootnoteAnchor"/>
          <w:rtl w:val="true"/>
        </w:rPr>
        <w:footnoteReference w:id="1906"/>
      </w:r>
      <w:r>
        <w:rPr>
          <w:rFonts w:ascii="IRNazanin" w:hAnsi="IRNazanin" w:eastAsia="IRNazanin"/>
          <w:color w:val="111111"/>
          <w:sz w:val="28"/>
          <w:sz w:val="28"/>
          <w:szCs w:val="28"/>
          <w:rtl w:val="true"/>
          <w:lang w:bidi="fa-IR"/>
        </w:rPr>
        <w:t>،تذکره ادعای اجماع بر جواز امامت زن برای بانوان کرده 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فقیهانی همانند علامه در مختلف </w:t>
      </w:r>
      <w:r>
        <w:rPr>
          <w:rStyle w:val="FootnoteAnchor"/>
          <w:rtl w:val="true"/>
        </w:rPr>
        <w:footnoteReference w:id="1907"/>
      </w:r>
      <w:r>
        <w:rPr>
          <w:rFonts w:ascii="IRNazanin" w:hAnsi="IRNazanin" w:eastAsia="IRNazanin"/>
          <w:color w:val="111111"/>
          <w:sz w:val="28"/>
          <w:sz w:val="28"/>
          <w:szCs w:val="28"/>
          <w:rtl w:val="true"/>
          <w:lang w:bidi="fa-IR"/>
        </w:rPr>
        <w:t xml:space="preserve">شهید اول در بیان، </w:t>
      </w:r>
      <w:r>
        <w:rPr>
          <w:rStyle w:val="FootnoteAnchor"/>
          <w:rtl w:val="true"/>
        </w:rPr>
        <w:footnoteReference w:id="1908"/>
      </w:r>
      <w:r>
        <w:rPr>
          <w:rFonts w:ascii="IRNazanin" w:hAnsi="IRNazanin" w:eastAsia="IRNazanin"/>
          <w:color w:val="111111"/>
          <w:sz w:val="28"/>
          <w:sz w:val="28"/>
          <w:szCs w:val="28"/>
          <w:rtl w:val="true"/>
          <w:lang w:bidi="fa-IR"/>
        </w:rPr>
        <w:t xml:space="preserve">محقق اردبیلی در مجمع الفائده، </w:t>
      </w:r>
      <w:r>
        <w:rPr>
          <w:rStyle w:val="FootnoteAnchor"/>
          <w:rtl w:val="true"/>
        </w:rPr>
        <w:footnoteReference w:id="1909"/>
      </w:r>
      <w:r>
        <w:rPr>
          <w:rFonts w:ascii="IRNazanin" w:hAnsi="IRNazanin" w:eastAsia="IRNazanin"/>
          <w:color w:val="111111"/>
          <w:sz w:val="28"/>
          <w:sz w:val="28"/>
          <w:szCs w:val="28"/>
          <w:rtl w:val="true"/>
          <w:lang w:bidi="fa-IR"/>
        </w:rPr>
        <w:t xml:space="preserve">شهید ثانی در روض الجنان، </w:t>
      </w:r>
      <w:r>
        <w:rPr>
          <w:rStyle w:val="FootnoteAnchor"/>
          <w:rtl w:val="true"/>
        </w:rPr>
        <w:footnoteReference w:id="1910"/>
      </w:r>
      <w:r>
        <w:rPr>
          <w:rFonts w:ascii="IRNazanin" w:hAnsi="IRNazanin" w:eastAsia="IRNazanin"/>
          <w:color w:val="111111"/>
          <w:sz w:val="28"/>
          <w:sz w:val="28"/>
          <w:szCs w:val="28"/>
          <w:rtl w:val="true"/>
          <w:lang w:bidi="fa-IR"/>
        </w:rPr>
        <w:t xml:space="preserve">صاحب مدارک، </w:t>
      </w:r>
      <w:r>
        <w:rPr>
          <w:rStyle w:val="FootnoteAnchor"/>
          <w:rtl w:val="true"/>
        </w:rPr>
        <w:footnoteReference w:id="1911"/>
      </w:r>
      <w:r>
        <w:rPr>
          <w:rFonts w:ascii="IRNazanin" w:hAnsi="IRNazanin" w:eastAsia="IRNazanin"/>
          <w:color w:val="111111"/>
          <w:sz w:val="28"/>
          <w:sz w:val="28"/>
          <w:szCs w:val="28"/>
          <w:rtl w:val="true"/>
          <w:lang w:bidi="fa-IR"/>
        </w:rPr>
        <w:t xml:space="preserve">مرحوم فیض در مفاتیح، </w:t>
      </w:r>
      <w:r>
        <w:rPr>
          <w:rStyle w:val="FootnoteAnchor"/>
          <w:rtl w:val="true"/>
        </w:rPr>
        <w:footnoteReference w:id="1912"/>
      </w:r>
      <w:r>
        <w:rPr>
          <w:rFonts w:ascii="IRNazanin" w:hAnsi="IRNazanin" w:eastAsia="IRNazanin"/>
          <w:color w:val="111111"/>
          <w:sz w:val="28"/>
          <w:sz w:val="28"/>
          <w:szCs w:val="28"/>
          <w:rtl w:val="true"/>
          <w:lang w:bidi="fa-IR"/>
        </w:rPr>
        <w:t xml:space="preserve">صاحب ریاض </w:t>
      </w:r>
      <w:r>
        <w:rPr>
          <w:rStyle w:val="FootnoteAnchor"/>
          <w:rtl w:val="true"/>
        </w:rPr>
        <w:footnoteReference w:id="1913"/>
      </w:r>
      <w:r>
        <w:rPr>
          <w:rFonts w:ascii="Amiri" w:hAnsi="Amiri" w:eastAsia="Amiri" w:cs="Amiri"/>
          <w:color w:val="111111"/>
          <w:sz w:val="28"/>
          <w:sz w:val="28"/>
          <w:szCs w:val="28"/>
          <w:rtl w:val="true"/>
          <w:lang w:bidi="ar-SA"/>
        </w:rPr>
        <w:t xml:space="preserve">و صاحب مفتاح الكرامه </w:t>
      </w:r>
      <w:r>
        <w:rPr>
          <w:rStyle w:val="FootnoteAnchor"/>
          <w:rtl w:val="true"/>
        </w:rPr>
        <w:footnoteReference w:id="1914"/>
      </w:r>
      <w:r>
        <w:rPr>
          <w:rFonts w:ascii="IRNazanin" w:hAnsi="IRNazanin" w:eastAsia="IRNazanin"/>
          <w:color w:val="111111"/>
          <w:sz w:val="28"/>
          <w:sz w:val="28"/>
          <w:szCs w:val="28"/>
          <w:rtl w:val="true"/>
          <w:lang w:bidi="fa-IR"/>
        </w:rPr>
        <w:t>معتقدند بر آن که این دیدگاه مشهور میان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فقیهانی همچون شیخ مفید در احکام النساء، </w:t>
      </w:r>
      <w:r>
        <w:rPr>
          <w:rStyle w:val="FootnoteAnchor"/>
          <w:rtl w:val="true"/>
        </w:rPr>
        <w:footnoteReference w:id="1915"/>
      </w:r>
      <w:r>
        <w:rPr>
          <w:rFonts w:ascii="Amiri" w:hAnsi="Amiri" w:eastAsia="Amiri" w:cs="Amiri"/>
          <w:color w:val="111111"/>
          <w:sz w:val="28"/>
          <w:sz w:val="28"/>
          <w:szCs w:val="28"/>
          <w:rtl w:val="true"/>
          <w:lang w:bidi="ar-SA"/>
        </w:rPr>
        <w:t xml:space="preserve">ابن ادريس </w:t>
      </w:r>
      <w:r>
        <w:rPr>
          <w:rStyle w:val="FootnoteAnchor"/>
          <w:rtl w:val="true"/>
        </w:rPr>
        <w:footnoteReference w:id="1916"/>
      </w:r>
      <w:r>
        <w:rPr>
          <w:rFonts w:ascii="IRNazanin" w:hAnsi="IRNazanin" w:eastAsia="IRNazanin"/>
          <w:color w:val="111111"/>
          <w:sz w:val="28"/>
          <w:sz w:val="28"/>
          <w:szCs w:val="28"/>
          <w:rtl w:val="true"/>
          <w:lang w:bidi="fa-IR"/>
        </w:rPr>
        <w:t>محقق حلی در معتبر،</w:t>
      </w:r>
      <w:r>
        <w:rPr>
          <w:rStyle w:val="FootnoteAnchor"/>
          <w:rtl w:val="true"/>
        </w:rPr>
        <w:footnoteReference w:id="1917"/>
      </w:r>
      <w:r>
        <w:rPr>
          <w:rFonts w:ascii="IRNazanin" w:hAnsi="IRNazanin" w:eastAsia="IRNazanin"/>
          <w:color w:val="111111"/>
          <w:sz w:val="28"/>
          <w:sz w:val="28"/>
          <w:szCs w:val="28"/>
          <w:rtl w:val="true"/>
          <w:lang w:bidi="fa-IR"/>
        </w:rPr>
        <w:t xml:space="preserve">علامه در ارشاد الاذهان </w:t>
      </w:r>
      <w:r>
        <w:rPr>
          <w:rStyle w:val="FootnoteAnchor"/>
          <w:rtl w:val="true"/>
        </w:rPr>
        <w:footnoteReference w:id="1918"/>
      </w:r>
      <w:r>
        <w:rPr>
          <w:rFonts w:ascii="IRNazanin" w:hAnsi="IRNazanin" w:eastAsia="IRNazanin"/>
          <w:color w:val="111111"/>
          <w:sz w:val="28"/>
          <w:sz w:val="28"/>
          <w:szCs w:val="28"/>
          <w:rtl w:val="true"/>
          <w:lang w:bidi="fa-IR"/>
        </w:rPr>
        <w:t xml:space="preserve">و از معاصرین سید یزدی در </w:t>
      </w:r>
      <w:bookmarkStart w:id="1573" w:name="pg19115_195803"/>
    </w:p>
    <w:p>
      <w:pPr>
        <w:pStyle w:val="BookText"/>
        <w:rPr/>
      </w:pPr>
      <w:bookmarkEnd w:id="1573"/>
      <w:r>
        <w:rPr>
          <w:rFonts w:ascii="IRNazanin" w:hAnsi="IRNazanin" w:eastAsia="IRNazanin"/>
          <w:color w:val="111111"/>
          <w:sz w:val="28"/>
          <w:sz w:val="28"/>
          <w:szCs w:val="28"/>
          <w:rtl w:val="true"/>
          <w:lang w:bidi="fa-IR"/>
        </w:rPr>
        <w:t xml:space="preserve">عروه، </w:t>
      </w:r>
      <w:r>
        <w:rPr>
          <w:rStyle w:val="FootnoteAnchor"/>
          <w:rtl w:val="true"/>
        </w:rPr>
        <w:footnoteReference w:id="1919"/>
      </w:r>
      <w:r>
        <w:rPr>
          <w:rFonts w:ascii="IRNazanin" w:hAnsi="IRNazanin" w:eastAsia="IRNazanin"/>
          <w:color w:val="111111"/>
          <w:sz w:val="28"/>
          <w:sz w:val="28"/>
          <w:szCs w:val="28"/>
          <w:rtl w:val="true"/>
          <w:lang w:bidi="fa-IR"/>
        </w:rPr>
        <w:t xml:space="preserve">محقق خویی رحمه الله </w:t>
      </w:r>
      <w:r>
        <w:rPr>
          <w:rStyle w:val="FootnoteAnchor"/>
          <w:rtl w:val="true"/>
        </w:rPr>
        <w:footnoteReference w:id="1920"/>
      </w:r>
      <w:r>
        <w:rPr>
          <w:rFonts w:ascii="IRNazanin" w:hAnsi="IRNazanin" w:eastAsia="IRNazanin"/>
          <w:color w:val="111111"/>
          <w:sz w:val="28"/>
          <w:sz w:val="28"/>
          <w:szCs w:val="28"/>
          <w:rtl w:val="true"/>
          <w:lang w:bidi="fa-IR"/>
        </w:rPr>
        <w:t>تصریح به جواز این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خمینی رحمه الله در این مسئله احتیاط کرده اند</w:t>
      </w:r>
      <w:r>
        <w:rPr>
          <w:rFonts w:eastAsia="IRNazanin" w:cs="IRNazanin"/>
          <w:color w:val="111111"/>
          <w:sz w:val="28"/>
          <w:szCs w:val="28"/>
          <w:rtl w:val="true"/>
          <w:lang w:bidi="fa-IR"/>
        </w:rPr>
        <w:t xml:space="preserve">. </w:t>
      </w:r>
      <w:r>
        <w:rPr>
          <w:rStyle w:val="FootnoteAnchor"/>
          <w:rtl w:val="true"/>
        </w:rPr>
        <w:footnoteReference w:id="1921"/>
      </w:r>
    </w:p>
    <w:p>
      <w:pPr>
        <w:pStyle w:val="Heading6"/>
        <w:numPr>
          <w:ilvl w:val="5"/>
          <w:numId w:val="1"/>
        </w:numPr>
        <w:rPr/>
      </w:pPr>
      <w:bookmarkStart w:id="1574" w:name="__RefHeading___Toc15203410_1280447820"/>
      <w:bookmarkStart w:id="1575" w:name="_Toc616"/>
      <w:bookmarkEnd w:id="1574"/>
      <w:r>
        <w:rPr>
          <w:rtl w:val="true"/>
        </w:rPr>
        <w:t>روایات</w:t>
      </w:r>
      <w:bookmarkEnd w:id="1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بن مهران می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 تواند امام جماعت بانوان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9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بکیر روایتی از امام صادق علیه السلام نقل می کند که از حضرت سؤال شد که آیا زن می تواند امام جماعت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بین زنهای دیگر بایستد و مقدم بر آنها نشود</w:t>
      </w:r>
      <w:r>
        <w:rPr>
          <w:rFonts w:eastAsia="IRNazanin" w:cs="IRNazanin"/>
          <w:color w:val="111111"/>
          <w:sz w:val="28"/>
          <w:szCs w:val="28"/>
          <w:rtl w:val="true"/>
          <w:lang w:bidi="fa-IR"/>
        </w:rPr>
        <w:t xml:space="preserve">.» </w:t>
      </w:r>
      <w:r>
        <w:rPr>
          <w:rStyle w:val="FootnoteAnchor"/>
          <w:rtl w:val="true"/>
        </w:rPr>
        <w:footnoteReference w:id="19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 خود امام کاظم علیه السلام درباره زنی سؤال می کند که امامت زنها را بر عهده دارد او تا چه اندازه می تواند در قرائت و تکبیر صدای خود را بلند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می شنود</w:t>
      </w:r>
      <w:r>
        <w:rPr>
          <w:rFonts w:eastAsia="IRNazanin" w:cs="IRNazanin"/>
          <w:color w:val="111111"/>
          <w:sz w:val="28"/>
          <w:szCs w:val="28"/>
          <w:rtl w:val="true"/>
          <w:lang w:bidi="fa-IR"/>
        </w:rPr>
        <w:t xml:space="preserve">.» </w:t>
      </w:r>
      <w:r>
        <w:rPr>
          <w:rStyle w:val="FootnoteAnchor"/>
          <w:rtl w:val="true"/>
        </w:rPr>
        <w:footnoteReference w:id="1924"/>
      </w:r>
      <w:bookmarkStart w:id="1576" w:name="pg19115_195804"/>
    </w:p>
    <w:p>
      <w:pPr>
        <w:pStyle w:val="BookText"/>
        <w:rPr/>
      </w:pPr>
      <w:bookmarkEnd w:id="15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صیقل می گوید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واجب زن می تواند امامت زنها را به عهده بگیرد؟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577" w:name="__RefHeading___Toc15203412_1280447820"/>
      <w:bookmarkStart w:id="1578" w:name="_Toc617"/>
      <w:bookmarkEnd w:id="1577"/>
      <w:r>
        <w:rPr/>
        <w:t>2</w:t>
      </w:r>
      <w:r>
        <w:rPr>
          <w:rtl w:val="true"/>
        </w:rPr>
        <w:t xml:space="preserve">. </w:t>
      </w:r>
      <w:r>
        <w:rPr>
          <w:rtl w:val="true"/>
        </w:rPr>
        <w:t>دیدگاه دوم</w:t>
      </w:r>
      <w:r>
        <w:rPr>
          <w:rtl w:val="true"/>
        </w:rPr>
        <w:t xml:space="preserve">: </w:t>
      </w:r>
      <w:r>
        <w:rPr>
          <w:rtl w:val="true"/>
        </w:rPr>
        <w:t>تفصیل</w:t>
      </w:r>
      <w:bookmarkEnd w:id="1578"/>
    </w:p>
    <w:p>
      <w:pPr>
        <w:pStyle w:val="Heading6"/>
        <w:numPr>
          <w:ilvl w:val="5"/>
          <w:numId w:val="1"/>
        </w:numPr>
        <w:rPr/>
      </w:pPr>
      <w:bookmarkStart w:id="1579" w:name="__RefHeading___Toc15203414_1280447820"/>
      <w:bookmarkStart w:id="1580" w:name="_Toc618"/>
      <w:bookmarkEnd w:id="1579"/>
      <w:r>
        <w:rPr>
          <w:rtl w:val="true"/>
        </w:rPr>
        <w:t>اشاره</w:t>
      </w:r>
      <w:bookmarkEnd w:id="1580"/>
    </w:p>
    <w:p>
      <w:pPr>
        <w:pStyle w:val="BookText"/>
        <w:rPr/>
      </w:pPr>
      <w:r>
        <w:rPr>
          <w:rFonts w:ascii="IRNazanin" w:hAnsi="IRNazanin" w:eastAsia="IRNazanin"/>
          <w:color w:val="111111"/>
          <w:sz w:val="28"/>
          <w:sz w:val="28"/>
          <w:szCs w:val="28"/>
          <w:rtl w:val="true"/>
          <w:lang w:bidi="fa-IR"/>
        </w:rPr>
        <w:t xml:space="preserve">دومین دیدگاه تفصیل است بین نمازهای مستحبی و واجب؛ یعنی زن تنها در نمازهای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به جماعت خواند مثل نماز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امام جماعت برای زنان باشد اما در نمازهای واجب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این دیدگاه متعلق به سید مرتضی </w:t>
      </w:r>
      <w:r>
        <w:rPr>
          <w:rStyle w:val="FootnoteAnchor"/>
          <w:rtl w:val="true"/>
        </w:rPr>
        <w:footnoteReference w:id="1925"/>
      </w:r>
      <w:r>
        <w:rPr>
          <w:rFonts w:ascii="IRNazanin" w:hAnsi="IRNazanin" w:eastAsia="IRNazanin"/>
          <w:color w:val="111111"/>
          <w:sz w:val="28"/>
          <w:sz w:val="28"/>
          <w:szCs w:val="28"/>
          <w:rtl w:val="true"/>
          <w:lang w:bidi="fa-IR"/>
        </w:rPr>
        <w:t xml:space="preserve">و ابن جنید اسکافی جعفی </w:t>
      </w:r>
      <w:r>
        <w:rPr>
          <w:rStyle w:val="FootnoteAnchor"/>
          <w:rtl w:val="true"/>
        </w:rPr>
        <w:footnoteReference w:id="1926"/>
      </w:r>
      <w:r>
        <w:rPr>
          <w:rFonts w:ascii="IRNazanin" w:hAnsi="IRNazanin" w:eastAsia="IRNazanin"/>
          <w:color w:val="111111"/>
          <w:sz w:val="28"/>
          <w:sz w:val="28"/>
          <w:szCs w:val="28"/>
          <w:rtl w:val="true"/>
          <w:lang w:bidi="fa-IR"/>
        </w:rPr>
        <w:t>بوده و صاحب مدارک نیز متمایل به این دیدگاه می باشد</w:t>
      </w:r>
      <w:r>
        <w:rPr>
          <w:rFonts w:eastAsia="IRNazanin" w:cs="IRNazanin"/>
          <w:color w:val="111111"/>
          <w:sz w:val="28"/>
          <w:szCs w:val="28"/>
          <w:rtl w:val="true"/>
          <w:lang w:bidi="fa-IR"/>
        </w:rPr>
        <w:t xml:space="preserve">. </w:t>
      </w:r>
      <w:r>
        <w:rPr>
          <w:rStyle w:val="FootnoteAnchor"/>
          <w:rtl w:val="true"/>
        </w:rPr>
        <w:footnoteReference w:id="1927"/>
      </w:r>
    </w:p>
    <w:p>
      <w:pPr>
        <w:pStyle w:val="Heading6"/>
        <w:numPr>
          <w:ilvl w:val="5"/>
          <w:numId w:val="1"/>
        </w:numPr>
        <w:rPr/>
      </w:pPr>
      <w:bookmarkStart w:id="1581" w:name="__RefHeading___Toc15203416_1280447820"/>
      <w:bookmarkStart w:id="1582" w:name="_Toc619"/>
      <w:bookmarkEnd w:id="1581"/>
      <w:r>
        <w:rPr>
          <w:rtl w:val="true"/>
        </w:rPr>
        <w:t>ادله دیدگاه دوم</w:t>
      </w:r>
      <w:bookmarkEnd w:id="1582"/>
    </w:p>
    <w:p>
      <w:pPr>
        <w:pStyle w:val="BookText"/>
        <w:rPr/>
      </w:pPr>
      <w:r>
        <w:rPr>
          <w:rFonts w:ascii="IRNazanin" w:hAnsi="IRNazanin" w:eastAsia="IRNazanin"/>
          <w:color w:val="111111"/>
          <w:sz w:val="28"/>
          <w:sz w:val="28"/>
          <w:szCs w:val="28"/>
          <w:rtl w:val="true"/>
          <w:lang w:bidi="fa-IR"/>
        </w:rPr>
        <w:t>در این باره روایاتی نیز وارد شده است که از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درباره امام جماعت بودن زنان می پرسد؟ حضرت در پاسخ می فرماید در نمازهای نافله اشکالی ندارد، اما در نمازهای واجب نه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در نمازهای نافله امام جماعت بانوان باشد، اما در نمازهای واجب نمی تواند امام جماعت زنان باشد</w:t>
      </w:r>
      <w:r>
        <w:rPr>
          <w:rFonts w:eastAsia="IRNazanin" w:cs="IRNazanin"/>
          <w:color w:val="111111"/>
          <w:sz w:val="28"/>
          <w:szCs w:val="28"/>
          <w:rtl w:val="true"/>
          <w:lang w:bidi="fa-IR"/>
        </w:rPr>
        <w:t xml:space="preserve">.» </w:t>
      </w:r>
      <w:r>
        <w:rPr>
          <w:rStyle w:val="FootnoteAnchor"/>
          <w:rtl w:val="true"/>
        </w:rPr>
        <w:footnoteReference w:id="19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می گوید از امام صادق علیه السلام عه درباره امامت زنان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عنوان امام جماعت در نماز نافله باشد اشکال ندارد اما اگر در نماز واجب باشد نمی تواند امامت زنان را به عهده بگیرد</w:t>
      </w:r>
      <w:r>
        <w:rPr>
          <w:rFonts w:eastAsia="IRNazanin" w:cs="IRNazanin"/>
          <w:color w:val="111111"/>
          <w:sz w:val="28"/>
          <w:szCs w:val="28"/>
          <w:rtl w:val="true"/>
          <w:lang w:bidi="fa-IR"/>
        </w:rPr>
        <w:t xml:space="preserve">...»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 xml:space="preserve">صاحب وسائل پس از نقل سه طائفه از روایات درباره امامت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مطلقا، عدم جواز مطلقا و تفصیل بین نافله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صورت مطلق منع می کند حمل بر کراهت می شود؛ چرا که در سایر روایات تصریح به جواز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دیگری که علامه حلی رحمه الله در منتهی </w:t>
      </w:r>
      <w:r>
        <w:rPr>
          <w:rStyle w:val="FootnoteAnchor"/>
          <w:rtl w:val="true"/>
        </w:rPr>
        <w:footnoteReference w:id="1930"/>
      </w:r>
      <w:r>
        <w:rPr>
          <w:rFonts w:ascii="IRNazanin" w:hAnsi="IRNazanin" w:eastAsia="IRNazanin"/>
          <w:color w:val="111111"/>
          <w:sz w:val="28"/>
          <w:sz w:val="28"/>
          <w:szCs w:val="28"/>
          <w:rtl w:val="true"/>
          <w:lang w:bidi="fa-IR"/>
        </w:rPr>
        <w:t>در مورد روایات مانعه داده آن است که این روایات درباره زنی است که واجبات و احکام نماز را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بین نمازهای مستحب و واجب تفصیل داده، یا باید حمل بر تقیه </w:t>
      </w:r>
      <w:bookmarkStart w:id="1583" w:name="pg19115_195806"/>
    </w:p>
    <w:p>
      <w:pPr>
        <w:pStyle w:val="BookText"/>
        <w:rPr/>
      </w:pPr>
      <w:bookmarkEnd w:id="1583"/>
      <w:r>
        <w:rPr>
          <w:rFonts w:ascii="IRNazanin" w:hAnsi="IRNazanin" w:eastAsia="IRNazanin"/>
          <w:color w:val="111111"/>
          <w:sz w:val="28"/>
          <w:sz w:val="28"/>
          <w:szCs w:val="28"/>
          <w:rtl w:val="true"/>
          <w:lang w:bidi="fa-IR"/>
        </w:rPr>
        <w:t>شود یا صرف متابعت از امام جماعت زن در نماز مستحبی است</w:t>
      </w:r>
      <w:r>
        <w:rPr>
          <w:rFonts w:eastAsia="IRNazanin" w:cs="IRNazanin"/>
          <w:color w:val="111111"/>
          <w:sz w:val="28"/>
          <w:szCs w:val="28"/>
          <w:rtl w:val="true"/>
          <w:lang w:bidi="fa-IR"/>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p>
    <w:p>
      <w:pPr>
        <w:pStyle w:val="Heading6"/>
        <w:numPr>
          <w:ilvl w:val="5"/>
          <w:numId w:val="1"/>
        </w:numPr>
        <w:rPr/>
      </w:pPr>
      <w:bookmarkStart w:id="1584" w:name="__RefHeading___Toc15203418_1280447820"/>
      <w:bookmarkStart w:id="1585" w:name="_Toc620"/>
      <w:bookmarkEnd w:id="1584"/>
      <w:r>
        <w:rPr>
          <w:rtl w:val="true"/>
        </w:rPr>
        <w:t>ج</w:t>
      </w:r>
      <w:r>
        <w:rPr>
          <w:rtl w:val="true"/>
        </w:rPr>
        <w:t xml:space="preserve">) </w:t>
      </w:r>
      <w:r>
        <w:rPr>
          <w:rtl w:val="true"/>
        </w:rPr>
        <w:t>دیدگاه اهل سنت پیرامون امامت زن</w:t>
      </w:r>
      <w:bookmarkEnd w:id="1585"/>
    </w:p>
    <w:p>
      <w:pPr>
        <w:pStyle w:val="BookText"/>
        <w:rPr/>
      </w:pPr>
      <w:r>
        <w:rPr>
          <w:rFonts w:ascii="IRNazanin" w:hAnsi="IRNazanin" w:eastAsia="IRNazanin"/>
          <w:color w:val="111111"/>
          <w:sz w:val="28"/>
          <w:sz w:val="28"/>
          <w:szCs w:val="28"/>
          <w:rtl w:val="true"/>
          <w:lang w:bidi="fa-IR"/>
        </w:rPr>
        <w:t>همان گونه که اشاره شد یکی از شرایط امام جماعت آن است که مذکر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امامت زن صحیح نمی باشد البته این در صورتی است که مأمومین مرد باشند وگرنه زن می تواند امام جماعت برای زنها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امام جماعت خنثی مشکل است و مأمومين مرد هستند، صحیح نمی باشد اما اگر مأمومین زن باشند،اشکال ندارد؛ زیرا در این صورت مذکر بودن امام جماعت شرط نیست</w:t>
      </w:r>
      <w:r>
        <w:rPr>
          <w:rFonts w:eastAsia="IRNazanin" w:cs="IRNazanin"/>
          <w:color w:val="111111"/>
          <w:sz w:val="28"/>
          <w:szCs w:val="28"/>
          <w:rtl w:val="true"/>
          <w:lang w:bidi="fa-IR"/>
        </w:rPr>
        <w:t xml:space="preserve">. </w:t>
      </w:r>
      <w:r>
        <w:rPr>
          <w:rStyle w:val="FootnoteAnchor"/>
          <w:rtl w:val="true"/>
        </w:rPr>
        <w:footnoteReference w:id="193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را مذاهب سه گانه حنفی حنبلی و شافعی پذیرفته اند، اما مالکی ها بر این باورند که امامت زن و خنثی مشکل مطلقا صحیح نیست؛ چه مأمومين مرد </w:t>
      </w:r>
      <w:bookmarkStart w:id="1586" w:name="pg19115_195807"/>
    </w:p>
    <w:p>
      <w:pPr>
        <w:pStyle w:val="BookText"/>
        <w:rPr/>
      </w:pPr>
      <w:bookmarkEnd w:id="1586"/>
      <w:r>
        <w:rPr>
          <w:rFonts w:ascii="IRNazanin" w:hAnsi="IRNazanin" w:eastAsia="IRNazanin"/>
          <w:color w:val="111111"/>
          <w:sz w:val="28"/>
          <w:sz w:val="28"/>
          <w:szCs w:val="28"/>
          <w:rtl w:val="true"/>
          <w:lang w:bidi="fa-IR"/>
        </w:rPr>
        <w:t>باشند و چه زن، چه نمازهای واجب باشد و چه نمازهای مستحبی</w:t>
      </w:r>
      <w:r>
        <w:rPr>
          <w:rFonts w:eastAsia="IRNazanin" w:cs="IRNazanin"/>
          <w:color w:val="111111"/>
          <w:sz w:val="28"/>
          <w:szCs w:val="28"/>
          <w:rtl w:val="true"/>
          <w:lang w:bidi="fa-IR"/>
        </w:rPr>
        <w:t xml:space="preserve">. </w:t>
      </w:r>
      <w:r>
        <w:rPr>
          <w:rStyle w:val="FootnoteAnchor"/>
          <w:rtl w:val="true"/>
        </w:rPr>
        <w:footnoteReference w:id="1934"/>
      </w:r>
    </w:p>
    <w:p>
      <w:pPr>
        <w:pStyle w:val="Heading5"/>
        <w:numPr>
          <w:ilvl w:val="4"/>
          <w:numId w:val="1"/>
        </w:numPr>
        <w:rPr/>
      </w:pPr>
      <w:bookmarkStart w:id="1587" w:name="__RefHeading___Toc15203420_1280447820"/>
      <w:bookmarkStart w:id="1588" w:name="_Toc621"/>
      <w:bookmarkEnd w:id="1587"/>
      <w:r>
        <w:rPr>
          <w:rtl w:val="true"/>
        </w:rPr>
        <w:t>گفتار ششم</w:t>
      </w:r>
      <w:r>
        <w:rPr>
          <w:rtl w:val="true"/>
        </w:rPr>
        <w:t xml:space="preserve">: </w:t>
      </w:r>
      <w:r>
        <w:rPr>
          <w:rtl w:val="true"/>
        </w:rPr>
        <w:t>صحت قرائت</w:t>
      </w:r>
      <w:bookmarkEnd w:id="1588"/>
    </w:p>
    <w:p>
      <w:pPr>
        <w:pStyle w:val="BookText"/>
        <w:rPr/>
      </w:pPr>
      <w:r>
        <w:rPr>
          <w:rFonts w:ascii="IRNazanin" w:hAnsi="IRNazanin" w:eastAsia="IRNazanin"/>
          <w:color w:val="111111"/>
          <w:sz w:val="28"/>
          <w:sz w:val="28"/>
          <w:szCs w:val="28"/>
          <w:rtl w:val="true"/>
          <w:lang w:bidi="fa-IR"/>
        </w:rPr>
        <w:t>یکی دیگر از شرایط امام،جماعت آن از که نماز را صحیح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انسانی که قرائتش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حمد و سوره یا بعض آن و یا در اذکار واجب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برای انسان قاری که قرائت را نیک می داند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شخصی که در زبانش آفتی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حرفی را به حرف دیگر تبدیل می کند و مثلاً حرف شین را سین یا سین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 یا راء به لام مبدل و ادا می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برخی حروف رادرست اظهار نمی 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چند بار تکرار کند تا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انسانی که صحیح اللسان است و همه حروف و کلمات را به درستی از مخارج خود ادا می کند امامت کند</w:t>
      </w:r>
      <w:r>
        <w:rPr>
          <w:rFonts w:eastAsia="IRNazanin" w:cs="IRNazanin"/>
          <w:color w:val="111111"/>
          <w:sz w:val="28"/>
          <w:szCs w:val="28"/>
          <w:rtl w:val="true"/>
          <w:lang w:bidi="fa-IR"/>
        </w:rPr>
        <w:t xml:space="preserve">. </w:t>
      </w:r>
      <w:r>
        <w:rPr>
          <w:rStyle w:val="FootnoteAnchor"/>
          <w:rtl w:val="true"/>
        </w:rPr>
        <w:footnoteReference w:id="1935"/>
      </w:r>
    </w:p>
    <w:p>
      <w:pPr>
        <w:pStyle w:val="Heading5"/>
        <w:numPr>
          <w:ilvl w:val="4"/>
          <w:numId w:val="1"/>
        </w:numPr>
        <w:rPr/>
      </w:pPr>
      <w:bookmarkStart w:id="1589" w:name="__RefHeading___Toc15203422_1280447820"/>
      <w:bookmarkStart w:id="1590" w:name="_Toc622"/>
      <w:bookmarkEnd w:id="1589"/>
      <w:r>
        <w:rPr>
          <w:rtl w:val="true"/>
        </w:rPr>
        <w:t>گفتار هفتم</w:t>
      </w:r>
      <w:r>
        <w:rPr>
          <w:rtl w:val="true"/>
        </w:rPr>
        <w:t xml:space="preserve">: </w:t>
      </w:r>
      <w:r>
        <w:rPr>
          <w:rtl w:val="true"/>
        </w:rPr>
        <w:t>عدالت</w:t>
      </w:r>
      <w:bookmarkEnd w:id="1590"/>
    </w:p>
    <w:p>
      <w:pPr>
        <w:pStyle w:val="Heading6"/>
        <w:numPr>
          <w:ilvl w:val="5"/>
          <w:numId w:val="1"/>
        </w:numPr>
        <w:rPr/>
      </w:pPr>
      <w:bookmarkStart w:id="1591" w:name="__RefHeading___Toc15203424_1280447820"/>
      <w:bookmarkStart w:id="1592" w:name="_Toc623"/>
      <w:bookmarkEnd w:id="1591"/>
      <w:r>
        <w:rPr>
          <w:rtl w:val="true"/>
        </w:rPr>
        <w:t>اشاره</w:t>
      </w:r>
      <w:bookmarkEnd w:id="159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شرایطی که برای امام جماعت در کتب فقهی امامیه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فاسق بود اقتدا به او جایز نیست فقیهانی همچون سید مرتضی در انتصار، </w:t>
      </w:r>
      <w:r>
        <w:rPr>
          <w:rStyle w:val="FootnoteAnchor"/>
          <w:rtl w:val="true"/>
        </w:rPr>
        <w:footnoteReference w:id="1936"/>
      </w:r>
      <w:r>
        <w:rPr>
          <w:rFonts w:ascii="IRNazanin" w:hAnsi="IRNazanin" w:eastAsia="IRNazanin"/>
          <w:color w:val="111111"/>
          <w:sz w:val="28"/>
          <w:sz w:val="28"/>
          <w:szCs w:val="28"/>
          <w:rtl w:val="true"/>
          <w:lang w:bidi="fa-IR"/>
        </w:rPr>
        <w:t xml:space="preserve">شیخ طوسی در خلاف </w:t>
      </w:r>
      <w:r>
        <w:rPr>
          <w:rStyle w:val="FootnoteAnchor"/>
          <w:rtl w:val="true"/>
        </w:rPr>
        <w:footnoteReference w:id="1937"/>
      </w:r>
      <w:r>
        <w:rPr>
          <w:rFonts w:ascii="IRNazanin" w:hAnsi="IRNazanin" w:eastAsia="IRNazanin"/>
          <w:color w:val="111111"/>
          <w:sz w:val="28"/>
          <w:sz w:val="28"/>
          <w:szCs w:val="28"/>
          <w:rtl w:val="true"/>
          <w:lang w:bidi="fa-IR"/>
        </w:rPr>
        <w:t xml:space="preserve">ابن زهره در غنیه </w:t>
      </w:r>
      <w:r>
        <w:rPr>
          <w:rStyle w:val="FootnoteAnchor"/>
          <w:rtl w:val="true"/>
        </w:rPr>
        <w:footnoteReference w:id="1938"/>
      </w:r>
      <w:r>
        <w:rPr>
          <w:rFonts w:ascii="Amiri" w:hAnsi="Amiri" w:eastAsia="Amiri" w:cs="Amiri"/>
          <w:color w:val="111111"/>
          <w:sz w:val="28"/>
          <w:sz w:val="28"/>
          <w:szCs w:val="28"/>
          <w:rtl w:val="true"/>
          <w:lang w:bidi="ar-SA"/>
        </w:rPr>
        <w:t xml:space="preserve">علامه در نهايه الإحكام </w:t>
      </w:r>
      <w:r>
        <w:rPr>
          <w:rStyle w:val="FootnoteAnchor"/>
          <w:rtl w:val="true"/>
        </w:rPr>
        <w:footnoteReference w:id="1939"/>
      </w:r>
      <w:r>
        <w:rPr>
          <w:rFonts w:ascii="IRNazanin" w:hAnsi="IRNazanin" w:eastAsia="IRNazanin"/>
          <w:color w:val="111111"/>
          <w:sz w:val="28"/>
          <w:sz w:val="28"/>
          <w:szCs w:val="28"/>
          <w:rtl w:val="true"/>
          <w:lang w:bidi="fa-IR"/>
        </w:rPr>
        <w:t xml:space="preserve">و </w:t>
      </w:r>
      <w:bookmarkStart w:id="1593" w:name="pg19115_195808"/>
    </w:p>
    <w:p>
      <w:pPr>
        <w:pStyle w:val="BookText"/>
        <w:rPr/>
      </w:pPr>
      <w:bookmarkEnd w:id="1593"/>
      <w:r>
        <w:rPr>
          <w:rFonts w:ascii="IRNazanin" w:hAnsi="IRNazanin" w:eastAsia="IRNazanin"/>
          <w:color w:val="111111"/>
          <w:sz w:val="28"/>
          <w:sz w:val="28"/>
          <w:szCs w:val="28"/>
          <w:rtl w:val="true"/>
          <w:lang w:bidi="fa-IR"/>
        </w:rPr>
        <w:t xml:space="preserve">تذکره </w:t>
      </w:r>
      <w:r>
        <w:rPr>
          <w:rStyle w:val="FootnoteAnchor"/>
          <w:rtl w:val="true"/>
        </w:rPr>
        <w:footnoteReference w:id="1940"/>
      </w:r>
      <w:r>
        <w:rPr>
          <w:rFonts w:ascii="IRNazanin" w:hAnsi="IRNazanin" w:eastAsia="IRNazanin"/>
          <w:color w:val="111111"/>
          <w:sz w:val="28"/>
          <w:sz w:val="28"/>
          <w:szCs w:val="28"/>
          <w:rtl w:val="true"/>
          <w:lang w:bidi="fa-IR"/>
        </w:rPr>
        <w:t xml:space="preserve">و شهید ثانی در روض الجنان </w:t>
      </w:r>
      <w:r>
        <w:rPr>
          <w:rStyle w:val="FootnoteAnchor"/>
          <w:rtl w:val="true"/>
        </w:rPr>
        <w:footnoteReference w:id="1941"/>
      </w:r>
      <w:r>
        <w:rPr>
          <w:rFonts w:ascii="IRNazanin" w:hAnsi="IRNazanin" w:eastAsia="IRNazanin"/>
          <w:color w:val="111111"/>
          <w:sz w:val="28"/>
          <w:sz w:val="28"/>
          <w:szCs w:val="28"/>
          <w:rtl w:val="true"/>
          <w:lang w:bidi="fa-IR"/>
        </w:rPr>
        <w:t>در این مسئله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صدوق در مقنع،</w:t>
      </w:r>
      <w:r>
        <w:rPr>
          <w:rStyle w:val="FootnoteAnchor"/>
          <w:rtl w:val="true"/>
        </w:rPr>
        <w:footnoteReference w:id="1942"/>
      </w:r>
      <w:r>
        <w:rPr>
          <w:rFonts w:ascii="IRNazanin" w:hAnsi="IRNazanin" w:eastAsia="IRNazanin"/>
          <w:color w:val="111111"/>
          <w:sz w:val="28"/>
          <w:sz w:val="28"/>
          <w:szCs w:val="28"/>
          <w:rtl w:val="true"/>
          <w:lang w:bidi="fa-IR"/>
        </w:rPr>
        <w:t xml:space="preserve">سید مرتضی در جمل العلم، </w:t>
      </w:r>
      <w:r>
        <w:rPr>
          <w:rStyle w:val="FootnoteAnchor"/>
          <w:rtl w:val="true"/>
        </w:rPr>
        <w:footnoteReference w:id="1943"/>
      </w:r>
      <w:r>
        <w:rPr>
          <w:rFonts w:ascii="IRNazanin" w:hAnsi="IRNazanin" w:eastAsia="IRNazanin"/>
          <w:color w:val="111111"/>
          <w:sz w:val="28"/>
          <w:sz w:val="28"/>
          <w:szCs w:val="28"/>
          <w:rtl w:val="true"/>
          <w:lang w:bidi="fa-IR"/>
        </w:rPr>
        <w:t xml:space="preserve">شیخ طوسی در نهایه و مبسوط </w:t>
      </w:r>
      <w:r>
        <w:rPr>
          <w:rStyle w:val="FootnoteAnchor"/>
          <w:rtl w:val="true"/>
        </w:rPr>
        <w:footnoteReference w:id="1944"/>
      </w:r>
      <w:r>
        <w:rPr>
          <w:rFonts w:ascii="IRNazanin" w:hAnsi="IRNazanin" w:eastAsia="IRNazanin"/>
          <w:color w:val="111111"/>
          <w:sz w:val="28"/>
          <w:sz w:val="28"/>
          <w:szCs w:val="28"/>
          <w:rtl w:val="true"/>
          <w:lang w:bidi="fa-IR"/>
        </w:rPr>
        <w:t xml:space="preserve">سلار در مراسم </w:t>
      </w:r>
      <w:r>
        <w:rPr>
          <w:rStyle w:val="FootnoteAnchor"/>
          <w:rtl w:val="true"/>
        </w:rPr>
        <w:footnoteReference w:id="1945"/>
      </w:r>
      <w:r>
        <w:rPr>
          <w:rFonts w:ascii="IRNazanin" w:hAnsi="IRNazanin" w:eastAsia="IRNazanin"/>
          <w:color w:val="111111"/>
          <w:sz w:val="28"/>
          <w:sz w:val="28"/>
          <w:szCs w:val="28"/>
          <w:rtl w:val="true"/>
          <w:lang w:bidi="fa-IR"/>
        </w:rPr>
        <w:t xml:space="preserve">شهید اول در بیان </w:t>
      </w:r>
      <w:r>
        <w:rPr>
          <w:rStyle w:val="FootnoteAnchor"/>
          <w:rtl w:val="true"/>
        </w:rPr>
        <w:footnoteReference w:id="1946"/>
      </w:r>
      <w:r>
        <w:rPr>
          <w:rFonts w:ascii="IRNazanin" w:hAnsi="IRNazanin" w:eastAsia="IRNazanin"/>
          <w:color w:val="111111"/>
          <w:sz w:val="28"/>
          <w:sz w:val="28"/>
          <w:szCs w:val="28"/>
          <w:rtl w:val="true"/>
          <w:lang w:bidi="fa-IR"/>
        </w:rPr>
        <w:t xml:space="preserve">و دیگر بزرگان </w:t>
      </w:r>
      <w:r>
        <w:rPr>
          <w:rStyle w:val="FootnoteAnchor"/>
          <w:rtl w:val="true"/>
        </w:rPr>
        <w:footnoteReference w:id="1947"/>
      </w:r>
      <w:r>
        <w:rPr>
          <w:rFonts w:ascii="IRNazanin" w:hAnsi="IRNazanin" w:eastAsia="IRNazanin"/>
          <w:color w:val="111111"/>
          <w:sz w:val="28"/>
          <w:sz w:val="28"/>
          <w:szCs w:val="28"/>
          <w:rtl w:val="true"/>
          <w:lang w:bidi="fa-IR"/>
        </w:rPr>
        <w:t xml:space="preserve">نیز تصریح به این حکم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شرایط امام جماعت، داشتن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ابتدا به معنای این واژه در لغت پرداخته و سپس معنای اصطلاحی و شرعی آن ذکر خواهد شد</w:t>
      </w:r>
      <w:r>
        <w:rPr>
          <w:rFonts w:eastAsia="IRNazanin" w:cs="IRNazanin"/>
          <w:color w:val="111111"/>
          <w:sz w:val="28"/>
          <w:szCs w:val="28"/>
          <w:rtl w:val="true"/>
          <w:lang w:bidi="fa-IR"/>
        </w:rPr>
        <w:t>.</w:t>
      </w:r>
    </w:p>
    <w:p>
      <w:pPr>
        <w:pStyle w:val="Heading6"/>
        <w:numPr>
          <w:ilvl w:val="5"/>
          <w:numId w:val="1"/>
        </w:numPr>
        <w:rPr/>
      </w:pPr>
      <w:bookmarkStart w:id="1594" w:name="__RefHeading___Toc15203426_1280447820"/>
      <w:bookmarkStart w:id="1595" w:name="_Toc624"/>
      <w:bookmarkEnd w:id="1594"/>
      <w:r>
        <w:rPr>
          <w:rtl w:val="true"/>
        </w:rPr>
        <w:t>الف</w:t>
      </w:r>
      <w:r>
        <w:rPr>
          <w:rtl w:val="true"/>
        </w:rPr>
        <w:t xml:space="preserve">) </w:t>
      </w:r>
      <w:r>
        <w:rPr>
          <w:rtl w:val="true"/>
        </w:rPr>
        <w:t>تعریف عدالت در لغت و اصطلاح</w:t>
      </w:r>
      <w:bookmarkEnd w:id="159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مخالف معنای جور و ظلم بوده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راست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انسانی اطلاق می شود که دارای تعادل و سلامت روحی باشد و راه راست را برگزیند و سخن و حکم او مورد رضایت باشد</w:t>
      </w:r>
      <w:r>
        <w:rPr>
          <w:rFonts w:eastAsia="IRNazanin" w:cs="IRNazanin"/>
          <w:color w:val="111111"/>
          <w:sz w:val="28"/>
          <w:szCs w:val="28"/>
          <w:rtl w:val="true"/>
          <w:lang w:bidi="fa-IR"/>
        </w:rPr>
        <w:t>.</w:t>
      </w:r>
      <w:r>
        <w:rPr>
          <w:rStyle w:val="FootnoteAnchor"/>
          <w:rtl w:val="true"/>
        </w:rPr>
        <w:footnoteReference w:id="1948"/>
      </w:r>
      <w:r>
        <w:rPr>
          <w:rFonts w:ascii="IRNazanin" w:hAnsi="IRNazanin" w:eastAsia="IRNazanin"/>
          <w:color w:val="111111"/>
          <w:sz w:val="28"/>
          <w:sz w:val="28"/>
          <w:szCs w:val="28"/>
          <w:rtl w:val="true"/>
          <w:lang w:bidi="fa-IR"/>
        </w:rPr>
        <w:t>برخی از فقیهان نیز همین معنای لغوی را برای این واژه برگزیده اند</w:t>
      </w:r>
      <w:r>
        <w:rPr>
          <w:rFonts w:eastAsia="IRNazanin" w:cs="IRNazanin"/>
          <w:color w:val="111111"/>
          <w:sz w:val="28"/>
          <w:szCs w:val="28"/>
          <w:rtl w:val="true"/>
          <w:lang w:bidi="fa-IR"/>
        </w:rPr>
        <w:t xml:space="preserve">.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 xml:space="preserve">و اما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دارای حقیقت شرعیه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عدالت سه تعریف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عبارت است از آن که شخص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باشد به این معنا که هر شخصی که شیعه دوازده امامی است و از او فسق ظاهری صادر نشده باشد عادل خوانده می شود این قول به ابن جنید شیخ مفید در کتاب إشراف و شیخ طوسی در کتاب خلاف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نهایه و استبصار شیخ طوسی و مسالک شهید ثانی نیز همین دیدگاه است که برای اثبات این،نظریه به اجماع، اصل و ظاهر اخبار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باید توجه داشت که این،اجماع توسط برخی دیگر از فقیهان منع شده است و البته ظاهر کلمات این،بزرگان با عدالت به معنای عدم ارتکاب کبائر و عدم اصرار بر صغائر منافات ندارد؛ چه آن که ظاهر عبارات این گروه از بزرگان، ادعاء بر </w:t>
      </w:r>
    </w:p>
    <w:p>
      <w:pPr>
        <w:pStyle w:val="BookText"/>
        <w:rPr/>
      </w:pPr>
      <w:r>
        <w:rPr>
          <w:rFonts w:ascii="IRNazanin" w:hAnsi="IRNazanin" w:eastAsia="IRNazanin"/>
          <w:color w:val="111111"/>
          <w:sz w:val="28"/>
          <w:sz w:val="28"/>
          <w:szCs w:val="28"/>
          <w:rtl w:val="true"/>
          <w:lang w:bidi="fa-IR"/>
        </w:rPr>
        <w:t>این مطلب است که اصل در هر مسلمانی تا هنگامی که یکی از موجبات فسق از او ظاهر نشده، بر عدالت است و ریشه این سخن در آن است که اسلام خود نشان بر عدالت شخص است تا زمانی که یکی از موجبات فسق در او ظاهر شود، نظیر أصاله الصحه در فعل مسلمان</w:t>
      </w:r>
      <w:r>
        <w:rPr>
          <w:rFonts w:eastAsia="IRNazanin" w:cs="IRNazanin"/>
          <w:color w:val="111111"/>
          <w:sz w:val="28"/>
          <w:szCs w:val="28"/>
          <w:rtl w:val="true"/>
          <w:lang w:bidi="fa-IR"/>
        </w:rPr>
        <w:t xml:space="preserve">. </w:t>
      </w:r>
      <w:r>
        <w:rPr>
          <w:rStyle w:val="FootnoteAnchor"/>
          <w:rtl w:val="true"/>
        </w:rPr>
        <w:footnoteReference w:id="19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 که ظاهر الصلاح باشد و فسقی از او دیده نشود، عادل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دیدگاه نظریه قدما پیرامون معنای عدالت است که قائلین به دیدگاه اول ذکر شد و سایر قدما معنای دوم را برای عدالت برگزیدند برای این معنا روایاتی ذکر شده که برخی آن اخبار را در حد تواتر دانسته اند</w:t>
      </w:r>
      <w:r>
        <w:rPr>
          <w:rFonts w:eastAsia="IRNazanin" w:cs="IRNazanin"/>
          <w:color w:val="111111"/>
          <w:sz w:val="28"/>
          <w:szCs w:val="28"/>
          <w:rtl w:val="true"/>
          <w:lang w:bidi="fa-IR"/>
        </w:rPr>
        <w:t xml:space="preserve">. </w:t>
      </w:r>
      <w:r>
        <w:rPr>
          <w:rStyle w:val="FootnoteAnchor"/>
          <w:rtl w:val="true"/>
        </w:rPr>
        <w:footnoteReference w:id="1951"/>
      </w:r>
      <w:bookmarkStart w:id="1596" w:name="pg19115_195811"/>
    </w:p>
    <w:p>
      <w:pPr>
        <w:pStyle w:val="BookText"/>
        <w:rPr/>
      </w:pPr>
      <w:bookmarkEnd w:id="15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عبارت است از حالت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 با تقوا باشد یا آن که علاوه بر ملازمت با تقوا مسائل خلاف مروّت نیز از شخص صادر نشود مراد از ملازمت با تقوا انجام ندادن گناهان کبیره و عدم اصرار بر گناهان صغیره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دیدگاه مشهور میان متأخران از فقهاست که برخی این قول را به مشهور اصحاب یا مشهور فقها نسبت داده </w:t>
      </w:r>
      <w:r>
        <w:rPr>
          <w:rStyle w:val="FootnoteAnchor"/>
          <w:rtl w:val="true"/>
        </w:rPr>
        <w:footnoteReference w:id="1952"/>
      </w:r>
      <w:r>
        <w:rPr>
          <w:rFonts w:ascii="IRNazanin" w:hAnsi="IRNazanin" w:eastAsia="IRNazanin"/>
          <w:color w:val="111111"/>
          <w:sz w:val="28"/>
          <w:sz w:val="28"/>
          <w:szCs w:val="28"/>
          <w:rtl w:val="true"/>
          <w:lang w:bidi="fa-IR"/>
        </w:rPr>
        <w:t>و محقق اردبیلی رحمه الله در دو جا از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مشهور میان عامه و خاصه در اصول و فروع است</w:t>
      </w:r>
      <w:r>
        <w:rPr>
          <w:rFonts w:eastAsia="IRNazanin" w:cs="IRNazanin"/>
          <w:color w:val="111111"/>
          <w:sz w:val="28"/>
          <w:szCs w:val="28"/>
          <w:rtl w:val="true"/>
          <w:lang w:bidi="fa-IR"/>
        </w:rPr>
        <w:t xml:space="preserve">.» </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در ادامه به پاسخ دو پرسش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تقسیم گناه به کبیره و صغیره صحیح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گناهان کبیره و موارد آن کدام است؟</w:t>
      </w:r>
    </w:p>
    <w:p>
      <w:pPr>
        <w:pStyle w:val="Heading6"/>
        <w:numPr>
          <w:ilvl w:val="5"/>
          <w:numId w:val="1"/>
        </w:numPr>
        <w:rPr/>
      </w:pPr>
      <w:bookmarkStart w:id="1597" w:name="__RefHeading___Toc15203428_1280447820"/>
      <w:bookmarkStart w:id="1598" w:name="_Toc625"/>
      <w:bookmarkEnd w:id="1597"/>
      <w:r>
        <w:rPr>
          <w:rtl w:val="true"/>
        </w:rPr>
        <w:t>ب</w:t>
      </w:r>
      <w:r>
        <w:rPr>
          <w:rtl w:val="true"/>
        </w:rPr>
        <w:t xml:space="preserve">) </w:t>
      </w:r>
      <w:r>
        <w:rPr>
          <w:rtl w:val="true"/>
        </w:rPr>
        <w:t>تقسیم گناهان به كبيره وصغيره</w:t>
      </w:r>
      <w:bookmarkEnd w:id="1598"/>
    </w:p>
    <w:p>
      <w:pPr>
        <w:pStyle w:val="Heading6"/>
        <w:numPr>
          <w:ilvl w:val="5"/>
          <w:numId w:val="1"/>
        </w:numPr>
        <w:rPr/>
      </w:pPr>
      <w:bookmarkStart w:id="1599" w:name="__RefHeading___Toc15203430_1280447820"/>
      <w:bookmarkStart w:id="1600" w:name="_Toc626"/>
      <w:bookmarkEnd w:id="1599"/>
      <w:r>
        <w:rPr>
          <w:rtl w:val="true"/>
        </w:rPr>
        <w:t>اشاره</w:t>
      </w:r>
      <w:bookmarkEnd w:id="160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مطرح در اینجا آن است که آیا در معاصی گناه صغیره هم داریم یا آن که تمام گناهان کبیره است؟ دو دیدگاه پیرامون این موضوع وجود دارد</w:t>
      </w:r>
      <w:r>
        <w:rPr>
          <w:rFonts w:eastAsia="IRNazanin" w:cs="IRNazanin"/>
          <w:color w:val="111111"/>
          <w:sz w:val="28"/>
          <w:szCs w:val="28"/>
          <w:rtl w:val="true"/>
          <w:lang w:bidi="fa-IR"/>
        </w:rPr>
        <w:t xml:space="preserve">: </w:t>
      </w:r>
      <w:bookmarkStart w:id="1601" w:name="pg19115_195812"/>
    </w:p>
    <w:p>
      <w:pPr>
        <w:pStyle w:val="Heading6"/>
        <w:numPr>
          <w:ilvl w:val="5"/>
          <w:numId w:val="1"/>
        </w:numPr>
        <w:rPr/>
      </w:pPr>
      <w:bookmarkStart w:id="1602" w:name="__RefHeading___Toc15203432_1280447820"/>
      <w:bookmarkStart w:id="1603" w:name="_Toc627"/>
      <w:bookmarkEnd w:id="1601"/>
      <w:bookmarkEnd w:id="1602"/>
      <w:r>
        <w:rPr/>
        <w:t>1</w:t>
      </w:r>
      <w:r>
        <w:rPr>
          <w:rtl w:val="true"/>
        </w:rPr>
        <w:t xml:space="preserve">. </w:t>
      </w:r>
      <w:r>
        <w:rPr>
          <w:rtl w:val="true"/>
        </w:rPr>
        <w:t>دیدگاه نخست</w:t>
      </w:r>
      <w:bookmarkEnd w:id="1603"/>
    </w:p>
    <w:p>
      <w:pPr>
        <w:pStyle w:val="BookText"/>
        <w:rPr/>
      </w:pPr>
      <w:r>
        <w:rPr>
          <w:rFonts w:ascii="IRNazanin" w:hAnsi="IRNazanin" w:eastAsia="IRNazanin"/>
          <w:color w:val="111111"/>
          <w:sz w:val="28"/>
          <w:sz w:val="28"/>
          <w:szCs w:val="28"/>
          <w:rtl w:val="true"/>
          <w:lang w:bidi="fa-IR"/>
        </w:rPr>
        <w:t xml:space="preserve">شیخ طوسی رحمه الله در مبسوط </w:t>
      </w:r>
      <w:r>
        <w:rPr>
          <w:rStyle w:val="FootnoteAnchor"/>
          <w:rtl w:val="true"/>
        </w:rPr>
        <w:footnoteReference w:id="1954"/>
      </w:r>
      <w:r>
        <w:rPr>
          <w:rFonts w:ascii="IRNazanin" w:hAnsi="IRNazanin" w:eastAsia="IRNazanin"/>
          <w:color w:val="111111"/>
          <w:sz w:val="28"/>
          <w:sz w:val="28"/>
          <w:szCs w:val="28"/>
          <w:rtl w:val="true"/>
          <w:lang w:bidi="fa-IR"/>
        </w:rPr>
        <w:t xml:space="preserve">ابن حمزه </w:t>
      </w:r>
      <w:r>
        <w:rPr>
          <w:rStyle w:val="FootnoteAnchor"/>
          <w:rtl w:val="true"/>
        </w:rPr>
        <w:footnoteReference w:id="1955"/>
      </w:r>
      <w:r>
        <w:rPr>
          <w:rFonts w:ascii="IRNazanin" w:hAnsi="IRNazanin" w:eastAsia="IRNazanin"/>
          <w:color w:val="111111"/>
          <w:sz w:val="28"/>
          <w:sz w:val="28"/>
          <w:szCs w:val="28"/>
          <w:rtl w:val="true"/>
          <w:lang w:bidi="fa-IR"/>
        </w:rPr>
        <w:t xml:space="preserve">و قاطبه متأخران </w:t>
      </w:r>
      <w:r>
        <w:rPr>
          <w:rStyle w:val="FootnoteAnchor"/>
          <w:rtl w:val="true"/>
        </w:rPr>
        <w:footnoteReference w:id="1956"/>
      </w:r>
      <w:r>
        <w:rPr>
          <w:rFonts w:ascii="IRNazanin" w:hAnsi="IRNazanin" w:eastAsia="IRNazanin"/>
          <w:color w:val="111111"/>
          <w:sz w:val="28"/>
          <w:sz w:val="28"/>
          <w:szCs w:val="28"/>
          <w:rtl w:val="true"/>
          <w:lang w:bidi="fa-IR"/>
        </w:rPr>
        <w:t>بر این باورند که معصیت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و کبیره و هر معصیتی کبیره نیست محقق اردبیلی رحمه الله در مجمع الفائده گاه این قول را به مشهور فقها نسبت می دهد و گاه به بیشتر علماء و گاه به علماء نسبت می دهد</w:t>
      </w:r>
      <w:r>
        <w:rPr>
          <w:rFonts w:eastAsia="IRNazanin" w:cs="IRNazanin"/>
          <w:color w:val="111111"/>
          <w:sz w:val="28"/>
          <w:szCs w:val="28"/>
          <w:rtl w:val="true"/>
          <w:lang w:bidi="fa-IR"/>
        </w:rPr>
        <w:t xml:space="preserve">. </w:t>
      </w:r>
      <w:r>
        <w:rPr>
          <w:rStyle w:val="FootnoteAnchor"/>
          <w:rtl w:val="true"/>
        </w:rPr>
        <w:footnoteReference w:id="1957"/>
      </w:r>
      <w:r>
        <w:rPr>
          <w:rFonts w:ascii="IRNazanin" w:hAnsi="IRNazanin" w:eastAsia="IRNazanin"/>
          <w:color w:val="111111"/>
          <w:sz w:val="28"/>
          <w:sz w:val="28"/>
          <w:szCs w:val="28"/>
          <w:rtl w:val="true"/>
          <w:lang w:bidi="fa-IR"/>
        </w:rPr>
        <w:t>که البته ادله بسیاری از کتاب و سنت در مدعای ایشان وجود دارد</w:t>
      </w:r>
      <w:r>
        <w:rPr>
          <w:rFonts w:eastAsia="IRNazanin" w:cs="IRNazanin"/>
          <w:color w:val="111111"/>
          <w:sz w:val="28"/>
          <w:szCs w:val="28"/>
          <w:rtl w:val="true"/>
          <w:lang w:bidi="fa-IR"/>
        </w:rPr>
        <w:t>.</w:t>
      </w:r>
    </w:p>
    <w:p>
      <w:pPr>
        <w:pStyle w:val="Heading6"/>
        <w:numPr>
          <w:ilvl w:val="5"/>
          <w:numId w:val="1"/>
        </w:numPr>
        <w:rPr/>
      </w:pPr>
      <w:bookmarkStart w:id="1604" w:name="__RefHeading___Toc15203434_1280447820"/>
      <w:bookmarkStart w:id="1605" w:name="_Toc628"/>
      <w:bookmarkEnd w:id="1604"/>
      <w:r>
        <w:rPr/>
        <w:t>2</w:t>
      </w:r>
      <w:r>
        <w:rPr>
          <w:rtl w:val="true"/>
        </w:rPr>
        <w:t xml:space="preserve">. </w:t>
      </w:r>
      <w:r>
        <w:rPr>
          <w:rtl w:val="true"/>
        </w:rPr>
        <w:t>دیدگاه دوم</w:t>
      </w:r>
      <w:bookmarkEnd w:id="1605"/>
    </w:p>
    <w:p>
      <w:pPr>
        <w:pStyle w:val="BookText"/>
        <w:rPr/>
      </w:pPr>
      <w:r>
        <w:rPr>
          <w:rFonts w:ascii="IRNazanin" w:hAnsi="IRNazanin" w:eastAsia="IRNazanin"/>
          <w:color w:val="111111"/>
          <w:sz w:val="28"/>
          <w:sz w:val="28"/>
          <w:szCs w:val="28"/>
          <w:rtl w:val="true"/>
          <w:lang w:bidi="fa-IR"/>
        </w:rPr>
        <w:t xml:space="preserve">شیخ طوسی رحمه الله در عده الاصول در دلیل دوم بر حجیت خبر واحد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قبیحی کبیره است</w:t>
      </w:r>
      <w:r>
        <w:rPr>
          <w:rFonts w:eastAsia="IRNazanin" w:cs="IRNazanin"/>
          <w:color w:val="111111"/>
          <w:sz w:val="28"/>
          <w:szCs w:val="28"/>
          <w:rtl w:val="true"/>
          <w:lang w:bidi="fa-IR"/>
        </w:rPr>
        <w:t xml:space="preserve">.» </w:t>
      </w:r>
      <w:r>
        <w:rPr>
          <w:rStyle w:val="FootnoteAnchor"/>
          <w:rtl w:val="true"/>
        </w:rPr>
        <w:footnoteReference w:id="1958"/>
      </w:r>
      <w:r>
        <w:rPr>
          <w:rFonts w:ascii="IRNazanin" w:hAnsi="IRNazanin" w:eastAsia="IRNazanin"/>
          <w:color w:val="111111"/>
          <w:sz w:val="28"/>
          <w:sz w:val="28"/>
          <w:szCs w:val="28"/>
          <w:rtl w:val="true"/>
          <w:lang w:bidi="fa-IR"/>
        </w:rPr>
        <w:t>همچنین شیخ مفید،</w:t>
      </w:r>
      <w:r>
        <w:rPr>
          <w:rStyle w:val="FootnoteAnchor"/>
          <w:rtl w:val="true"/>
        </w:rPr>
        <w:footnoteReference w:id="1959"/>
      </w:r>
      <w:r>
        <w:rPr>
          <w:rFonts w:ascii="IRNazanin" w:hAnsi="IRNazanin" w:eastAsia="IRNazanin"/>
          <w:color w:val="111111"/>
          <w:sz w:val="28"/>
          <w:sz w:val="28"/>
          <w:szCs w:val="28"/>
          <w:rtl w:val="true"/>
          <w:lang w:bidi="fa-IR"/>
        </w:rPr>
        <w:t xml:space="preserve">قاضی ابن براج، </w:t>
      </w:r>
      <w:r>
        <w:rPr>
          <w:rStyle w:val="FootnoteAnchor"/>
          <w:rtl w:val="true"/>
        </w:rPr>
        <w:footnoteReference w:id="1960"/>
      </w:r>
      <w:r>
        <w:rPr>
          <w:rFonts w:ascii="IRNazanin" w:hAnsi="IRNazanin" w:eastAsia="IRNazanin"/>
          <w:color w:val="111111"/>
          <w:sz w:val="28"/>
          <w:sz w:val="28"/>
          <w:szCs w:val="28"/>
          <w:rtl w:val="true"/>
          <w:lang w:bidi="fa-IR"/>
        </w:rPr>
        <w:t xml:space="preserve">ابوالصلاح حلبی، </w:t>
      </w:r>
      <w:r>
        <w:rPr>
          <w:rStyle w:val="FootnoteAnchor"/>
          <w:rtl w:val="true"/>
        </w:rPr>
        <w:footnoteReference w:id="1961"/>
      </w:r>
      <w:r>
        <w:rPr>
          <w:rFonts w:ascii="IRNazanin" w:hAnsi="IRNazanin" w:eastAsia="IRNazanin"/>
          <w:color w:val="111111"/>
          <w:sz w:val="28"/>
          <w:sz w:val="28"/>
          <w:szCs w:val="28"/>
          <w:rtl w:val="true"/>
          <w:lang w:bidi="fa-IR"/>
        </w:rPr>
        <w:t xml:space="preserve">ابن ادریس، </w:t>
      </w:r>
      <w:r>
        <w:rPr>
          <w:rStyle w:val="FootnoteAnchor"/>
          <w:rtl w:val="true"/>
        </w:rPr>
        <w:footnoteReference w:id="1962"/>
      </w:r>
      <w:r>
        <w:rPr>
          <w:rFonts w:ascii="IRNazanin" w:hAnsi="IRNazanin" w:eastAsia="IRNazanin"/>
          <w:color w:val="111111"/>
          <w:sz w:val="28"/>
          <w:sz w:val="28"/>
          <w:szCs w:val="28"/>
          <w:rtl w:val="true"/>
          <w:lang w:bidi="fa-IR"/>
        </w:rPr>
        <w:t xml:space="preserve">طبرسی </w:t>
      </w:r>
      <w:r>
        <w:rPr>
          <w:rStyle w:val="FootnoteAnchor"/>
          <w:rtl w:val="true"/>
        </w:rPr>
        <w:footnoteReference w:id="1963"/>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کبیره به شمار می آید هر چند مراتب معصیت متفاوت است؛ چرا که تمام معاصی در مخالفت اوامر الهی مشترکاند و همین باعث کبیره شدن معاصی می 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به برخی صغیره و کبیره گفته می شود، از باب اضافه به گناه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عنوان،نمون بوسیدن نامحرم نسبت به،زنا صغیره بوده و نسبت به نگاه </w:t>
      </w:r>
      <w:bookmarkStart w:id="1606" w:name="pg19115_195813"/>
    </w:p>
    <w:p>
      <w:pPr>
        <w:pStyle w:val="BookText"/>
        <w:rPr/>
      </w:pPr>
      <w:bookmarkEnd w:id="1606"/>
      <w:r>
        <w:rPr>
          <w:rFonts w:ascii="IRNazanin" w:hAnsi="IRNazanin" w:eastAsia="IRNazanin"/>
          <w:color w:val="111111"/>
          <w:sz w:val="28"/>
          <w:sz w:val="28"/>
          <w:szCs w:val="28"/>
          <w:rtl w:val="true"/>
          <w:lang w:bidi="fa-IR"/>
        </w:rPr>
        <w:t>کردن به نامحرم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دوم با انجام هر معصیتی چه کبیره و چه صغیره، عدالت از بین می رود و تالی فاسد این مطلب آن است که دیگر نتوان شهادت هیچ کس را قبول کرد؛ چرا که قطع به توبه وجود ندارد</w:t>
      </w:r>
      <w:r>
        <w:rPr>
          <w:rFonts w:eastAsia="IRNazanin" w:cs="IRNazanin"/>
          <w:color w:val="111111"/>
          <w:sz w:val="28"/>
          <w:szCs w:val="28"/>
          <w:rtl w:val="true"/>
          <w:lang w:bidi="fa-IR"/>
        </w:rPr>
        <w:t xml:space="preserve">. </w:t>
      </w:r>
      <w:r>
        <w:rPr>
          <w:rStyle w:val="FootnoteAnchor"/>
          <w:rtl w:val="true"/>
        </w:rPr>
        <w:footnoteReference w:id="1964"/>
      </w:r>
    </w:p>
    <w:p>
      <w:pPr>
        <w:pStyle w:val="Heading6"/>
        <w:numPr>
          <w:ilvl w:val="5"/>
          <w:numId w:val="1"/>
        </w:numPr>
        <w:rPr/>
      </w:pPr>
      <w:bookmarkStart w:id="1607" w:name="__RefHeading___Toc15203436_1280447820"/>
      <w:bookmarkStart w:id="1608" w:name="_Toc629"/>
      <w:bookmarkEnd w:id="1607"/>
      <w:r>
        <w:rPr>
          <w:rtl w:val="true"/>
        </w:rPr>
        <w:t>ج</w:t>
      </w:r>
      <w:r>
        <w:rPr>
          <w:rtl w:val="true"/>
        </w:rPr>
        <w:t xml:space="preserve">) </w:t>
      </w:r>
      <w:r>
        <w:rPr>
          <w:rtl w:val="true"/>
        </w:rPr>
        <w:t>تعریف گناهان كبيره و موارد آن</w:t>
      </w:r>
      <w:bookmarkEnd w:id="1608"/>
    </w:p>
    <w:p>
      <w:pPr>
        <w:pStyle w:val="BookText"/>
        <w:rPr/>
      </w:pPr>
      <w:r>
        <w:rPr>
          <w:rFonts w:ascii="IRNazanin" w:hAnsi="IRNazanin" w:eastAsia="IRNazanin"/>
          <w:color w:val="111111"/>
          <w:sz w:val="28"/>
          <w:sz w:val="28"/>
          <w:szCs w:val="28"/>
          <w:rtl w:val="true"/>
          <w:lang w:bidi="fa-IR"/>
        </w:rPr>
        <w:t xml:space="preserve">در تعریف گناهان کبیره گفته شده گناه کبیره هر معصیتی است که نسبت به آن وعده و تهدید به آتش یا عقاب داده شده،است یا شدیدا با آن برخورد شده است یا دلیلی دلالت می کند که آن گناه از بعضی از کبایر بزرگتر یا مانند آن است، یا عقل حکم می کند که کبیره،است یا در اذهان اهل شریعت و تدیّن مسلّما است یا نصی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کبیره است</w:t>
      </w:r>
      <w:r>
        <w:rPr>
          <w:rFonts w:eastAsia="IRNazanin" w:cs="IRNazanin"/>
          <w:color w:val="111111"/>
          <w:sz w:val="28"/>
          <w:szCs w:val="28"/>
          <w:rtl w:val="true"/>
          <w:lang w:bidi="fa-IR"/>
        </w:rPr>
        <w:t xml:space="preserve">.» </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در تعداد گناهان کبیره روایات و اقوال علما مختلف است؛ بعضی علماء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گناهان کبیره را هفتاد و هفت و بعضی هفتاد و بعضی شصت و بعضی چهل و بعضی بیست و بعضی هفت گناه بیان می کنند و در بعضی از اخبار سی و دو، و در بعضی بیست و یک و در بعضی،هفت و در بعضی پنج، بیان می شود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هفت گناه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w:t>
      </w:r>
      <w:r>
        <w:rPr>
          <w:rStyle w:val="FootnoteAnchor"/>
          <w:rtl w:val="true"/>
        </w:rPr>
        <w:footnoteReference w:id="1966"/>
      </w:r>
      <w:r>
        <w:rPr>
          <w:rFonts w:ascii="IRNazanin" w:hAnsi="IRNazanin" w:eastAsia="IRNazanin"/>
          <w:color w:val="111111"/>
          <w:sz w:val="28"/>
          <w:sz w:val="28"/>
          <w:szCs w:val="28"/>
          <w:rtl w:val="true"/>
          <w:lang w:bidi="fa-IR"/>
        </w:rPr>
        <w:t xml:space="preserve">که در اینجا به </w:t>
      </w:r>
    </w:p>
    <w:p>
      <w:pPr>
        <w:pStyle w:val="BookText"/>
        <w:rPr/>
      </w:pPr>
      <w:r>
        <w:rPr>
          <w:rFonts w:ascii="IRNazanin" w:hAnsi="IRNazanin" w:eastAsia="IRNazanin"/>
          <w:color w:val="111111"/>
          <w:sz w:val="28"/>
          <w:sz w:val="28"/>
          <w:szCs w:val="28"/>
          <w:rtl w:val="true"/>
          <w:lang w:bidi="fa-IR"/>
        </w:rPr>
        <w:t>برخی از گناهان کبیره که در آیات و روایات به آنها وعده عذاب داده شده یا آن که ملاک کبیره بودن را داراست،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به خداوند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اضلال و گمراه کردن از راه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بستن بر خدا و رسول خدا صلی الله علیه و آله و اوصیای پیغمبر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نفسی که خدا آن را حرام کرده به جز آن که به حق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کردن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ستمکاران و تکیه نمودن بر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ورزیدن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نماز،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زکات،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نرفتن به جهاد،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ربا و مال باطل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مال یتیم از روی ظلم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 کردن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مأیوس شدن از رحمت خدا،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 شدن از مکر او</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 والدین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مال یتیم از روی ظلم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نسبت ناروا به زن شوهردار دادن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لواط،</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شهادت،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باطل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عهد،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ناحقی در وصیت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قماربازی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نمودن حقوق بدون عذر،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شدن به هوسرانی ها</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حج،</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مردار و خون و گوشت خوک و گوشت هر چه که برای غیر خدا کشته شده است بدون آن که ضرورتی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بر انجام گناهان کوچک</w:t>
      </w:r>
      <w:r>
        <w:rPr>
          <w:rStyle w:val="FootnoteAnchor"/>
          <w:rtl w:val="true"/>
        </w:rPr>
        <w:footnoteReference w:id="1967"/>
      </w:r>
      <w:bookmarkStart w:id="1609" w:name="pg19115_195816"/>
    </w:p>
    <w:p>
      <w:pPr>
        <w:pStyle w:val="BookText"/>
        <w:rPr/>
      </w:pPr>
      <w:bookmarkEnd w:id="1609"/>
      <w:r>
        <w:rPr>
          <w:rFonts w:ascii="IRNazanin" w:hAnsi="IRNazanin" w:eastAsia="IRNazanin"/>
          <w:color w:val="111111"/>
          <w:sz w:val="28"/>
          <w:sz w:val="28"/>
          <w:szCs w:val="28"/>
          <w:rtl w:val="true"/>
          <w:lang w:bidi="fa-IR"/>
        </w:rPr>
        <w:t>نکته شایان ذکر آن،که اصرار بر هر گناه صغیره ای موجب کبیره شدن آن می شود و اصرار بر گناه عبارت است از ادامه و ملازمت بر معصیت بدون آن که پشت سر آن گناه توبهای بنماید و بعید نیست که بعد از انجام گناه صغیره، تصمیم بر انجام مجدد،آن از قبیل اصرار بر صغیره،باشد اگر چه آن را انجام ندهد خصوصا اگر تصمیم او بر انجام آن در حال ارتکاب معصیت اوّل باشد، البته ظاهر این است که بعد از انجام گناه صغیره به مجرد این که توبه ننماید و تصمیم بر انجام مجدد آن هم نداشته باشد، اصرار بر آن تحقق پیدا نکند</w:t>
      </w:r>
      <w:r>
        <w:rPr>
          <w:rFonts w:eastAsia="IRNazanin" w:cs="IRNazanin"/>
          <w:color w:val="111111"/>
          <w:sz w:val="28"/>
          <w:szCs w:val="28"/>
          <w:rtl w:val="true"/>
          <w:lang w:bidi="fa-IR"/>
        </w:rPr>
        <w:t xml:space="preserve">. </w:t>
      </w:r>
      <w:r>
        <w:rPr>
          <w:rStyle w:val="FootnoteAnchor"/>
          <w:rtl w:val="true"/>
        </w:rPr>
        <w:footnoteReference w:id="196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10" w:name="__RefHeading___Toc15203438_1280447820"/>
      <w:bookmarkStart w:id="1611" w:name="_Toc630"/>
      <w:bookmarkEnd w:id="1610"/>
      <w:r>
        <w:rPr>
          <w:rtl w:val="true"/>
        </w:rPr>
        <w:t>د</w:t>
      </w:r>
      <w:r>
        <w:rPr>
          <w:rtl w:val="true"/>
        </w:rPr>
        <w:t xml:space="preserve">) </w:t>
      </w:r>
      <w:r>
        <w:rPr>
          <w:rtl w:val="true"/>
        </w:rPr>
        <w:t>چهار دیدگاه جهت شناخت عدالت</w:t>
      </w:r>
      <w:bookmarkEnd w:id="1611"/>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لازم است که که اینها چهار راه برای شناخت و احراز عدالت نیست بلکه چهار دیدگاه متفاوت میان فقهاست که با توجه به اختلاف نظر در معنای عدالت در اینجا نیز اختلاف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اسلام شخص آشکار شود تا هنگامی که خلاف عدالت او دانسته نشود در احراز عدالت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منسوب به شیخ طوسی است و مشهور میان اهل سنت نیز همین دیدگاه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ظاهر،شخص برای احراز عدالت او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شخصی ظاهر الصلاح باشد، می توان گفت که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ظن به عدالت برای انسان حاصل شود و چه حاصل نشود این دیدگاه به مشهور نسبت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ظاهر شخص، برای احراز عدالت او کافی است به شرط آن که برای انسان ظن به عدالت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ظاهر،شخص در صورتی برای احراز عدالت او کافی است که برای،انسان اطمینان به عدالت آن شخص حاصل شود و در غیر این صورت حسن ظاهری کفایت نمی کند</w:t>
      </w:r>
      <w:r>
        <w:rPr>
          <w:rFonts w:eastAsia="IRNazanin" w:cs="IRNazanin"/>
          <w:color w:val="111111"/>
          <w:sz w:val="28"/>
          <w:szCs w:val="28"/>
          <w:rtl w:val="true"/>
          <w:lang w:bidi="fa-IR"/>
        </w:rPr>
        <w:t xml:space="preserve">. </w:t>
      </w:r>
      <w:r>
        <w:rPr>
          <w:rStyle w:val="FootnoteAnchor"/>
          <w:rtl w:val="true"/>
        </w:rPr>
        <w:footnoteReference w:id="1969"/>
      </w:r>
      <w:bookmarkStart w:id="1612" w:name="pg19115_195818"/>
    </w:p>
    <w:p>
      <w:pPr>
        <w:pStyle w:val="BookText"/>
        <w:rPr/>
      </w:pPr>
      <w:bookmarkEnd w:id="1612"/>
      <w:r>
        <w:rPr>
          <w:rFonts w:ascii="IRNazanin" w:hAnsi="IRNazanin" w:eastAsia="IRNazanin"/>
          <w:color w:val="111111"/>
          <w:sz w:val="28"/>
          <w:sz w:val="28"/>
          <w:szCs w:val="28"/>
          <w:rtl w:val="true"/>
          <w:lang w:bidi="fa-IR"/>
        </w:rPr>
        <w:t>نکته قابل توجه آن که اگر شخص در باقی ماندن عدالت امامی که قبلا او را عادل می دانسته است شک،کند می تواند به او اقتدا کند</w:t>
      </w:r>
      <w:r>
        <w:rPr>
          <w:rFonts w:eastAsia="IRNazanin" w:cs="IRNazanin"/>
          <w:color w:val="111111"/>
          <w:sz w:val="28"/>
          <w:szCs w:val="28"/>
          <w:rtl w:val="true"/>
          <w:lang w:bidi="fa-IR"/>
        </w:rPr>
        <w:t xml:space="preserve">. </w:t>
      </w:r>
      <w:r>
        <w:rPr>
          <w:rStyle w:val="FootnoteAnchor"/>
          <w:rtl w:val="true"/>
        </w:rPr>
        <w:footnoteReference w:id="1970"/>
      </w:r>
    </w:p>
    <w:p>
      <w:pPr>
        <w:pStyle w:val="Heading6"/>
        <w:numPr>
          <w:ilvl w:val="5"/>
          <w:numId w:val="1"/>
        </w:numPr>
        <w:rPr/>
      </w:pPr>
      <w:bookmarkStart w:id="1613" w:name="__RefHeading___Toc15203440_1280447820"/>
      <w:bookmarkStart w:id="1614" w:name="_Toc631"/>
      <w:bookmarkEnd w:id="1613"/>
      <w:r>
        <w:rPr>
          <w:rtl w:val="true"/>
        </w:rPr>
        <w:t>ه</w:t>
      </w:r>
      <w:r>
        <w:rPr>
          <w:rtl w:val="true"/>
        </w:rPr>
        <w:t xml:space="preserve">-) </w:t>
      </w:r>
      <w:r>
        <w:rPr>
          <w:rtl w:val="true"/>
        </w:rPr>
        <w:t>دیدگاه اهل سنت</w:t>
      </w:r>
      <w:bookmarkEnd w:id="1614"/>
    </w:p>
    <w:p>
      <w:pPr>
        <w:pStyle w:val="Heading6"/>
        <w:numPr>
          <w:ilvl w:val="5"/>
          <w:numId w:val="1"/>
        </w:numPr>
        <w:rPr/>
      </w:pPr>
      <w:bookmarkStart w:id="1615" w:name="__RefHeading___Toc15203442_1280447820"/>
      <w:bookmarkStart w:id="1616" w:name="_Toc632"/>
      <w:bookmarkEnd w:id="1615"/>
      <w:r>
        <w:rPr/>
        <w:t>1</w:t>
      </w:r>
      <w:r>
        <w:rPr>
          <w:rtl w:val="true"/>
        </w:rPr>
        <w:t xml:space="preserve">. </w:t>
      </w:r>
      <w:r>
        <w:rPr>
          <w:rtl w:val="true"/>
        </w:rPr>
        <w:t>مذهب حنبلی</w:t>
      </w:r>
      <w:bookmarkEnd w:id="1616"/>
    </w:p>
    <w:p>
      <w:pPr>
        <w:pStyle w:val="BookText"/>
        <w:rPr/>
      </w:pPr>
      <w:r>
        <w:rPr>
          <w:rFonts w:ascii="IRNazanin" w:hAnsi="IRNazanin" w:eastAsia="IRNazanin"/>
          <w:color w:val="111111"/>
          <w:sz w:val="28"/>
          <w:sz w:val="28"/>
          <w:szCs w:val="28"/>
          <w:rtl w:val="true"/>
          <w:lang w:bidi="fa-IR"/>
        </w:rPr>
        <w:t>حنابله می گویند امامت فاسق هر چند برای افرادی مثل خودش، صحیح نیست مگر در نماز جمعه و عید در صورتی که نماز خواندن پشت سر غیر فاسق متعذر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خاطر ضرورت امامت فاسق جایز است؟ </w:t>
      </w:r>
      <w:r>
        <w:rPr>
          <w:rStyle w:val="FootnoteAnchor"/>
          <w:rtl w:val="true"/>
        </w:rPr>
        <w:footnoteReference w:id="1971"/>
      </w:r>
    </w:p>
    <w:p>
      <w:pPr>
        <w:pStyle w:val="Heading6"/>
        <w:numPr>
          <w:ilvl w:val="5"/>
          <w:numId w:val="1"/>
        </w:numPr>
        <w:rPr/>
      </w:pPr>
      <w:bookmarkStart w:id="1617" w:name="__RefHeading___Toc15203444_1280447820"/>
      <w:bookmarkStart w:id="1618" w:name="_Toc633"/>
      <w:bookmarkEnd w:id="1617"/>
      <w:r>
        <w:rPr/>
        <w:t>2</w:t>
      </w:r>
      <w:r>
        <w:rPr>
          <w:rtl w:val="true"/>
        </w:rPr>
        <w:t xml:space="preserve">. </w:t>
      </w:r>
      <w:r>
        <w:rPr>
          <w:rtl w:val="true"/>
        </w:rPr>
        <w:t>مذهب مالکی</w:t>
      </w:r>
      <w:bookmarkEnd w:id="1618"/>
    </w:p>
    <w:p>
      <w:pPr>
        <w:pStyle w:val="BookText"/>
        <w:rPr/>
      </w:pPr>
      <w:r>
        <w:rPr>
          <w:rFonts w:ascii="IRNazanin" w:hAnsi="IRNazanin" w:eastAsia="IRNazanin"/>
          <w:color w:val="111111"/>
          <w:sz w:val="28"/>
          <w:sz w:val="28"/>
          <w:szCs w:val="28"/>
          <w:rtl w:val="true"/>
          <w:lang w:bidi="fa-IR"/>
        </w:rPr>
        <w:t>مالکیها بر این اعتقادند که امامت شخص فاسق هر چند برای مثل خودش کراهت دارد</w:t>
      </w:r>
      <w:r>
        <w:rPr>
          <w:rFonts w:eastAsia="IRNazanin" w:cs="IRNazanin"/>
          <w:color w:val="111111"/>
          <w:sz w:val="28"/>
          <w:szCs w:val="28"/>
          <w:rtl w:val="true"/>
          <w:lang w:bidi="fa-IR"/>
        </w:rPr>
        <w:t xml:space="preserve">. </w:t>
      </w:r>
      <w:r>
        <w:rPr>
          <w:rStyle w:val="FootnoteAnchor"/>
          <w:rtl w:val="true"/>
        </w:rPr>
        <w:footnoteReference w:id="1972"/>
      </w:r>
    </w:p>
    <w:p>
      <w:pPr>
        <w:pStyle w:val="Heading6"/>
        <w:numPr>
          <w:ilvl w:val="5"/>
          <w:numId w:val="1"/>
        </w:numPr>
        <w:rPr/>
      </w:pPr>
      <w:bookmarkStart w:id="1619" w:name="__RefHeading___Toc15203446_1280447820"/>
      <w:bookmarkStart w:id="1620" w:name="_Toc634"/>
      <w:bookmarkEnd w:id="1619"/>
      <w:r>
        <w:rPr/>
        <w:t>3</w:t>
      </w:r>
      <w:r>
        <w:rPr>
          <w:rtl w:val="true"/>
        </w:rPr>
        <w:t xml:space="preserve">. </w:t>
      </w:r>
      <w:r>
        <w:rPr>
          <w:rtl w:val="true"/>
        </w:rPr>
        <w:t>مذهب شافعی</w:t>
      </w:r>
      <w:bookmarkEnd w:id="1620"/>
    </w:p>
    <w:p>
      <w:pPr>
        <w:pStyle w:val="BookText"/>
        <w:rPr/>
      </w:pPr>
      <w:r>
        <w:rPr>
          <w:rFonts w:ascii="IRNazanin" w:hAnsi="IRNazanin" w:eastAsia="IRNazanin"/>
          <w:color w:val="111111"/>
          <w:sz w:val="28"/>
          <w:sz w:val="28"/>
          <w:szCs w:val="28"/>
          <w:rtl w:val="true"/>
          <w:lang w:bidi="fa-IR"/>
        </w:rPr>
        <w:t>شافعی می گوید امامت شخص فاسق و کسی که آشکار کننده بدعت هاست، کراهت دارد لیکن اگر کسی پشت سر ایشان نماز گذارد، نماز او صحیح است</w:t>
      </w:r>
      <w:r>
        <w:rPr>
          <w:rFonts w:eastAsia="IRNazanin" w:cs="IRNazanin"/>
          <w:color w:val="111111"/>
          <w:sz w:val="28"/>
          <w:szCs w:val="28"/>
          <w:rtl w:val="true"/>
          <w:lang w:bidi="fa-IR"/>
        </w:rPr>
        <w:t xml:space="preserve">. </w:t>
      </w:r>
      <w:r>
        <w:rPr>
          <w:rStyle w:val="FootnoteAnchor"/>
          <w:rtl w:val="true"/>
        </w:rPr>
        <w:footnoteReference w:id="197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گوید امامت شخص فاسق برای نماز جمعه جایز است</w:t>
      </w:r>
      <w:r>
        <w:rPr>
          <w:rFonts w:eastAsia="IRNazanin" w:cs="IRNazanin"/>
          <w:color w:val="111111"/>
          <w:sz w:val="28"/>
          <w:szCs w:val="28"/>
          <w:rtl w:val="true"/>
          <w:lang w:bidi="fa-IR"/>
        </w:rPr>
        <w:t xml:space="preserve">. </w:t>
      </w:r>
      <w:r>
        <w:rPr>
          <w:rStyle w:val="FootnoteAnchor"/>
          <w:rtl w:val="true"/>
        </w:rPr>
        <w:footnoteReference w:id="1974"/>
      </w:r>
      <w:bookmarkStart w:id="1621" w:name="pg19115_195819"/>
    </w:p>
    <w:p>
      <w:pPr>
        <w:pStyle w:val="Heading4"/>
        <w:numPr>
          <w:ilvl w:val="3"/>
          <w:numId w:val="1"/>
        </w:numPr>
        <w:rPr/>
      </w:pPr>
      <w:bookmarkStart w:id="1622" w:name="__RefHeading___Toc15203448_1280447820"/>
      <w:bookmarkStart w:id="1623" w:name="_Toc635"/>
      <w:bookmarkEnd w:id="1621"/>
      <w:bookmarkEnd w:id="1622"/>
      <w:r>
        <w:rPr>
          <w:rtl w:val="true"/>
        </w:rPr>
        <w:t>مبحث دوم</w:t>
      </w:r>
      <w:r>
        <w:rPr>
          <w:rtl w:val="true"/>
        </w:rPr>
        <w:t xml:space="preserve">: </w:t>
      </w:r>
      <w:r>
        <w:rPr>
          <w:rtl w:val="true"/>
        </w:rPr>
        <w:t>مرجّحات انتخاب امام جماعت</w:t>
      </w:r>
      <w:bookmarkEnd w:id="1623"/>
    </w:p>
    <w:p>
      <w:pPr>
        <w:pStyle w:val="Heading5"/>
        <w:numPr>
          <w:ilvl w:val="4"/>
          <w:numId w:val="1"/>
        </w:numPr>
        <w:rPr/>
      </w:pPr>
      <w:bookmarkStart w:id="1624" w:name="__RefHeading___Toc15203450_1280447820"/>
      <w:bookmarkStart w:id="1625" w:name="_Toc636"/>
      <w:bookmarkEnd w:id="1624"/>
      <w:r>
        <w:rPr>
          <w:rtl w:val="true"/>
        </w:rPr>
        <w:t>اشاره</w:t>
      </w:r>
      <w:bookmarkEnd w:id="1625"/>
    </w:p>
    <w:p>
      <w:pPr>
        <w:pStyle w:val="BookText"/>
        <w:rPr/>
      </w:pPr>
      <w:r>
        <w:rPr>
          <w:rFonts w:ascii="IRNazanin" w:hAnsi="IRNazanin" w:eastAsia="IRNazanin"/>
          <w:color w:val="111111"/>
          <w:sz w:val="28"/>
          <w:sz w:val="28"/>
          <w:szCs w:val="28"/>
          <w:rtl w:val="true"/>
          <w:lang w:bidi="fa-IR"/>
        </w:rPr>
        <w:t>یکی از احکام مرتبط با امام جماعت آن است که اگر دو نفر صلاحیت امام جماعت بودن را داشتند کدام مقدم بر دیگری می شود؟ از جمله مرجحاتی که در کتب فقهی بدان اشاره شده و باعث مقدم شدن یک امام جماعت بر دیگری می 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منتسب به هاشم جد دوم پیامبر صلی الله علیه و آله هستند یعنی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اولویت دارد؛ یعنی اگر امر دائر شد میان دو امام جماعت که هر دو از جميع جهات ترجیح مساوی بودند ولی یکی هاشمی و دیگری غیر هاشمی بود، هاشمی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اولویت دارد؛ یعنی اگر احیاناً چندین امام جماعت در یک مسجدی به جهتی از جهات اجتماع کردند و وقت نماز،شد برای اقامه جماعت امام جماعت راتب که همیشه در آن مسجد نماز می خواند، از دیگران به امامت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 نفر هر دو قرائتشان صحیح است ولی یکی اقرأ است؛ یعنی قرائتش صحیح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حروف را نیکوتر ادا می کند و احکام قرائت را بهتر از دیگری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 دو أقرأ،بودند هر کدام افقه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فقیه تر نسبت به مسائل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 دو افقه هستند آن که اسن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تر و کهن سال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دو در این جهات مساوی بودند،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صورت ظاهری او زیباتر است که نشانه عنایت بیشتر خدای به او است و یا در میان </w:t>
      </w:r>
      <w:bookmarkStart w:id="1626" w:name="pg19115_195820"/>
    </w:p>
    <w:p>
      <w:pPr>
        <w:pStyle w:val="BookText"/>
        <w:rPr/>
      </w:pPr>
      <w:bookmarkEnd w:id="1626"/>
      <w:r>
        <w:rPr>
          <w:rFonts w:ascii="IRNazanin" w:hAnsi="IRNazanin" w:eastAsia="IRNazanin"/>
          <w:color w:val="111111"/>
          <w:sz w:val="28"/>
          <w:sz w:val="28"/>
          <w:szCs w:val="28"/>
          <w:rtl w:val="true"/>
          <w:lang w:bidi="fa-IR"/>
        </w:rPr>
        <w:t>مردم به خوشنامی و حسن سابقه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منزل از دیگران اولویت دارد؛ یعنی اگر در منزل شخص جلساتی بود ائمه جماعات هم حضور دارد امام جماعت مسجدشان هم هست و اقامه جماعت شد، صاحب منزل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واجد شرائط امامت و از جمله عدالت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نشسته نماز می خواند برای انسان ایستاده امامت کند، البته اختصاص به قائم و قاعد،ندارد بلکه در جمیع مراتب چنین است؛ یعنی امامت کسی که با تکیه به چیزی نماز می خواند برای کسی که قیام مستقل و بدون تکیه دارد حرام است و امامت قاعد برای قائم و امامت مضطجع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خوابیده برای قاعد و امامت کسی که به پشت خوابیده برای به پهلو خوابیده حرام است</w:t>
      </w:r>
      <w:r>
        <w:rPr>
          <w:rFonts w:eastAsia="IRNazanin" w:cs="IRNazanin"/>
          <w:color w:val="111111"/>
          <w:sz w:val="28"/>
          <w:szCs w:val="28"/>
          <w:rtl w:val="true"/>
          <w:lang w:bidi="fa-IR"/>
        </w:rPr>
        <w:t>.</w:t>
      </w:r>
    </w:p>
    <w:p>
      <w:pPr>
        <w:pStyle w:val="Heading5"/>
        <w:numPr>
          <w:ilvl w:val="4"/>
          <w:numId w:val="1"/>
        </w:numPr>
        <w:rPr/>
      </w:pPr>
      <w:bookmarkStart w:id="1627" w:name="__RefHeading___Toc15203452_1280447820"/>
      <w:bookmarkStart w:id="1628" w:name="_Toc637"/>
      <w:bookmarkEnd w:id="1627"/>
      <w:r>
        <w:rPr>
          <w:rtl w:val="true"/>
        </w:rPr>
        <w:t>دیدگاه اهل سنّت</w:t>
      </w:r>
      <w:bookmarkEnd w:id="1628"/>
    </w:p>
    <w:p>
      <w:pPr>
        <w:pStyle w:val="Heading6"/>
        <w:numPr>
          <w:ilvl w:val="5"/>
          <w:numId w:val="1"/>
        </w:numPr>
        <w:rPr/>
      </w:pPr>
      <w:bookmarkStart w:id="1629" w:name="__RefHeading___Toc15203454_1280447820"/>
      <w:bookmarkStart w:id="1630" w:name="_Toc638"/>
      <w:bookmarkEnd w:id="1629"/>
      <w:r>
        <w:rPr/>
        <w:t>1</w:t>
      </w:r>
      <w:r>
        <w:rPr>
          <w:rtl w:val="true"/>
        </w:rPr>
        <w:t xml:space="preserve">. </w:t>
      </w:r>
      <w:r>
        <w:rPr>
          <w:rtl w:val="true"/>
        </w:rPr>
        <w:t>مذهب حنفی</w:t>
      </w:r>
      <w:bookmarkEnd w:id="1630"/>
    </w:p>
    <w:p>
      <w:pPr>
        <w:pStyle w:val="BookText"/>
        <w:rPr/>
      </w:pPr>
      <w:r>
        <w:rPr>
          <w:rFonts w:ascii="IRNazanin" w:hAnsi="IRNazanin" w:eastAsia="IRNazanin"/>
          <w:color w:val="111111"/>
          <w:sz w:val="28"/>
          <w:sz w:val="28"/>
          <w:szCs w:val="28"/>
          <w:rtl w:val="true"/>
          <w:lang w:bidi="fa-IR"/>
        </w:rPr>
        <w:t>حنفی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نسبت به امامت احق است که اعلم به احکام نماز باشد به شرط آن که از گناهان ظاهری اجتناب نماید پس از او کسی سزاوارتر است که از نظر تلاوت و قرائت، نیکوتر نماز را بخواند، پس از او با ورعتر و سپس کسی که زودتر اسلام آورده است پس از او کسی که سن بیشتری دارد و پس از آن کسی که خوش اخلاق تر باشد سپس کسی که زیباروتر باشد و پس از آن کسی که نسب شریفتری داشته باشد بعد از او کسی که لباس تمیزتری دارد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همه این موارد دو یا چند نفر با هم برابر بودند و برای امام جماعت بودن تزاحم کردند یعنی هر کدام می خواست که امام جماعت،بایستد، قرعه بینشان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تزاحم نداشتند هر کدام که راضی شدند به امامت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اختلاف کرده و به قرعه هم راضی نشدند، کسی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بیشتر مأمومین او را برگزینند اگر بیشتر افراد شخصی را انتخاب کردند که احق </w:t>
      </w:r>
      <w:bookmarkStart w:id="1631" w:name="pg19115_195821"/>
    </w:p>
    <w:p>
      <w:pPr>
        <w:pStyle w:val="BookText"/>
        <w:rPr/>
      </w:pPr>
      <w:bookmarkEnd w:id="1631"/>
      <w:r>
        <w:rPr>
          <w:rFonts w:ascii="IRNazanin" w:hAnsi="IRNazanin" w:eastAsia="IRNazanin"/>
          <w:color w:val="111111"/>
          <w:sz w:val="28"/>
          <w:sz w:val="28"/>
          <w:szCs w:val="28"/>
          <w:rtl w:val="true"/>
          <w:lang w:bidi="fa-IR"/>
        </w:rPr>
        <w:t>نبود کار زشتی انجام داده اند اما مرتکب حرام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موارد در صورتی است که بین،قوم سلطان یا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منزل یک شخص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گرنه سلطان و صاحب خانه مطلقا مقدم می شود همچنین امام راتب در مسجد مقدم است</w:t>
      </w:r>
      <w:r>
        <w:rPr>
          <w:rFonts w:eastAsia="IRNazanin" w:cs="IRNazanin"/>
          <w:color w:val="111111"/>
          <w:sz w:val="28"/>
          <w:szCs w:val="28"/>
          <w:rtl w:val="true"/>
          <w:lang w:bidi="fa-IR"/>
        </w:rPr>
        <w:t xml:space="preserve">. </w:t>
      </w:r>
      <w:r>
        <w:rPr>
          <w:rStyle w:val="FootnoteAnchor"/>
          <w:rtl w:val="true"/>
        </w:rPr>
        <w:footnoteReference w:id="1975"/>
      </w:r>
    </w:p>
    <w:p>
      <w:pPr>
        <w:pStyle w:val="Heading6"/>
        <w:numPr>
          <w:ilvl w:val="5"/>
          <w:numId w:val="1"/>
        </w:numPr>
        <w:rPr/>
      </w:pPr>
      <w:bookmarkStart w:id="1632" w:name="__RefHeading___Toc15203456_1280447820"/>
      <w:bookmarkStart w:id="1633" w:name="_Toc639"/>
      <w:bookmarkEnd w:id="1632"/>
      <w:r>
        <w:rPr/>
        <w:t>2</w:t>
      </w:r>
      <w:r>
        <w:rPr>
          <w:rtl w:val="true"/>
        </w:rPr>
        <w:t xml:space="preserve">. </w:t>
      </w:r>
      <w:r>
        <w:rPr>
          <w:rtl w:val="true"/>
        </w:rPr>
        <w:t>مذهب شافعی</w:t>
      </w:r>
      <w:bookmarkEnd w:id="1633"/>
    </w:p>
    <w:p>
      <w:pPr>
        <w:pStyle w:val="BookText"/>
        <w:rPr/>
      </w:pPr>
      <w:r>
        <w:rPr>
          <w:rFonts w:ascii="IRNazanin" w:hAnsi="IRNazanin" w:eastAsia="IRNazanin"/>
          <w:color w:val="111111"/>
          <w:sz w:val="28"/>
          <w:sz w:val="28"/>
          <w:szCs w:val="28"/>
          <w:rtl w:val="true"/>
          <w:lang w:bidi="fa-IR"/>
        </w:rPr>
        <w:t>شافعی ها بر این باورند که مستحب است والی در محل ولایت خود بر امامت مقدم شود، پس از او امام راتب اگر این موارد،نبود این افراد به ترتیب مقدم می شوند فقیه تر کسی که قرائت بهتری دارد فرد،زاهدتر با تقواتر، مسنتر، کسی که نسب با فضیلت تری دارد کسی که سیرت بهتری دارد کسی که لباس و بدن و کارش تمیزتر است کسی که صوت زیباتری دارد، زیباتر، متأهل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تمام این موارد مساوی بودند بینشان قرعه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کسی که به امامت سزاوارتر است کس دیگری غیر از خود را مقدم کند البته به شرط آن که خود او افقه نباشد و گرنه نمی تواند چنین کاری انجام دهد</w:t>
      </w:r>
      <w:r>
        <w:rPr>
          <w:rFonts w:eastAsia="IRNazanin" w:cs="IRNazanin"/>
          <w:color w:val="111111"/>
          <w:sz w:val="28"/>
          <w:szCs w:val="28"/>
          <w:rtl w:val="true"/>
          <w:lang w:bidi="fa-IR"/>
        </w:rPr>
        <w:t xml:space="preserve">. </w:t>
      </w:r>
      <w:r>
        <w:rPr>
          <w:rStyle w:val="FootnoteAnchor"/>
          <w:rtl w:val="true"/>
        </w:rPr>
        <w:footnoteReference w:id="1976"/>
      </w:r>
      <w:bookmarkStart w:id="1634" w:name="pg19115_195822"/>
    </w:p>
    <w:p>
      <w:pPr>
        <w:pStyle w:val="Heading6"/>
        <w:numPr>
          <w:ilvl w:val="5"/>
          <w:numId w:val="1"/>
        </w:numPr>
        <w:rPr/>
      </w:pPr>
      <w:bookmarkStart w:id="1635" w:name="__RefHeading___Toc15203458_1280447820"/>
      <w:bookmarkStart w:id="1636" w:name="_Toc640"/>
      <w:bookmarkEnd w:id="1634"/>
      <w:bookmarkEnd w:id="1635"/>
      <w:r>
        <w:rPr/>
        <w:t>3</w:t>
      </w:r>
      <w:r>
        <w:rPr>
          <w:rtl w:val="true"/>
        </w:rPr>
        <w:t xml:space="preserve">. </w:t>
      </w:r>
      <w:r>
        <w:rPr>
          <w:rtl w:val="true"/>
        </w:rPr>
        <w:t>مذهب مالکی</w:t>
      </w:r>
      <w:bookmarkEnd w:id="1636"/>
    </w:p>
    <w:p>
      <w:pPr>
        <w:pStyle w:val="BookText"/>
        <w:rPr/>
      </w:pPr>
      <w:r>
        <w:rPr>
          <w:rFonts w:ascii="IRNazanin" w:hAnsi="IRNazanin" w:eastAsia="IRNazanin"/>
          <w:color w:val="111111"/>
          <w:sz w:val="28"/>
          <w:sz w:val="28"/>
          <w:szCs w:val="28"/>
          <w:rtl w:val="true"/>
          <w:lang w:bidi="fa-IR"/>
        </w:rPr>
        <w:t>مالکی ها معتقدند که اگر گروهی برای امامت جمع شدند که هر یک از ایشان صلاحیت امامت را داشت مستحب است که سلطان یا نائب او مقدم شود هر چند غیر این دو و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راتب اگر نماز در مسجد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در خانه فرد برگزار می شود صاحب خانه مقدم می شود و اگر صاحب خانه زن است او صاحب حق است و واجب است که از طرف خودش برای امامت نماز نائب بگیرد؛ زیرا امامت خود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ترتیب این افراد در اولویت هستند کسی که آگاه تر به احکام نماز است، کسی که آگاه تر به فن حدیث و روایت است، عادل نسبت به مجهول الحال، اعلم به،قرائت کسی که عبادتش بیشتر است کسی که زودتر اسلام آورده، کسی که نسب بهتر و والاتری دارد کسی که اخلاق نیکوتری دارد کسی که لباس بهتری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جدید مباح می پوشد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تمامی این صفات برابر بودند اورع مقدم می شود اگر باز مساوی بودند، بینشان قرعه انداخته می شود مگر آن که خودشان راضی شوند که یک نفر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تزاحم ایشان به قصد برتری و کبر باشد هیچ یک حق امامت ندارند</w:t>
      </w:r>
      <w:r>
        <w:rPr>
          <w:rFonts w:eastAsia="IRNazanin" w:cs="IRNazanin"/>
          <w:color w:val="111111"/>
          <w:sz w:val="28"/>
          <w:szCs w:val="28"/>
          <w:rtl w:val="true"/>
          <w:lang w:bidi="fa-IR"/>
        </w:rPr>
        <w:t xml:space="preserve">. </w:t>
      </w:r>
      <w:r>
        <w:rPr>
          <w:rStyle w:val="FootnoteAnchor"/>
          <w:rtl w:val="true"/>
        </w:rPr>
        <w:footnoteReference w:id="1977"/>
      </w:r>
      <w:bookmarkStart w:id="1637" w:name="pg19115_195823"/>
    </w:p>
    <w:p>
      <w:pPr>
        <w:pStyle w:val="Heading6"/>
        <w:numPr>
          <w:ilvl w:val="5"/>
          <w:numId w:val="1"/>
        </w:numPr>
        <w:rPr/>
      </w:pPr>
      <w:bookmarkStart w:id="1638" w:name="__RefHeading___Toc15203460_1280447820"/>
      <w:bookmarkStart w:id="1639" w:name="_Toc641"/>
      <w:bookmarkEnd w:id="1637"/>
      <w:bookmarkEnd w:id="1638"/>
      <w:r>
        <w:rPr/>
        <w:t>4</w:t>
      </w:r>
      <w:r>
        <w:rPr>
          <w:rtl w:val="true"/>
        </w:rPr>
        <w:t xml:space="preserve">. </w:t>
      </w:r>
      <w:r>
        <w:rPr>
          <w:rtl w:val="true"/>
        </w:rPr>
        <w:t>مذهب حنبلی</w:t>
      </w:r>
      <w:bookmarkEnd w:id="1639"/>
    </w:p>
    <w:p>
      <w:pPr>
        <w:pStyle w:val="BookText"/>
        <w:rPr/>
      </w:pPr>
      <w:r>
        <w:rPr>
          <w:rFonts w:ascii="IRNazanin" w:hAnsi="IRNazanin" w:eastAsia="IRNazanin"/>
          <w:color w:val="111111"/>
          <w:sz w:val="28"/>
          <w:sz w:val="28"/>
          <w:szCs w:val="28"/>
          <w:rtl w:val="true"/>
          <w:lang w:bidi="fa-IR"/>
        </w:rPr>
        <w:t>حنبلی ها درباره شرایط مقدم شدن امام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سزاوارتر به امامت است که فقیهتر بوده و از نظر قرائت نیکوتر نماز را بخواند، سپس کسی که فقیه است و قرائت بهتری دارد پس از او کسی که تنها قرائت بهتری دارد اگر در میان ایشان فقیه نبود که احکام نماز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کسی که قاری که احکام نماز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قرائت مساوی،بودند کسی مقدم است که اعلم به احکام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قرائت و فقه مساوی بودند کسی که مسن تر است مقدم می شود، سپس کسی که نسب شریف تری دارد با،تقواتر با ورعتر مقدم می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تمام این جهات مساوی بودند بینشان قرعه انداخته می شود و سزاوارترین مردم به امامت در خانه صاحب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کسی که صلاحیت امامت را داشته باشد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امام راتب این در صورتی است که سلطان حاضر نباشد و گرنه سلطان به امامت احق است</w:t>
      </w:r>
      <w:r>
        <w:rPr>
          <w:rFonts w:eastAsia="IRNazanin" w:cs="IRNazanin"/>
          <w:color w:val="111111"/>
          <w:sz w:val="28"/>
          <w:szCs w:val="28"/>
          <w:rtl w:val="true"/>
          <w:lang w:bidi="fa-IR"/>
        </w:rPr>
        <w:t xml:space="preserve">. </w:t>
      </w:r>
      <w:r>
        <w:rPr>
          <w:rStyle w:val="FootnoteAnchor"/>
          <w:rtl w:val="true"/>
        </w:rPr>
        <w:footnoteReference w:id="197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0" w:name="pg19115_195825"/>
      <w:bookmarkStart w:id="1641" w:name="pg19115_195825"/>
      <w:bookmarkEnd w:id="1641"/>
    </w:p>
    <w:p>
      <w:pPr>
        <w:pStyle w:val="Heading3"/>
        <w:numPr>
          <w:ilvl w:val="2"/>
          <w:numId w:val="1"/>
        </w:numPr>
        <w:rPr/>
      </w:pPr>
      <w:bookmarkStart w:id="1642" w:name="pg19115_195825"/>
      <w:bookmarkStart w:id="1643" w:name="__RefHeading___Toc15203462_1280447820"/>
      <w:bookmarkStart w:id="1644" w:name="_Toc642"/>
      <w:bookmarkEnd w:id="1642"/>
      <w:bookmarkEnd w:id="1643"/>
      <w:r>
        <w:rPr>
          <w:rtl w:val="true"/>
        </w:rPr>
        <w:t>فصل سوم</w:t>
      </w:r>
      <w:r>
        <w:rPr>
          <w:rtl w:val="true"/>
        </w:rPr>
        <w:t xml:space="preserve">: </w:t>
      </w:r>
      <w:r>
        <w:rPr>
          <w:rtl w:val="true"/>
        </w:rPr>
        <w:t>مؤذن و خادم مسجد</w:t>
      </w:r>
      <w:bookmarkEnd w:id="1644"/>
    </w:p>
    <w:p>
      <w:pPr>
        <w:pStyle w:val="Heading4"/>
        <w:numPr>
          <w:ilvl w:val="3"/>
          <w:numId w:val="1"/>
        </w:numPr>
        <w:rPr/>
      </w:pPr>
      <w:bookmarkStart w:id="1645" w:name="__RefHeading___Toc15203464_1280447820"/>
      <w:bookmarkStart w:id="1646" w:name="_Toc643"/>
      <w:bookmarkEnd w:id="1645"/>
      <w:r>
        <w:rPr>
          <w:rtl w:val="true"/>
        </w:rPr>
        <w:t>اشاره</w:t>
      </w:r>
      <w:bookmarkEnd w:id="1646"/>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مسجد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7" w:name="pg19115_195827"/>
      <w:bookmarkStart w:id="1648" w:name="pg19115_195827"/>
      <w:bookmarkEnd w:id="1648"/>
    </w:p>
    <w:p>
      <w:pPr>
        <w:pStyle w:val="Heading4"/>
        <w:numPr>
          <w:ilvl w:val="3"/>
          <w:numId w:val="1"/>
        </w:numPr>
        <w:rPr/>
      </w:pPr>
      <w:bookmarkStart w:id="1649" w:name="pg19115_195827"/>
      <w:bookmarkStart w:id="1650" w:name="__RefHeading___Toc15203466_1280447820"/>
      <w:bookmarkStart w:id="1651" w:name="_Toc644"/>
      <w:bookmarkEnd w:id="1649"/>
      <w:bookmarkEnd w:id="1650"/>
      <w:r>
        <w:rPr>
          <w:rtl w:val="true"/>
        </w:rPr>
        <w:t>مبحث اول</w:t>
      </w:r>
      <w:r>
        <w:rPr>
          <w:rtl w:val="true"/>
        </w:rPr>
        <w:t xml:space="preserve">: </w:t>
      </w:r>
      <w:r>
        <w:rPr>
          <w:rtl w:val="true"/>
        </w:rPr>
        <w:t>مؤذن</w:t>
      </w:r>
      <w:bookmarkEnd w:id="1651"/>
    </w:p>
    <w:p>
      <w:pPr>
        <w:pStyle w:val="Heading5"/>
        <w:numPr>
          <w:ilvl w:val="4"/>
          <w:numId w:val="1"/>
        </w:numPr>
        <w:rPr/>
      </w:pPr>
      <w:bookmarkStart w:id="1652" w:name="__RefHeading___Toc15203468_1280447820"/>
      <w:bookmarkStart w:id="1653" w:name="_Toc645"/>
      <w:bookmarkEnd w:id="1652"/>
      <w:r>
        <w:rPr>
          <w:rtl w:val="true"/>
        </w:rPr>
        <w:t>اشاره</w:t>
      </w:r>
      <w:bookmarkEnd w:id="1653"/>
    </w:p>
    <w:p>
      <w:pPr>
        <w:pStyle w:val="BookText"/>
        <w:rPr/>
      </w:pPr>
      <w:r>
        <w:rPr>
          <w:rFonts w:ascii="IRNazanin" w:hAnsi="IRNazanin" w:eastAsia="IRNazanin"/>
          <w:color w:val="111111"/>
          <w:sz w:val="28"/>
          <w:sz w:val="28"/>
          <w:szCs w:val="28"/>
          <w:rtl w:val="true"/>
          <w:lang w:bidi="fa-IR"/>
        </w:rPr>
        <w:t xml:space="preserve">یکی دیگر از افرادی که تأثیر بسزایی در جذب افراد به مسجد داشته و در روایات دارای جایگاه والایی،است،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ادامه توضیح مختصری پیرامون ارزش گفتن اذان و آداب آن و همچنین شرایط مؤذن خواهیم پرداخت</w:t>
      </w:r>
      <w:r>
        <w:rPr>
          <w:rFonts w:eastAsia="IRNazanin" w:cs="IRNazanin"/>
          <w:color w:val="111111"/>
          <w:sz w:val="28"/>
          <w:szCs w:val="28"/>
          <w:rtl w:val="true"/>
          <w:lang w:bidi="fa-IR"/>
        </w:rPr>
        <w:t>.</w:t>
      </w:r>
    </w:p>
    <w:p>
      <w:pPr>
        <w:pStyle w:val="Heading5"/>
        <w:numPr>
          <w:ilvl w:val="4"/>
          <w:numId w:val="1"/>
        </w:numPr>
        <w:rPr/>
      </w:pPr>
      <w:bookmarkStart w:id="1654" w:name="__RefHeading___Toc15203470_1280447820"/>
      <w:bookmarkStart w:id="1655" w:name="_Toc646"/>
      <w:bookmarkEnd w:id="1654"/>
      <w:r>
        <w:rPr>
          <w:rtl w:val="true"/>
        </w:rPr>
        <w:t>گفتار اول</w:t>
      </w:r>
      <w:r>
        <w:rPr>
          <w:rtl w:val="true"/>
        </w:rPr>
        <w:t xml:space="preserve">: </w:t>
      </w:r>
      <w:r>
        <w:rPr>
          <w:rtl w:val="true"/>
        </w:rPr>
        <w:t>معنای لغوی و شرعی اذان و جایگاه مؤذن نزد خداوند</w:t>
      </w:r>
      <w:bookmarkEnd w:id="1655"/>
    </w:p>
    <w:p>
      <w:pPr>
        <w:pStyle w:val="BookText"/>
        <w:rPr/>
      </w:pPr>
      <w:r>
        <w:rPr>
          <w:rFonts w:ascii="IRNazanin" w:hAnsi="IRNazanin" w:eastAsia="IRNazanin"/>
          <w:color w:val="111111"/>
          <w:sz w:val="28"/>
          <w:sz w:val="28"/>
          <w:szCs w:val="28"/>
          <w:rtl w:val="true"/>
          <w:lang w:bidi="fa-IR"/>
        </w:rPr>
        <w:t xml:space="preserve">اذان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w:t>
      </w:r>
      <w:r>
        <w:rPr>
          <w:rFonts w:ascii="IRNazanin" w:hAnsi="IRNazanin" w:eastAsia="IRNazanin"/>
          <w:color w:val="111111"/>
          <w:sz w:val="28"/>
          <w:sz w:val="28"/>
          <w:szCs w:val="28"/>
          <w:rtl w:val="true"/>
          <w:lang w:bidi="fa-IR"/>
        </w:rPr>
        <w:t>؛ و این، اعلامی است از ناحیه خداوند و پیامبرش به مردم در روز حج اکبر</w:t>
      </w:r>
      <w:r>
        <w:rPr>
          <w:rFonts w:eastAsia="IRNazanin" w:cs="IRNazanin"/>
          <w:color w:val="111111"/>
          <w:sz w:val="28"/>
          <w:szCs w:val="28"/>
          <w:rtl w:val="true"/>
          <w:lang w:bidi="fa-IR"/>
        </w:rPr>
        <w:t xml:space="preserve">. </w:t>
      </w:r>
      <w:r>
        <w:rPr>
          <w:rStyle w:val="FootnoteAnchor"/>
          <w:rtl w:val="true"/>
        </w:rPr>
        <w:footnoteReference w:id="1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 به معنای اعلام دخول وقت نماز واجب،است با الفاظ مشخص و کیفیت مخصوصی که از جانب پیامبر صلی الله علیه و آله رسیده است</w:t>
      </w:r>
      <w:r>
        <w:rPr>
          <w:rFonts w:eastAsia="IRNazanin" w:cs="IRNazanin"/>
          <w:color w:val="111111"/>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از جمله روایاتی که در فضیلت اذان گفتن وارد شده عبارت است از</w:t>
      </w:r>
      <w:r>
        <w:rPr>
          <w:rFonts w:eastAsia="IRNazanin" w:cs="IRNazanin"/>
          <w:color w:val="111111"/>
          <w:sz w:val="28"/>
          <w:szCs w:val="28"/>
          <w:rtl w:val="true"/>
          <w:lang w:bidi="fa-IR"/>
        </w:rPr>
        <w:t xml:space="preserve">: </w:t>
      </w:r>
      <w:r>
        <w:rPr>
          <w:rStyle w:val="FootnoteAnchor"/>
          <w:rtl w:val="true"/>
        </w:rPr>
        <w:footnoteReference w:id="19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وهب از امام صادق علیه السلام نقل می کند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یکی از شهرهای مسلمانان به مدت یک سال اذان گوید، بهشت بر او</w:t>
      </w:r>
    </w:p>
    <w:p>
      <w:pPr>
        <w:pStyle w:val="BookText"/>
        <w:rPr/>
      </w:pPr>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 xml:space="preserve">.» </w:t>
      </w:r>
      <w:r>
        <w:rPr>
          <w:rStyle w:val="FootnoteAnchor"/>
          <w:rtl w:val="true"/>
        </w:rPr>
        <w:footnoteReference w:id="19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اسکاف می گوید از امام باقر علیه السلام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 اذان گوید، روز قیامت در حالی وارد محشر می شود که هیچ گناهی ندارد</w:t>
      </w:r>
      <w:r>
        <w:rPr>
          <w:rFonts w:eastAsia="IRNazanin" w:cs="IRNazanin"/>
          <w:color w:val="111111"/>
          <w:sz w:val="28"/>
          <w:szCs w:val="28"/>
          <w:rtl w:val="true"/>
          <w:lang w:bidi="fa-IR"/>
        </w:rPr>
        <w:t xml:space="preserve">.» </w:t>
      </w:r>
      <w:r>
        <w:rPr>
          <w:rStyle w:val="FootnoteAnchor"/>
          <w:rtl w:val="true"/>
        </w:rPr>
        <w:footnoteReference w:id="19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عرزمی از امام صادق علیه السلام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بلندترین افراد در روز قیامت مؤذنها هستند</w:t>
      </w:r>
      <w:r>
        <w:rPr>
          <w:rFonts w:eastAsia="IRNazanin" w:cs="IRNazanin"/>
          <w:color w:val="111111"/>
          <w:sz w:val="28"/>
          <w:szCs w:val="28"/>
          <w:rtl w:val="true"/>
          <w:lang w:bidi="fa-IR"/>
        </w:rPr>
        <w:t xml:space="preserve">» </w:t>
      </w:r>
      <w:r>
        <w:rPr>
          <w:rStyle w:val="FootnoteAnchor"/>
          <w:rtl w:val="true"/>
        </w:rPr>
        <w:footnoteReference w:id="19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از امام باقر علیه السلام روایت کرده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گوید، مانند مجاهدی است که شمشیرش را در راه خدا از نیام کشیده و در صف حق علیه باطل مبارزه می کند</w:t>
      </w:r>
      <w:r>
        <w:rPr>
          <w:rFonts w:eastAsia="IRNazanin" w:cs="IRNazanin"/>
          <w:color w:val="111111"/>
          <w:sz w:val="28"/>
          <w:szCs w:val="28"/>
          <w:rtl w:val="true"/>
          <w:lang w:bidi="fa-IR"/>
        </w:rPr>
        <w:t xml:space="preserve">» </w:t>
      </w:r>
      <w:r>
        <w:rPr>
          <w:rStyle w:val="FootnoteAnchor"/>
          <w:rtl w:val="true"/>
        </w:rPr>
        <w:footnoteReference w:id="1986"/>
      </w:r>
      <w:bookmarkStart w:id="1656" w:name="pg19115_195829"/>
    </w:p>
    <w:p>
      <w:pPr>
        <w:pStyle w:val="Heading5"/>
        <w:numPr>
          <w:ilvl w:val="4"/>
          <w:numId w:val="1"/>
        </w:numPr>
        <w:rPr/>
      </w:pPr>
      <w:bookmarkStart w:id="1657" w:name="__RefHeading___Toc15203472_1280447820"/>
      <w:bookmarkStart w:id="1658" w:name="_Toc647"/>
      <w:bookmarkEnd w:id="1656"/>
      <w:bookmarkEnd w:id="1657"/>
      <w:r>
        <w:rPr>
          <w:rtl w:val="true"/>
        </w:rPr>
        <w:t>گفتار دوم</w:t>
      </w:r>
      <w:r>
        <w:rPr>
          <w:rtl w:val="true"/>
        </w:rPr>
        <w:t xml:space="preserve">: </w:t>
      </w:r>
      <w:r>
        <w:rPr>
          <w:rtl w:val="true"/>
        </w:rPr>
        <w:t>شرائط مؤذِّن</w:t>
      </w:r>
      <w:bookmarkEnd w:id="1658"/>
    </w:p>
    <w:p>
      <w:pPr>
        <w:pStyle w:val="Heading6"/>
        <w:numPr>
          <w:ilvl w:val="5"/>
          <w:numId w:val="1"/>
        </w:numPr>
        <w:rPr/>
      </w:pPr>
      <w:bookmarkStart w:id="1659" w:name="__RefHeading___Toc15203474_1280447820"/>
      <w:bookmarkStart w:id="1660" w:name="_Toc648"/>
      <w:bookmarkEnd w:id="1659"/>
      <w:r>
        <w:rPr>
          <w:rtl w:val="true"/>
        </w:rPr>
        <w:t>اشاره</w:t>
      </w:r>
      <w:bookmarkEnd w:id="1660"/>
    </w:p>
    <w:p>
      <w:pPr>
        <w:pStyle w:val="BookText"/>
        <w:rPr/>
      </w:pPr>
      <w:r>
        <w:rPr>
          <w:rFonts w:ascii="IRNazanin" w:hAnsi="IRNazanin" w:eastAsia="IRNazanin"/>
          <w:color w:val="111111"/>
          <w:sz w:val="28"/>
          <w:sz w:val="28"/>
          <w:szCs w:val="28"/>
          <w:rtl w:val="true"/>
          <w:lang w:bidi="fa-IR"/>
        </w:rPr>
        <w:t>از جمله شرائطی که درباره مؤذن در کتب فقهی ذکر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بودن، البته زن می تواند برای زنها و محارم خود اذان بگوید به شرطی که نامحرم صدای او را نشنود همچنین اذان گفتن صبی ممیز کافی بوده و بالغ بودن شرط نیست</w:t>
      </w:r>
      <w:r>
        <w:rPr>
          <w:rFonts w:eastAsia="IRNazanin" w:cs="IRNazanin"/>
          <w:color w:val="111111"/>
          <w:sz w:val="28"/>
          <w:szCs w:val="28"/>
          <w:rtl w:val="true"/>
          <w:lang w:bidi="fa-IR"/>
        </w:rPr>
        <w:t xml:space="preserve">. </w:t>
      </w:r>
      <w:r>
        <w:rPr>
          <w:rStyle w:val="FootnoteAnchor"/>
          <w:rtl w:val="true"/>
        </w:rPr>
        <w:footnoteReference w:id="1987"/>
      </w:r>
    </w:p>
    <w:p>
      <w:pPr>
        <w:pStyle w:val="Heading6"/>
        <w:numPr>
          <w:ilvl w:val="5"/>
          <w:numId w:val="1"/>
        </w:numPr>
        <w:rPr/>
      </w:pPr>
      <w:bookmarkStart w:id="1661" w:name="__RefHeading___Toc15203476_1280447820"/>
      <w:bookmarkStart w:id="1662" w:name="_Toc649"/>
      <w:bookmarkEnd w:id="1661"/>
      <w:r>
        <w:rPr>
          <w:rtl w:val="true"/>
        </w:rPr>
        <w:t>الف</w:t>
      </w:r>
      <w:r>
        <w:rPr>
          <w:rtl w:val="true"/>
        </w:rPr>
        <w:t xml:space="preserve">) </w:t>
      </w:r>
      <w:r>
        <w:rPr>
          <w:rtl w:val="true"/>
        </w:rPr>
        <w:t>مستحبات</w:t>
      </w:r>
      <w:bookmarkEnd w:id="1662"/>
    </w:p>
    <w:p>
      <w:pPr>
        <w:pStyle w:val="BookText"/>
        <w:rPr/>
      </w:pPr>
      <w:r>
        <w:rPr>
          <w:rFonts w:ascii="IRNazanin" w:hAnsi="IRNazanin" w:eastAsia="IRNazanin"/>
          <w:color w:val="111111"/>
          <w:sz w:val="28"/>
          <w:sz w:val="28"/>
          <w:szCs w:val="28"/>
          <w:rtl w:val="true"/>
          <w:lang w:bidi="fa-IR"/>
        </w:rPr>
        <w:t>اموری که در رابطه با مؤذن مستحب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صوت غراء و بلند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به اوقات اذان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جائی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مناره و یا بالای بام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تا صدای او به همه نمازگزاران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اذان بگوید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صدای بلند اذان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ترتیل اذان بگوید؛ یعنی شتاب نکند بلکه با تأنی و شمرده شمرده و مختصری فاصله بین هر فصل اذان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انگشت بر روی گوش</w:t>
      </w:r>
      <w:r>
        <w:rPr>
          <w:rFonts w:eastAsia="IRNazanin" w:cs="IRNazanin"/>
          <w:color w:val="111111"/>
          <w:sz w:val="28"/>
          <w:szCs w:val="28"/>
          <w:rtl w:val="true"/>
          <w:lang w:bidi="fa-IR"/>
        </w:rPr>
        <w:t xml:space="preserve">. </w:t>
      </w:r>
      <w:r>
        <w:rPr>
          <w:rStyle w:val="FootnoteAnchor"/>
          <w:rtl w:val="true"/>
        </w:rPr>
        <w:footnoteReference w:id="1988"/>
      </w:r>
      <w:bookmarkStart w:id="1663" w:name="pg19115_195830"/>
    </w:p>
    <w:p>
      <w:pPr>
        <w:pStyle w:val="Heading6"/>
        <w:numPr>
          <w:ilvl w:val="5"/>
          <w:numId w:val="1"/>
        </w:numPr>
        <w:rPr/>
      </w:pPr>
      <w:bookmarkStart w:id="1664" w:name="__RefHeading___Toc15203478_1280447820"/>
      <w:bookmarkStart w:id="1665" w:name="_Toc650"/>
      <w:bookmarkEnd w:id="1663"/>
      <w:bookmarkEnd w:id="1664"/>
      <w:r>
        <w:rPr>
          <w:rtl w:val="true"/>
        </w:rPr>
        <w:t>ب</w:t>
      </w:r>
      <w:r>
        <w:rPr>
          <w:rtl w:val="true"/>
        </w:rPr>
        <w:t xml:space="preserve">) </w:t>
      </w:r>
      <w:r>
        <w:rPr>
          <w:rtl w:val="true"/>
        </w:rPr>
        <w:t>مكروهات</w:t>
      </w:r>
      <w:bookmarkEnd w:id="1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راه رفتن اذان گفتن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سواره اذان گفتن مکروه است البته در حال اختیار ولی مع العجز این کراهت مرتفع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است که اعراب اواخر هر فصلی را اظهار،کند بلکه بهتر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اذان و اقامه سخن گفتن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را با 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غلطاندن صدا در گلو و چهچهه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کراهت دارد مگر برای اعلام و تنبیه دیگران</w:t>
      </w:r>
      <w:r>
        <w:rPr>
          <w:rFonts w:eastAsia="IRNazanin" w:cs="IRNazanin"/>
          <w:color w:val="111111"/>
          <w:sz w:val="28"/>
          <w:szCs w:val="28"/>
          <w:rtl w:val="true"/>
          <w:lang w:bidi="fa-IR"/>
        </w:rPr>
        <w:t xml:space="preserve">. </w:t>
      </w:r>
      <w:r>
        <w:rPr>
          <w:rStyle w:val="FootnoteAnchor"/>
          <w:rtl w:val="true"/>
        </w:rPr>
        <w:footnoteReference w:id="1989"/>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ذکر آن که اجرت گرفتن بر اذان نماز جایز نیست و اگر به قصد اجرت اذان بگوید باطل است و در اذان،اعلامی بعض علماء فتوی به جواز اخذ اجرت داده اند،بله اشکالی ندارد که معیشت مؤذن را از بیت المال بدهند</w:t>
      </w:r>
      <w:r>
        <w:rPr>
          <w:rFonts w:eastAsia="IRNazanin" w:cs="IRNazanin"/>
          <w:color w:val="111111"/>
          <w:sz w:val="28"/>
          <w:szCs w:val="28"/>
          <w:rtl w:val="true"/>
          <w:lang w:bidi="fa-IR"/>
        </w:rPr>
        <w:t xml:space="preserve">. </w:t>
      </w:r>
      <w:r>
        <w:rPr>
          <w:rStyle w:val="FootnoteAnchor"/>
          <w:rtl w:val="true"/>
        </w:rPr>
        <w:footnoteReference w:id="1990"/>
      </w:r>
      <w:bookmarkStart w:id="1666" w:name="pg19115_195831"/>
    </w:p>
    <w:p>
      <w:pPr>
        <w:pStyle w:val="Heading6"/>
        <w:numPr>
          <w:ilvl w:val="5"/>
          <w:numId w:val="1"/>
        </w:numPr>
        <w:rPr/>
      </w:pPr>
      <w:bookmarkStart w:id="1667" w:name="__RefHeading___Toc15203480_1280447820"/>
      <w:bookmarkStart w:id="1668" w:name="_Toc651"/>
      <w:bookmarkEnd w:id="1666"/>
      <w:bookmarkEnd w:id="1667"/>
      <w:r>
        <w:rPr>
          <w:rtl w:val="true"/>
        </w:rPr>
        <w:t>ج</w:t>
      </w:r>
      <w:r>
        <w:rPr>
          <w:rtl w:val="true"/>
        </w:rPr>
        <w:t xml:space="preserve">) </w:t>
      </w:r>
      <w:r>
        <w:rPr>
          <w:rtl w:val="true"/>
        </w:rPr>
        <w:t>دیدگاه اهل سنت پیرامون شروط مؤذن</w:t>
      </w:r>
      <w:bookmarkEnd w:id="1668"/>
    </w:p>
    <w:p>
      <w:pPr>
        <w:pStyle w:val="Heading6"/>
        <w:numPr>
          <w:ilvl w:val="5"/>
          <w:numId w:val="1"/>
        </w:numPr>
        <w:rPr/>
      </w:pPr>
      <w:bookmarkStart w:id="1669" w:name="__RefHeading___Toc15203482_1280447820"/>
      <w:bookmarkStart w:id="1670" w:name="_Toc652"/>
      <w:bookmarkEnd w:id="1669"/>
      <w:r>
        <w:rPr/>
        <w:t>1</w:t>
      </w:r>
      <w:r>
        <w:rPr>
          <w:rtl w:val="true"/>
        </w:rPr>
        <w:t xml:space="preserve">. </w:t>
      </w:r>
      <w:r>
        <w:rPr>
          <w:rtl w:val="true"/>
        </w:rPr>
        <w:t>مذهب حنفی</w:t>
      </w:r>
      <w:bookmarkEnd w:id="1670"/>
    </w:p>
    <w:p>
      <w:pPr>
        <w:pStyle w:val="BookText"/>
        <w:rPr/>
      </w:pPr>
      <w:r>
        <w:rPr>
          <w:rFonts w:ascii="IRNazanin" w:hAnsi="IRNazanin" w:eastAsia="IRNazanin"/>
          <w:color w:val="111111"/>
          <w:sz w:val="28"/>
          <w:sz w:val="28"/>
          <w:szCs w:val="28"/>
          <w:rtl w:val="true"/>
          <w:lang w:bidi="fa-IR"/>
        </w:rPr>
        <w:t>حنفی ها می گویند شروطی که برای مؤذن ذکر شده شرط صحت اذان نیست، از این رو اذان زن،خنثی،کافر مجنون و انسان مست صحیح است، لیکن نمی توان به اذان آنها جهت داخل شدن وقت،نماز ترتیب اثر داده و اعتماد کرد؛ زیرا در تصدیق داخل شدن وقت،نماز شرط است که مؤذِّن،مسلمان عادل، عاقل، ممیز و عالم به اوقات اذان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شخصی فاقد یکی از شرایط گفتن اذان،باشد، اذان گفتن برای او کراهت دارد همچنان که بر جنب و فاسق اذان گفتن مکروه است</w:t>
      </w:r>
      <w:r>
        <w:rPr>
          <w:rFonts w:eastAsia="IRNazanin" w:cs="IRNazanin"/>
          <w:color w:val="111111"/>
          <w:sz w:val="28"/>
          <w:szCs w:val="28"/>
          <w:rtl w:val="true"/>
          <w:lang w:bidi="fa-IR"/>
        </w:rPr>
        <w:t xml:space="preserve">. </w:t>
      </w:r>
      <w:r>
        <w:rPr>
          <w:rStyle w:val="FootnoteAnchor"/>
          <w:rtl w:val="true"/>
        </w:rPr>
        <w:footnoteReference w:id="1991"/>
      </w:r>
    </w:p>
    <w:p>
      <w:pPr>
        <w:pStyle w:val="Heading6"/>
        <w:numPr>
          <w:ilvl w:val="5"/>
          <w:numId w:val="1"/>
        </w:numPr>
        <w:rPr/>
      </w:pPr>
      <w:bookmarkStart w:id="1671" w:name="__RefHeading___Toc15203484_1280447820"/>
      <w:bookmarkStart w:id="1672" w:name="_Toc653"/>
      <w:bookmarkEnd w:id="1671"/>
      <w:r>
        <w:rPr/>
        <w:t>2</w:t>
      </w:r>
      <w:r>
        <w:rPr>
          <w:rtl w:val="true"/>
        </w:rPr>
        <w:t xml:space="preserve">. </w:t>
      </w:r>
      <w:r>
        <w:rPr>
          <w:rtl w:val="true"/>
        </w:rPr>
        <w:t>مذهب مالکی</w:t>
      </w:r>
      <w:bookmarkEnd w:id="167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مالكيه معتقدند که شرط است که مؤذن بالغ باشد بنابراین اگر صبی ممیز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اذان بگوید، اذان او صحیح نیست مگر آن که در دخول وقت بر او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اذان گفتن فاسق نیز صحیح نیست مگر هنگامی که بر اذان غیر او به داخل شدن وقت اطمینان و اعتماد حاصل شود</w:t>
      </w:r>
      <w:r>
        <w:rPr>
          <w:rFonts w:eastAsia="IRNazanin" w:cs="IRNazanin"/>
          <w:color w:val="111111"/>
          <w:sz w:val="28"/>
          <w:szCs w:val="28"/>
          <w:rtl w:val="true"/>
          <w:lang w:bidi="fa-IR"/>
        </w:rPr>
        <w:t xml:space="preserve">. </w:t>
      </w:r>
      <w:r>
        <w:rPr>
          <w:rStyle w:val="FootnoteAnchor"/>
          <w:rtl w:val="true"/>
        </w:rPr>
        <w:footnoteReference w:id="1992"/>
      </w:r>
      <w:bookmarkStart w:id="1673" w:name="pg19115_195832"/>
    </w:p>
    <w:p>
      <w:pPr>
        <w:pStyle w:val="Heading4"/>
        <w:numPr>
          <w:ilvl w:val="3"/>
          <w:numId w:val="1"/>
        </w:numPr>
        <w:rPr/>
      </w:pPr>
      <w:bookmarkStart w:id="1674" w:name="__RefHeading___Toc15203486_1280447820"/>
      <w:bookmarkStart w:id="1675" w:name="_Toc654"/>
      <w:bookmarkEnd w:id="1673"/>
      <w:bookmarkEnd w:id="1674"/>
      <w:r>
        <w:rPr>
          <w:rtl w:val="true"/>
        </w:rPr>
        <w:t>مبحث دوم</w:t>
      </w:r>
      <w:r>
        <w:rPr>
          <w:rtl w:val="true"/>
        </w:rPr>
        <w:t xml:space="preserve">: </w:t>
      </w:r>
      <w:r>
        <w:rPr>
          <w:rtl w:val="true"/>
        </w:rPr>
        <w:t>خادم مسجد</w:t>
      </w:r>
      <w:bookmarkEnd w:id="1675"/>
    </w:p>
    <w:p>
      <w:pPr>
        <w:pStyle w:val="BookText"/>
        <w:rPr/>
      </w:pPr>
      <w:r>
        <w:rPr>
          <w:rFonts w:ascii="IRNazanin" w:hAnsi="IRNazanin" w:eastAsia="IRNazanin"/>
          <w:color w:val="111111"/>
          <w:sz w:val="28"/>
          <w:sz w:val="28"/>
          <w:szCs w:val="28"/>
          <w:rtl w:val="true"/>
          <w:lang w:bidi="fa-IR"/>
        </w:rPr>
        <w:t>یکی از منصب های مهم درمسجد خدمت گزاری به نمازگزاران و تلاش بر تمیز نگاه داشتن مسجد می باشد که در این باره روایات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انجام این اعمال هم می تواند توسط یک شخص خاص انجام شود که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هم این که دیگران می توانند این کارها را بر عهده گرفته 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است که در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کاربرده نشده است و شرایط و ضوابط خاصی برای چنین شخصی معین نشده، بلکه به صورت کلی برای هر کسی که به نمازگزاران خدمت کرده یا به امور مسجد رسیدگی کند ثوابهایی ذکر شده و در برخی موارد شروطی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خوش اخلاق بودن خادم مسجد نقش بسزایی در جذب مردم بویژه جوانان و نوجوانان و حتی کودکان به مسجد دارد؛ زیرا همان گونه که خوش اخلاق بودن خادم و برخورد زیبا و با حوصله او با افراد باعث جذب آنها به مسجد می شود، گاه یک برخورد ناشایست خادم هم می تواند فرد یا افراد بویژه کودکان نوجوانان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را از مسجد رانده و حتی موجب ضعف ایمان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برای آن ثواب ذکر شده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نگه داشتن و تنظیف مسجد که از جمله آن جارو کردن و بردن زباله به بیرون از مسجد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نگه داشتن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کردن مسجد و</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مرتبط با این مبحث و دیدگاه فقیهان امامیه و اهل تسنن به تفصیل در فصل آراستگی و پیراستگی مسجد ذکر شد که برای دیدن این روایات و دیدگاه ها، مناسب است به قسمت مربوط مراجعه شود</w:t>
      </w:r>
      <w:r>
        <w:rPr>
          <w:rFonts w:eastAsia="IRNazanin" w:cs="IRNazanin"/>
          <w:color w:val="111111"/>
          <w:sz w:val="28"/>
          <w:szCs w:val="28"/>
          <w:rtl w:val="true"/>
          <w:lang w:bidi="fa-IR"/>
        </w:rPr>
        <w:t xml:space="preserve">. </w:t>
      </w:r>
      <w:r>
        <w:rPr>
          <w:rStyle w:val="FootnoteAnchor"/>
          <w:rtl w:val="true"/>
        </w:rPr>
        <w:footnoteReference w:id="199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عبد الملک بن محمد شرف المصطفی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السنن النبوية لابن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الطبقات الكبرى لابن سعدا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علی بن محمد اسد الغاية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رجائی، سید مهدی تعلیقة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سبحانی، فروغ ابدیت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كثير، البداية و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علی بن ابراهيم حلبي،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عاملى، الصحيح من سيرة النبي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 الرحمن سیوطی، حُسن المُحاضرة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مقريزى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في ذكر الخطط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الكاتب، یعقوبی، البلدان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بن عبد اللّه حموی،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مدينة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الأدبا،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اسحاق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بجير، الرحلة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الحموي معجم الأدبا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عبد الرحمن السيوطى حسن المعاضرة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تفسير البيضاوى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جلال الدين سيوطى، جامع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أبواب احكام المسجد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20584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5088</w:t>
      </w:r>
      <w:r>
        <w:rPr>
          <w:rFonts w:ascii="IRNazanin" w:hAnsi="IRNazanin" w:eastAsia="IRNazanin"/>
          <w:b w:val="false"/>
          <w:b w:val="false"/>
          <w:bCs w:val="false"/>
          <w:i w:val="false"/>
          <w:i w:val="false"/>
          <w:iCs w:val="false"/>
          <w:color w:val="333333"/>
          <w:sz w:val="20"/>
          <w:sz w:val="20"/>
          <w:szCs w:val="20"/>
          <w:rtl w:val="true"/>
        </w:rPr>
        <w:t xml:space="preserve">؛ کنزل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جامع بيان العلم و 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يبير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أبواب أحكام المساجد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تقى حكيم، 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أخبار الرضاء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شیخ مفید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شیخ طوسی،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محمد بن مکّی عاملی شهید اول، ذكر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صفات القاضى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محمد بن عيسى الترمذى، 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مناقب اهل بيت النبي صلی اللّه علیه و آله و سلم، الرقم </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xml:space="preserve">؛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بيت رضى اللّه عنهم، صحیح مسلم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الحضال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7595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9025</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فقه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فى الأصل الفهم، و اشتقاقه من الشق و الفتح مبارک بن محمود جزری، ابن اثیر، النهاية في غريب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عسكرى، الفروق اللغوية،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العلم و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فیروز آبادی، القاموس المحيط </w:t>
      </w:r>
      <w:r>
        <w:rPr>
          <w:rFonts w:eastAsia="IRNazanin" w:cs="IRNazanin"/>
          <w:b w:val="false"/>
          <w:bCs w:val="false"/>
          <w:i w:val="false"/>
          <w:iCs w:val="false"/>
          <w:color w:val="333333"/>
          <w:sz w:val="20"/>
          <w:szCs w:val="20"/>
        </w:rPr>
        <w:t>2894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موسوعة الفقه الإسلامي طبقاً لمذهب أهل البيت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زرکشی المنشور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بن بابويه، الخصال، باب الأربعين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حلّی، حسن بن يوسف بن مطهّر، نهاية الوصول إلى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شهيد اول، محمد بن مكّى عاملى،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شیخ حسن بن زین الدین، معالم الأصول،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حکیم محمد تقى، 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حلّى، جعفر بن الحسن،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علامه حلی، حسن بن يوس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مطهّر، تهذيب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دروس في علم الأصول، الحلقه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فیّومی،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عبد العاطی و دژران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جوهری،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قرطبی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دار احياء التراث العربي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عربی اسم مکان و اسم زمان یازده فعل، بر خلاف این قاعده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آن ها کلمه مسجد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واژه شناسان و لغویون بزرگی هم چون فراء برآنند که مسجد به فتح عین نیز جایز است اگر چه با این تلفظ تاكنون استعمال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سیبویه، هر گاه فعل و عمل در این واژه مورد نظر باشد، باید آن را طبق قاعده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جیم به کار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خوزی، ذیل واژه مسجد،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زرکشی اعلام الساجد باحكام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حقيقة شرعية فى المكان الموقوف على المسلمين للصلاة، من دون اختصاص ببعض دون بعض، مع الصلاة فيه أو قبض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بالمسجد شرعا المكان الموقوف على كافة المسلمين للصلاة، فلو خص بعضا منهم به لم يكن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اصفهانی،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شیخ محمد حسن نجفی،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جواد حسینی عاملی، مفتاح الكرامه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 أبو حبيب، القاموس الفقهی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عميم بركتى، التعريفات الفقيه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توبه،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 اسراء،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فتح، آیات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لَيْلاً مِنَ الْمَسْجِدِ الْحَرَامِ إِلَى الْمَسْجِدِ الْأَقْصَى الَّذِي بَارَكْنَا حَوْلَهُ لِنُرِيَهُ مِنْ آيَاتِنَا إِنَّهُ هُوَ السَّمِيعُ الْبَصِيرُ 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لِيَدْخُلُوا الْمَسْجِدَ كَمَا دَخَلُوهُ أَوَّلَ مَرَّةً سوره اسراء،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أَمَرَ رَبِّي بِالْقِسْطِ وَ أَقِيمُوا وُجُوهَكُمْ عِنْدَ كُلِّ مَسْجِدٍ وَ ادْعُوهُ مُخْلِصِينَ لَهُ الدِّينَ كَمَا بَدَأَكُمْ تَعُودُونَ سوره اعراف،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يَا بَنِي آدَمَ خُذُوا زِينَتَكُمْ عِنْدَ كُلِّ مَسْجِدٍ وَ كُلُوا وَ اشْرَبُوا وَلَا تُسْرِفُوا إِنَّهُ لَا يُحِبُّ الْمُسْرِفِينَ سوره اعراف،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تَقُمْ فِيهِ أَبَداً لَمَسْجِدٌ أُسِّسَ عَلَى التَّقْوَى مِنْ أَوَّلِ يَوْمٍ أَحَقُّ أَنْ تَقُومَ فِيهِ فِيهِ رِجَالٌ يُحِبُّونَ أَنْ يَتَطَهَّرُوا وَ اللَّهُ يُحِبُّ الْمُطَهِّرينَ سوره توبه،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كَذلِكَ أَعْثَرْنَا عَلَيْهِمْ لِيَعْلَمُوا أَنَّ وَعْدَ اللَّهِ حَقٌّ وَ أَنَّ السَّاعَةَ لَا رَيْبَ فِيهَا إِذْ يَتَنَازَعُونَ بَيْنَهُمْ أَمْرَهُمْ فَقَالُوا ابْنُوا عَلَيْهِمْ بُنْيَاناً رَبُّهُمْ أَعْلَمُ بِهِمْ قَالَ الَّذِينَغَلَبُوا عَلَى أَمْرِهِمْ لَنَتَّخِذَنَّ عَلَيْهِمْ مَسْجِداً 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سوره بقره، آیه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مَا كَانَ لِلْمُشْرِكِينَ أَنْ يَعْمُرُوا مَسَاجِدَ اللَّهِ شَاهِدِينَ عَلَى أَنْفُسِهِمْ بِالْكُفْرِ أُولئِكَ حَبِطَتْ أَعْمَالُهُمْ وَ فِي النَّارِ هُمْ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يَعْمُرُ مَسَاجِدَ اللَّهِ مَنْ آمَنَ بِاللَّهِ وَ الْيَوْمِ الْآخِرِ وَ أَقَامَ الصَّلَاةَ وَآتَى الزَّكَاةَ وَلَمْ يَخْشَ إِلَّا اللَّهَ فَعَسَى أُولئِكَ أَنْ يَكُونُوا مِنَ الْمُهْتَدِينَ سوره توبه،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تُبَاشِرُوهُنَّ وَ أَنْتُمْ عَاكِفُونَ فِى الْمَسَاجِدِ تِلْكَ حُدُودُ اللَّهِ فَلاَ تَقْرَبُوهَا سوره بقره، آیه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أَنَّ الْمَسَاجِدَ لِلَّهِ فَلاَ تَدْعُوا مَعَ اللَّهِ أَحَداً 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عرفه دسوقى، حاشية الدسوقی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فيّومى، المصباح المنير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 جمع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فيومى،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حسن کشناوی اسهل المدارک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محمد بن عبد اللّه زركشي، إعلام الساجد بأحكام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فيومى،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صالح ،آبی، جواهر الإكاميل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عبد الباقی انورقانی شرح انورقانی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احمد بن محمد فیومی،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محمد بن مکرم ابن منظور افریقی،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عمر،زمخشری،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حسن بجنوردى القواعد الفقهيه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30:22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32:22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في التوراة مكتوباً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بيوتى فى الأرض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العلة في تعظيم المساجد؟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امر بتعظي المساجد لأنها بيوت الله فى الأرض محمد بن الحسن الحر العاملى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احكام المساجد،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لم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المساجد، 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طباطبایی یزدی،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الخوئي، موسوعة الامام الخوئي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الدين بن شرف نووی، المجموع شرح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الدين بن شرف نووی، المجموع شرح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احمد بن قدامة،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یونس بهوتی، کشاف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 إذا تم زال ملك الواقف عنه، ثمّ إن كان مسجدا فهو فک ملک کالتحرير، و إن كان على معين فالأقرب أنه يملكه، و إن كان على جهة عامة فالأقرب أن الملك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الأنصارى،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في شرح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الاصطلاحات الفقهية فى الرسائل العملية،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رحمه الله به این مطلب اشاره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يعتبر في تحقق المسجدية صيغة الوقف و شبهها و لو 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مسجدا الله، و يأذن في الصلاة فيه فيصلى فيه و لو واحدا، و يقبضه الحاكم الذى له الولاية العامة أو يكفى مجرد قصده ذلك و إن لم يتلفظ؟ وجهان بل قولان قد استقرب في الذكرى كما عن مجمع البرهان ثانيهما مستظهرا له من عبارة المبسوط، لكنه اعتبر فيه على الظاهر الصلاة فيه و لو من الواقف، لأنه قال فيها أى الذكرى قبيل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بناه بنية المسجد لم يصر مسجدا، نعم لو أذن للناس بالصلاة فيه بنية المسجدية ثم صلوا أمكن صيرورته مسجدا، لأن معظم المساجد في الإسلام على هذه الصورة و يقوى فى النظر الأول، للأصل و ظهور إطباقهم في باب الوقف على الافتقار فيه إلى اللفظ، بل حكى عن المبسوط نفسه هناك التصريح بأنه لا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التلفظ بالوقف في خصوص ما نحن فيه من غير تردد و لا ذكر خلاف إلا من أبي حنيفة، و لم يعلم كون معظم المساجد في الإسلام بدون تلفظ و يكفينا في جواز الصلاة فيها اشتهارها في المسجدية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ابْنِ أَبِي عُمَيْرِ عَنْ هِشَامِ بْنِ الْحَكَمِ عَنْ أَبِي عُبَيْدَةَ الْحَذَاءِ قَالَ سَمِعْتُ أَبَا عَبْدِ اللَّهِ علیه السلام يَقُولُ مَنْ بَنَى مَسْجِداً بَنَى اللَّهُ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 فَمَرَّ بي أبو عَبْدِ اللَّهِ علیه السلام فِي طَريق مَكَّةَ وَ قَدْ سَوَّيْتُ بأحْجَارٍ مَسْجِداً فَقُلْتُ لَهُ جُعِلْتُ فِدَاكَ نَرْجُو أَنْ يَكُونَ هَذَا مِنْ ذَاكَ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المحاسن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ذكرى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صحيح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طباطبایی، سید محمد حسين، 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و التقرب، و الإقباض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يتولى الولى القبض عن الطفل، و الناظر في المصالح القبض عنها، و التنجيز و الدوام، و إخراجه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شرط عوده كان حبسا، و لو جعله إلى أمد أو لمن ينقرض غالبا رجع الى ورثة الواقف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يكون عينا مملوكة ينتفع بها مع بقائها و ان كانت مشاعة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في أحكام الدين،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بالمسجد شرعا المكان الموقوف على كافة المسلمين للصلاة، فلو خص بعضا منهم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لم يكن مسجدا، اقتصارا على المتيقن بل هو ظاهر الأدلة أيضا، ضرورة منافاة الخصوصية للمسجدية إذ هو كالتحرير، فلا يجوز، بل لا يتصور فيه التخصيص، فيبطل الوقف حينئذ من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كتاب الطهارة،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أن يجعل السطح فقط مسجدا أو يجعل بعض الغرفات أو القباب أو نحو ذلك خارجا فالحكم تابع لجعل الواقف و الباني في التعميم و التخصيص كما أنه كذلك بالنسبة إلى عموم المسلمين أو طائفة دون أخرى على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بجنوردی به این دلیل اشاره دارد رک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للبجنوردی،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 – 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في أحكام الدين،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المناهل،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فى شرح مختصر النافع،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 عدم اعتبار القبول فى الوقف على الجهات العامة كالمساجد والمقابر و القناطر و نحوها، و كذا الوقف على العناوين الكلية كالوقف على الفقراء و الفقهاء ونحوهما، و أما الوقف الخاص كالوقف على الذرية فالأحوط اعتباره فيه فيقبله الموقوف عليهم، و يكفى قبول الموجودين، و لا يحتاج إلى قبول من سيوجد منهم بعد وجوده، و إن كان الموجودون صغارا أو فيهم صغار قام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الأقوى عدم اعتبار القبول في الوقف الخاص أيضا، كما أن الأحوط رعاية القبول في الوقف العام أيضا، القائم به الحاكم أو المنصوب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للبجنوردی السید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تحرير الوسيلة،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شرح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الهداية المطبوع بهامش شرح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فتح القدير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شرح العناية على الهداية المطبوع في هامش شرح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و البرهان في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Pr>
        <w:t>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الأحوط إجراء صيغة الوقف بقصد القربة في صيرورته مسجدا بأن يقول وقفته قربة إلى الله تعالى لكن الأقوى كفاية البناء بقصد كونه مسجدا مع صلاة شخص واحد فيه بإذن الباني فيجرى عليه حينئذ حكم المسجدية و إن لم تجر 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المشهور اعتبار إجراء صيغة الوقف في صيرورة الأرض مسجدا بأن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وقفتها مسجدا قربة الى الله تعالى، لكن الأقوى كفاية البناء بقصد كونه مسجدا مع قصد القربة وصلاة شخص واحد فيه بإذن الباني، فتصير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الوصية الأيمان والنذور الكفارات،الصيد،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فى مسائل الحلال والحرام،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إلى أحكام الإيمان،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 يلزم بالعقد و القبض عند علمائنا اجمع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إلى تنقيح شرائع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علی شیرازی،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عبدالکریم بن محمد رافعي، العزيز شرح الوجیز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محیی الدین بن شرف نووی المجموع شرح 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خطيب الشربيني، مغني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سرخسی المبسوط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ابن عابدين، حاشية رد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علی زیلعی، تبیین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سعود الكاسانی، 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حلى 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تحریر الاحكام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حلى 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زین الدین عاملی، شهید ثانی مسالک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طباطبایی ریاض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محمدحسن نجفی، 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محمدکاظم یزدى،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محمد اسحاق فياض، تعليقات مبسوطة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کرکی،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سید محمدجواد عاملی، مفتاح الكرامة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سید ابوالقاسم خوئى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الوقوف والصدقات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سيد عبدالاعلى سبزواری، مهذب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الدردير، الشرح الكبير ومحمد عرفه، دسوقی، حاشية الدسوقی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صالح عبدالسميع، آبی ازهری، جواهر الاکلیل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بن قدامة المغنی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عبدالرحمن بن احمد بن قدامة، الشرح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علی، فیروزآبادی شیرازی، المهذب في 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حسین بن مسعود بغوى،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الدين بن شرف نووی روضة الطالبین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عبدالکریم بن محمد رافعي، العزيز شرح الوجیز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عبدالواحد، فتح القدیر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نظام و جماعة من علماء الهند، 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محمد امین ابن عابدين حاشية رد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 علیه السلام قَالَ سَمِعْتُهُ يَقُولُ إِنَّ رَسُولَ اللَّهِ صلى الله عليه و آله و سلم بَنَى مَسْجِدَهُ بالسَّمِيطِ ثُمَّ إِنَّ الْمُسْلِمِينَ كَثُرُوا فَقَالُوا يَا رَسُولَ اللَّهِ لَوْ أَمَرْتَ بِالْمَسْجِدِ فَزِيدَ فِيهِ فَقَالَ نَعَمْ فَزِيدَ فِيهِ وَ بَنَاهُ بالسَّعِيدَة ثُمَّ إِنَّ الْمُسْلِمِينَ كَثُرُوا فَقَالُوا يَا رَسُولَ اللَّهِ لَوْ أَمَرْتَ بِالْمَسْجِدِ فَزِيدَ فِيهِ فَقَالَ نَعَمْ فَأَمَرَ بِهِ فَزِيدَ فِيهِ وَ بنى جِدَارُهُ بِالْأُنثَى وَ الذَّكَرِ ثُمَّ اشْتَدَّ عَلَيْهِمُ الْحَرُّ فَقَالُوا يَا رَسُولَ اللَّهِ لَوْ أَمَرْتَ بِالْمَسْجِدِ فَظُلّلَ فَقَالَ نَعَمْ فَأَمَرَ بِهِ فَأَقِيمَتْ فِيهِ سَوَارِى مِنْ جُذُوعِ النَّخْلِ ثُمَّ طُرحَتْ عَلَيْهِ الْعَوَارِضُ وَ الْخَصَفُ وَ الْإِذْخِرُ فَعَاشُوا فِيهِ حَتَّى أَصَابَتْهُمُ الْأَمْطَارُ فَجَعَلَ الْمَسْجِدُ يَكِفُ عَلَيْهِمْ فَقَالُوا يَا رَسُولَ اللَّهِ لَوْ أَمَرْتَ بِالْمَسْجِدِ فَطِّيِّنَ فَقَالَ لَهُمْ رَسُولُ اللَّهِ صلى الله عليه وسلم لَا عَرِيش كَعَرِيش مُوسَى علیه السلام ف لَمْ يَزَلْ كَذَلِكَ حَتَّى قُبِضَ صلى الله عليه و آله و سلم مَّا وَكَانَ جدَارُهُ قَبْلَ أَنْ يُظَلَّلَ قَامَةً وَكَانَ إِذَا كَانَ الْفَوْءُ ذِرَاعاً وَ هُوَ قَدْرُ مَريض عَنْز صَلَّى الظُّهْرَ فَإِذَا كَانَ ضِعْفَ ذَلِكَ صَلَّى الْعَصْرَ وَ قَالَ وَ السَّمِيطُ لَبَنَةٌ لَبَنَةٌ وَ السَّعِيدَةُ لَبَنَةٌ وَ نِصْفٌ وَ الذَّكَرُ وَالْأُنْثَى لَبَنَتَانِ مُخَالِفَتَان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الكاشاني بيان وذلك لأنّ كلّما كان المكان أوسع كان جداره أطول وكلم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الجدار أطول، فالمناسب أن يكون عرضه أوسع وسمكه ارفع الوافی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العوارض وهى خشبات عريضة تسعمل فى السقوف والتحصف شيء يعمل من سعف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شيخ طوسي،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محمد بن حسن حر عاملی،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شيخ طوسي، النهاية في مجرد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ابن براج،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علی عاملی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فاضل اصفهانی،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محقق،قمی، غنائم 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عاملی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طباطبایی، 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مع التعليقات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حلّى،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سيد روح الله امام خمینی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حر عاملی، هداية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مع تعليقات السید الگلپایگانی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تحریر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موسوعة الإمام الخوئى المستند فى شرح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هداية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الحذاء، قال 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بنى مسجداً بنى الله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748264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أبواب أحكام المساجد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الحذاء، عن أبي جعفر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بنى مسجداً كمفحص قطاة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موضع الذى تفحض التراب اى تكشفه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الله به بيتا في الجنه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جعفر، عن أخيه موسى بن جعفر عن أبيه عن على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إِذَا أَرَادَ أَنْ يُصِيبَ أَهْلَ الْأَرْضِ بِعَذَابٍ قَالَ لَوْ لَا الَّذِينَ يَتَحَابُّونَ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يَعْمُرُونَ مَسَاجِدِى وَ يَسْتَغْفِرُونَ بِالْأَسْحَارِ لَوْلَاهُمْ لَأَنْزَلْتُ عَذَابى و مثله معتبرة السكونى؛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بنى مسجداً في الدنيا أعطاه الله بكل شبر منه، أو قال، بكل ذراع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اربعين ألف عام مدينته من ذهب و فضه و دُرّ و یاقوت و زمرد و زبرجد و لؤلؤ الحديث و فيه ثواب جزيل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بابويه صدوق قمّى 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ابن عرفه و لخمی المختصر الفقهى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الدين بن شرف نووى، المجموع شرح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عبدالرحمن بن ابی بکر سیوطی، الحاوی للفتاوى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ابن مفلح مقدِسی، الآداب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احمد ابوالنجا حجاوي، الإقناع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بهوتی حنبلی، کشاف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مفلح مقدسی، الآداب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احمد سمهودی،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عبدالرحمن بن محمد جوزی، مثير الغرام الساكن إلى أشرف الأماكن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بیهقی، أحمد الحسين، 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احمد بن الحسین بیهقی، 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تحفة الراكع والساجد فى احكام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عبدالرحمن بن محمد جوزی، مثير الغرام الساكن إلى أشرف الأماكن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مولى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كَمْ كَانَ مَسْجِدُ رَسُول اللَّهِ قَالَ كَانَ ثَلَاثَةَ آلَافٍ وَ سَتَمِائَة ذِرَاعٍ تَكْسِيراً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ابواب المساجد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بحرانی،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محيى الدين بن شرف نووی، المجموع شرح المهذب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عبدالسمیع آبی ازهوی، جواهر الإكليل،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بکر بن يزيد جراعى حنبلی، تحفة الراكع، مساجد باحكام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جوزیه محمد بن ابی بکر زرعی دمشقی زاد المعاد في هدي خير العباد،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الحسن شيخ طوسي، تهذيب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احمد سمهودی،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علی بن احمد سمهودی،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منتهى المطل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در روایت صحیح از امام باقر علیه السلام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 حائط مسجد رسول الله صله كان قامة، عن أبي جعفر علیه السلام فى حديث كان جدار مسجد رسول الله صلی الله علیه و آله يومئذ 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إِذَا كَانَ سَمْكُ الْبَيْتِ فَوْقَ سَبْعَةِ أَذْرُعٍ أَوْ قَالَ ثَمَانِيَةِ أَذْرُعٍ فَكَانَ مَا فَوْقَ السَّبْعِ وَالثَّمَانِ الْأَذْرُعِ مُحْتَضَراً وَ قَالَ بَعْضُهُمْ مَسْكُوناً؛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الفتاوى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المبسوط في الفقه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سلیمان مرداوي، الإنصاف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قدامة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محمد بن مفلح مقدسی، 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وانلي المسجد في الإسلام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علی شیرازی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محمد بن محمد الخطاب الرعيني مواهب الجليل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احمد بن ادریس قرافي الذخيره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سرخسی،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ابن عابدين حاشية ردّ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عثمان بن علی زیلعی تبیین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قرضاوى الضوابط الشرعية لبناء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أن تكون مُشرقة، بل تُبنى جُمّاً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في مجرد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المبسوط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تكون مُشرفة، بل المستحب أن تبنى جُمّاً،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تُبنى المساجد جُمّاً لا مُشرفة،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اتخاذها جُمّاً، ويُكره أن تكون مُشرفة،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إرشاد للأذهان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الفوائد الملية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مصابيح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 السُّرَفُ للمساجد، بل تُبنى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حماد 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احمد بن محمد فيومى،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جمم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افریقی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عبدالأعلى موسوى سبزوارى، مهذب الأحکام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عدّه من الفضل،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زيد، عن جعفر،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علیه السلام رَأى مسجداً بالْكُوفَة وَقَدْ 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كَأَنَّهُ بيعَةٌ وَقَالَ إِنَّ الْمَسَاجِدَ تُبْنَى جُمّاً لَا تُشَرَّف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الرضى المجازات النبویه،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لَمْ يَبْقَ مَسْجِدٌ عَلَى وَجْهِ الْأَرْضِ لَهُ شُرَفْ إِلَّا هَدَمَهَا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الشروانی، ابن قاسم تحفة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عن النبي؟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بالمساجد جُمّاً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 أن نبنين المساجد جماً والمدائن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 التي لا شرف لها، وكذلك البناء اذا لم تكن له شُرَفٌ فهو أجم و جمعه 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شقيق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المساجد تبنى جُمّاً و كانت المدائن تُشرف المصنف لعبد الرزاق الصنعاني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البطين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يمرّ على مسجد لتيم مشرف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بيعة التيم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الرقم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أمرت بتشييد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جوهرى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محمد بن احمد ازهری، 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محمد بن يعقوب فیروزآبادی،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احمد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محمد فيومي، المصباح المنير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منظور افریقی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الفاظ القرآن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فخر الدین،طریحی،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عمار،شرنبلالی مراقی الفلاح شرح نور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طحطاوي، حاشية الطحطاوي على مراقی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احمد السمهودی،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عبدالله بن عبدالملک المرجاني، بهج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النفوس والأسرار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ابی بکر بن الحسين المراغى تحقيق النصرة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زرکشي، إعلام الساجد بأحك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باقر نجفی مدینه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لمجرد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إرشاد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النفلیه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عاملی، مدارک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عاملی،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بحرانی،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أبيه، عن على علیهم السلام أنه كان يكسر المحاريب،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الشيعه، ابواب احكام المساجد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اردبیلی،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 باقر وحید بهبهانی، الحاشية على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محمد بن الحسن حر عاملی،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الجماعة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بحرانی،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أَصَلَّى فِي 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الْمِحْرَابَ فَقَالَ لَا بَأْسَ إِذَا كُنْتَ تَتَوَسَّعُ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عاملى، وسائل الشيعه،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فاضل هندی،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الكركي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بن علی شهید ثانی،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شهيد ثاني، المقاصد العليه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ملا احمد اردبیلی، زبدة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سید محمد عاملى،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سید محمد جواد عاملی،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شیخ محمد حسین نجفی جواهر الکلام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محدّث بحرانی،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بحراني،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وحید بهبهانی الحاشية على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رحمه الله، تحرير الاحكام الشرعيه،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تعليقات عدة من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الحسن، محقق حلى، المعتبر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رحمه الله، 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علی عاملی، شهید ثانی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الحسین،کرکی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افریقی،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شبه، نمیری، تاریخ المدينة المنوّرة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سمهودی،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محمد بن محمود بن النجار، الدّرة الثمنية،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محمود بن نجار، الدرّه الثمينة فى أخبار المدينة،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ياقوت بن عبدالله حموی، المعجم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جمال الدین قاسمی اصلاح المساجد من البدع والعوائد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صَلَّى قَوْمٌ بَيْنَهُمْ وَ بَيْنَ الْإِمَامِ سُتْرَةٌ أَوْ 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تِلْكَ لَهُمْ بِصَلَاةِ إِلَّا مَنْ كَانَ حِيَالَ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ابواب صلاه الجمعه،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زراره، 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هَذِهِ الْمَقَاصِيرُ إِنَّمَا أَحْدَثَهَا الْجَبَّارُونَ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لِمَنْ صَلَّى خَلْفَهَا مُقْتَدِياً بصَلَاة مَنْ فِيهَا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الجعفرى، عن أبي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الْقَائِمُ أمَرَ بِهَدَمِ الْمَنَارِ وَالْمَقَاصِيرِ الَّتِي فی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ابواب احكام المساجد،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عن جعفر، عن أبيه عن على، أَنَّهُ كَانَ يَكْسِرُ الْمَحَارِيبَ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رَآهَا فِي الْمَسَاجِدِ وَ يَقُولُ كَأَنَّهَا مَذَابِحُ 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احكام المساجد،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فیروز آبادی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بن محمد جزرى، النهاية في غريب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طریحی،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بحرانی، الحدائق الناظره،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مفلح مقدسی، 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على بن سليمان مرداوي، الإنصاف منصور بن يونس بهوتى، كشاف القناع عن متن الإقناع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ابوالنجا موسى الحجاوي المقدسي، الإقناع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عبدالله،زركشي إعلام الساجد بأحكام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مشهور به ابن عابدین، حاشية رد المحتار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عرفه دسوقى، حاشية الدسوقى على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فيروزآبادي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اسماعيل بن حماد جوهري،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احمد بن محمد فیومى المصباح المنير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ابن منظور افریقی؛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فخر الدین،طریحی،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محمد بن ادريس حلّى،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محمد حسن نجفی 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محیی الدین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ووى،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زكريا الأنصارى، أسنى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88/188</w:t>
      </w:r>
      <w:r>
        <w:rPr>
          <w:rFonts w:ascii="IRNazanin" w:hAnsi="IRNazanin" w:eastAsia="IRNazanin"/>
          <w:b w:val="false"/>
          <w:b w:val="false"/>
          <w:bCs w:val="false"/>
          <w:i w:val="false"/>
          <w:i w:val="false"/>
          <w:iCs w:val="false"/>
          <w:color w:val="333333"/>
          <w:sz w:val="20"/>
          <w:sz w:val="20"/>
          <w:szCs w:val="20"/>
          <w:rtl w:val="true"/>
        </w:rPr>
        <w:t>؛ محمد بن على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شهر آشوب، 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محمد بن عبدالله، ابن بطوطة، رحلة ابن بطوطة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علی بن احمد سمهودی،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ابن نجار، الدرة الثمينة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ابوالفداء اسماعيل بن كثير، جامع المسانيد والسنن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کلینی، الکافی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احمد بن علی بن حجر عسقلانی،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علی بن احمد سمهودی،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فَرَغْتَ مِنَ الدُّعَاءِ عِندَ قَبْر النَّبِيِّ صلی الله علیه و آله فَانْتِ الْمِنْبَرَ فَامْسَحْهُ بِيَدِكَ وَ خُدْ بِرُمَّانَتَيْهِ وَ هُمَا السُّفْلَاوَانِ وَ امْسَحْ عَيْنَيْكَ وَ وَجْهَكَ بِهِ فَإِنَّهُ يُقَالُ إِنَّهُ شِفَاءُ الْعَيْنِ وَ قُمْ عِنْدَهُ فَاحْمَ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اللَّهَ وَ أَثْن عَلَيْهِ وَ سَلْ حَاجَتَكَ فَإِنَّ رَسُولَ اللَّهِ صلى الله عليه و آله وسلم قَالَ مَا بَيْنَ مِنْبَرِى وَ بَيْتِي رَوْضَةٌ مِنْ رِيَاضِ الْجَنَّةِ وَ مِنْبَرِى عَلَى تُرْعَةِ مِنْ تُرَعَ الْجَنَّةِ وَ التَّرْعَةُ هِيَ الْبَابُ الصَّغِيرُ ثُمَّ تَأْتِي مَقَامَ النَّبِيِّ صلى الله عليه و آله و سلم فَتُصَلَّى فِيهِ مَا بَدَا لَكَ فَإِذَا دَخَلْتَ الْمَسْجِدَ فَصَلِّ عَلَى النَّبِيِّ صلی الله علیه و آله وَ إِذَا خَرَجْتَ فَاصْنَعْ مِثْلَ ذَلِكَ وَ أَكْثِرْ مِنَ الصَّلَاةِ فِي مَسْجِدِ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محمد بن الحسن حر عاملی،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 ما يناسبه،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بَيْتِي وَ مِنْبَرِى رَوْضَةٌ مِنْ رِيَاضِ الْجَنَّةِ وَ مِنْبَرِى عَلَى تُرْعَةِ مِنْ تُرَعِ الْجَنَّةِ وَ قَوَائِمُ مِنْبَرِى رَبَّتْ فِي الْجَنَّةِ قَالَ قُلْتُ هِيَ رَوْضَةُ الْيَوْمِ قَالَ نَعَمْ إِنَّهُ لَوْ كُشِفَ الْغِطَاءُ لَرَأَيْتُمْ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يعقوب کلینی،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أبواب المزار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عبدالله بن قُسيط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نفراً من أصحاب النبى صلی الله علیه و آله إذا خلا لهم المسجد، قاموا إلى رمانة المنبر القرعاء فمسحوها ودَعَوا قال و رأيت يزيد يفعل ذلك عبدالله بن محمد بن ابي شيبة،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رأيت ناساً من أصحاب النبى صلی الله علیه و آله إذا خلا المسجد أخذوا برمانة المنبر الصلحاء التي تلي القبر بميامينهم ثم استقبلوا القبلة يدعون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 الأثم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النبي صلی الله علیه و آله ما يلمس و يتمسح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المنبر فنعم، قد جاء شيء عن ابن أبي فديك عن ابن أبى ذئب عن ابن عمر رضى الله تعالى عنهما أنه مسح المنبر، و يروونه عن سعيد بن المسيب في الرمانة، ای رمانه المنبر قبل احتراقه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احمد السمهودى وفاء الوفاء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عن يحيى بن سعيد شيخ مالك أنه إذا أراد الخروج إلى العراق جاء إلى المنبر فمسحه وداعا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بن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أبى عن الرجل يمس منبر رسول الله صلی الله علیه و آله، يتبرك بمسه، و صلى يُقبله و يفعل بالقبر مثل ذلك رجاء ثواب الله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استنبط بعضهم من مشروعية تقبيل الأركان جواز تقبيل كل من يستحق 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فنقل عن الامام احمد انه سئل عن تقبيل منبر النبي صل الله علیه و آله و تقبيل قبره، فلم ير به بأساً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على بن حجر عسقلانی؛ فتح الباری شرح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هريره أن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منبرى هذا على ترعة من ترع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مِنْ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بني و منبرى روضة من رياض الجنّة و منبرى علی حوضی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السلمة،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 منبرى رواتب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يحلف رجل على يمين آثمة عند هذا المنبر إلاّ تبوأ مقعده من النار ولو على سواك أخضر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و زرارة عنهما علیهما السلام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يحلف أحد عند قبر النبي صلی الله علیه و آله على أقل مما يجب منه 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الرسول الله صل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حلف على منبرى آثماً تبوأ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10/637</w:t>
      </w:r>
      <w:r>
        <w:rPr>
          <w:rFonts w:ascii="IRNazanin" w:hAnsi="IRNazanin" w:eastAsia="IRNazanin"/>
          <w:b w:val="false"/>
          <w:b w:val="false"/>
          <w:bCs w:val="false"/>
          <w:i w:val="false"/>
          <w:i w:val="false"/>
          <w:iCs w:val="false"/>
          <w:color w:val="333333"/>
          <w:sz w:val="20"/>
          <w:sz w:val="20"/>
          <w:szCs w:val="20"/>
          <w:rtl w:val="true"/>
        </w:rPr>
        <w:t xml:space="preserve">؛ سنن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6018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21286</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کتاب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حلّى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حسن بن يوسف بن مطهر، علامه حلّى تحرير الأحكام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طباطبایی ریاض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حلّى، الجامع للشرائع،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حَلَفَ على منبرى هذا بيمين آثمة تبوأ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الحسين البيهقي، السنن الكبرى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أنه سمع رسول الله صلی الله علیه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يحلف أحد على يمين آثمة عند منبرى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ولو على سواك أخضر إلا تبوأ مقعده من النار أو وجبت له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الإصفهاني،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حلف عند منبرى هذا كاذبة يستحل بها بیمین مال امرئ مسلم بغير حق، فعليه لعنة الله والملائكة والناس أجمعين لا يقبل منه صرف ولا 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سليمان بن احمد طبرانی،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عرفه دسوقی، حاشية الدسوقی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منصور بن یونس بهوتی، کشّاف القناع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محمد الخطيب الشربيني مغنی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حاشية القلبوبي على كنز الراغبين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بن بن قدامة المغنی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احمد الصاوی بلغة السالک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اسماعیل بن يحيى مُزَنَى مختصر المُزَنی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علی زیلعی تبیین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شمش الدين سرخسی، 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شافعی، الأم، دار العرفا،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حلى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نهاية الاحکام،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شیخ یوسف بحراني 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رفعه، عن على الله،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السُّنَّةِ إِذَا صَعِدَ الْإِمَامُ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يُسَلَّمَ إِذَا اسْتَقْبَلَ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حسن حر عاملی، 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ميمون، عن جعفر،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 الله علیه و آله إذَا خَرَجَ إِلَى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عَلَى الْمِنْبَرِ حَتَّى يَفْرُغَ الْمُؤَذِّنُونَ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حر العاملي، وسائل الشيعه،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صَعِدَ الْإِمَامُ جَلَسَ وَ أَذَّنَ الْمُؤَذِّنُونَ بَيْنَ يَدَيْهِ فَإِذَا فَرَغُوا مِنَ الْأَذَانِ قَامَ فَخَطَبَ وَ وَعَظَ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الْجُمُعَةِ فَقَالَ أَذَانٌ وَ 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الْإِمَامُ بَعْدَ الْأَذَانِ فَيَصْعَدُ الْمِنْبَرَ فَيَخْطُبُ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الحر العاملی، 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الفقهية لابن جُزَى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مطالب أولى النهى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الفتاوى الهنديه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تذکرة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البیان،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مناره به کسر میم تلفظ می شود و به فتح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نشریه دانشکده ادبیات تبریز به نقل از دهخدا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فارابی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محمد بن يعقوب فيروز آبادی،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احمد بن محمد بن فیومی،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القاموس الوسيط </w:t>
      </w:r>
      <w:r>
        <w:rPr>
          <w:rFonts w:eastAsia="IRNazanin" w:cs="IRNazanin"/>
          <w:b w:val="false"/>
          <w:bCs w:val="false"/>
          <w:i w:val="false"/>
          <w:iCs w:val="false"/>
          <w:color w:val="333333"/>
          <w:sz w:val="20"/>
          <w:szCs w:val="20"/>
        </w:rPr>
        <w:t>962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سجستانی سنن ابن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أبي يعقوب،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محمد بن محمود بن النجار، الدرة الثمينة في أخبار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على بن احمد سمهودی،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أبي يعقوب،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عمر رسته الأعلاق النفسية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على بن أحمد سمهودي،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محمد بن عبد الله الطنجى المعروف بابن بطه، رحلة ابن بطوطة،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فراهتی مسجد و تأثیرات علمی و اجتماعی آن در جامعه ی اسلامی،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نجفی، مدینه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أَسْبَاطِ عَنْ عَلِيٍّ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الْأَذَانِ فِي الْمَنَارَةِ أَ سُنَّةٌ هُوَ فَقَالَ إِنَّمَا كَانَ يُؤَذِّنُ لِلنَّبي صلی الله علیه و آله فِي الْأَرْضِ وَ لَمْ تَكُنْ يَوْمَئِذٍ مَنَارَة مسائل على بن جعفر و مستدركاتها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محمد بن الحسن طوسی،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1134284</w:t>
      </w:r>
      <w:r>
        <w:rPr>
          <w:rFonts w:ascii="IRNazanin" w:hAnsi="IRNazanin" w:eastAsia="IRNazanin"/>
          <w:b w:val="false"/>
          <w:b w:val="false"/>
          <w:bCs w:val="false"/>
          <w:i w:val="false"/>
          <w:i w:val="false"/>
          <w:iCs w:val="false"/>
          <w:color w:val="333333"/>
          <w:sz w:val="20"/>
          <w:sz w:val="20"/>
          <w:szCs w:val="20"/>
          <w:rtl w:val="true"/>
        </w:rPr>
        <w:t xml:space="preserve">؛ 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الأذان والإقامة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المبسوط فى فقه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حلّى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عاملی، شهید اول،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محمد محسن فیض کاشانی،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فاضل اصفهانی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سید علی طباطبائی، 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الأمامية،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الفتاوی،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حلى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شیخ یوسف بحرانی،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لمجرد الفتاوى،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عَنْ أَبِيهِ عَنْ آبَائِهِ عَنْ عَلِيٍّ علیه السلام أَنَّ عَلِيّاً عَليْه السلام مَرَّ عَلَى مَنَارَةِ طَوِيلَةٍ فَأَمَرَ بِهَدْمِهَا ثُمَّ قَالَ لَا تُرْفَعُ الْمَنَارَةُ إِلَّا مَعَ سَطْح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حلى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الْجَعْفَرِيِّ قَالَ كُنْتُ عِنْدَ أَبِي مُحَمَّدِ علیه السلام فَقَالَ ﴿إِذَا خَرَجَ الْقَائِمُ أَمَرَ بِهَدْمِ الْمَنَابِرِ وَ الْمَقَاصِيرِ الَّتِي فِي الْمَسَاجِدِ فَقُلْتُ فِى نَفْسِي لِأَى مَعْنًى هَذَا قَالَ فَأَقْبَلَ عَلَى وَ قَالَ مَعْنَى هَذَا أَنَّهَا مُحْدَثَةٌ مُبْتَدَعَةٌ لَمْ يَبْنِهَا نَبِيٍّ وَ لَا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فاضل هندی،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الساعدي المساجد و احكامها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نوبهار سیمای مسجد،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المساجد،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حلی،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علی عاملی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المبسوط في فقه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الطوسي ابن حمزه الوسيلة الى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حلى،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ذكرى الشيعه،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السكوني عن جعفر، عن أبيه، عن آبائه أن علياً مر على منارة طويلة، فأمر بهدمها،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ترفع المنارة الا مع سطح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حلى،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مطهر علامه حلّى،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طباطبائی، 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الاسلامى طبقاً لمذهب أهل البيت علیهم السلام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ماوردی، الحاوى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الدين بن شرف نووى المجموع شرح المهذب،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شافعی،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سالم عمرانی،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حجر هيتمى الفتاوى الكبرى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یحیی بن شرف نووی، روضة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يحيى زكريا الأنصاري الشافعي، اسنى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رسول الله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بلالا يؤذن بليل فكلوا واشربوا حتى تسمعوا تأذين ابن أم مكتوم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اسماعيل، صحيح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مسلم بن الحجاج نیشابوری،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مبارك بن محمد، ابن الأثير الجزري،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السنن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سليمان مرداوى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محمد بن مفلح مقدسی، 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بن قدامه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موسى بن احمد، الحجاوي المقدسي، الإقناع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منصور بن يونس البهوتی، کشاف القناع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محمد بن صالح العثيمين الشرح الممتع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ابراهیم بن محمد بن مفلح المبدع في شرح 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محمد بن عبدالله الاشقر المجلّى في فقه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منصور بن یونس بهوتى، الروضع المربع،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برزة الأسلمى،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الأذان في المنارة والإقامة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الحسين بيهقي،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آن را از عبدالله شقيق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ابي شيبة، 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احمد عينى البناية في شرح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شیبانى كتاب الأصل المعروف بالمبسوط،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ابراهيم، ابن نجيم 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محمد امین، ابن عابدين، حاشية ردّ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نظام و جماعة من علماء الهند، 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صالح عبد السميع آبی ازهری، جواهر الإكليل،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سجستانی،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من سمع النوار أمّ زيد ابن ثابت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بيتي أطول بيت حول المسجد فكان يؤذن فوقه من أول ما أذن الى أن بنى رسول الله صلى الله عليه وسلم مسجده، فكان يؤذن 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على ظهر المسجد، وقد رفع له شيء فوق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الرحمن، المعروف بالحطاب الرعيني، مواهل الجليل لشرح مختص خلیل،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الدردير الشرح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محمد عرفه دسوقى، حاشية الدسوقى على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محمد العربي القروى، الخلاصة الفقهية،</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عثمان بن حسنین بری الجعلی، سراج السالک،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وهبه زُحَياى الفقه المالكي الميسر،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حلبی، الکافی،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بو یوسف بن مطهر علامه حلّی،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فهد الحلّي،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علی،العاملی مدارك الأحكام،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فهد الحلّي،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العاملی شهید ثانی،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محقق اردبیلی،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مستند الشيعة للنراقی،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تعليقيات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تمنعوا إماء الله مساجد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سجستانی،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تركنا هذا الباب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افریقی،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فخر الدين طريحي مجمع البحرى،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709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فراهت مسجد و تأثیرات علمی و اجتماعی آن به نقل از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 النجوم الزاهرة فى ملوك مصرى والقاهرة،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ناصری،طاهری بیت المقدس،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اسعدی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تاریخی نوشته ی اولک گرایار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البناء المقدسى أحسن التقاسيم في معرفة الأقاليم،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دارالکتب العامية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فراهتی مسجد و تأثیرات علمی و اجتماعی آن،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سسمهورى، وفاء الوفاء،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میقات حج،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سمهودی، وفاء الوفاء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آثار اسلامی،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تعمیر و توسعه مسجد شریف نبوی صلی الله علیه و آله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عن الثورى، عن أبى فزازة، عن مسلم البطين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يمر على مسجد لتيم مُشرف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بيعة التيم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عبدالرزاق ابن همام صنعانی،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قرضاوى، الضوابط الشرعية لبناء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فیروزآبادی،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ابو منصور، محمد بن احمد ازهری، معجم 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xml:space="preserve">؛ احمد بن محمد فیومی المصباح المنير،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ابن منظور افریقی،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1038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فخرالدین طریحی،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ثانى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المطبوع مع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بحرانی،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کرکی،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حياة المحقق الكركي، حاشية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المبسوط في فقه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حسن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يوسف بن مطهر، علامه حلّى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حاشية الإرشاد في ضمن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باقر سبزواری، ذخيرة المعاد،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طباطبائی، 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عَنْ أَبِي إِبْرَاهِيمَ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فِي حَدِيثٍ ﴿وَ اجْعَلُوا مَطَاهِرَكُمْ عَلَى أَبْوَاب مَسَاجِدِكُم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أبواب المساجد،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الأشعث، الجعفريات، </w:t>
      </w:r>
      <w:r>
        <w:rPr>
          <w:rFonts w:eastAsia="IRNazanin" w:cs="IRNazanin"/>
          <w:b w:val="false"/>
          <w:bCs w:val="false"/>
          <w:i w:val="false"/>
          <w:iCs w:val="false"/>
          <w:color w:val="333333"/>
          <w:sz w:val="20"/>
          <w:szCs w:val="20"/>
        </w:rPr>
        <w:t>303/88</w:t>
      </w:r>
      <w:r>
        <w:rPr>
          <w:rFonts w:ascii="IRNazanin" w:hAnsi="IRNazanin" w:eastAsia="IRNazanin"/>
          <w:b w:val="false"/>
          <w:b w:val="false"/>
          <w:bCs w:val="false"/>
          <w:i w:val="false"/>
          <w:i w:val="false"/>
          <w:iCs w:val="false"/>
          <w:color w:val="333333"/>
          <w:sz w:val="20"/>
          <w:sz w:val="20"/>
          <w:szCs w:val="20"/>
          <w:rtl w:val="true"/>
        </w:rPr>
        <w:t xml:space="preserve">؛ میرزا حسین،نوری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أبواب أحكام المساجد،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الأنوار المكتبة الإسلامية،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بن محمد تمیمی،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حياة المحقق الكركى وآثاره، حاشية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غاية المراد وحاشية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نظام الدين وجماعة 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محمد بن عبدالرحمن مغربي، الحطّاب الرعيني، مواهب الجلیل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محمد بن عبدربه المدخل لابن الحاج،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الحصفكى، الدر المختار، </w:t>
      </w:r>
      <w:r>
        <w:rPr>
          <w:rFonts w:eastAsia="IRNazanin" w:cs="IRNazanin"/>
          <w:b w:val="false"/>
          <w:bCs w:val="false"/>
          <w:i w:val="false"/>
          <w:iCs w:val="false"/>
          <w:color w:val="333333"/>
          <w:sz w:val="20"/>
          <w:szCs w:val="20"/>
        </w:rPr>
        <w:t>89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الحجاج يوسف المزّى تحفة الأشراف،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ابن عابدين حاشية ردّ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عبدالرحمن مغربی، الحطاب الرعيني مواهب الجليل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عبدالله بن نجم بن شاس، عقد الجواهر الثمينة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قزوینی،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سليمان بن احمد طبرانی،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عبدالرزاق بن همام الصنعانی،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علی بن ابی بكر هيثمي، مجمع الزوائد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كرامة المساجد بيهقي، السنن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بن شرف نووی المجموع شرح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قدامه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عبدالله بن محمد بن أبي شيبه،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بن قدامة،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مطهر علامه حلّی،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شهید،اول ذکرى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ملاباقر سبزواری،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حمزة بن على زهرة حلبي، غنية النزوع،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بِإِسْنَادِهِ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الْحَسَن علیه السلام مَا حَدُّ الْغَائِطِ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تَسْتَقْبل الْقِبْلَةَ وَلَا تَسْتَدْبُرْهَا وَ لَا تَسْتَقبل الرِّيحَ وَ لَا تَسْتَدبرهَا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بن الحسن الطوسی،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أحكام الخلوة،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نَهَى رَسُولُ اللهِ صلی الله علیه و آله عَن اسْتِقْبَالِ الْقِبْلَة ببول أوْ 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الحسين صدوق،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أحكام الخلوة،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محى الدين بن شرف نووی المجموع شرح 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عبدالله بن احمد قدامة،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مالک بن انس المدوّنة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محمود بن أحمد الغيني،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محمد بن احمد بن رشد القرطبي المقدمات و الممهدات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احمد الدردير الشرح الصغير احمد صاوى، بلغة السالک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جلس أحدكم على حاجته، فلا يستقبل القبلة و لا يستدبرها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بن الحجاج نیشابوری،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جوهرى،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محمد بن يعقوب فيروزآبادي، القاموس المحیط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منظور،افریقی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فیروزآبادی،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جوهری،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فیومی،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افریقی،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طریحی،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بن مطهر، علامه حلّى،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عبدالله بن احمد بن قدامه، المغنی،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الدين بن شرف نووی، 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محمد بن عبدالله زركشي، إعلام الساجد بأحكام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خوئى، موسوعة الإمام الخوئي، التنقيح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تقرير بحث الشيخ حسين 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بحوث في شرح العروة الوثقى للسيد الصدر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الموسوعة الخوئي، التنقيح في شرح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الخوئي، التنقيح في شرح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بحوث في شرح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تذکرة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بن محمد رافعی قزوینی، العزيز شرح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حجر عسقلانی،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الحسين البيهقي،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5344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الدين بن شرف نووى، 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للمرداوی،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الدسوقي للدرديو،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للنووی،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تيمية،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علی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 البيت من الارض السابعة السفلى الى الأرض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الحسين، شیخ صدوق،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النهاية لمجرد الفتوى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العروة الوثقى تعليقات عدة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كتاب الزكاة للشيخ المنتظری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كاشف الغطاء،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تعليقة السيد الخوئي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عدة من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تعليقة الامام الخميني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تعليقة كاشف الغطاء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ابن البراج،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حسن بن يوسف بن مطهر، علامه حلی رحمه الله، 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سید عبدالاعلی سبزواری، مهذب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رحمه الله، تذکره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على الموسوى العاملی 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المبسوط في فقه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حلى،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حكيم 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طباطبایی قمی مبانی منهاج الصالحین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عبدالاعلی سبزواری، مهذب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تعليقة امام خمینی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محمد بن الحسين عاملي الحبل المتین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مسالك الافهام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سال خورشید دو مرتبه هنگام ظهر در مکه معظمه یعنی وقتی خورشید به نصف النهار می رسد به طور عمودی بالای کعبه می تابد به طوری که در این هنگام خانه کعبه و یا شاخص از هیچ طرف سایه ندارد بار اول وقتی است که خورشید در درجة هشتم جوزا واقع شود و بار دوم وقتی است که در بیست و سوم سرطان قرار گیرد، و با تحقیقی که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انجام شد آن دو روز عبارت است از ششم خرداد و بیست و سوم تیرماه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 آملی دروس معرفة الوقت والقبلة،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من الباب الثالث ورقة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به نقل شیخ بهایی، الحبل المتين في القبلة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تحفة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الصلاة تقرير بحث الميرزا النائيني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الخوئي المستند في شرح العروة الوثقی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تحفة حاتمی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تحفة الاجلة في معرفة القبلة،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شناسی،</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دراسة الهيئة لمعرفة الوقت والقبلة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کریمی سید رضا قلمکاران، اوقات شرعی قبله یابی، استهلال،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 آملی، دروس معرفة الوقت والقبلة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بهاء الدین عاملی، تحفة حاتمی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حیدرقلی سردار کابلی، قبله شناسی یا قبله نمای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حسن، حسن زاده آملی معرفة الوقت والقبلة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فيومي،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حماد جوهری فارابی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محمد بن يعقوب فيروزآبادي،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الحسن،طبرسی،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علامه طباطبایی، المیزان فی تفسیر القرآن </w:t>
      </w:r>
      <w:r>
        <w:rPr>
          <w:rFonts w:eastAsia="IRNazanin" w:cs="IRNazanin"/>
          <w:b w:val="false"/>
          <w:bCs w:val="false"/>
          <w:i w:val="false"/>
          <w:iCs w:val="false"/>
          <w:color w:val="333333"/>
          <w:sz w:val="20"/>
          <w:szCs w:val="20"/>
        </w:rPr>
        <w:t>10:200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لاحكام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الطوسي، النهاية،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فى فقه الامامية،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محمد بن ادریس حلى السرائر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شهید،اول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عاملی،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سید ابوالقاسم خوئی،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طباطبايى يزدى،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محمد اسحاق فياض، تعاليق مبسوطة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سید محسن طباطبایی الحکیم،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محقق داماد كتاب الصلاة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جعفر، عن أخيه موسى بن جعفر، عن أبيه، عن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إذا أراد أن يصيب أهل الأرض بعذاب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الذين يتحابون بجلالي، ويعمرون مساجدى، ويستغفرون بالاسحار لانزلت عذابی محمد بن الحسن الحر العاملی،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ابواب احکام المساجد،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ذکرى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الكركي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كاظم طباطبایی یزدی،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ذکرى الشعية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الحسين الكركي، محقق ثانی،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سید محمد علی عاملی،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عبدالاعلی سبزواری، مهذب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علی بن احمد سمهودی،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بنى مسجده بالسميط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کذلک حتی قبض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عاملی،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احكام المساجد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موسوعة الامام الخوئي،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عبدالاعلی سبزواری، مهذب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الخوئى، موسوعة الامام الخوئى،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المبسوط فى فقه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حلى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حلی،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رحمه الله قواعد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كاظم يزدى،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الاصفهانی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الكركي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علی عاملی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على بن الحسين الكركي، محقق ثاني 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حاشية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عاملی،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سید محمدجواد عاملی، مفتاح الكرامة،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الكلام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الكركي، جامع المقاصد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ادريس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سید محمد عاملی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لاحكام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سلامة القليوبي، حاشيتا القليوبي وعمیره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عمر بن عبدالرحمن المذحجي العباب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یونس بهوتی، کشاف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بن ابراهيم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افریقی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المساجد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عمر ابن رسته الاعلاق النفيسة چاپ بریل،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مسعودی، مروج الذهب چاپ دار الهجره،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الطوسي، النهاية لمجرد الفتاوی،</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فى فقه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حلى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حلى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المطهر، علامه حلى قواعد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نهاية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عاملی شهید،اول البیان،</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الكركي،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الاصفهانی،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محمد باقر،سبزواری، كفاية الفق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المشتهر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عن النبي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من أشراط الساعة أن يتباهى الناس في المساجد احمد بن شعيب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جلال الدین سیوطى،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لتزخرفتها كما زخرفت اليهود والنصارى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سلیمان بن اشعث سجستانی،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 الخدري 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وإياك أن تحمّر أو تصفّر فتفتن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البخاری، بخاری، صحیح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للهروى،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الزاء مع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به نقل از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سبزواری، كفاية الفقه المشتهر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البراج قاضى طرابلسي،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حلى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ذکرى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زین الدین عاملی،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الالفيه والنفليه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الفيض الكاشانی،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علی عاملی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سبزواری، كفاية الفقه المشتهر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موسوعة الامام الخوئى المستند شرح العروة الوثقی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الخوئي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تعليقة الجواهرى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الماوردى الحاوى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شرف نووی، المجموع شرح المهذب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ابويحيى زكريا انصارى، أسنى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شرف نووی، روضة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ابن حجر مکی هیتمی، الفتاوى الكبرى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حاشية رد المختار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سرخسی، 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محمود بن احمد عيني، البناية في شرح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ابوبکر کاسانی، 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احمد بن محمود حنفى 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قدامه مقدسى الشرح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یونس بهوتی، کشاف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احمد حجاوی، الاقناع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خرشی، حاشية الخرشی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قرطبی، البيان والتحصيل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احمد بن ادریس قرافی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علیش، تقريرات بهامش حاشية الدسوقی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الميرزا حسین نوری،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المائدة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موسوعة الامام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الشيخ 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المبسوط في فقه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حسن بن یوسف بن مطهر علامه حلی رحمه الله، 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محمد بن ادریس حلى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جعفر بن الحسن، محقق حلی، شرائع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عاملی، شهید ثانی، روض الجنان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طباطبایی، 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رحمه الله،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عاملی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 بِتَعْظِيمِ الْمَسَاجِدِ ؛ لِأَنَّهَا بُيُوتُ اللَّهِ تَعَالَى فِى الْأَرْضِ،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المساجد،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التعليقات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عن آبائه أن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قَمَّ مَسْجِداً كَتَبَ اللَّهُ لَهُ عِتْقَ رَقَبَةٍ ، وَ مَنْ صَلِّ أَخْرَجَ مِنْهُ مَا يقذى عَيْناً كَتَبَ اللَّهُ عَزَّ وجلش لَهُ كِفْلَيْنِ مِنْ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العاملي،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المساجد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عبدالحميد، عن أبى ابراهيم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 اللَّهِ علیه وَ آلِهِ مَنْ كَنَسَ الْمَسْجِدَ يَوْمَ الْخَمِيسِ وَ لَيْلَةَ الْجُمُعَةِ فَاخْرُجْ مِنْهُ مِنَ التُّرَابِ مَا يُذَرُّ فِي الْعَيْنِ غَفَرَ اللَّهُ لَهُ محمد بن الحسن حر عاملى،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المساجد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الطوسي، النهاية فى مجرد الفتاوی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المبسوط في فقه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جعفر بن الحسن، محقق حلی،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بن مطهر، علامه حلی رحمه الله، تذکرة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محمد بن ادریس حلى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والفائدة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كشف الغطاء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ابواب احكام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 لَيْلَةً وَاحِدَةً سِرَاجاً فِي الْمَسْجِدِ، غَفَرَ اللَّهُ لَهُ ذُنوَبِ سَبْعِينَ سَنَةً، وَ كَتَبَ لَهُ عِبَادَةَ سَنَةٍ، وَلَهٍ عِنْدَ اللَّهِ مَدِينَةُ وَانٍ زَادَ عَلَى لَيْلَةٍ وَاحِدَةٍ فَلَهُ بِكُلِّ لَيْلَةٍ يَزِيدُ ثَوَابُ نَبِىٍّ فاذا تَمَّ عَشْرُ لَيْلًا لَا يَصِفِ الْوَاصِفُونَ مَا لَهُ عِنْدَ اللَّهِ مِنَ الثَّوَابِ فاذا تَمَّ الشَّهْرُ حَرَّمَ اللَّهُ جَسَدَهُ عَلَى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مساجدكم مجانينكم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وأجمروها في كل سبعة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الاشعث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فضل الله الراوندی،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قاضی ابو حنیفه،النعمان 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مساجدكم مجانينكم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 جمعكم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صنعانی،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متقی الهندی،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أسرى بي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السادس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يبقى طرياً نفراً لا يبلى فليكس المساجد بالبسط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جبرئيل، الفضائل،</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محیی الدین نووی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سيوطي، الاشباه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غزالی، احیاء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الزركشي، اعلام الساجد باحكام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الدين بن شرف نووی المجموع شرح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زرکشی، اعلام الساجد باحكام المساجد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سیوطى الاشباه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سعود کاسانی،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ابراهيم، ابن نجيم، 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محمد امین ابن عابدين، حاشية رد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ابوبكر مرغيناني، الهداية شرح البداية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احمد عينى البدايه شرح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قزوینی،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سليمان بن اشعث سجستانی، سنن 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محمد بن عیسی بن سوره، سنن الترمذی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احمد بن الحسین بیهقی،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ابراهيم، ابن نجيم، البحر الرائق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الاشباه والنظائر،</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محمدامين بن عابدين، حاشية رد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سیوطی رهیبانی، مطالب أولى النهي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یونس بهوتی، کشاف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یونس بهوتی، کشاف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سیوطی رهیبانی، مطالب اولى النهى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محمد بن احمد بن قدامة المقدسي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بکر هیثمی، 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المتقى الهندى،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29455</w:t>
      </w:r>
      <w:r>
        <w:rPr>
          <w:rFonts w:ascii="IRNazanin" w:hAnsi="IRNazanin" w:eastAsia="IRNazanin"/>
          <w:b w:val="false"/>
          <w:b w:val="false"/>
          <w:bCs w:val="false"/>
          <w:i w:val="false"/>
          <w:i w:val="false"/>
          <w:iCs w:val="false"/>
          <w:color w:val="333333"/>
          <w:sz w:val="20"/>
          <w:sz w:val="20"/>
          <w:szCs w:val="20"/>
          <w:rtl w:val="true"/>
        </w:rPr>
        <w:t xml:space="preserve">، محمد بن یزدی قزوینی،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الاقتصار في الحرمة على ما ثبت كونه جزء أو فرشا و لو بالظهور المعتد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شرعا أما المحتمل کونه کذلک و قمامة فلا حرمة بإخراجه، و لا يجب إرجاعه للأصل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فى الجماعة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إرشاد الاذهان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ص </w:t>
      </w:r>
      <w:r>
        <w:rPr>
          <w:rFonts w:eastAsia="IRNazanin" w:cs="IRNazanin"/>
          <w:b w:val="false"/>
          <w:bCs w:val="false"/>
          <w:i w:val="false"/>
          <w:iCs w:val="false"/>
          <w:color w:val="333333"/>
          <w:sz w:val="20"/>
          <w:szCs w:val="20"/>
        </w:rPr>
        <w:t>40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النفلية في المساجد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في المسجد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المرعشى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المرعشى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الطوسى النهاية فى مجرد الفتاوى،</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المبسوط فى فقه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محقق حلى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مطهر علامه حلى نهاية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بن مطهر علامه حلى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تعاليق مبسوطة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بحرانی،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الحسين بن بابوبه القمی، شیخ صدوق،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الخوئي، موسوعة الامام الخوئي،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لو لم يحرم الإخراج لم يجب الرد كما هو مقتضى الأمر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بحرانی،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در ذیل این روایت تسبیح سنگریزه را این گونه معنا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توجيه يمكن أن يكون تسبيحها كناية عن كونها من أجزاء المسجد فإن المسجد لكونه محلا لعبادة الله سبحانه يدل على عظمته و جلاله فهو بجميع أجزائه ينزه الله تعالى عما لا يليق به أو المعنى أنها تسبح أحيانا كما سبحت في كف النبي صأو تسبّح مطلقا بالمعنى الذي أريد في قوله سبحانه وَ إِنْ مِنْ شَيْءٍ إِلَّا يُسَبِّحُ بِحَمْدِهِ فوجه الاختصاص كونها سابقا فيها و الحاصل لا تقولوا إنها جماد و لا يضر إخراجها إذ لكل شيء تسبيح فلا ينبغى إخراجها و إخلاء المسجد عن تسبيحها وَ مَنْ أَظْلَمُ مِمَّنْ مَنَعَ مَساجِدَ اللهِ أنْ يُذكَرَ فِيهَا اسْمُهُ و يمكن أن يقرأ يسبح بالفتح أى ينزه عن النجاسات و سائر ما لا يليق بالمسجد فيك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 كناية أيضا عن الجزئية والمشهور بين الأصحاب حرمة إخراج الحصى من المساجد و قيده جماعة بما إذا كان تعد من أجزاء المسجد أو من الأبنية أما لو كانت قمامة كان إخراجها مستحبا و اختار المحقق في المعتبر و جماعة كراهة إخراج الحصى و كذا حكم الأكثر بوجوب الإعادة إلى ذلك المسجد و قال الشيخ لو ردها إلى غيرها من المساجد أجزاً كما دل عليه 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أَحْمَدَ بْن مُحَمَّدٍ عَنْ عَلِيِّ بْنِ الْحَكَم عَنْ دَاوُدَ بْنِ النُّعْمَانِ عَنْ أَبِي أَيُّوبَ الْخَرَّازِ عَنْ مُحَمَّدِ بْنِ مُسْلِمٍ قَالَ سَمِعْتُ أَبَا عَبْدِ اللَّهِ اللهِ يَقُولُ لَا يَنْبَغِي لِأَحَدٍ أَنْ يَأْخُذَ مِنْ تُرِبَةِ مَا حَوْلَ الْكَعْبَةِ وَ إِنْ أَخَذَ مِنْ ذَلِكَ شَيْئاً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أَحْمَدَ بْنِ مُحَمَّدِ بْنِ أَبِي نَصْرِ عَنِ الْمُفَضَّلِ بْنِ صَالِحٍ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سُكَا مِنْ سُكَ الْمَقَامِ وَ تُرَاباً مِن تُرَابِ الْبَيْتِ وَ حَصَيَاتٍ فَقَالَ بِئْسَ مَا صَنَعْتَ أمَّا التُّرَابُ وَ الْحَصَى فَرُدَّهُ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سبع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الخوئي، موسوعة الامام الخوئي، المستند في شرح العروة الوثقى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 لإخراج شيء من الوقف عن كونه وقفا، و كأنه تخريب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في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المساجد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نهاية الإحكام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المصلّى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يتعلّق بالمساجد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البيان في أحكام المساجد ص</w:t>
      </w:r>
      <w:r>
        <w:rPr>
          <w:rFonts w:eastAsia="IRNazanin" w:cs="IRNazanin"/>
          <w:b w:val="false"/>
          <w:bCs w:val="false"/>
          <w:i w:val="false"/>
          <w:iCs w:val="false"/>
          <w:color w:val="333333"/>
          <w:sz w:val="20"/>
          <w:szCs w:val="20"/>
        </w:rPr>
        <w:t>68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لابن فهد في مكان المصلّى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في مكان المصلّى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المصلّى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فى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المساجد و احكامها في الشريعة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مسالک الأفهام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المرعشى برقم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القول بوجوبه إذا كان جزءاً من المسجد أو آلاته والظاهر أنه مراد المحقق حيث حرمه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في مسائل الحلال والحرام؛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اردبیلی،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حلّی،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صلاه الجماعه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محمدباقر سبزواری،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علی عاملی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محمدكاظم يزدى، العروة الوثقى مع تعليقات عدة من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 أَحَدَكُمْ إِذَا دَخَلَ عَلَيْهِ غَمْ مِنْ غُمُومِ الدُّنْيَا أَنْ يَتَوَضَّأَ ثُمَّ يَدْخُلَ مَسْجِدَهُ فَيَرْكَعَ رَكْعَتَيْن فَيَدْعُوَ اللَّهَ فِيهَا أَمَا سَمِعْتَ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﴿وَاسْتَعِينُوا بالصبر والصَّلاة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محمد بن الحسن، شیخ حر عاملی،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أبواب بقية الصلوات المندوبة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أحَدَكُمْ إِذَا مَرِضَ دَعَا الطَّبِيبَ وَ أعْطَاهُ وَ إِذَا كَانَتْ لَهُ حَاجَةٌ إِلَى سُلْطَانِ رَشَا الْبَوَّابَ وَ أَعْطَاهُ وَ لَوْ أَنَّ أَحَدَكُمْ إِذَا فَدَحَهُ أَمْرٌ فَزِعَ إِلَى اللَّهِ تَعَالَى وَ تَطَهَّرَ وَ تَصَدَّقَ بصَدَقَةٍ قَلَتْ أَوْ كَثُرَتْ ثُمَّ دَخَلَ الْمَسْجِدَ فَصَلَّى رَكْعَتَيْنِ فَحَمِدَ اللَّهَ وَ أثْنَى عَلَيْهِ وَصَلَّى عَلَى النَّبِيِّ وَ أهْلِ بَيْتِهِ ثُمَّ قَالَ اللَّهُمَّ إِنْ عَافَيْتَنِي مِنْ مَرَضِي أَوْ رَدَدْتَنِي مِنْ سَفَرِى أَوْ عَافَيْتَنِي مِمَّا أَخَافُ مِنْ كَذَا وَ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بقية الصلوات المندوبة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علامه حلّی،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طباطبائی،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 عن أبي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رسول الله صلی الله علیه و آله باحراق قوم في منازلهم كانوا يصلون في منازلهم، ولا يصلّون الجماعة، فأتاه رجل أعمى،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ضرير البصر، وربّما أسمع النداء ولا أجد من يقودنى الى الجماعة، والصلاة معك؟ فقال له النبي صلی الله علیه و اله شد من منزلك إلى المسجد حبلاً، واحضُر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أناسا كانوا على عهد رسول الله أبطأ واعن الصلاة في المسجد، فقال رسول الله صل لیوسک قوم يَدَعُونَ الصلاة في المسجد أن نأمر بحطب فيوضع على أبوابهم فتوقد عليهم نار، فتحرق عليهم بيوتهم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الفضل بن عبدالملک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فضل، لا يرجع صاحب المسجد بأقل من إحدى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دعاء يدعو به يُدخِلُهُ الله به الجنة، وإما دعاء يدعو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فيصرف الله به عنه بلاء الدنيا، وإما أخ يستعيده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عاملی،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زريق،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علیه السلام بَلَغَهُ أن قوما لا يحضرون الصلاة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حضرو الجماعة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مع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بيوت أذن الله أن ترفع ويُذكر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خضر بن شلال، أبواب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مصابیح الجنان، از مدينة العلم صدوق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يزدى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الجلسة في الجامع خير لى من الجلسة في الجنّة، لأن الجنة فيها رضى نفسي، والجامع فيه رضى 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المساجد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القرآن،حديثه، والمسجد بيته بنى الله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احكام المساجد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الله تبارك وتعالى ليريدُ عذاب أهل الأرض جميعا حتی لا یحاشی منهم أحدا، فإذا نظر إلى الشيب ناقلى أقدامهم إلى الصلوات، والولدان يتعلمون القرآن رَحِمَهُمُ الله فأخر ذلك عنهم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احكام المساجد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محمدباقر مجلسی، بحارالانوار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حسن،طبرسی،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40:22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المساجد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سَمِعْتُمُوهُ يُنشِدُ الشِّعْرَ فِي الْمَسَاجِدِ فَقُولُوا فَضَ اللَّهُ فَاكَ إِنَّمَا نُصِبَتِ الْمَسَاجِدُ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حر عاملی، وسائل الشيعة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المساجد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المغازی، تحقیق دکتر مارسدن جونس،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محمود مهدوی دامغانی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ط دار صادر،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قشیری نیشابوری،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الْقُرْآنَ فَلْيُحِبَّ الْمَسَاجِدَ، فَإِنَّهَا أَفْنِيَةُ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المساجد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سأله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العمل أفضل؟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فأعادها عليه 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جلس قوم في بيت من بيوت الله، يدرسون كتاب الله، الا كانوا أضياف الله تعالى، وأظلّت عليهم الملائكة بأجنحتها، ماداموا فيه، حتى ويتعاطونه بينهم، يخوضوا في حديث غيره همان،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أن الله تبارک و تعالى ليريد عذاب اهل الارض جميعاً حتى لا يحاشي منهم أحداً، فاذا نظر إلى الشيب ناقلي أقدامهم الى الصلوات والولدان يتعلمون القرآن رحمهم الله فأخر ذلك عنهم محمد بن علی بن الحسین شیخ صدوق،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العاملى وسائل الشية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احكام المساجد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قوم في بيت من بيوت الله تعالى يتلون كتاب الله ويتدراسونه بينهم الا نزلت عليهم السكينة، وغشبتهم،الحرمة، وحفتهم الملائكة وذكرهم الله فيمن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نیشابوری،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اشعث سجستانی 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قزوینی،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علينا رسول الله صلی الله علیه و آله ونحن في الصفة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يحب أن يغدو إلى بطحان أو العفيف، فيأخذ ناقتين كو ماوين زهراوين بغير اثم الله ولا قطع رحم؟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 يغدو احدكم كل يوم الى المسجد فيتعلّم آيتين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كتاب الله 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ناقتين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اشعث سجستانی، سنن ابی داوود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عَكَفَهُ أى حبسه و وقفه يَعْكُفُهُ و يَعْكِفُهُ عَكْفاً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الْهَدْيَ مَعْكُوفاً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عَكَفَكَ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الاعْتِكَافُ في المسجد، وهو الاحتباس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المنير في غريب الشرح الكبير للرافعی؛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 يَعْكِفُ ويَعْكُفُ عكفا و عُكُوفا و هو إقبالك على الشيء لا تصرف عنه 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مقائیس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شمس العلوم و دواء كلام العرب من الکلوم؛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على الشيء و ملازمته على سبيل التعظيم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على اكبر، لغت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و الكاف و الفاء أصل صحيح يدلُّ على مقامة و 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الاعتكاف لغة هو الاحتباس، و منه اللبث الطويل الذى هو أحد أفراد لزوم الشيء و حبس النفس عليه برا كان أو غيره،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هذِهِ التَّماثيلُ الَّتِي أَنْتُمْ لَها عاكِفُونَ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لازمون لها و حابسون أنفسكم عليها، نحو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يَعْكُفُونَ عَلى أصْنامِ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الاعتكاف،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عَكَفَ في المسجد لكان صوابا، و لكن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الاعتكاف هو اللبث المتطاول للعبادة و لا يصح إلا من مكلف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اللبث في مسجد جامع ثلاثة أيام فصاعدا صائما للعبادة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الشرعية في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الإمامية،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شرعا على وجه النقل او المجاز الشرعى هو اللبث المتطاول للعباده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الاعتكاف، ص </w:t>
      </w:r>
      <w:r>
        <w:rPr>
          <w:rFonts w:eastAsia="IRNazanin" w:cs="IRNazanin"/>
          <w:b w:val="false"/>
          <w:bCs w:val="false"/>
          <w:i w:val="false"/>
          <w:iCs w:val="false"/>
          <w:color w:val="333333"/>
          <w:sz w:val="20"/>
          <w:szCs w:val="20"/>
        </w:rPr>
        <w:t>159</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اللبث في المسجد بقصد التعبد به و لا يعتبر فيه ضم قصد عبادة أخرى خارجة عنه و إن كان هو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الاعتكاف في المسجد من شخص مخصوص 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الإقناعفي حل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اظ أبي شجاع،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الشرقاوى على تحفة الطلّاب،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اللبث في المسجد الذي تقام فيه الجماعة مع الصوم و نيّة الاعتكاف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مسلم مميّز مسجدا مباحا لكل الناس بصوم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كافاً عن الجماع و مقدماته يوما و ليلة فتكثر للعبادة 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به الشرح الصغير للدردير،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المسجد لطاعة الله على صفة مخصوصة من مسلم عاقل و لو مميزاً طاهر مما يوجب غسلاً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125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محمد علی، بایسته های اعتکاف،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أن سليمان كان يعتكف في مسجد بيت المقدس السنة و السنتين و الشهر و الشهرين و أقل و أكثر يدخل فيه طعامه و شرابه و يتعبد فيه فلما كان في المرة التي مات فيها لم يكن يصبح يوما إلا و تنبت شجرة كان يسألها سليمان فتخبره عن اسمها و نفعها و 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فِي الْكِتَابِ مَرْيَمَ إِذِ انْتَبَذَتْ مِنْ أَهْلِهَا مَكَانَاً شَرْقِيّاً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فَاتَّخَذَتْ مِنْ دُونِهِمْ حِجَابَاً فَأَرْسَلْنَا إِلَيْهَا رُوحَنَا فَتَمَثَّلَ لَهَا بَشَراً سَويّاً 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فاتخذت من دونهم حجابا فأرسلنا إليها روحنا فتمثل لها بشرا سويا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ما يحجب الشيء و يستره عن غيره، و كأنها اتخذت الحجاب من دون أهلها لتنقطع عنهم و تعتكف 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حیات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پیرامون 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بَدْرٌ فِي شَهْرِ رَمَضَانَ فَلَمْ يَعْتَكِفْ رَسُولُ اللَّهِ صلی الله علیه و آله فَلَمَّا أَنْ كَانَ مِنْ قَابلَ اعْتَكَفَ عَشْرَيْنِ عَشْراً لِعَامِهِ وَ عَشْراً قَضَاءً لِمَا 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أَحْمَدَ بْنِ مُحَمَّدٍ عَنْ دَاوُدَ بْنِ الْحُصَيْنِ عَنْ أَبِي الْعَبَّاسِ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اعْتَكَفَ رَسُولُ اللهِ صلى الله عليه و آله و سلم فِي شَهْرٍ رَمَضَانَ فِي الْعَشْرِ الْأُوَلِ ثُمَّ اعْتَكَفَ فِي الثَّانِيَةِ فِي الْعَشْرِ الْوُسْطَى ثُمَّ اعْتَكَفَ فِي الثَّالِثَة فِى الْعَشْرِ الْأَوَاخِرِ ثُمَّ لَمْ يَزَلْ يَعْتَكِفُ فِي الْعَشر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يَعْتَكِفُ فِي الْعَشْرِ الْأَوَاخِر مِنْ شَهْرٍ رَمَضَانَ حَتَّى تَوَفَّاهُ اللَّه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8667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كِتَابُ الِاعْتِكَافِ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مَيْمُون بن مِهْرَانَ قَالَ كُنتُ جَالِساً عِندَ الْحَسَن بن عَلِيٍّ علیه السلام فَأَتَاهُ رَجُلٌ فَقَالَ لَهُ يَا ابْنَ رَسُول اللَّهِ إِنَّ فُلاناً لَهُ عَلَى مَالٌ وَ يُرِيدُ أَنْ يَحْبْسَنِي فَقَالَ وَاللَّهِ مَا عِنْدِى مَالٌ فَأَقْضِيَ عَنْكَ قَالَ فَكَلَّمْهُ قَالَ فَلَبس علیه السلام نَعْلَهُ فَقُلْتُ لَهُ يَا ابْنَ رَسُول اللَّهِ أَنَسِيتَ اعْتِكَافَكَ؟ فَقَالَ لَهُ لَمْ أَنسَ وَلَكِنِّي سَمِعْتُ أَبِي علیه السلام يُحَدِّثُ عَنْ جَدِّى رَسُولِ اللَّهِ صلى الله عليه وسلم أَنَّهُ قَالَ مَنْ سَعَى فِي حَاجَةِ أَخِيهِ الْمُسْلِمِ فَكَأَنَّمَا عَبَدَ اللَّهَ عَزَّ وَجَلَّ تِسْعَةَ آلَافِ سَنَة صَائِماً نَهَارَهُ قَائِماً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فالإجماع من المسلمين بقسميه على مشروعيته على وجه الندب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المبدع،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دَاوُدَ بْنِ الْحُصَيْنِ عَنْ أَبِي الْعَبَّاس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اعْتَكَفَ رَسُولُ الله صلی الله علیه و آله فِي شَهْرِ رَمَضَانَ فِي الْعَشْرِ الْأُولَى ثُمَّ اعْتَكَفَ فِي الثَّانِيَةِ فِى الْعَشْرِ الْوُسْطَى ثُمَّ اعْتَكَفَ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الثَّالِيَّة فِى الْعَشْرِ الْأَوَاخِرِ ثُمَّ لَمْ يَزَلْ صِيَعْتَكِفُ فِى الْعَشْرِ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أجمع علماء الأمصار على اشتراط المسجد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اختلف العلماء بعد ذلك في أنه هل يشترط مسجد معين أم لا؟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العلماء كافة على أن الاعتكاف لا يقع إلا فى مسجد، و إنما اختلفوا في تعيينه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الأحكام في شرح عبادات شرائع الإسلام،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يصح الاعتكاف إلا في مسجد إجماعا بقسميه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الاعتكاف عند آل رسول الله صلی الله علیه و آله لا يكون إلا فى المساجد، و أفضله المسجد الحرام و مسجد الرسول صلی الله علیه و آله و مسجد الكوفة، وسائر الأمصار مساجد 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ابن أبي عقيل و فقهه؛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منتهى المطلب في تحقيق المذهب،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أَنَّهُ لَا يَكُونُ الِاعْتِكَافُ إِلَّا بِصَوْمٍ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لِلْمُعْتَكِفِ أَنْ يَخْرُجَ مِنَ الْمَسْجِدِ إِلَّا لِحَاجَةٍ لَا بُدَّ مِنْهَا ثُمَّ لَا يَجْلِسُ حَتَّى يَرْجِعَ وَلَا يَخْرُجُ فِي شَيْءٍ إِنَّا لِجَنَازَةٍ أَوْ يَعُودُ مَرِيضًا وَ لَا يَجْلِسُ حَتَّى يَرْجِعَ قَالَ وَ اعْتِكَافُ الْمَرْأَةِ مِثْلُ ذَلِكَ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أَحْمَدَ بْن مُحَمَّدٍ عَنْ دَاوُدَ بْن سِرْحَانَ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بِالْمَدِينَة فِي شَهْرٍ رَمَضَانَ فَقُلْتُ لِأَبِي عَبْدِ اللَّهِ اللهِ إِنِّى أُريدُ أنْ أعْتَكِفَ فَمَا ذَا أَقُولُ وَ مَا ذَا أَفْرِضُ عَلَى نَفْسِي فَقَالَ لَا تَخْرُجْ مِنَ الْمَسْجِدِ إِلَّا لِحَاجَة لَا بُدَّ مِنْهَا وَ لَا تَقْعُدْ تَحْتَ ظِلَال حَتَّى تَعُودَ إِلَى مَجْلِسِكَ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في الشريعة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فى انفرادات الإمامية،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المواضع التي يجوز فيها الاعتكاف كل مسجد جمع الإمام العادل فيه بالناس صلاة جمعة يوم الجمعة و هى أربعة مساجد المسجد الحرام و مسجد المدينة و مسجد الكوفة و مسجد البصرة و قد روى في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المدائن و المعول على المساجد التي ذكرناه ولا يجوز الاعتكاف فيما عدا هذه المساجد التي قدمنا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مجرد الفقه و الفتاوی،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علمى الأصول و الفروع،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الحاوى لتحرير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والحرام،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فى أحد المساجد الأربعة المسجد الحرام و مسجد النبي صلی الله علیه و آله و مسجد الكوفة و مسجد البصرة، و في غيرها محل إشكال فلا يترك الاحتياط في سائر المساجد الجامعة بإتيانه رجاء و لاحتمال المطلوبية، و أما غير الجامع كمسجد القبيلة أو السوق فلا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أنه لا يكون إلا في مسجد جمع فيه نبى أو وصى 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المساجد التي جمع فيها نبي أو وصى نبى فجاز لذلك الاعتكاف فيها أربعة مساجد المسجد الحرام جمع فيه رسول الله صلی الله علیه و آله و مسجد المدينة جمع فيه رسول الله صلی الله علیه و آله أيضا و أمير المؤمنين علیه السلام و مسجد الكوفة فيه أمير المؤمنين علیه السلام و مسجد البصرة و مسجد البصرة جمع فيه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بالجمع فيما ذكرناه هاهنا صلاة الجمعة بالناس جماعة دون غيرها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زِيَادٍ عَنِ الْحَسَنِ بْن مَحْبُوب 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مَا تَقُولُ فِي الِاعْتِكَافُ بِبَغْدَادَ فِي بَعْض مَسَاجِدِهَا فَقَالَ لَا اعْتِكَافَ إِلَّا فِي مَسْجِدِ جَمَاعَةٍ قَدْ صَلَّى فِيهِ إِمَامٌ عَدْلٌ صَلَاةَ جَمَاعَة وَ لَا بَأسَ أَنْ يُعْتَكَفَ فِي مَسْجِدِ الْكُوفَة وَالْبَصْرَة وَ مَسْجِدِ الْمَدِينَة وَمَسْجِدِ مَكَّةَ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فى الشريعة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 الشيعة في أحكام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العلة في ذلك أنه لا يعتكف إلا في مسجد جمع فيه امام عدل، و قد جمع النبي صلی الله علیه و آله بمكة، و جمع أمير المؤمنين علیه السلام فى هذه الثلاثة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فى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 الْحَسَنَ علیه السلام صَلَّى فِي مَسْجِدِ الْمَدَائِنِ عوالى اللئالى العزيزية؛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إيضاح الفوائد في شرح مشكلات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المراد في شرح نكت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صوم الاعتكاف في المسجد الحرام و مسجد النبي صلی الله علیه و آله و مسجد الكوفة و مسجد المدائن و لا يجوز الاعتكاف في غير هؤلاء المساجد الأربعة والعلة في ذلك أنه لا يعتكف إلا في مسجد جمع فيه إمام عدل و جمع رسول الله صلی الله علیه و آله بمكة والمدينة و أمير المؤمنين علیه السلام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 الثلاثة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الرضاء علیه السلام،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زِيَادٍ عَنِ الْحَسَنِ بْن مَحْبُوب 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اللهِ مَا تَقُولُ فِي الِاعْتِكَافُ ببَغْدَادَ فِي بَعْض مَسَاجِدِهَا فَقَالَ لَا اعْتِكَافَ إِلَّا فِي مَسْجِدِ جَمَاعَةٍ قَدْ صَلَّى فِيهِ إِمَامٌ عَدْلٌ صَلَاةَ جَمَاعَةِ وَ لَا بَأْسَ أَنْ يُعْتَكَفَ فِي مَسْجِدِ الْكُوفَةِ وَالْبَصْرَةِ وَ مَسْجِدِ الْمَدِينَةِ وَ مَسْجِدِ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أنه لا يجوز الاعتكاف إلا في خمسة مساجد في المسجد الحرام، و مسجد الرسول صلی الله علیه و آله، و مسجد الكوفة، و مسجد المدائن و مسجد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في ذلك أنه لا يعتكف إلا في مسجد جامع جمع فيه إمام عدل، و قد جمع النبي صلی الله علیه و آله بمكة والمدينة و أمير المؤمنين علیه السلام في هذه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فى شرح إرشاد الأذهان،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فى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و تکمیل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في المسجد الجامع فلا يكفي في غير المسجد و لا في مسجد القبيلة و السوق و لو تعدد الجامع تخيّر بينها و لكن الأحوط مع الإمكان كونه في أحد المساجد الأربعة مسجد الحرام و مسجد النبي صلی الله علیه و آله و مسجد الكوفة و مسجد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يكون في أحد المساجد الأربعة مسجد الحرام و مسجد المدينة، و مسجد الكوفة، و مسجد البصرة، أو فى مسجد تنعقد به الجماعة الصحيحة و الأحوط استحبابا كونه مسجد البلد، بل الأحوط استحبابا الاقتصار على الأربعة مع الإمكان منهاج الصالحين المحشى للحكيم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يكون في أحد المساجد الأربعة مسجد الحرام و مسجد المدينة، و مسجد الكوفة، و مسجد البصرة، أو في المسجد الجامع في البلد، و الأحوط 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 على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اسْتِرَاطِ كَوْنِ الِاعْتِكَافِ فِي الْمَسْجِدِ الْحَرَامِ أَوْ مَسْجِدِ النَّبِيِّ أَوْ مَسْجِدِ الْكُوفَةِ أَوْ مَسْجِدِ الْبَصْرَة أَوْ فِي مَسْجِدِ جَامِعِ رَجُلًا كَانَ الْمُعْتَكِفُ أو امْرَأَةً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اعْتِكَافَ إِلَّا بِصَوْمِ فِي مَسْجِدِ الْجَامِع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صَبِيحٍ عَنْ عَلِيِّ بْنِ غُرَابِ عَنْ أَبِي عَبْدِ اللَّهِ علیه السلام عَن أبيهِ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الْمُعْتَكِفُ يَعْتَكِفُ فِي الْمَسْجِدِ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 عَنْ سَهْلِ بْن زِيَادٍ عَنْ أَحْمَدَ بْن مُحَمَّدٍ عَنْ دَاوُدَ بْن سِرْحَانَ عَنْ أَبِي عَبْدِ اللَّهِ علیه السلام فی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كَانَ يَقُولُ لَا أَرَى الِاعْتِكَافَ إِلَّا فِي الْمَسْجِدِ الْحَرَامِ وَ مَسْجِدِ الرَّسُولِ صلی الله علیه و آله أَوْ مَسْجِدِ صلی لله علیه و آله جَامِعِ وَ لَا يَنْبَغِي لِلْمُعْتَكِفِ أَنْ يَخْرُجَ مِنَ الْمَسْجِدِ إِلَّا لِحَاجَةِ لَا بُدَّ مِنْهَا ثُمَّ لَا يَجْلِسُ حَتَّى يَرْجِعَ وَ الْمَرْأَةُ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عَلِيِّ بْنِ الْحَسَن عَنْ عَبْدِ الرَّحْمَنِ بْن أبي نَجْرَانَ عَنْ عَبْدِ اللَّهِ بْن سِنَانِ عَنْ أَبي عَبْدِ اللَّهِ علیه السلام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الْعُكُوفُ فِي غَيْرِهَا يَعْنِي غَيْرَ مَكَّةَ إِلَّا أَنْ يَكُونَ فِي مَسْجِدِ رَسُولِ اللَّهِ صلی الله علیه و آله أَوْ فِي مَسْجِدٍ مِنْ مَسَاجِدِ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ابْنِ أَبِي عُمَيْرٍ عَنْ حَمَّادٍ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الِاعْتِكَافِ قَالَ لَا يَصْلُحُ الِاعْتِكَافُ إِلَّا فِي الْمَسْجِدِ الْحَرَامِ أَوْ مَسْجِدِ الرَّسُول صلی الله علیه و آله أَوْ مَسْجِدِ الْكُوفَة أَوْ مَسْجِدِ جَمَاعَةِ وَ تَصُومُ مَا دُمْتَ مُعْتَكِفاً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اهل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تبیین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الإفادات،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التلقین،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الشرح الصغير للدردير،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أسنى المطالب،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على المذاهب الأربع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اعتكاف المرأة كاعتكاف الرجل سواء في اشتراط أحد المساجد التي عيناها و بالمساواة 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علماؤنا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كان فيستوى في ذلك الرجل و المرأة بلا خلاف أجده بيننا، بل يمكن تحصيل الإجماع عليه كما ادعاه في الحدائق، لأصالة الاشتراك و ظاهر بعض النصوص في وجه، من غير فرق بين المكان الذي أعدته للصلاة في بيتها و غيره عندنا، نعم خالف بعض العامة في ذلك فجوز لها الاعتكاف فى مسجد بيتها و لعله لذلك نبه المصنف على التسوية المزبورة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الْحَلَبِى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لِلْمُعْتَكِفِ أَنْ يَخْرُجَ مِنَ الْمَسْجِدِ إِلَّا لِحَاجَة لَا بُدَّ مِنْهَا ثُمَّ لَا يَجْلِسُ حَتَّى يَرْجِعَ وَ لَا يَخْرُجُ فِي شَيْءٍ إِلَّا لِجَنَازَةِ أَوْ يَعُودُ مَرِيضًا وَلَا يَجْلِسُ حَتَّى يَرْجِعَ قَالَ وَ اعْتِكَافُ الْمَرأَة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الاعتكاف من رجل و لا امرأة إلا في المسجد، و لكن في الرجال لا يصح إلا في مسجد تقام فيه الجماعة و للمرأة أن تعتكف فى كل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الكافى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زاد المستقنع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الْأَزْدِيٍّ عَنِ ابْنِ عَبَّاسِ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أَبْغَضَ الأُمُورِ إِلَى اللَّهِ الْبَدَعُ، وَإِنَّ مِنَ البدع الاِعْتِكَافَ فِي الْمَسَاجِدِ الَّتِي فِي الدُّورِ السنن الكبرى للبيهقی،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حاشية الصاوى على الشرح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إرشاد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المهذب للشيرازی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فتح العزيز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امش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الهداية للمرغینانی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مجمع الأنهر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تبیین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المسجد مورداً لاجتماع الناس و محلاً لتجمعهم، إما لإقامة الجمعة أو لغيرها، و هو معنى كون المسجد جامعاً في قبال مسجد السوق أو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الظاهر إرادة الجامع منه في مقابلة مسجد السوق و القبيلة ونحوهما من المساجد التي لم يجتمع فيها المعظم من أهل البلد و لا أعدت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إما ما تصلّى فيه الجماعة مطلقا، سواء كانت جمعة أو جماعة عامة البلد من غير تخصيص بقبيلة أو محلّة أو جماعة مطلقا و احتمال إرادته من مسجد جماعة بل ظهوره منه ظاهر و فسّر المسجد الجامع به أيضا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تصلّى فيه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إرادته من مسجد الجامع ظاهر، بل فسره به السنجري في المهذب و الفيومي في المصباح المنير و النووى في التحرير و الشهيد الثاني في الروضة، و فسّر مسجد الجماعة به نادر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يجمع أهل البلد، لا يختص بمحلة أو قبيله، بل صلّى فيه عامة أهل البلد الجماعة فيه بمقتضى البناء لا بمحض اتفاق مرة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المراد بالجامع أحد الأخيرين و بالجماعة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الجامع، و المراد به المسجد الأعظم الذي تصلّى فيه الجمعة في بلد المعتكف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في شرح المختصر النافع؛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بالجامع المسجد الذى يجمع فيه في البلد جمعة أو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تعدد في البلد جاز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يخرج نحو مسجد القبيلة فإنه لا يسمى جامعا و إن صلّى فيه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تكميل مشارق الشموس في شرح الدروس،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الاعتكاف في مسجد يجتمع فيه الناس و يعتبر مسجدا جامعا و رئيسيا في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من المعلوم أن يصح الاعتكاف في مسجد صغير جانبی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وفقا لمذهب أهل البيت علیهم السلام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ماله إمام و مؤذن، سواء أديت فيه الصلوات الخمس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و اصطلاحا؛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المساجد و احکامها،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تقام فيه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الجامع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لغة اصطلاحا ص </w:t>
      </w:r>
      <w:r>
        <w:rPr>
          <w:rFonts w:eastAsia="IRNazanin" w:cs="IRNazanin"/>
          <w:b w:val="false"/>
          <w:bCs w:val="false"/>
          <w:i w:val="false"/>
          <w:iCs w:val="false"/>
          <w:color w:val="333333"/>
          <w:sz w:val="20"/>
          <w:szCs w:val="20"/>
        </w:rPr>
        <w:t>167</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خوف مخالفة الإجماع بعد العماني لكان القول بكفاية مطلق المساجد، لو لم يصل فيها جماعة أصلا، في غاية المتانة و الجودة، لموافقته لإطلاق الآية و بعض الرواية، و أقربيته إلى الاعتبار، فان الاعتكاف عبادة مجعولة مستقلة برأسها و اختصاصها بالمساجد المذكورة يوجب عدم وصول أكثر المسلمين في غالب البلاد والأمصار الى ثواب هذه العبادة المرغب فيها الا بشد الرحال و تعب الرجال، مع أنهم عاليه لم ينبهوا على ذلك مع كونه موردا للحاجة إلى البيان، و ما يعم به 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للإشتهاردی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رک به محمد سعید،جواهری مکان اعتکاف و تعریف مسجد جامع، مؤسسه موضوع شناسی احکام فقهی،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استدامة اللبث في المسجد فلو خرج عمدا اختيارا لغير الأسباب المبيحة 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فرق بين العالم بالحكم و الجاهل به و أما لو خرج ناسيا أو مكرها فلا يبطل و كذا لو خرج لضرورة عقلا أو شرعا أو عادة كقضاء الحاجة من بول أو غائط أو للاغتسال من الجنابة أو الاستحاضة و نحو ذلك و لا يجب الاغتسال في المسجد و إن أمكن من دون تلويث و إن كان أحوط و المدار على صدق اللبث فلا ينافيه خروج بعض أجزاء بدنه من يده أو رأسه أو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الخروج من الموضع الذى اعتكف فيه الا لما لا بد منه و عليه اتفاق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للمعتكف الخروج من المسجد الذي اعتكف فيه حالة اعتكافه إلا لضرورة بإجماع العلماء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 السادس استدامة اللبث بنفسه قائما أو جالسا أو مضطجعا أو راكبا مستقرا أو مضطربا في المسجد بلا خلاف أجده فيه، بل الإجماع بقسميه عليه، بل في المدارک و غيرها نسبته إلى العلماء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عَلِيِّ بْنِ الْحَسَنِ عَنْ عَبْدِ الرَّحْمَنِ بْنِ أَبِي نَجْرَانَ عَنْ عَبْدِ اللَّهِ بْنِ سِنَانِ عَنْ أَبِي عَبْدِ اللَّهِ علیه السلام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يَخْرُجُ الْمُعْتَكِفُ مِنَ الْمَسْجِدِ إِلَّا فِي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لِلْمُعْتَكِفِ أَنْ يَخْرُجَ مِنَ الْمَسْجِدِ إِلَّا لِحَاجَةِ لَا بُدَّ مِنْهَا ثُمَّ لَا يَجْلِسُ حَتَّى يَرْجِعَ وَلَا يَخْرُجُ فِي شَيْءٍ إِلَّا لِجَنَازَةِ أَوْ يَعُودُ مَرِيضًا وَ لَا يَجْلِسُ حَتَّى يَرْجِعَ قَالَ وَاعْتِكَافُ الْمَرأَة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أَحْمَدَ بْن مُحَمَّدٍ عَنِ الْحُسَيْنِ بْن سَعِيدٍ عَنْ فَضَالَةَ بْن أَيُّوبَ عَنْ عَبْدِ 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لِلْمُعْتَكِفِ أَنْ يَخْرُجَ مِنَ الْمَسْجِدِ إِنَّا إِلَى الْجُمُعَة أَوْ جَنَازَة أَوْ غَائِطِ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إِقَامَة الْمُعْتَكِفِ وَاجِباً فِي الْمَسْجِدِ رَجُلًا كَانَ أَوِ امْرَأَةَ فَلَا يَجُوزُ لَهُ الْخُرُوجُ إِنَّا لِحَاجَةِ لَا بُدَّ مِنْهَا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خرج أى المعتكف من المسجد ساهيا لم يبطل اعتكافه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للأصل و حديث رفع القلم، و انصراف ما دل على الشرطية إلى غيره و لو لاشتماله على النهى المتوجه إلى غيره، نعم ينبغى تقييد ذلك بما إذا لم يطل حتى انمحت الصورة كما اعترف به غير واحد، ضرورة رجوعه حينئذ إلى انتفاء الحقيقة الذي لا فرق فيه بين العمد و السهو و الاضطرار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استدامة اللبث في المسجد، فلو خرج عمدا و اختيارا لغير الأسباب المبيحة بطل و لو كان جاهلا بالحكم، نعم لو خرج ناسيا أو مكرها لا 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المغنی،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تبیین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تبیین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كشاف القناع،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حاشية الدسوقى على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فى الشريعة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 الفتاوی،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شرائع الإسلام في مسائل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الدروس الشرعية في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مسالک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الفائده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مَيْمُون بن مِهْرَانَ قَالَ كُنتُ جَالِساً عِندَ الْحَسَنِ بْن عَلِيٍّ علیه السلام فَأَتَاهُ رَجُلٌ فَقَالَ لَهُ يَا ابْن رَسُول اللَّهِ إِنَّ فُلاناً لَهُ عَلَى مَالٌ وَ يُرِيدُ أَنْ يَحْبْسَنِي فَقَالَ وَ اللَّهِ مَا عِنْدِي مَالٌ فَأَقْضِيَ عَنْكَ قَالَ فَكَلَّمْهُ قَالَ فَلَيس الله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يَا ابْنَ رَسُولِ اللَّهِ َأنَسِيتَ اعْتِكَافَكَ؟ فَقَالَ لَهُ لَمْ أَنْسَ وَلَكِنِّي سَمِعْتُ أَبِي علیه السلام يُحَدِّثُ عَنْ جَدِّى رَسُولِ اللَّهِ صلى الله عليه و آله و سلم أَنَّهُ قَالَ مَنْ سَعَى فِي حَاجَةِ أَخِيهِ الْمُسْلِمِ فَكَأَنَّمَا عَبَدَ اللَّهَ عَزَّ وَ جَلَّ تِسْعَةَ آلَافِ سَنَة صَائِماً نَهَارَهُ قَائِماً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الْبَرْنطِي عَنْ دَاوُدَ بْن سِرْحَانَ عَنْ أَبِي عَبْدِ اللَّهِ علیه السلام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لِلْمُعْتَكِفِ أَنْ يَخْرُجَ مِنَ الْمَسْجِدِ الْجَامِعِ إِلَّا لِحَاجَةِ لَا بُدَّ مِنْهَا ثُمَّ لَا يَجْلِسُ حَتَّى يَرْجِعَ وَالْمَرْأَةُ مِثْلُ ذَلِكَ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الْحَلَبِى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لِلْمُعْتَكِفِ أَنْ يَخْرُجَ مِنَ الْمَسْجِدِ إِلَّا لِحَاجَةٍ لَا بُدَّ مِنْهَا ثُمَّ لَا يَجْلِسُ حَتَّى يَرْجِعَ وَ لَا يَخْرُجُ فِي شَيْءٍ إِنَّا لِجَنَازَةِ أَوْ يَعُودُ مَرِيضًا وَ لَا يَجْلِسُ حَتَّى يَرْجِعَ قَالَ وَ اعْتِكَافُ الْمَرْأَةِ مِثْلُ ذَلِكَ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طرأت الجنابة، فإن كان مما يبطل الاعتكاف أو الصوم، بطل الاعتكاف قطعا، و إن طرأت بما لا يبطله، كالاحتلام و الجماع ناسيا وجب عليه أن يبادر إلى الغسل، لئلا يبطل اعتكافه، فإن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يمكنه الغسل، فهو مضطر إلى الخروج، و إن أمكنه عذر في الخروج أيضا، و لا يكلّف الغسل في المسجد، لأنّ الخروج أولى، لما فيه من صيانة حرمة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الجنابة الطارئة إذا لم تقتض بطلان الاعتكاف و بادر إلى الاغتسال احتسب زمانها من الاعتكاف كما في وقت الخروج لقضاء الحاجة، و إن أهمل بطل الاعتكاف من حين الإهمال، و قبله يحسب من زمان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مدارك الأحك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معنى غسل الجنابة غسل المرأة للاستحاضة و لو أمكن الغسل في المسجد على تتعدى إليه النجاسة فقد أطلق جماعة المنع من ذلك لما فيه من الاستهانة المنافية لاحترام المسجد، و يحتمل الجواز كما في الوضوء و الغسل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فى شرح شرائع الإسلام،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للمعتكف أن يخرج لعيادة المرضى و شهادة الجنائز عند علمائنا أجمع، سواء اشترط ذلك في اعتكافه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لِلْمُعْتَكِفِ أَنْ يَخْرُجَ مِنَ الْمَسْجِدِ إِلَّا لِحَاجَة لَا بُدَّ مِنْهَا ثُمَّ لَا يَجْلِسُ حَتَّى يَرْجِعَ وَلَا يَخْرُجُ فِي شَيْءٍ إِلَّا لِجَنَازَةِ أَوْ يَعُودُ مَرِيضاً وَلَا يَجْلِسَ حَتَّى يَرْجِعَ وَاعْتِكَافُ الْمَرْأَةِ مِثْلُ ذَلِكَ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يَأْبَ الشُّهَدَاءُ إِذَا مَا دُعُوا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ممن تتعين عليه إقامة الشهادة و خرج من المسجد ليقيمها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يبطل اعتكافه بذلك، لأن الأصل جوازه، و لا دليل يفضى الى العلم بالمنع منه فيقال به، و أيضا قوله سبحانه وَ لا يَأْبَ الشُّهَداءُ إذا ما دُعُوا و لم يتضمن تفصيلا للمعتكف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الجعفرية؛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شهادة تحمّلا وإقامة، إن لم يمكن بدون الخروج، سواء تعينت عليه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و لا إشكال في الصورة الأولى؛ لكونها من الحاجة المرخص في الخروج لأجلها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في تحقيق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قوله و إقامة الشهادة إلا أنهما مندرجان في الحاجة التي قد عرفت إطلاقها، و تقييدها بعدم البد منها يمكن إرادة التي لا يمكن الجمع بينها و بين الاعتكاف و تفوت بعدم الخروج إليها، أو إرادة ما يشمل ذلك و نحوه، على أن إقامة الشهادة مع تعينها حاجة لا بد منها، بل و تحملها التعين كذلك أيضا مضافا إلى كون التعارض بين ما دل على عدم خروج المعتكف و بين ما دل على وجوب إقامتها تعارض العموم من وجه و الترجيح للثانى من وجوه، بل لعله کذلک مع عدم التعين، خلافا للفاضل في بعض كتبه، خصوصا مع ملاحظة ما ورد في الجنازة و عود المريض من الرخصة، و لعل هذا هو الوجه في كثير مما ذكره الأصحاب في المقام و عدم النص بالخصوص عليه، و كأنهم فهموا المثال مما ذكر فيها، فلذا لم يقتصروا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إقامة الشهادة و لا شک فی الجواز على تقدير انحصار الشاهد في المعتكف و عدم إمكان الأداء إلا بالخروج، و اما في غيره، فمحل التأمل، فكأنه أخذ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 العيادة و تشييع الجنازة،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فى شرح إرشاد الأذهان؛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يتمسك بفحوى الجواز للتشييع و عيادة المريض، لكونهما مستحبّاً، فالجواز لهما يستدعى الجواز للواجب و لو كفاية بطريق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للمعتكف الخروج عن المسجد لقضاء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بإجماع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له الخروج فى الجملة للأمور الضرورية شرعا أو عقلا أو عادة كقضاء الحاجة من بول أو غائط، نعم عن الأصحاب أنهم أوجبوا تحرى أقرب الطرق إلى موضع قضاء الحاجة، و نحوه يجرى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 إلى جانب المسجد سقاية خرج إليها و لا يجوز التجاوز، إلا أن يجد غضاضة بأن يكون من أهل الاحتشام، فيحصل له مشقة بدخولها، فيجوز له العدول إلى منزله و إن كان 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بذل له صديق منزله – و هو قريب من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الحاجة، لم تلزمه الإجابة، لما فيه من المشقة بالاحتشام، بل يمضى إلى منزل نفسه، سواء كان منزله قريبا أو بعيدا بعدا متفاحشا أو غير متفاحش، إلا أن يخرج بالعبد عن مسمّى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في تحقيق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فى شرح إرشاد الأذهان،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فى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فرق بين البعيد و القريب ما لم يخرج عن مسمى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الكلام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أكثرهم توسعة شيخنا في بغيته،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يجوز الخروج للضرورية الشرعية و العقلية و العادية و للأكل و الشرب و الغسل و الإقامة للشهادة والتحمل و لمقدماتها مع التوقف عليها، ورد ورد الضال و إعانة المظلوم و إنقاذ المحترم و عيادة المريض و تشييع المؤمن الحى وجنازة المي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 صلاتها و حضور دفنها و سننه و استقبال المؤمن و غسل النجاسات و القذارات و الاستحمام لشديد الحاجة و لصلاة الجمعة و العيدين بناء على جواز صومه للقائل في أشهر الحرم، بل لمطلق الصلاة في مكة، و خوف ضيق وقتها، و قضاء حاجة المؤمن و إعانة بعض خصوصا المعتكفين على مطالبه، و الخروج معه دفعا لخوف أو ردا لماله الضائع، و الشارد و المسروق، أو قياما بحقه، و انتظاره لدفع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و فعل ما فيه غضاضة في المسجد، و إخراج الريح خارج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تعلق بمصالح نفسه من الإتيان بماء أو حطب أو علفا لدابته أو نحو ذلك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الاصل للشیبانی،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الحجة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اهل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التسهيل فى الفقه،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قوت الحبيب الغريب،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للدردير،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المبدع،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للدردير،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المساجد و احكامها في الشريعة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الصاوى على الشرح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للشیبانی،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الحجة على اهل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المغنی، ج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التسهيل فى الفقه،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البحر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المساجد و احكامها في الشريعة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الهندية،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حاشية الصاوى على الشرح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حاشية الصاوى على الشرح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يحرم على المعتكف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لمسا بشهوة و تقبیلا کذلک و جماعا في الفرجين إجماعا بقسميه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عَنْ أَحْمَدَ بْنِ مُحَمَّدٍ عَنِ ابْنِ فَضَّالِ عَنِ الْحَسَنِ بْنِ الْجَهْمِ عَنْ أَبِي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الْمُعْتَكِفِ يَأْتِي أَهْلَهُ فَقَالَ لَا يَأْتِي امْرَأَتَهُ لَيْلًا وَلَا نَهَاراً وَهُوَ مُعْتَكِف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عَبْدِ الرَّحْمَنِ بْن أَبي نَجْرَانَ عَنْ عَبْدِ اللَّهِ بْنِ الْمُغِيرَةَ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مُعْتَكِفِ وَاقَعَ أَهْلَهُ قَالَ هُوَ بِمَنْزِلَة مَنْ أَفْطَرَ يَوْماً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تحريم الجماع و فساد الاعتکاف به مسالک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 ليلا أو نهارا يفسد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 مفسد للاعتکاف و کذلک عندى حال القبلة المقارنة للشهوة، و كذلك عندى أيضا حال إتباع النظرة بالشهوة من محرم و في إفساد الاعتكاف بالنظر بشهوة و القبلة كذلك عندى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جنيد؛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علمى الأصول و الفروع،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 في شرح مختصر النافع،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في تحقيق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أجمع العلماء كافة على تحريم الوطء للمعتكف، فإن اعتكف و جامع فيه متعمدا، فسد اعتكافه إجماعا، لأن الوطء إذا حرم في العبادة أفسدها، كالحج و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ناسيا، لم يبطل و به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 الشافعي لقوله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 أمتى الخطأ و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لأنها مباشرة لا تفسد الصوم فلا تفسد الاعتكاف، كالمباشرة فيما دون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فمتی أفسده بأن أفطر فى اليوم الأول أو الثانى لم تجب به كفارة إلا أن يكون واجبا معينا، 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المطلق ففيه البحث السابق في أنه لا يجب إلا بمضى اليومين أو بالشروع، فعلى الأول يكون كالمندوب، و على الثاني كالمعين و إن أفطر فى الثالث وجبت الكفارة على كل حال لوجوبه إلا أن يكون مشروطا على وجه يرتفع وجوبه، فيكون كاليومين الأولين و منهم و هو الشيخ و من 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بل في المدارک نسبته إلى أكثر المتأخرين من خص الكفارة بالجماع حسب الذي لا أج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ثبوتها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عَبْدِ الرَّحْمَنِ بْن أَبي نَجْرَانَ عَنْ عَبْدِ اللَّهِ بْنِ الْمُغِيرَةِ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اللهِ عَنْ مُعْتَكِفِ وَاقَعَ أَهْلَهُ قَالَ هُوَ بِمَنْزِلَة مَنْ أَفْطَرَ يَوْماً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مُحَمَّدِ بْنِ سِنَانِ عَنْ عَبْدِ الْأَعْلَى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 وَطِئَ امْرَأَتَهُ وَ هُوَ مُعْتَكِفْ لَيْلًا فِي شَهْرِ رَمَضَانَ قَالَ عَلَيْهِ الْكَفَّارَةُ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وَطِئَهَا نَهَارًا قَالَ عَلَيْهِ كَفَّارَتَانِ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للنيسابورى،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ويبطل بالجماع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عالم بتحريمه ذاكر للاعتكاف سواء أجامع في المسجد أم خارجه عند خروجه لقضاء حاجة أو نحوها لمنافاته العبادة البدنية واعلم أن جماعه في المسجد حرام مطلقا إذا أدى إلى مكث فيه سواء كان معتكفا أم لا كما مرت الإشارة إليه وسواء أكان اعتكافه فرضا أم نفلا وأما إذا جامع خارج المسجد وكان معتكفا فإن كان الاعتكاف منذورا حرم وإن كان تطوعا لم يحرم إذ غايته الخروج من العبادة وهو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المهذب للشيرازى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فتح العزیز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فتح العزیز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تباشروهن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معناه قولان هاهنا قال ابن عباس، والضحاک، والحسن، وقتادة، وغيرهم أراد به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زيد، ومالك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 دونه من قبلة،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مذهبنا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تباشروهن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معناه قولان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أراد به الجماع عن ابن عباس الحسن و قتادة و الثانى أنه أراد الجماع و كل ما دونه من قبلة و غيرها من مالک و ابن زيد و هو مذهبنا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فى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الأصحاب اتفاقهم على اختصاص حرمة الأمرين بما إذا كانا بشهوة و لا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الخاليين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 مفسد للاعتکاف و کذلک عندى حال القبلة المقارنة للشهوة و كذلك عندي أيضا حال إتباع النظرة بالشهوة من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ابن جنيد؛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ألحق بعضهم بهما النظر بالشهوة و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يَحْرُمُ عَلَى الْمُعْتَكِفِ مِنْ ذَلِكَ الْجَمَاعُ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الَّذِي يَحْرُمُ فِي حَالِ الِاعْتِكَافِ الْجِمَاعُ دُونَ مَا سِوَاهُ مِمَّا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الاعتكاف يمنع من الوطء وسائر ضروب المباشرة و القبلة و الملامسة، و استنزال الماء أسبابه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حكم المرأة في ذلك حكم الرجل، فيبطل اعتكافها بمسها و تقبيلها بشهوة و جماعها، لأصالة الاشتراك و لبعض النصوص في الجماع، و للاتفاق ظاهرا على ذلك، بل الظاهر عدم الفرق في الجماع بين المرأة و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باشر امرأته في حال اعتكافه فيما دون الفرج، أو لمس ظاهرها بطل اعتكافه، أنزل أو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التحرير،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النافع،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المتعلّمين،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الأحكام فى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 لَا تُبَاشِرُوهُنَّ وَ أَنْتُمْ عَاكِفُونَ فِي الْمَسَاجِدِ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يبطل الصوم يبطل الاعتكاف، و هو ظاهر عندنا، لأن الاعتكاف مشروط بالصوم، فإذا بطل الشرط بطل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ج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مدارك الأحكام في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مستند الشيعة في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 للحکیم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المعتكف إذا وطأ في الفرج نهارا، أو استمنى بأى شيء كان لزمته کفارتان، و آن فعل ذلك ليلا لزمته كفارة واحدة و بطل اعتكافه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البعيد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تدلّ على أن فى كل مورد كان الجماع موجباً للكفارة فالاستمناء بمنزلته و منه المقام، فإن من الواضح الضرورى أنه لا يراد بها ثبوت الكفّارة بمجرد اللزوق مطلقاً حتى من غير مقتض لها من صوم أو إحرام أو اعتكاف و نحوها، فإن ذلك غير مراد قطعاً كما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جداً، فيختص موردها بما إذا كان الجماع موجباً للكفّارة، فيكون الاستمناء بمنزلته فتشمل المق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 هذه الموثقة نزلت الاستمناء منزلة الجماع، فكما أنّ الجماع يوجب الكفارة، فكذلك الاستمناء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فلا مانع من الحكم بالإلحاق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يحرم عليه النساء جماعا و لمسا و تقبيلا مع الشهوة،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الشهوة،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تُبَاشِرُوهُنَّ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للثلاثة، و يبطل بالأول بلا خلاف دون الأخيرين على الأظهر و ألحق بهما في التحريم الاستمناء، لأنه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استدعاء المنى لا أعرف في ذلك نصا على الخصوص و ربما يفهم من بعض عباراتهم عدم منافاته لأصل الاعتكاف بل للصوم وكيف كان فلا ريب فى التحريم مطلقا إنما الكلام في منافاته للاعتكاف و مدخلية خصوص الاعتكاف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استدعاء المنى فقد ذكر المصنف حرمته في الاعتكاف تبعا للشيخ، لكن لم نقف على نصف فيه بالخصوص كما اعترف به في المدارک و غيرها، نعم علله فيها بأولويته من اللمس و التقبيل في منافاة الاعتكاف إلا انه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فى الشريعة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الكافي للمقدسی،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أسنى المطالب،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مواهب الجليل،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نهاية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حاشية الجمل على شرح المنهج،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إعانة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قول علمائنا و أكثر العامة لورود النهى عنه في صحيحة أبي عبيدة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فى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 انفرادات الإمامية؛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 بالتحريم من ما لا خلاف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فى أحكام الشريعة،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يحرم عليه أيضا البيع و الشراء بلا خلاف بل الإجماع بقسميه عليه، و هو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أَحْمَدَ بْنِ مُحَمَّدٍ عَنِ ابْنِ مَحْبُوبِ عَنْ أَبِي أَيُّوبَ عَنْ أبي عُبَيْدَةَ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الْمُعْتَكِفُ لَا يَسْمُ الطَّيبَ وَ لَا يَتَلَذَذُ بِالرَّيْحَانِ وَ لَا يُمَارِى وَلَا يَشْتَرِى وَلَا يَبيعُ الْحَدِيث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و الشراء، فالمشهور تحريمه، بل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خلاف فيه، و في المدارك و عن الانتصار و الخلاف و الذخيرة الإجماع عليه، لصحيحة الحذاء المتقدمة، و في دلالتها على الحرمة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المبسوط و السرائر و اللمعة و الروضة العدم، و في النسبة نظر، بل الأول عدم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عبر الثاني بالأولى، و لكن ظاهره الفساد به، و هو ينبئ عن التحريم أيضا، و الأخيران لم يذكراه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ثبت الإجماع فهو و إلا فالكراهة أظهر، و أظهر منها عدم الفساد به و لا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ظن انفراد الإمامية به القول بأن ليس للمعتكف أن يبيع ويشتری و یتجر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 يوافق الإمامية في ذلك، و إن كان أبو حنيفة و أصحابه و الشافعي يجيزون للمعتكف التجارة و البيع و 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للإمامية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المتقدم، و لأن من اجتنب التجارة صح اعتكافه و لم يفسد بيق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 و لیس کذلک من اتجر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فى انفرادات الإمامية؛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يجوز لمن خرج لعذر أن يجلس تحت سقف مختارا حتى يعود إلى المسجد، و لا التجارة بالبيع الشراء على كل حال، بدليل الإجماع المشار إليه و طريقة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علمى الأصول و الفروع؛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ينبغى المنع من كلّ ما يساوى البيع مما يقتضى الاشتغال، كالإجارة و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التجارة و البيع و الشراء و التجارة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بشراء ما يحتاج إليه، كشراء غذائه و مائه و قميصه الذي يستتر به و يبيع شيئا يشترى به قوته،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الصنائع المشغلة عن العبادة، كالحياكة و الخياطة و أشباهها، إلا ما لا بد له منه، لأنه يجرى مجرى الاشتغال بلبس قميصه و عمامته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يجوز له النظر فى أمر معاشه و صنعته، و يتحدث ما شاء من المباح، ويأكل الطيبات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يقتضى الاشتغال بالأمور الدنيوية من أصناف المعايش، ينبغى القول بالمنع منه؛ عملا بمفهوم النهى عن البيع و الشرى منتهى المطلب في تحقيق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مستنبط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آن علتی که در لسان دلیل ذکر نشده است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یله خود مجتهد از راه عقل به دست آید به عنوان مثال مجتهد به این نکته علم حاصل کند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تعلق زکات به گندم این است که آن یک غذای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برنج هم چون در اکثر مناطق یک غذای عمومی است باید مشمول حکم زکات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اندیشمندان اصولی قیاس مستنبط العلة را نپذیرفته اند و بدین جهت گفته اند اگر مجتهدی علت حکم را در موضوعی استنباط کند نمی تواند آن حکم را به موضوع دیگری که به نظر و استنباط او دارای همان علت است سرایت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کتاب زبدة الاصول به گونه صریح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قیاس پذیرفته نمی شود مگر در منصوص العله و اولویت بلی اگر علت حکم در موضوعی به گونه قطع و یقین احراز شود می توان به موضوع دیگری که دارای همان علت است آن حکم را سرایت داد، زیرا حجيت قطع ذاتی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اجتهاد از دیدگاه مذاهب اسلامی؛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المنتهى كلما يقتضى الاشتغال بالأمور الدنيوية من أصناف المعايش ينبغى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بالمنع منه، عملا بمفهوم النهي عن البيع و الشراء و هو غير جيد، لأن النهي عن البيع و الشراء لا يقتضى النهى عما ذكره بمنطوق و لا مفهوم نعم ربما دلت عليه بالعلة المستنبطة و هي غير معتبرة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و الشراء بل مطلق التجارة مع عدم الضرورة على الأحوط و لا بأس بالاشتغال بالأمور الدنيوية من المباحات حتى الخياطة و النساجة ونحوهما و إن كان الأحوط الترك إلا مع الاضطرار إليها بل لا بأس بالبيع و الشراء إذا مست الحاجة إليهما للأكل و الشرب مع تعذر التوكيل أو النقل بغير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كلمات الأصحاب من القدماء و المتأخرين نفيا و إثباتا في غير مورد النص مختلفة، فالعمدة دعوى الإجماع المنقول في الانتصار و الغنية، و الشهرة المحققة بين من تعرض للمسألة إلا الشاذ منهم، مع الظنّ القوى بعدم الخصوصية فيها و إنما ذكرها لكونها الأغلب في أسباب التجارة، فالمنع عن مطلق التجارة لو لم يكن أقوى فلا أقل من كونه مما لا يترك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للإشتهاردی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يختص الحكم بذلك، أو يعمّ مطلق المعاملة والتجارة كالإجارة و نحوها؟ مقتضى الجم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على النص هو الأول، و لكن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البيع و الشراء كناية عن مطلق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 إن كان محتملا في نفسه، إذ قد يستعمل بهذا المعنى و لا سيما في اللغة الفارسية فيطلق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مطلق المعاملة، إلا أن إثباته مشكل كما لا يخفى و على تقدير الثبوت فالظاهر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يكون مثل البيع و الشراء فى الاشتمال على نوع من المبادلة فى العين أو العمل أو المنفعة كالمصالحة و المزارعة و الإجارة و نحوها، لا مطلق التملیک و التملك ليعم مثل قبول الهدية، فإن الالتزام بحرمة مثل ذلك مشكل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فالتعدّى إلى مطلق التجارة بعيد، و إلى التملك الشبيه بالبيع و الشراء غير بعيد إلا أن إثباته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فمقتضى الجمود على ظاهر النص الاقتصار على البيع و الشراء، فإن قام إجماع على التعدى فهو، و إلا فلا يبعد عدم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إدريس التعدى إلى كل مباح لا يحتاج اليه و إن كان لا يخفى عليك ما فيه بل و ما فی سابقه حتى إلحاق الصلح و الإجارة ونحوهما بذلك، و إن كان وجه القياس فيها واضحا، إلا أنه محرم عندنا على كل حال، فالاقتصار عليهما حينئذ هو الوجه، بل الظاهر استثناء ما تمس الحاجة إليه مما يضطر 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مأکوله و مشروبه و نحوهما، و إن كان مما ينبغى تقييد ذلك بما إذا تعذر التوكيل و النقل بغير البيع، لعدم الضرورة حينئذ، و إلى ذلك أومأ الشهيد في الجملة حيث قيده بما إذا تعذر المعاطاة، لكنه مبنى على أنها ليست بيعا، و هو خلاف التحقيق، و الأمر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الأولى عندى ان جميع ما يفعله المعتكف من القبائح، و يتشاغل به، من المعاصى، و السيئات، يفسد اعتكافه، فأما ما يضطر إليه، من أمور الدنيا، من الأفعال المباحات، فلا يفسد به اعتكافه، لأنّ حقيقة الاعتكاف في عرف الشرع، هو اللبث للعبادة، و المعتكف اللاب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للعبادة، إذا فعل قبائح، و مباحات لا حاجة إليها، فما لبث للعبادة، وخرج من حقيقة المعتكف اللابث 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في تحقيق المذهب،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أنه على تقدير حرمة البيع و الشراء فهل يفسدان أم لا؟ يحتمل ذلك و قد مر تفصيل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في البيع بعد النداء فتذكر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الظاهر عدم إفساد الاعتكاف حينئذ للأصل و عدم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فى شرح إرشاد الأذهان؛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تستفاد الحرمة التكليفية من النواهى الواردة في هذه الأبواب بتاتا، بل هي ظاهرة في الوضعي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فالنهي عن البيع أو الجدال و نحوهما في الاعتكاف ظاهر في البطلان فقط لا الحرمة التكليفية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هي محرمة أيضاً في اليوم الثالث عن أجل الدليل الخارجي الدال على حرمة الإبطال حينئذ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الانصاف،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يكره له الصنائع في المسجد كالخياطة والكتابة ما لم يكثر منها فإن أكثر منها كرهت لحرمته إلا كتابة العلم فلا يكره الإكثار منها لأنها طاعة كتعليم العلم ذكره في المجموع وتكره له الحرفة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بخياطة ونحوها كالمعاوضة من نحو بيع وشراء بلا حاجة وإن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الانصاف،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التكسب بالصنعة في المسجد كالخياطة وغيرها والقليل والكثير والمحتاج وغي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سواء قاله القاضي وغيره وجزم به فى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الْمُعْتَكِفِ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مُصْحَفًا إِنْ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وَكِتَابَتُهُ مَا ذَكَرَ مِنْ الْعِلْمِ وَلَا بَأْسَ بالْيَسِير، وَإِنْ كَانَ تَرَكُهُ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مواهب الجليل،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ما اختاره الأكثر من تحريم شم الطيب و الرياحين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عبادات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 له أن ينكح و ينظر في أمر معيشته و ضيعته، و يتحدث بما شاء من الحديث بعد أن يكون مباحا ويأكل الطيبات و يشم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للمعتكف استعمال شيء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المعتكف أن يجتنب جميع ما يجتنبه المحرم من النساء و الطيب و الرياحين و الكلام الفحش و المماراة و البيع و الشراء، و لا يفعل شيئا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الفت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عن مبسوط الشيخ من عدم حرمة شم الطيب واضح الضعف، بل هو اختار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المحكى من جمله و نهايته و خلافه، بل و عن الأخير دعوى 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أَحْمَدَ بْنِ مُحَمَّدٍ عَنِ ابْنِ مَحْبُوبِ عَنْ أَبِي أَيُّوبَ عَنْ أبي عُبَيْدَةَ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الْمُعْتَكِفُ لَا يَشَمُ الطَّيبَ وَلَا يَتَلَذَّذُ بِالرَّيْحَانَ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يُمَارِى وَلَا يَشْتَرِى وَلَا يَبيعُ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أن يعلم أن المنساق إلى الذهن من شم الطيب التلذذ به ففاقد حاسة الشم خارج،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يومى إلى ذلك في الجملة قوله الله في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يتلذذ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فى الجواهر الانصراف إلى صورة الالتذاذ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بعيد، لأن الظاهر عرفاً من إضافة الشمّ إلى الطيب رعاية الوصف العنواني، أى شم الطيب بما هو طيب المساوق للتمتع و الالتذاذ، لا شم ذات الطيب بداع آخر، فإنّ اللفظ منصرف عن مثل ذلك عرفاً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يعضده تقييد الريحان بالتلذذ في الصحيحة، سيما بعد ملاحظة كونه في اللغة اسماً لكل نبات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والتّمارى والمُمَارَاةُ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على مذهب الشك والريبة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مُمَاراة، لأن كل واحد منهما يستخرج ما عند صاحبه و يَمْتَرِيه، كما يَمْتَرى الحالب اللبن من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و المماراة المجادلة و المراد به هنا المجادلة على أمر دنيوى أو ديني لمجرد إثبات الغلبة أو الفضيلة كما يتفق للكثير من المتسمين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النوع محرم في غير الاعتكاف، و قد ورد التأكيد في تحريمه في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إدخاله في محرمات الاعتكاف اما 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 عموم مفهومه، أو لزيادة تحريمه في هذه العبادة، كما ورد في تحريم الكذب على الله و رسوله في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القول بفساد الاعتكاف بكل ما حرم فيه يتضح فائدته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الغرض من الجدال المسألة العلمية مجرد إظهار الحق، ورد الخصم عن الخطأ كان من أفضل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فالمائز بين ما يحرم منه و ما يجب أو يستحب النية، فليحترز المكلف من تحويل الشيء من كونه واجبا إلى جعله من كبار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إلى تنقيح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يحرم المماراة بلا خلاف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أَحْمَدَ بْنِ مُحَمَّدٍ عَنِ ابْنِ مَحْبُوبِ عَنْ أَبِي أَيُّوبَ عَنْ أبي عُبَيْدَةَ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الْمُعْتَكِفُ لَا يَسْمُ الطَّيبَ وَ لَا يَتَلَذَذُ بالرَّيْحَانَ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يُمَارِى وَلَا يَشْتَرِى وَ لَا يَبيعُ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يُسْتَحَبُّ لِلْمُعْتَكِفِ التَشَاغُلُ بِفِعْلِ الْقُرَب كَالصَّلَاةِ وَتِلَاوَةِ الْقُرْآنِ، وَذِكْرِ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وَاجْتِنَابِ مَا لَا يَعْنِيهِ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الْجِدَالِ، وَالْمِرَاءِ، وَكَثرَةِ الْكَلَامِ، وَالسِّبَابِ وَالْفُحْشَ لِقَوْلِهِ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 إسْلَامِ الْمَرْءِ تَرَكُهُ مَا لَا يَعْنِيهِ وَلِأَنَّهُ مَكْرُوهُ فِى غَيْرِ الِاعْتِكَافِ، فَفِيهِ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يُفْسِدُ الِاعْتِكَافَ سِبَابٌ وَ لَا جِدَالٌ كَذَا فِى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رک به المساجد و احكامها في الشريعه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فى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مجرد الفقه و الفتاوی،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سلسلة الينابيع الفقهية فى الجماعة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في صلاة الجماعة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فى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في مكان المصلّى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في المساجد ص </w:t>
      </w:r>
      <w:r>
        <w:rPr>
          <w:rFonts w:eastAsia="IRNazanin" w:cs="IRNazanin"/>
          <w:b w:val="false"/>
          <w:bCs w:val="false"/>
          <w:i w:val="false"/>
          <w:iCs w:val="false"/>
          <w:color w:val="333333"/>
          <w:sz w:val="20"/>
          <w:szCs w:val="20"/>
        </w:rPr>
        <w:t>143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المصلّى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فى المساجد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في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الْحَسَنِ بْن مُوسَى الْخَشَابِ عَنْ عَلِيِّ بْنِ أَسْبَاطِ عَنْ بَعْضٍ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جَنِّبُوا مَسَاجِدَكُمُ الْبَيْعَ وَ الشِّرَاءَ وَ الْمَجَانِينَ وَالصَّبْيَانَ وَ الْأَحْكَامَ وَالصَّالَةَ وَ الْحُدُودَ وَ 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يَحْيَى عَنْ سَهْلِ عَنْ جَعْفَرِ بْنِ مُحَمَّدِ بْنِ بَشَّارٍ عَنْ عَبْدِ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الدِّهْقَانِ عَنْ عَبْدِ الْحَمِيدِ عَنْ أَبِي إِبْرَاهِيمَ علیه السلام قَالَ قَالَ رَسُولُ اللَّهِ صلی الله علیه و اله جَنِّبُوا مَسَاجِدَكُمْ صِبْيَانَكُمْ وَ مَجَانِينَكُمْ وَ شِرَاءَكُمْ وَبَيْعَكُمْ وَ اجْعَلُوا مَطَاهِرَكُمْ عَلَى أَبْوَابِ مَسَاجِدِكُمْ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في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ذلك فالاحتیاط باجتناب الحكم فى المساجد فضلا عن إجرائها والعمل على مقتضاها تخلصا من الوقوع في المكروه لا ينبغى تركه حتى على احتمال استحباب الحكم لا إباحته خاصة، خصوصا مع وضوح الفرق بين النبى صلی الله علیه و آله و أمير المؤمنين علیه السلام و نحوهما ممن هم مأمومون عن الخطأ في الواقع و عن احتمال كون الحكم منهم بغير ما أنزل الله لتقصير في مقدمات أو اتباع للشهوات و بيننا الذين لا نأمن من شيء من ذلك، بل نحن إليه أقرب من غيره، و نسأل الله العصمة، فإنه المفزع و الملجا فى الأمور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في آداب القضاء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يجب على القاضي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في آداب القضاء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المساجد و أحكامها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الابن شاذان القمی،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عوالى اللئالى العزيزية فى الأحاديث الدينية،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النبي صلی الله علیه و آله لا خلاف أنه كان يقضى في المسجد، فلو كان مكروها ما فعله، و کذلک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امیرالمؤمنين علیه السلام يقضى بالكوفة في الجامع، و دكة القضاء معروفة الى يومنا هذا، و هو إجماع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و الإبهام عن قواعد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علیه السلام أَنَّهُ بَلَغَهُ أَنَّ شُرَيْحاً يَقْضِي فِي بَيْتِهِ فَقَالَ يَا شُرَيْحُ اجْلِسَ فِي الْمَسْجِدِ فَإِنَّهُ أَعْدَلُ بَيْنَ النَّاسِ وَ إِنَّهُ وَهْنَّ بِالْقَاضِي أَنْ يَجْلِسَ فِي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القضاء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يستحب و يكره للقاضي في الحكومة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المساجد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في المسجد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المرعشى 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رک به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في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رحمه الله در کتاب مختلف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می کند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رحمه الله را در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عمید الدین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نقل می کنند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 به مفتاح الكرامة في شرح قواعد العلام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في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سَعِيدِ بْنُ أَبِي عَمْرٍو حَدَّتَنَا أَبُو عَبْدِ اللَّهِ الصَّفَارُ حَدَّثَنَا أَحْمَدُ بْنُ مِهْرَانَ الْأَصْبَهَانِيُّ حَدَّثَنَا أَبُو نُعَيْمٍ يَعْنِي النَّخَعِيُّ حَدَّثَنَا الْعَلَاءُ بْنُ كَثِيرٍ عَنْ مَكْحُولٍ عَنْ أَبِي الدَّرْدَاءِ وَعَنْ وَائِلَةَ وَعَنْ أَبِى أمَامَةَ رَضِيَ اللَّهُ عَنْهُمْ كُلُّهُمْ يَقُولُ سَمِعْنَا رَسُولَ اللَّهِ صلى الله عليه وسلم وَهُوَ عَلَى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مَسَاجِدَكُمْ صِبْيَانَكُمْ وَمَجَانِينَكُمْ وَخُصُومَاتِكُمْ وَرَفْعَ أَصْوَاتِكُمْ وَسَلَّ سُيُوفِكُمْ وَإِقَامَةَ حُدُودِكُمْ وَأَجْمِرُوهَا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الْجُمَع السنن الكبرى للبيهقي،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20268</w:t>
      </w:r>
      <w:r>
        <w:rPr>
          <w:rFonts w:ascii="IRNazanin" w:hAnsi="IRNazanin" w:eastAsia="IRNazanin"/>
          <w:b w:val="false"/>
          <w:b w:val="false"/>
          <w:bCs w:val="false"/>
          <w:i w:val="false"/>
          <w:i w:val="false"/>
          <w:iCs w:val="false"/>
          <w:color w:val="333333"/>
          <w:sz w:val="20"/>
          <w:sz w:val="20"/>
          <w:szCs w:val="20"/>
          <w:rtl w:val="true"/>
        </w:rPr>
        <w:t xml:space="preserve">؛ مسند الشامين للطبرانی،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منهاج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الاختیار،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المبسوط للسرخسي،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تبیین الحقائق،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الفتاوى الهندية،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الإكليل،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أَتَاكَ نَبَأَ الْخَصْمِ إِذْ تَسَوَّرُوا الْمِحْرَابَ سوره صآيه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في آداب القضاء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تقام الحدود فى المساجد و لا فى مشاهد الأئمة علیهم السلام و من فعل فى المساجد أو المشاهد يوجب إقامة الحد عليه أقيم عليه الحد خارجا منها و لم تقم عليه الحدود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تُقَامُ الْحُدُودُ فِي الْمَسَاجِدِ عوالى اللئالى العزيزية،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صلی الله علیه و آله أن تُقَامَ الْحُدُودُ فِي الْمَسَاجِدِ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و خلاصة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 الأصحاب جواز دخول المجروح و السلس و المستحاضة مع أمن التلويث و جواز القصاص في المساجد للمصلحة مع فرش ما يمنع التلويث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ما يتعلق بالمساجد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يشير إلى أنهم قائلون بالتحريم مع عدم فرش ما يمنع التلويث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 و أيضا فيه شغل الخواطر و تفرق بال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فى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احکامها،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على المذاهب الأربع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أهل البيت علیهم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الكبراى،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المبسوط للسرخسی،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إبانة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كشاف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مختصر الإفادات،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الشرح الصغير للدردير،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الإكليل،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الدار قطنی،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سنن الدارقطنی،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للبيهقي،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الكبير،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المساجد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فى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المصلّى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يتعلق بالمساجد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في مكان المصلّى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عَنْ أَحْمَدَ بْنِ مُحَمَّدٍ عَن ابْنِ مَحْبُوبِ عَنْ عَبْدِ الرَّحْمَنِ بْنِ الْحَجَّاجِ عَنْ جَعْفَرِ بْن إِبْرَاهِيمَ 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سَمِعْتُمُوهُ يُنشِدُ شِعْراً فِي الْمَسَاجِدِ فَقُولُوا فَضَّ اللَّهُ فَاكَ إِنَّمَا نُصِبَتِ الْمَسَاجِدُ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شُعَيْبِ بْن وَاقِدٍ عَنِ الْحُسَيْنِ بْن زَيْدٍ عَنِ الصَّادِقِ عَنْ آبَائِهِ علیهم السلام فِي حَدِيثِ الْمَنَاهِي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أن يُنشَدَ الشِّعْرُ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ابْنِ أَبِي عُمَيْرٍ عَنْ هِشَامِ بْنِ سَالِمٍ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علیه السلام رَأى قَاصَّاً فِي الْمَسْجِدِ فَضَرَبَهُ بالدَّرَّة وَ 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مُحَمَّدِ بْنِ عَلِيِّ بْنِ مَحْبُوبِ عَنْ مُحَمَّدِ بْنِ أَحْمَدَ الْهَاشِمِي عَنِ الْعَمْرِكِي عَنْ عَلِيٍّ بْنِ جَعْفَرٍ عَنْ أَخِيهِ مُوسَى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الشَّعْرِ أيَصْلُحُ أنْ يُنْشَدَ فِى الْمَسْجِدِ فَقَالَ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الْفَضْلِ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مَنْ قَالَ فِينَا بَيْتَ شِعْرِ بَنَى اللَّهُ تَعَالَى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فِينَا قَائِلُ بَيْتَ شِعْرِ حَتَّى يُؤيَّدَ بِرُوحِ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عُقْبَةَ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أَنْشَدَ فِي الْحُسَيْنِ بَيْنَا مِنَ الشِّعْرِ فَبَكَى وَ أَبْكَى عَشَرَةً فَلَهُ وَ لَهُمُ الْجَنَّةُ وَ مَنْ أَنْشَدَ فِي الْحُسَيْنِ بَيْتاً فَبَكَى وَ أَبْكَى تِسْعَةً فَلَهُ وَ لَهُمُ الْجَنَّةُ فَلَمْ يَزَلْ حَتَّى قَالَ مَنْ أَنْشَدَ فِي الْحُسَيْنِ بَيْتًا فَبَكَى وَ أَظُنُّهُ قَالَ أَوْ تَبَاكَى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الْجَهْمِ قَالَ سَمِعْتُ الرِّضَا علیه السلام يَقُولُ مَا قَالَ فِينَا مُؤْمِنٌ شِعْراً يَمْدَحْنَا بِهِ إِلَّا بَنَى اللَّهُ لَهُ مَدِينَةٌ فِى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 مِنَ الدُّنْيَا سَبْعَ مَرَاتِ يَزُورُهُ فِيهَا كُلُّ مَلَكِ مُقَرَّب وَ كُلٌّ نَبِيٍّ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شرح معانی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مختصر الانصاف،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 الجليل شرح مختصر خلیل،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الكبير،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و مذهب أهل البيت عليهم السلام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نَشَدْتُ الضالة، إذا ناديت و سألت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أنشَدْت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رحمه الله در النهايه في مجرد الفقه و الفتاوى،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محقق حلی رحمه الله در شرائع الاسلام في مسائل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علامه حلی رحمه الله در قواعد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شهید اول در البیان،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محقق ثانی در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شهید ثانی در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النَّبِيُّ صلی الله علیه و اله رَجُلًا يُنشِدُ ضَالَّةً فِي الْمَسْجِدِ فَقَالَ قُولُوا لَهُ لَا رَدَّ اللَّهُ عَلَيْكَ فَإِنَّهَا لِغَيْر هَذَا بُنِيَت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علل الشرائع،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شُعَيْبِ بْنِ وَاقِدٍ عَنِ الْحُسَيْنِ بْنِ زَيْدٍ عَنِ الصَّادِقِ علیه السلام عَنْ آبَائِهِ علیهم السلام عَالمْ فِي حَدِيثِ الْمَنَاهِي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أن يُنشَدَ الشَّعْرُ أَوْ تُنشَدَ الضَّالَّةُ فِى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أمالي الصدوق،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الْحَسَنِ بْن مُوسَى الْخَشَابِ عَنْ عَلِيِّ بْنِ أَسْبَاطِ عَنْ بَعْضٍ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جَنَّبُوا مَسَاجِدَكُمُ الْبَيْعَ وَالشِّرَاءَ وَ الْمَجَانِينَ وَالصَّبْيَانَ وَالْأحْكَامَ وَ الضَّالَةَ وَالْحُدُودَ وَ 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مُحَمَّدِ بْنِ أَحْمَدَ الْهَاشِمِي الْعَمْرِكِي عَنْ عَلِيِّ بْنِ جَعْفَرٍ عَنْ أَخِيهِ مُوسَى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الضَّالَّةِ أ يَصْلُحُ أَنْ تُنْشَدَ فِي الْمَسْجِدِ قَالَ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مسالک الأفهام إلى تنقيح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فيه إنشاد الضالة إن لم يهوش على المصلين أو النائمين، و إلا حرم،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غیر المسجد الحرام، فإنه لا يكره فيه إنشاد الضالة لأنه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الفقه المنهجي على مذهب الشافعي،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تحفة الحبيب على شرح الخطيب،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كفاية الاخیار،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العزيز شرح الوجیز،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المساجد،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واهر الكلام في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عَنْ مُعَاوِيَةَ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النَّوْمِ فِي الْمَسْجِدِ الْحَرَامِ وَ مَسْجِدِ الرَّسُول صلی الله علیه و آله قَالَ نَعَمْ فَأَيْنَ يَنَامُ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الْحَسَنِ عَنْ جَدِّهِ عَلِيِّ بْنِ جَعْفَرٍ عَنْ أَخِيهِ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النَّوْمِ فِي الْمَسْجِدِ الْحَرَامِ قَالَ لَا بَأْسَ وَ سَأَلْتُهُ عَنِ النَّوْمِ فِي مَسْجِدِ الرَّسُولِ قَالَ لَا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فِي قُرْبَ الْإِسْنَادِ عَنْ مُحَمَّدِ بْنِ خَالِدٍ الطَّيَالِسِيِّ عَنْ إِسْمَاعِيلَ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النَّوْمِ فِى الْمَسْجِدِ الْحَرَامِ فَقَالَ هَلْ الِلنَّاسِ بُدَّ أَنْ يَنَامُوا فِي الْمَسْجِدِ الْحَرَامِ لَا بَأْسَ بِهِ قُلْتُ الرِّيحُ تَخْرُجُ مِنَ الْإِنْسَانِ قَالَ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حَمَّادِ بْنِ عِيسَى عَنِ الْحُسَيْنِ بْنِ الْمُخْتَارِ عَنْ أَبِي أسَامَةَ زَيْدِ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 قَوْلُ اللَّهِ عَزَّ وَ جَلَّ لَا تَقْرَبُوا الصَّلَاةَ وَ أَنْتُمْ سُكارى فَقَالَ سُكْرُ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ثوبه الجديد؛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حَمَّادٍ عَنْ حَرِيرٌ عَنْ زُرَارَةَ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علیه السلام مَا تَقُولُ فِي النَّوْمِ فِي الْمَسَاجِدِ فَقَالَ لَا بَأْسَ بِهِ إِلَّا فِي الْمَسْجِدَيْنِ مَسْجِدِ النَّبِيِّ صلی الله علیه و آله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مُوسَى بْنِ الْقَاسِمِ عَنْ عَبْدِ الرَّحْمَنِ عَنْ مُحَمَّدِ بْنِ حُمْرَانَ عَنْ أَبِي عَبْدِ اللَّهِ علیه السلام فِي حَدِيثٍ قَالَ وَ رَوَى أَصْحَابُنَا أَنَّ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يَنَامُ فِي مَسْجِدِى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النَّوْمِ فِي الْمَسْجِدِ الْحَرَامِ وَمَسْجِدِ الرَّسُولِ صلی الله علیه و آله قَالَ نَعَمْ فَأَيْنَ يَنَامُ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السَّنْدِي بْن مُحَمَّدٍ عَنْ أَبِي الْبَحْتَرى عَنْ جَعْفَرِ بْن مُحَمَّدٍ عَنْ أَبِيهِ علیه السلام أَنَّ الْمَسَاكِينَ كَانُوا يَبيتُونَ فِي الْمَسْجِدِ عَلَى عَهْدِ رَسُولِ اللَّهِ صلی الله علیه و آله﴾ قرب الإسناد،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فِي قُرْب الْإِسْنَادِ عَنْ مُحَمَّدِ بْن خَالِدٍ الطَّيَالِسِى عَنْ إِسْمَاعِيلَ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النَّوْمِ فِى الْمَسْجِدِ الْحَرَامِ فَقَالَ 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 بُد أَنْ يَنَامُوا فِي الْمَسْجِدِ الْحَرَامِ لَا بَأْسَ بِهِ قُلْتُ الرِّيحُ تَخْرُجُ مِنَ الْإِنْسَانِ قَالَ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رد المحتار،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المهذب للشیرازی،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حاشية الشيرواني على تحفة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الآداب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مفلح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كشاف القناع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ابن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حاشية الدسوقى،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جواهر الإكليل،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فضل المساجد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منتهى المطلب في المساجد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نهاية الإحكام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تذکرة الفقهاء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الأذهان فى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مباحث 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البيان في المساجد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النفلي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المساجد ص </w:t>
      </w:r>
      <w:r>
        <w:rPr>
          <w:rFonts w:eastAsia="IRNazanin" w:cs="IRNazanin"/>
          <w:b w:val="false"/>
          <w:bCs w:val="false"/>
          <w:i w:val="false"/>
          <w:iCs w:val="false"/>
          <w:color w:val="333333"/>
          <w:sz w:val="20"/>
          <w:szCs w:val="20"/>
        </w:rPr>
        <w:t>236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في مكان المصلّى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 فى المساجد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مُحَمَّدِ بْنِ أَحْمَدَ بْنِ يَحْيَى عَنْ سَهْلِ عَنْ جَعْفَرِ بْنِ مُحَمَّدِ بْنِ بَشَّارٍ عَنْ عَبْدِ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الدِّهْقَانِ عَنْ عَبْدِ الْحَمِيدِ عَنْ أَبِي إِبْرَاهِيمَ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 الله جَنِّبُوا مَسَاجِدَكُمْ صِبْيَانَكُمْ وَ مَجَانِينَكُمْ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شِرَاءَكُمْ وَ بَيْعَكُمْ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الْحَسَنِ بْنِ الْحَسَنِ بْن مُوسَى الْخَشَابِ عَنْ عَلِيِّ بْنِ أَسْبَاطِ عَنْ بَعْضٍ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جَنِّبُوا مَسَاجِدَكُمُ الْبَيْعَ وَ الشِّرَاءَ وَ الْمَجَانِينَ وَالصَّبْيَانَ وَالْأَحْكامَ وَالضَّالَةَ وَالْحُدُودَ وَ 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يلحق بالبيع و الشراء سائر عقود المعاوضة، بل لعلها المرادة من البيع و الشراء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النصوص على إرادة مطلق النقل و الانتقال بعوض منهما، أما ما أشبه المعاوضة كالنكاح فوجه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کمطلق العقود و الإيقاعات إلا ما يندرج منها في القربات نحو النذر و الوقف و العتق، و لعل النكاح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الآداب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رد المحتار،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مصباح الزجاجة،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نصب الراية،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الافادات،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حاشية الدسوقى على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الإكليل،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رک به 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مَنْ يَبيعُ أَوْ يَبْتَاعُ فِى الْمَسْجِدِ فَقُولُوا لاَ أَرْبَحَ اللَّهُ تِجَارتک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إرشاد الأذهان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تذكرة الفقهاء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المساجد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المصلّى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 في المساجد ص</w:t>
      </w:r>
      <w:r>
        <w:rPr>
          <w:rFonts w:eastAsia="IRNazanin" w:cs="IRNazanin"/>
          <w:b w:val="false"/>
          <w:bCs w:val="false"/>
          <w:i w:val="false"/>
          <w:iCs w:val="false"/>
          <w:color w:val="333333"/>
          <w:sz w:val="20"/>
          <w:szCs w:val="20"/>
        </w:rPr>
        <w:t>105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المصلّی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مُحَمَّدِ بْنِ عِيسَى عَنْ يُونُسَ عَنِ الْعَلَاءِ عَنْ مُحَمَّدِ بْنِ مُسْلِمٍ عَنْ أَحَدِهِمَا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صلى الله عليه و آله و سلم عَنْ سَلِّ السَّيْفِ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إِنَّمَا بُنِي لِغَيْرِ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2176372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 عَنْ أَبِيهِ عَنْ مُحَمَّدِ بْن يَحْيَى عَنْ مُحَمَّدِ بْنِ أَحْمَدَ بإِسْنَادِهِ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مَرَّ برَجُل يَبْرِى مَشَاقِصَ لَهُ فِي الْمَسَاجِدِ فَنَهَاهُ وَ قَالَ إِنَّهَا لِغَيْر هَذَا بُنيت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الأحكام 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الشرواني على تحفة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الإكليل،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يكره الجواز فيها، و جعل ذلك طريقا ليقرب عليه ممره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الحاوى لتحرير الفت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جعله طريقا بحيث لا تبقى صورة المسجدية، إنما حرم ذلك لما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من تغيير الوقف و تخريب مواضع العبادة، و متى فعل ذلك وجب إعادتها إلى المسجدية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يختص الوجوب بالمتغير بل يعمه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فى شرح عبادات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شرائع الإسلام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المختصر النافع في المساجد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نهاية الإحكام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يتعلّق بالمساجد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المساجد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روض الجنان فی المساجد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مدارك الأحكام 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شرائع الإسلام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المختصر النافع في المساجد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إرشاد الاذهان في مكان المصلّى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نهایة الإحكام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المساجد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نهاية الإحكام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يكره إذا استطرقت على وجه لا يلزم منه تغيير صورة المسجد و إل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الأحكام في شرح عبادات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الجنان في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شُعَيْبِ بْن وَاقِدٍ عَنِ الْحُسَيْنِ بْن زَيْدٍ عَنِ الصَّادِقِ عَنْ آبَائِهِ علیهم السلام في حَدِيثِ الْمَنَاهِي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الْمَسَاجِدَ طُرُقاً حَتَّى تُصَلُّوا فِيهَا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النَّبيُّ صل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الْمَصَاحِفَ حُلِّيَتْ وَالْمَسَاجِدَ زُيِّنَتْ وَالْمَنَارَةَ طُوَّلَتْ وَ اتَّخِذَ الْقُرآنُ مَزَامِيرَ وَ الْمَسَاجِدُ طُرُقًا الْمُؤْمِنُ فِي ذَلِكَ الزَّمَانِ أَعَزُّ مِنَ الْكِبْرِيتِ الْأَحْمَرِ أَمَا إِنَّ مَسَاجِدَهُمْ مُزَخْرَفَةٌ وَ أَبْدَانَهُمْ نَقِيَّةٌ وَ قُلُوبَهُمْ أنتَنُ مِنَ الْجيفة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دیدید قرآنها را آراسته و مساجد را تزیین نموده و مناره ها را طولانی بنا می کنند و قرآن را به صورت شعر و با حالت آواز می خوانند و مساجد را محل عبور قرار می دهند، مؤمن در آن زمان از طلای سرخ و خالص 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آنان آراسته و بدنهایشان پاکیزه است ولی دلهای آنان از مردار بدبوی، متعفن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فِي الْعِلَلِ عَنْ عَلِيِّ بْنِ أَحْمَدَ عَنْ مُحَمَّدِ بْنِ أَبِي عَبْدِ اللَّهِ الْكُوفِيِّ عَنْ مُوسَى بْنِ عِمْرَانَ عَنْ عَمِّهِ الْحُسَيْنِ بْنِ يَزِيدَ النَّوْفَلِي عَنْ عَلِيِّ بْنِ أَبِي حَمْزَةَ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اللهِ عَنِ الْعِلَّة فِى تَعْظِيمِ الْمَسَاجِدِ فَقَالَ إِنَّمَا أُمِرَ بِتَعْظِيمِ الْمَسَاجِدِ لِأَنَّهَا بُيُوتُ اللَّهِ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عُثْمَانَ الْكَرَاجُكِيُّ فِي كِتَابِ كَنْزِ الْفَوَائِدِ عَنْ أَبِي الْحَسَنِ بْنِ شَاذَانَ عَنْ أَبِيهِ عَنْ مُحَمَّدِ بْنِ الْحَسَنِ بْنِ الْوَلِيدِ عَنِ الصَّفَّارِ عَنْ مُحَمَّدِ بْنِ زِيَادٍ عَنِ الْمُفَضَّلِ بْنِ عُمَرَ عَنْ يُونُسَ بْنِ يَعْقُوبَ قَالَ سَمِعْتُ الصَّادِقَ جَعْفَرَ بْنَ مُحَمَّدِ علیه السلام يَقُولُ فِي حَدِيثِ يَا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مَلْعُونٌ مَنْ لَمْ يُوَكِّرِ الْمَسْجِدَ كنز الفوائد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الفقهيّة، ص </w:t>
      </w:r>
      <w:r>
        <w:rPr>
          <w:rFonts w:eastAsia="IRNazanin" w:cs="IRNazanin"/>
          <w:b w:val="false"/>
          <w:bCs w:val="false"/>
          <w:i w:val="false"/>
          <w:iCs w:val="false"/>
          <w:color w:val="333333"/>
          <w:sz w:val="20"/>
          <w:szCs w:val="20"/>
        </w:rPr>
        <w:t>74</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الإفادات،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طباطبائى يزدى العروة الوثقى تعليقات عدة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اصفهانی، کشف اللشام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عاملی مفتاح الكوامة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العل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تعظيم المساجد؟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 بتعظيم المساجد؛ لأنها بيوت الله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عاملی،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ابواب احكام المساجد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قمت الى الصلاة، إن شاء الله، فأتها سعيا ولتكن عليك السكينة والوقار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مشى إلى مسجد من مساجد الله تعالى، فله بكل خطوة خطاها حتى يرجع الى منزله عشر حسنات، و محى عنه عشر سيئات، و رفع له عشر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بحراني الحدائق الفاخرة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المشائين الى المساجد فى ظلم الليل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ساطع يوم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أحكام المساجد</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مَشى الى المسجد لَمْ يَضَعْ رجلاً على رطب ولا ياس الاسبحت له الأرض إلى الأرضين السابع شيخ خر عاملى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عبدالله بشيءٍ مثل الصمت والمشى إلى بيته شيخ حر عاملى، 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سَمُرَةَ بْنِ جُنْدَبٍ قَالَ قَالَ رَسُولُ اللَّهِ صلى الله عليه و آله و سلم مَن تَوَضَأَ ثُمَّ خَرَجَ إِلَى الْمَسْجِدِ فَقَالَ حِينَ يَخْرُجُ مِن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الَّذِي خَلَقَنِي فَهُوَ يَهْدِينِ هَدَاهُ اللَّهُ إِلَى الصَّوَابِ مِنَ الْإِيمَانِ وَ إِذَا قَالَ وَ الَّذِي هُوَ يُطْعِمُنِي وَ يَسْقِينِ أطْعَمَهُ اللَّهُ عَزَّ وَ جَلَّ مِنْ طَعَامِ الْجَنَّةِ وَ سَقَاهُ مِنْ شَرَابِ الْجَنَّةِ وَ إِذَا قَالَ وَ إذا مَرِضْتُ فَهُوَ يَشْفِينِ جَعَلَهُ اللَّهُ عَزَّ وَ جَلَّ كَفَّارَةٌ لِذُنُوبِهِ وَ إِذَا قَالَ وَ الَّذِي يُمِيتُنِي ثُمَّ يُحْيِين أمَاتَهُ اللَّهُ عَزَّ وَجَلَّ مِيتَةَ الشُّهَدَاءِ وَ أَحْيَاهُ حَيَاةَ السُّعَدَاءِ وَ إِذَا قَالَ وَ الَّذِي أطْمَعُ أَنْ يَغْفِرَ لِي خَطِيئَتِي يَوْمَ الدِّينِ غَفَرَ اللَّهُ عَزَّ وَ جَلَّ خَطَايَاهُ كُلَّهَا وَ إِنْ كَانَ أَكْثَرَ مِنْ زَبَدِ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هَبْ لِي حُكْماً وَ الْحِقْنِي بِالصَّالِحِينَ وَهَبَ اللَّهُ تَعَالَى لَهُ حُكْماً وَ الْحَقَهُ بِصَالِحِ مَنْ مَضَى وَ صَالِحٍ مَنْ بَقِيَ وَ إِذَا قَالَ وَ اجْعَلْ لِي لسان صدق فِي الْآخِرينَ كَتَبَ اللَّهُ عَزَّ وَ جَلَّ لَهُ وَرَقَةً بَيْضَاءَ إِنَّ فَلَانَ بْن فُلَانِ مِنَ الصَّادِقِينَ وَ إِذَا قَالَ اجْعَلْنِي مِن وَرَثَة جَنَّة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اللَّهُ عَزَّ وَ جَلَّ مَنَازِلَ فِي الْجَنَّةِ وَ إِذَا قَالَ وَ اغْفِرْ لِأَبِي إِنَّهُ كَانَ مِنَ الضَّالِّينَ غَفَرَ اللَّهُ عَزَّ وَ جَلَّ لِأَبَوَيْهِ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فهد حلّى، عُدة الداعي، ص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حسن بن أبي الحسن ديلمي،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ملامحمد باقر مجلسی،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میرزا حسن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بَاب المَسْجِدرٍ، فَاعْلَمُ أَنك قد قَصَدَک بابَ مَلِكِ عَظِيمٍ، لَا يَطَا بساطه إلا المطهرون، و لا يؤذن لِمُجالَسَتِهِ إلا الصديقون، فَهَب القُدومَ إلى بساط هيبة الملک فإنک على خطر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محمدباقر مجلسی،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بُيُوتى فِي الأَرْضِ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طُوبَى لِعَبْدِ تَوَضَأَ فِي بَيْتِهِ،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زارني في بَيْتِي، ألا إنَّ على المزور كَرامة الزائر میرزا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تدخل المساجد الا 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المَسْجِدَ، وأنتَ تُرِيدُ أن تَجْلِسَ، فَلا تَدْخُلُهُ إِلا طاهرا محمد بن الحسن حرّ عاملى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أَحَدٍ يَخْرُجُ من بَيْتِهِ مُتَطَهِّرا فيصلّى الصلاة في الجماعة المسلمين، ثُمَّ يقعد ينتظر الصلاة الأخرى الا والملائكة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له، اللهم ارحم محمد بن الحسن حر عاملی،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العياشي باسناده عن الحسن بن على علیه السلام أنه كان إذا قام إلى الصلاة لبس أجود ثيابه، 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لم تلبس أجود ثيابك؟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جميل يحب الحمال، فأتجمّل لربّي، وه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زينتكم عند كل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فأحب أن ألبس أجمل ثيابي محمد بن الحسين حر عاملی،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المصلّى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التعلقات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الله في تفسير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خذوا ثيابكم التي تتزيَّنُونَ بها للصلاة في الجُمُعَاتِ والأعياد﴾ فضل بن حسن طبرسی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حر عاملی، 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المساجد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الميسوه في فقه الإماميه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نِعَالَكُمْ عِنْدَ أَبواب مَساجِدِكُمْ محمد بن شيخ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المبسوط في فقه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اللمعة الدمشقيه الروضة البهيّة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عنهم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في دخول المسجد أن تبدأ برجلك اليمنى إذا دَخَلْتَ و باليسرى إذا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دخلت المسجد فَادْخُلْ رِجْلَكَ اليمنى وصل على النبي وآل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ميرزا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الحسن، محقق حلّي،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عاملی،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المسجد فصل على النبي صلی الله علیه و آله وإذا خرجت فافعل ذلک محمد بن الحسن حرّ عاملی، وسائل الشیعة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المقتع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وفى الوسائل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وملائكته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الحسن در این روایت تهذيب عبدالله بن الحسن بن الحسن بن على بن أبي طالب علیهما السلام می باشد و مادرش فاطمه بنت الحسين علیهما السلام است و جدته او فاطمة الزهرا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حسن نجفی 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تقى الدين أبوالصلاح الحلبی،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ابن براج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حمزة ابوالمكارم ابن زهره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عاملی،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يزدى،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صلی الله علیه و آله و هو في المسجد جالس،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إنّ للمسجد تحيّة،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تحيّته؟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تركعهما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المناهی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الْمَسَاجِدَ طَرَفاً حَتَّى تُصَلُّوا فِيهَا رَكْعَتَيْنِ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المساجد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علیه السلام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المسجد اذا دخلته أن تُصلّى فيه ركعتين، ومن حق الركعتين أن تقرأ فيهما بأم القرآن ومن حق القرآن أن تعمل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عن 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أمير المؤمنين علیه السلام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حتى دَخَلَ المَسجد، فَصَلّى ركعتين، ثم صعد المنبر الحديث ميرزا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احكام المساجد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حر عاملی، وسائل الشيعة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بن صدقة، عن جعفر بن محمد، عن أبيه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تسلّموا على اليهود، ولا على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المصلى، وذلك لأنّ المصلّى لا يستطيع أن يردّ السلام، لأن التسليم من المسلّم تطوع والردّ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حرّ عاملی،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أَسْمَعُ أَبَى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الْمَسْجِدَ وَ الْقَوْمُ يُصَلُّونَ ، فَلَا تُسَلِّمْ عَلَيْهِمْ ، وَ سَلِّمْ عَلَى النَّبِيِّ صلی اللَّهِ علیه وَ آلِهِ ، ثُمَّ أَقْبِلْ عَلَى صَلَاتِكَ ، وَ إِذَا دَخَلْتَ عَلَى قَوْمٍ جُلُوسٍ يَتَحَدَّثُونَ فَسَلِّمْ عَلَيْهِمْ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المساجد 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عدة من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شیخ جعفر كاشف الغطاء، 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الْبِقَاعِ الْمَسَاجِدِ ، وَ أَحَبُّهُمْ إِلَى اللَّهِ أَوَّلُهُمْ دُخُولًا وَ آخِرُهُمْ خُرُوجاً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عبدالاعلی سبزواری، مهذب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احمد لا ليس كل من قال أحب الله أحبنى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 المسجد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الْقُرْآنُ حَدِيثَهُ وَ الْمَسْجِدُ بَيْتَهُ ، بَنَى اللَّهُ لَهُ بَيْتاً فِى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صدوق،</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أَقَامَ فِى مَسْجِدٍ بَعْدَ صَلَاتِهِ انْتِظَاراً لِلصَّلَاةِ فَهُوَ ضَيْفُ اللَّهِ ، وَ حَقٍّ ، وَ حَقُّ عَلَى اللَّهِ أَنْ يُكْرِمَ ضَيْفَهُ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 وَقْتَ الصَّلَاةِ بَعْدَ الصَّلَاةِ مِنْ زُوَّارِ اللَّهِ عزوجل وَ حَقُّ عَلَى اللَّهِ أَنْ يُكْرِمَ زَائِرَهُ وَأَنْ يُعْطِيَهُ مَا 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لبقاع الْمَسَاجِدُ وَ أَحَبُّهُمْ إِلَى اللَّهِ أَوَّلُهُمْ دُخُولًا وَ آخِرُهُمْ خُرُوجاً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الحسين، شيخ صدوق، من لا يحضره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محم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الحسن، شیخ حر عاملی،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الْمَسَاجِدُ سُوقُ مِنْ أَسْوَاقِ الْآخِرَةِ قِرَاهَا الْمَغْفِرَةُ ، وَ تُحْفَتُهَا الْجَنَّةُ ميرزا حسین نوری،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المساجد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التبيان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ابوعلي، الفضل بن الحسن الطبرسي،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زينتكم عند كل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المشط عند كل صلاة فريضة ونافلة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ابراهیم قمی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محمد بن على بن الحسين، شيخ صدوق،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محمد بن الحسن، شیخ حر عاملی،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خيثمة بن أبي 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بن على علیه السلام إذا قام إلى الصلاة لبس أجود ثيابه، 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لم تلبس أجود ثيابك؟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جميل يحب الجمال، فأتجمل لربّي،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زينتكم عند كل مسجد عند كل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 أن أن ألبس أجود ثيابي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فضل بن حسن طبرسی،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جمهور الاحسائي، عوالی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محمد بن الحسن، شیخ حر عاملی،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باقر مجلسی، بحار 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عياشى،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وَالْبَنُونَ زِينَةُ الْحَيَاةِ الدُّنْيَا إنّ الثمانية ركعات يصليها العبد آخر الليل زينة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تهذيب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الْحَيَاءَ زِينَةُ الاسلام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كَانَ الْحَيَاءُ فِي شَيْ‌ءٍ قَطُّ إِلَّا أَنَّهُ زَانَهُ ميراز حسین نوری،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زِينَةً ، وَ إِنَّ زِينَةَ الصَّلَاةِ رَفْعُ الايدى عِنْدَ كُلِّ 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حر عاملی،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تكبيرة الاحرام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الجهاد 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الحسن بن على علیه السلام أنه قال في خطبته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 الحلم 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جهاد النفس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 الشريف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جهاد النفس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على علیه السلام أنه قال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أوحى إلى عيسى بن مريم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للملأ من بنى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يدخلوا بيتا من بيوتى الا بقلوب طاهرة، وأبصار خاشعة، وأك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المساجد،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كاظم طباطبایی،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محمدباقر بهببهانی، مصابیح الظلام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شیخ یوسف بحرانی،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یزدی،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عاملی، شهید اول،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تعليقة السيد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الطوسی،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ادريس حلى السرائر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محمدباقر بهبهانی، مصابیح الظلام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قمی، غنائم الايام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بحرانی،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جعفر كاشف الغطاء، انوار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مطابق با فتاوای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مراجع معظم تقلید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بحرانی،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میرزا ابوالقاسم قمی، غنائم الايام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مول وحید بهبهانی، مصابیح الظلام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26:22</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شیخ طوسی، التبیان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الحسن، طبرسی،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قمی، غنائم الایام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القمی، غنائم الايام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الخوئي، موسوعة الامام الخوئى التنقيح في شرح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الازالة فورى، فلا يجوز التأخير بمقدار ينافي الضرر العرفي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الخوئي، موسوعة الامام الخوئي، 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علی،العاملی 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محمدباقر سبزواری،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الطباطبایی الحکیم،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الواجب الموقت وإن كان الزمان الذى أخذ فيه ظرفاً بقدر الواجب لا أوسع فهو واجب مضيق، كالصوم، وإن كان أوسع منه فهو موسع كالصلوات اليومية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الخوئى، موسوعة الامام الخوئي، التنقيح في شرح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الخوئي، موسوعة الامام الخوئي، التنقيح في شرح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تعليقة الامام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یزدى، العروة الوثقى مع تعليقات عدة من الفقهاء تعليقة الامام الخميني والسيد 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يزدى، العروة الوثقى مع تعليقات عدة من الفقهاء تعليقة الامام الخميني والسيد 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سید ابوالقاسم الخوئی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علی عاملی 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حسين حلى دليل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احكام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آملی، مصباح الهدی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علی عاملی 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آملی، مصباح الهدی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موسوعة الامام الخوئى التنقيح في شرح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طباطبايى يزدى،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تعليقة الامام الخميني و تعليقة النائيني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طباطبایی یزدی،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الخوئى موسوعة الامام الخوئى 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الحسين، شیخ صدوق،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محمدتقى مجلسى، روضة المتقین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الاجارة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بحوث في شرح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الوقوف والصدقات،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الخوئي، موسوعة الامام الخوئى التنقيح فى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طباطبایی یزدی،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الخوئی وتعلیقة الگلپایگانی</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محمدباقر الصدر، بحوث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حلى، دليل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حسين حلى، دليل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یزدى،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مصباح الهدى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عبدالاعلی سبزواری، مهذب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الخوئى موسوعة الامام الخوئى، التنقيح في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طباطبایی یزدی،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البروجردي، وتعليقة الشيرازي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طباطبایى يزدى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تعليقة البروجردي، وتعليقة الشيرازي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تعليقة البروجردي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الامام الخميني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عبدالاعلی سبزواری، مهذب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كشف الالتباس في المساجد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رحمه الله در تذكرة الفقهاء فى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للنساء الاختلاف إليها كالرجال و إن كان البيت أفضل و خصوصاً لذوات الهيئات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2859</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الاشعث السجستاني،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،بیروت دارالفکر،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زرکشی، اعلام الساجد بأحكام المساجد،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مصر، قاهره،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 فِي لُبِّ اللُّبَابِ، 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بُيُوتُ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عَن الصَّفَّارِ عَنْ مُحَمَّدِ بْن عِيسَى عَنِ الْحُسَيْنِ بْن خَالِدٍ عَنْ حَمَّادِ بْن سُلَيْمَانَ عَنْ عَبْدِ اللَّهِ بْنِ جَعْفَرِ 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قَالَ اللَّهُ تَبَارَكَ وَ تَعَالَى أَلَا إِنَّ بُيُوتِي فِي الْأَرْضِ الْمَسَاجِدُ تُضِيءُ لِأَهْلِ السَّمَاءِ كَمَا تُضِيءُ النُّجُومُ لِأَهْلِ الْأَرْضِ أَلَا طُوبَى لِمَنْ كَانَتِ الْمَسَاجِدُ بُيُوتَهُ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الْمَسْجِدِ زُوَّارُ اللَّهِ وَ حَقٌّ عَلَى الْمَزُور و التَّحْفَةُ لِزَائِرِهِ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عِقَابِ الْأَعْمَالَ عَنْ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مَشَى إِلَى مَسْجِدٍ مِنْ مَسَاجِدِ اللَّهِ فَلَهُ بِكُلِّ خُطْوَة خَطَاهَا حَتَّى يَرْجِعَ إِلَى مَنْزِلِهِ عَشْرُ حَسَنَاتٍ وَ مُحِيَ عَنْهُ عَشْرُ سَيِّئَاتِ وَ رُفِعَ لَهُ عَشْرُ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امر بناته و نسائه أن يخرجن في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احکام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قَالَ أَمِيرُ الْمُؤْمِنِينَ علیه السلام كُنَّ النِّسَاءُ يُصَلِّينَ مَعَ النَّبِيِّ صلی الله علیه و آله فَكُنَّ يُؤْمَرْنَ أَنْ لَا يَرْفَعْنَ رُءُوسَهُنَّ قَبْلَ الرِّجَالِ لِضيق 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 عَنْ أَبِيهِ عَنْ عَلِيِّ بْنِ إِبْرَاهِيمَ عَنْ أَبِيهِ عَنْ عَبْدِ اللَّهِ بْن مَيْمُونَ عَنْ جَعْفَرَ بْن مُحَمَّدٍ عَنْ أَبِيهِ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سلم يَسْمَعُ صَوْتَ الصَّبِيِّ وَ هُوَ يَبْكِي وَ هُوَ فِي الصَّلَاةِ فَيُخَفِّفُ الصَّلَاةَ أَن تَعْبُرَ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استأذنكم نِسَاؤُكُمْ بِاللَّيْلِ الَىَّ الْمَسْجِدِ فَأَذِّنُوا لَهُنَّ صحيح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سنن الكوى لليسهقی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5469</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بن عبدالله، عن أبيه، عن النبي، إِذَا اسْتَأْذَنَتْ إِمْرَأَةُ أَحَدُكُمْ إِلَى الْمَسْجِدِ فَلَا يَمْنَعْهَا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سنن التسائي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تَمْنَعُوا إِمَاءِ اللَّهِ مَسَاجِدِ اللَّهُ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7693</w:t>
      </w:r>
      <w:r>
        <w:rPr>
          <w:rFonts w:ascii="IRNazanin" w:hAnsi="IRNazanin" w:eastAsia="IRNazanin"/>
          <w:b w:val="false"/>
          <w:b w:val="false"/>
          <w:bCs w:val="false"/>
          <w:i w:val="false"/>
          <w:i w:val="false"/>
          <w:iCs w:val="false"/>
          <w:color w:val="333333"/>
          <w:sz w:val="20"/>
          <w:sz w:val="20"/>
          <w:szCs w:val="20"/>
          <w:rtl w:val="true"/>
        </w:rPr>
        <w:t>، السنن الكبرى للبيهقى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تَمْنَعُوا النِّسَاءِ حُطو ظهن مِنَ الْمَسَاجِدِ اذا استأذنوكم فقال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لَنَمْنَعُهُنَّ، فقال له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وتقول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لنمنعهن صحیح مسلم،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كان فأفضلية المكتوبة فى المساجد إنما هي للرجال دون النساء و إن أطلق بعض الأصحاب، بل ربما كان هو مقتضى أصالة الاشتراك في الأحكام، لكن لا نعرف خلافا بينهم، بل ظاهرهم الاتفاق عليه في أفضلية صلاتها في المنزل من صلاتها فيها رعاية للستر المطلوب منهن، و حذرا عن الافتتان بهن و الفتنة بسببهن لو خرجن إليها مجتمعة الفتنة بسببهن لو خرجن إليها مجتمعة مع الرجال، و عن توصلهن إلى كثير من القبائح التي هن مظنتها باعتبار نقص عقولهن و غلبة شهواتهن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الأفضل للنساء الصلاة في بيوتهن و أفضل البيوت بيت المخدع أى بيت الخزانة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طباطبایی یزدى العروة الوثقى مع تعليقات عدة من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المساجد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المصلّى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أحكام المساجد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عَنْ مُحَمَّدِ بْنِ أَحْمَدَ بْنِ يَحْيَى عَنْ سَهْلِ عَنْ جَعْفَرِ بْنِ مُحَمَّدِ بْنِ بَشَّارٍ عَنْ عَبْدِ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الدِّهْقَانِ عَنْ عَبْدِ الْحَمِيدِ عَنْ أَبِي إِبْرَاهِيمَ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مَسَاجِدَكُمْ صِبْيَانَكُمْ وَ مَجَانِينَكُمْ وَ شِرَاءَكُمْ وَ بَيْعَكُمْ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الْحَسَنِ بْن مُوسَى الْخَشَابِ عَنْ عَلِيِّ بْنِ أَسْبَاطِ عَنْ بَعْضٍ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مَسَاجِدَكُمُ الْبَيْعَ وَ الشِّرَاءَ وَ الْمَجَانِينَ وَالصَّبْيَانَ وَ الْأَحْكَامَ وَالصَّالَةَ وَالْحُدُودَ وَ 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مَحْبُوبِ عَنْ عَبْدِ الرَّحْمَنِ بْنِ الْحَجَّاجِ عَنْ جَعْفَرِ بْنِ إِبْرَاهِيمَ عَنْ عَلِيِّ بْنِ الْحُسَيْنِ صِقَالَ 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سَمِعْتُمُوهُ يُنْشِدُ الشِّعْرَ فِي الْمَسَاجِدِ فَقُولُوا فَضَ اللَّهُ فَاكَ إِنَّمَا نُصِبَتِ الْمَسَاجِدُ لِلْقُرآنِ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 عَنْ أَبِيهِ عَنْ مُحَمَّدِ بْن يَحْيَى عَنْ مُحَمَّدِ بْن أَحْمَدَ بإِسْنَادِهِ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مَرَّ بِرَجُل يَبْرِى مَشَاقِصَ لَهُ فِي الْمَسَاجِدِ فَنَهَاهُ وَ قَالَ إِنَّهَا لِغَيْرِ هَذَا بُنِيَت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و احكامها في الشريعة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فى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فى المساجد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فى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أحكام المساجد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في مسائل الحلال و الحرام،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ينبغى أن يراد بالصبى من لا يوثق به، أما من علم منه ما يقتضى الوثوق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لمحافظت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التنزه من النجاسات، و أداء الصلوات، فالظاهر أنه لا يكره تمكينه، بل ينبغى القول باستحباب تمرينه على فعل الصلاة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فى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في 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ينبغى إضافة مخافة ما ينافي توقير المسجد من اللعب و نحوه، أو أذية المصلين و نحو ذلک إلى التلويث، و وجهه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المحتار،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الإكليل،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حاشية الشرواني على تحفة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العباب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الإفادات،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دخول الكفار المساجد، لا بإذن ولا بغير إذن، أى مسجد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إِنَّمَا الْمُشْرِكُونَ نَجَس فحكم عليهم بالنجاسة، فإذا ثبتت نجاستهم، فلا يجوز دخولهم شيئا من المساجد، لأن النجاسات لا يجوز إدخالها المساجد بلا خلاف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مجلة فقه 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قطب الدين الراوندي،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المحقق الحلى،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العلامة الحلى،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الاذهان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العلامة الحلي، ضمن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العلامة الحلى،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دخول الكفار المسجد الحرام بلا إشكال سواء كانوا من أهل الذمة أم لا، و لا سائر المساجد إذا كان في دخولهم هتک بل مطلقا على الأحوط لو لم يكن الأقوى، و ليس للمسلمين إذنهم فيه، و لو أذنوا لم يصح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النَّبِيُّ صلی الله علیه و آله رَجُلًا يُنشِدُ ضَالَّةً فِي الْمَسْجِدِ فَقَالَ قُولُوا لَهُ لَا رَدَّ اللَّهُ عَلَيْكَ فَإِنَّهَا لِغَيْر هَذَا بُنِيَت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يَأْتِي فِي آخِرِ الزَّمَانِ قَوْمٌ يَأْتُونَ الْمَسَاجِدَ فَيَقْعُدُونَ حَلَقاً ذِكْرُهُمُ الدُّنْيَا وَ حُبُّ الدُّنْيَا لَا تُجَالِسُوهُمْ فَلَيْسَ لِلَّهِ فِيهِمْ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لَحَدِيثُ الْبَغْى فِي الْمَسْجِدِ يَأْكُلُ الْحَسَنَاتِ كَمَا تَأْكُلُ الْبَهِيمَةُ الْحَشِيش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كُلُّ جُلُوس فِي الْمَسْجِدِ لَغْوٌ إِلَّا ثَلَاثَةٌ قِرَاءَةُ مُصَلِّ أَوْ ذَاكِرُ اللَّهِ تَعَالَى أوْ سَائِلٌ عَنْ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عَنْ رَسُولِ اللَّهِ صلی الله علیه و اله فِي وَصِيَّتِهِ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وَاتْرُكَ اللَّغْوَ مَا دُمْتَ فِيهَا فَإِنْ لَمْ تَفْعَلْ فَلَا تَلُومَنَّ يَوْمَ الْقِيَامَة إِلَّا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135</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في فقه الإمامية،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سداد العباد و رشاد العباد، ص </w:t>
      </w:r>
      <w:r>
        <w:rPr>
          <w:rFonts w:eastAsia="IRNazanin" w:cs="IRNazanin"/>
          <w:b w:val="false"/>
          <w:bCs w:val="false"/>
          <w:i w:val="false"/>
          <w:iCs w:val="false"/>
          <w:color w:val="333333"/>
          <w:sz w:val="20"/>
          <w:szCs w:val="20"/>
        </w:rPr>
        <w:t>83</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و احكامها في الشريعة الاسلامية،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فِى الْخِصَالِ، عَنْ أَبِي سَعِيدٍ مُحَمَّدِ بْنِ الْفَضْلِ بْن مُحَمَّدِ بْنِ إِسْحَاقَ الْمُذَكَّرَ عَنْ أَبِي يَحْيَى الْبَزَازِ النَّيْسَابُورِيِّ عَنْ مُحَمَّدِ بْن حُسَامِ بْنِ عِمْرَانَ الْبَلْخِيِّ عَنْ قُتَيْبَةَ بْنِ سَعِيدٍ عَن فَرَجِ بْنِ فَضَالَةَ عَنْ يَحْيَى بْنِ سَعِيدٍ عَنْ مُحَمَّدِ بْن عَلِيٍّ عَنْ أَبِيهِ عَنْ عَلِيٍّ بن أبي طَالِب علیه السلام قَالَ 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فَعَلَتْ أُمَّتِي خَمْسَ عَشْرَةَ خَصْلَةً حَلَّ بِهَا الْبَلَاءُ إِلَى أنْ عَدَّ الله مِنْهَا وَارْتَفَعَتِ الْأَصْوَاتُ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ایشان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عَنْ رَسُولِ اللَّهِ صلی الله علیه و اله فِي وَصِيَّتِهِ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مَنْ أَجَابَ دَاعِيَ اللَّهِ وَ أَحْسَنَ عِمَارَةَ مَسَاجِدِ اللَّهِ كَانَ تَوَابُهُ مِنَ اللَّهِ الْجَنَّةَ فَقُلْتُ كَيْفَ يُعْمَرُ مَسَاجِدُ اللَّهِ قَالَ لَا تُرفَعُ فِيهَا الْأَصْوَاتُ وَ لَا يُخَاصُ فِيهَا بِالْبَاطِل مكارم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الْحَسَنِ بْنِ مُوسَى الْخَشَابِ عَنْ عَلِيٍّ بن أسْبَاطِ عَنْ بَعْضٍ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جَنِّبُوا مَسَاجِدَكُمُ الْبَيْعَ وَالشِّرَاءَ وَالْمَجَانِينَ وَ الصَّبْيَانَ وَالْأَحْكَامَ وَ الضَّالَةَ وَالْحُدُودَ وَ 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علل الشرائع،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جَنِّبُوا مَسَاجِدَكُمْ صِبْيَانَكُمْ وَ مَجَانِينَكُمْ وَ رَفْعَ أَصْوَاتِكُمْ وَ شِرَاءَكُمْ وَ بَيْعَكُمْ وَ الضَّالَةَ وَالْحُدُودَ وَ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 عَنْ أَبِيهِ عَنْ مُحَمَّدِ بْنِ يَحْيَى عَنْ مُحَمَّدِ بْنِ أَحْمَدَ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فِي الْمَسَاجِدِ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المؤمنين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نَهَى رَسُولُ اللَّهِ صلی الله علیه و آله أَن تُقَامَ الْحُدُودُ فِي الْمَسَاجِدِ وَ أَنْ يُرْفَعَ فِيهَا الصَّوْتُ الْخَبَرَ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109</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تحریر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ذکرى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اللمعة الدمشقية، في مكان المصلّى،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النفلية،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البیان،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الرَّاوَنَدِئَ بِإِسْنَادِهِ عَنْ مُوسَى بْنِ جَعْفَرٍ عَنْ آبَائِهِ علیهم السلام قَالَ قَالَ رَسُولُ اللَّهِ صلى الله عليه و آله و سلم جَنِّبُوا مَسَاجِدَكُمْ مَجَانِينَكُمْ وَ صِبْيَانَكُمْ وَ رَفْعَ أَصْوَاتِكُمْ إِلَّا بِذِكْرِ اللَّهِ تَعَالَى وَ بَيْعَكُمْ وَ شِرَاءَكُمْ وَ سِلَاحَكُمْ وَ جَمْرُوهَا فِي كُلِّ سَبْعَةِ أَيَّامٍ وَضَعُوا الْمَطَاهِرَ عَلَى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أحكام المساجد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كفاية الأحكام في المساجد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في أحكام صلاة 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المتجاوز عن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أحكام المساجد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المساجد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الفقه على المذاهب الأربعة و مذهب 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الامّهات؛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المدخل لابن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الدسوقى على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و مذهب اهل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في معرفة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مُحَمَّدٍ عَنْ سَهْلِ بْنِ زِيَادٍ عَنْ مُحَمَّدِ بْنِ الْحَسَنِ بْنِ شَمُّونِ عَنْ عَبْدِ اللَّهِ بْنِ عَبْدِ الرَّحْمَنِ عَنْ مِسْمَع أَبِي سَيَّارِ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و سلم عَنْ رَطَانَة الْأَعَاجِمِ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الأعجمية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رأيتهما يتراطنان و هو كل كلام لا تفهمه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الرَّطَانَةُ بفتح الراء و كسرها، والتَّرَاطُنُ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لا يفهمه الجمهور، و إنما هو مواضعة بين اثنين أو جماعة، و العرب تخص بها غالبا كلام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کراهت این مطلقا معلوم نیست بلی آنچه مکروه است یقیناً تکلّم به رمز که دو نفر یا زیادتر از برای خود قرار می دهند که غیر نفهمد چنانچه متداول است بین اهل عجم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على اطلاقه محل تأمل و اشکال،است به جهت آنکه کراهت حرف زدن غیر عرب در بلاد خودشان به لسان خودشان از اخبار استفاده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کوهکمره ای جامع عباسی و تکمیل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كَرِهَ مَالِكٌ مَا هُوَ أَخَفٌ مِنْ هَذَا وَهُوَ الْكَلَامُ بِغَيْرِ لِسَانِ الْعَرَب فِي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وَأَكْرَهُ أَنْ يَتَكَلَّمَ بِأَلْسِنَةِ الْعَجَمِ فِي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ذَلِكَ لِمَا قِيلَ فِي الْسِنَةِ الْأَعَاجِمِ إِنَّهَا خَلٌّ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يُفْعَلُ فِي الْمَسْجِدِ شَيْءٌ مِنْ الْخَبِّ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لِمَنْ يُحْسِنُ الْعَرَبيَّةَ أَشَدُّ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دُخُولِ الْمَسَاجِدِ وَ فِي فِيهِ رَائِحَةُ تُومٍ أَوْ بَصَل أَوْ كُرَاتِ أَوْ غَيْرِهَا مِنَ الْمُوْذِيَاتِ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ص </w:t>
      </w:r>
      <w:r>
        <w:rPr>
          <w:rFonts w:eastAsia="IRNazanin" w:cs="IRNazanin"/>
          <w:b w:val="false"/>
          <w:bCs w:val="false"/>
          <w:i w:val="false"/>
          <w:iCs w:val="false"/>
          <w:color w:val="333333"/>
          <w:sz w:val="20"/>
          <w:szCs w:val="20"/>
        </w:rPr>
        <w:t>226</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ابْنِ أَبِي عُمَيْرِ عَنْ عُمَرَ بْنِ أَذَيْنَةَ عَنْ مُحَمَّدِ بْنِ مُسْلِمٍ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أكل التوم فَقَالَ إِنَّمَا نَهَى رَسُولُ اللَّهِ صلی الله علیه و آله عَنْهُ لِرِيحِهِ، فَقَالَ مَنْ أكَلَ هَذِهِ الْبَقَلَةَ الْخَبيثَةَ فَلَا يَقْرَبْ مَسْجِدَنَا فَأَمَّا مَنْ أَكَلَهُ وَلَمْ يَأْتِ الْمَسْجِدَ فَلَا بَأسَ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يَحْيَى عَنْ أَحْمَدَ بْن مُحَمَّدٍ عَنِ الْحُسَيْنِ بْن سَعِيدٍ عَنْ حَمَّادٍ عَنْ شُعَيْبٍ عَنْ أَبِي بَصِيرِ عَنْ أَبِي عَبْدِ اللَّهِ علیه السلام أَنَّهُ سُئِلَ عَنْ أَكْلِ النُّومِ وَ الْبَصَلِ وَالْكُرَّاثِ قَالَ لَا بَأْسَ بِأَكْلِهِ نِيَا وَ فِي الْقُدُورِ وَ لَا بَأْسَ بِأَنْ يُتَدَاوَى بِالنُّومِ وَ لَكِنْ إِذَا أَكَلَ أَحَدُكُمْ ذَلِكَ فَلَا يَخْرُجْ إِلَى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الْبَرْقِيُّ فِي الْمَحَاسِنِ عَنِ الْوَشَاءِ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الْكُرَاتِ فَقَالَ لَا بَأْسَ بِأَكْلِهِ مَطْبُوحًا وَ غَيْرَ مَطْبُوحَ وَلَكِنْ إِنْ أَكَلَ مِنْهُ شَيْئًا لَهُ أَذًى فَلَا يَخْرُجُ إِلَى الْمَسْجِدِ كَرَاهِيَة أَذَاهُ مَنْ يُجَالِسُ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اللأَلِي، رَوَى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و سلم عَنْ أَكْلِ الْكُرَّاثِ فَلَمْ يَنتَهُوا وَلَمْ يَجِدُوا مِنْ ذَلِكَ بُداً فَوَجَدَ ريحَهَا فَقَالَ أَلَمْ أَنْهَكُمْ عَنْ أكُل هَذِهِ الْبَقْلَةِ الْخَبِيثَةِ مَنْ أَكَلَهَا فَلَا يَغْشَانَا فِي مَسْجِدِنَا فَإِنَّ الْمَلَائِكَةَ تَتَأذَى بمَا يَتَأَذَى مِنْهُ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العزيزية،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عَنِ الْبَرْقِيٍّ عَنِ الْقَاسِمِ بْنِ يَحْيَى عَنْ جَدِّهِ الْحَسَنِ بْن رَاشِدٍ عَنْ أَبي بَصِيرٍ عَنْ أَبي عَبْدِ اللَّهِ علیه السلام عَنْ آبَائِهِ علیهم السلام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شَيْئاً مِنَ الْمُوْذِيَاتِ ريحُهَا فَلَا يَقْرَبَنَّ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النهاية فى مجرد الفقه و الفتاوى،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فى شرح عبادات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 الحرام،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فضل المساجد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الصلاة 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 كتاب الصلاة فى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المساجد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حَدَّثَنِي مُوسَى قَالَ حَدَّتَنَا أَبي عَنْ أَبِيهِ عَنْ جَدِّهِ جَعْفَر بْن مُحَمَّدٍ عَنْ أَبِيهِ عَنْ جَدِّهِ عَلِيِّ بْنِ الْحُسَيْنِ عَنْ أَبِيهِ عَنْ عَلِيٍّ لا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وَقَرَ الْمَسْجِدَ مِنْ نُخَامَة لَقِيَ اللَّهَ تَعَالَى يَوْمَ الْقِيَامَةِ ضَاحِكاً قَدْ أَعْطِيَ كِتَابَهُ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أَبِي إِسْحَاقَ النَّهَا وَنْدِي عَنِ الْبَرْقِى عَنِ ابْنِ أَبِي عُمَيْرٍ عَنْ عَبْدِ اللَّهِ بْنِ سِنَانِ قَالَ سَمِعْتُ أَبَا عَبْدِ اللَّهِ علیه السلام يَقُولُ مَنْ تَنَخَّعَ فِي الْمَسْجِدِ ثُمَّ رَدَّهَا فِي جَوْفِهِ لَمْ تَمُرَّ بِدَاءِ فِي جَوْفِهِ إِلَّا أَبْرَأَتْهُ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فِي ثَوَابِ الْأَعْمَالِ عَنْ أَبِيهِ عَنْ عَبْدِ اللَّهِ بْنِ جَعْفَرِ الْحِمْيَرِيِّ عَنِ السِّنْدِيِّ بْنِ مُحَمَّدٍ عَنْ طَلْحَةَ بْنِ زَيْدٍ عَنْ جَعْفَرٍ عَنْ أَبِيهِ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مَن رَدَّ رِيقَهُ تَعْظِيماً لِحَقِّ الْمَسْجِدِ جَعَلَ اللَّهُ رِيقَهُ صِحَةً فِي بَدَنِهِ وَ عُوفِيَ مِنْ بَلْوَى فِي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الْبَرْقِيُّ فِي الْمَحَاسِنِ عَنِ النَّوْفَلِيِّ عَنِ السَّكُونِي عَنْ جَعْفَرٍ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رَدَّ رِيقَهُ تَعْظِيماً لِحَقِّ الْمَسْجِدِ جَعَلَ اللَّهُ ذَلِكَ قُوَّةً فِي بَدَنِهِ وَكَتَبَ لَهُ بِهَا حَسَنَةً وَ حَطَّ عَنْهُ بِهَا سَيِّئَةً وَ قَالَ لَا تَمُرُّ بدَاءٍ فِي جَوْفِهِ إِلَّا أَبْرَأَتُهُ المحاسن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وَقَرَ الْمَسْجِدَ مِنْ نُخَامَة لَقِيَ اللَّهَ يَوْمَ الْقِيَامَةِ ضَاحِكاً قَدْ أُعْطِيَ كِتَابَهُ بِيَمِينِهِ وَ إِنَّ الْمَسْجِدَ لَيَلْتَوى عِنْدَ النُّخَامَة كَالْتِوَاءِ أَحَدِكُمْ بِالْخَيْزَرَانِ إِذَا وَقَعَ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مُحَمَّدُ بْنُ الْحُسَيْنِ بْنِ مُوسَى بْنِ بَابَوَيْهِ الْقُمِّيُّ رُوِيَ عَنْ شُعَيْبِ بْنِ وَاقِدٍ عَنِ الْحُسَيْنِ بْنِ زَيْدٍ عَن الصَّادِقِ جَعْفَرَ بْن مُحَمَّدٍ عَنْ أَبِيهِ عَنْ آبَائِهِ عَنْ أمِيرِ الْمُؤْمِنِينَ عَلِيٍّ بن أبي طَالِبِ علیه السلام قَالَ نَهَى رَسُولُ اللَّهِ صلی الله علیه و آله عَنْ تَقلِيمِ الْأَطْفَارِ بِالْأَسْنَانِ وَ عَنِ السِّوَاكِ فِي الْحَمَّامِ وَالتَّنَخْ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فِي الْمَسَاجِدِ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أمالي الصدوق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أَحْمَدَ بْنِ مُحَمَّدٍ عَنْ مُحَمَّدِ بْنِ يَحْيَى عَنْ غِيَاتِ بْنِ إِبْرَاهِيمَ عَنْ جَعْفَرٍ عَنْ أَبِيهِ أَنَّ عَلِيّاً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الْبُزَاقُ فِى الْمَسْجِدِ خَطِيئَةٌ وَكَفَّارَتُهُ 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رک به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الْبُصَاقِ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الْمَسْجِدِ حَتَّى الْمَسْجِدِ الْحَرَامِ عَلَى كَرَاهِيَةِ تَتَأكَّدُ فِي الْبُصَاقِ مُسْتَقَبلَ الْقِبْلَةِ أَمَامَهُ وَ عَنْ يَمِينِهِ وَ اسْتِحْبَاب رَبِّ الرِّيقِ فِيهِ وَ دَفْنِهِ إِنْ بَصَقَ وَ عَدَمِ وُجُوبِهِ، 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النُّخَامَة وَالتَنَخْع فِي الْمَسْجِدِ وَ اسْتِحْبَابِ رَدَّهَا فِي الْجَوْفِ وَ دَفْنِهَا إِنْ أَخْرَجَهَا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 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البصاق فى المسجد عطئة، وكفارتها 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بشرح السبوطی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أنس ابن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رأی رسول الله صلى الله عليه وسلم نخامة في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المسجد، فغضب حتى احمووجهم فقامت امرأة من أنصار فحكها، وجعلت مكانها خلوقاً، فقال رسول الله صلى عليه وسلم ما أحسن هذا 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عايشة أن النبي صلى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 بزاقا في قبله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قزوینی،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764</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وأبي سعيد الخدري أنهما أخبراه أن رسول الله صلى الله عليه وسلّم رأى نخامةً في جدار المسجد، فتناول حصاة فحكّها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حاشية الشرواني على تحفة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مختصر الإفادات،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بهوتی، کشف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القوانين الفقهية،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جواهر الإكليل،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رمیک بحصاة أو نواة تأخذها بين سبابتيک و تَخْذِفُ بها أی ترمی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معجم مقائیس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شمس العلوم و دواء كلام العرب من الكلوم،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المصباح المنير في غريب الشرح الكبير للرافعی،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في رمي الجمرة القصوى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المبسوط في نزول منی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الإفاضة من عرفات و الوقوف بالمشعر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المضى إلى مزدلفة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الكافي في الفقه في رمى جمرة العقبة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غنية النزوع فى الرمي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الإفاضة فى عرفات و الوقوف بالمشعر الحرام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تحرير الأحكام في الورود بمنى و رمي الجمرة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زول منی و قضاء مناسكها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منتهى المطلب في رمي الجمار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فى الحذف يحصى الجمار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في تفسيره أن تضع الحصاة على بطن إبهام يدك اليمنى و تدفعها بظفر السبابة، و هو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 الخذف بالحصى الرمي بها بالإصبع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يتعلق بالمساجد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يتعلق بالمساجد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مختلف الشيعة في أحكام 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البیان فی المساجد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فى المساجد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إِبْرَاهِيمَ بْنِ هَاشِمٍ عَنِ النَّوْفَلِيِّ عَنِ السَّكُونِيٍّ عَنْ جَعْفَرٍ عَنْ آبَائِهِ علیهم السلام عَنْ أَنَّ النَّبِي صلی الله علیه و آله مَا أَبْصَرَ رَجُلًا يَخْذِفُ بِحَصَاةٍ فِي الْمَسْجِدِ فَقَالَ مَا زَالَتْ تَلْعَنُ حَتَّى وَقَعَتْ ثُمَّ قَالَ الْحَذْفُ فِي النَّادِي مِنْ أَخْلَاقِ قَوْمِ لُوطٍ ثُمَّ تَلَاةِ علیه السلام قَالَ هُوَ 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أَحْمَدَ بْنِ مُحَمَّدٍ عَنْ عَلِيِّ بْنِ الْحَكَم عَنْ مَالِكِ بْنِ عَطِيَّةَ عَنْ زِيَادِ بْنِ الْمُنْذِرِ عَنْ الله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بِالْحَصَى وَمَضْعُ الْكُنْدُرِ فِى الْمَجَالِسِ وَ عَلَى ظَهْرِ الطَّرِيقِ مِنْ عَمَل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يجوز رمى الحصا في المسجد حذفا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الفتاوی؛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کشف اللثام و الإبهام عن 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المساجد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إرشاد الأذهان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نهاية الإحكام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مختلف الشيعة فى أحكام المساجد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في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البيان في أحكام المساجد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النفلية في المساجد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أحكام المساجد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في المساجد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المساجد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أحكام المساجد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المصلّى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الفتاوى،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وكشف العورة، لأن ذلك استخفاف بالمسجد، و هو محل 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أَحْمَدَ عَنِ الْبَرْقِيِّ عَنِ النَّوْفَلِي عَنِ السَّكُونِي عَنْ جَعْفَرٍ عَن أبيه علیهم السلام أَنَّ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السُّرَّةَ وَ الْفَخِذِ وَالرُّكْبَة فِي الْمَسْجِدِ مِنَ الْعَوْرَة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فوائد الشرائع في المساجد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المرعشى برقم </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الفتاوی،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 الشيخ بأن هذه من العورة، و العورة يجب سترها، فلا يجوز كشفها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تسميته بالعورة للمجاورة، و نمنع وجوب ستر العورة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ِبالْآخِرَةِ هُمْ يُوقِنُونَ سوره بقره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كَذَّبُوا بِآيَاتِنَا وَ لِقَاءِ الْآخِرَةِ حَبِطَتْ أَعْمَالُهُمْ هَلْ يُجْزَوْنَ إِلَّا 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يعتبر فيه البلوغ و كمال العقل و جواز التصرف و في وقف من بلغ عشرا تردد و المروى جواز صدقته و الأولى المنع لتوقف رفع الحجر على البلوغ و 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في وقف من بلغ عشرا مميزا تردد بل خلاف، فعن المقنعة الأول، و عن وصايا النهاية و المهذب جواز صدقته بل في جامع المقاصد في الوكالة أن المشهور جواز تصرفه في الوصية و العتق و الصدقة، و المشهور الثاني بل لعل عليه عامة المتأخرين، بل لعل الخلاف منحصر في خصوص المفيد بناء على إرادة ما لا يشمل الوقف من الصدقة في كلامهم، بل و لا دليل عليه، ضرورة اختصاص خبر زرارة عن أبي جعفر علیه السلام فى الصدقة على الوجه المعروف في البالغ عشرا و موثق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أحدهما في صدقة الغلام إذا كان قد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موثق الحلبي و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المصنف المروى جواز صدقته على أنه فى المسالك مثل هذه الأخبار الشاذة المخالفة الأصول المذهب بل إجماع المسلمين لا تصلح لتأسيس هذا الحكم، و في جامع المقاصد لا تنهض معارضات للتواتر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ينافي ذلک جواز وصیته و لو بالوقوف للنصوص المعمول بها بين معظم الأصحاب مع حرمة القياس و حينئذ فلا ريب فى أن الأولى المنع بل هو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و معلومية توقف رفع الحجر على البلوغ و الرشد و من المعلوم عدم تحقق الأول منهما ببلوغ العشر، و دعوی کونه بلوغا بالنسبة إلى خصوص ذلك واضحة المنع، ضرورة أن البلوغ مرتبة خاصة لا تفاوت فيها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فقیهان امامی و عرصه های ولایت 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السابع في المتولّى و الناظر للعين الموقوفة و هما بمعنى واحد، و المراد بهما من ينظر في شؤون المال الموقوف و يدبر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يطلق المتولّى على المتصرف و المباشر لتدبير أمور الوقف استقلالا، أو مع شراكة الغير، و الناظر على من يلزم أن يكون تصرفات المتولّى باطلاعه، أو باستصوابه و تصويبه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ذكرنا ظهر أن الناظر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إعمال المتولّى باطلاعه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بنظره و تصويبه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فقه و کیفیت بیان آن،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في شرائط الواقف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في أحكام الوقف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يشترط فى الواقف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عدم اشتراط العدالة في الواقف إذا جعل التولية لنفسه، و إن احتمله في المسالک و نقل فيه قولين فى الكفاية والرياض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قلنا إن النظر إلى الواقف ابتداء أو مع شرطه فالنظر إليه، سواء كان عدلا أم لا، لأنه إنما نقل ملكه عن نفسه على هذا الوجه فيتبع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إلى تنقيح شرائع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بَعْضُ أَصْحَابِنَا إِلَى أَبِي مُحَمَّدِ علیه السلام فِي الْوُقُوفِ وَ مَا رُويَ فِيهَا فَوَقَعَ علیه السلام الْوُقُوفُ عَلَى حَسَب مَا يَقِفُهَا أَهْلُهَا إِنْ شَاءَ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مقتضى الإطلاق نصا و فتوى عدم الفرق فی ذلک بین كونه عدلا أو فاسقا كما واحد بل لم أجد فيه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في أحكام الوقف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اشترط النظر لنفسه فقد اختلف الأصحاب في اعتبار عدالته على قولين، 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على اعتبارها في الغير إذا اشترط النظر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يقتضى العدم فيه و في الغير أيضاً، إلا أن اتفاقهم عليه في الثاني كما في كلام جماعة قد حكى أوجب تخصيصه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شرط لغيره فالمعروف من مذهب الأصحاب اعتبار العدالة خلافاً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فى أن الواقف أحق بالتولية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شرائط الواقف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في شرائط الواقف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في حكم الناظر على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في الوقف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الوقف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في أحكام الوقف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اتفقوا على اعتبارها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العدالة في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اشترط النظ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أن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الاتفاق حكاه جماعة و لم نجد أحداً حكاه سوى ما لعله يلوح من قوله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المعروف من مذهب الأصحاب، بل قل من تعرض لاعتبارها في غيره و إنما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و الدروس و المسالک و الروضة و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و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كونه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بمعنى العدالة، بل قد خالف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فلم يشترطها في الموقوف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جعل النظر للأرشد عمل بذلك، و لو كان الأرشد فاسقاً فالأقرب عدم ضمّ عدل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 قواع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حينئذ فالمتجه عدم الفرق بين اشتراطها لنفسه و لغيره بالنسبة إلى ذلك، و ما في سيدنا أمير المؤمنين علیه السلام من اعتبار الرضا بهديه و إسلامه وأمانته لا يدل على اشتراط ذلك في أصل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ففى المسالك و غيرها أنه إن عادت العدالة إليه عادت النظارة إن كان مشروطا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الواقف و نحو ذلك قد ذكروه في الوصى و الظاهر اختصاص ذلك فيهما من بين العقود لاقتضاء العموم في دليل مشروعيتهما من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بَدَلَهُ بَعْدَ ما سَمِعَهُ إلى آخره جواز ذلك و هو جعل العنوان الشخص الموصوف من حيث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يشترط ذلك في غيره المنصوب من قبله فيه قولان؟ فعن الكفاية ان اعتبارها هو المعروف من مذهب الأصحاب، و عن الرياض دعوى حكاية الاتفاق عليه، و في الحدائق لا أعرف خلافا فيه، و يظهر من المحكى عن التحرير عدم اعتبارها و اختاره فى الجواهر و هو الأقوى، لعدم الدليل فيكفي کونه موثوقا به مأمونا في العمل على طبق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يجوز للواقف أن ينصب خائنا غير موثوق به، هذا و لو شرط عدالته تعين اعتبارها فلو تبين كونه فاسقا كشف عن عدم كونه متوليا فيكون تصرفاته فضولية، كما أنه إذا كان عادلا ثم ثم فسق بطلت توليته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عادت عدالته تعود تولیته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عدم اعتبار العدالة فيما إذا جعل التولية و النظر لنفسه، و الأقوى عدم اعتبارها لو جعلها لغيره أيضا، نعم يعتبر فيه الأمانة و الكفاية، فلا يجوز جعلها خصوصا في الجه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 و المصالح العامة لمن كان خائنا غير موثوق به، و كذا من ليس له الكفاية في تولي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أمور الوق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من يعينه الحاكم فلا بد و أن يكون ثقة و أمينا، لأنه لا بد في جعله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مراعاة مصلحة الوقف، فليس له أن يأتمن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الفاسق الذي يرتكب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صغيرة، فإن كان أمينا موثوقا في أعماله، بحيث يطمئن بعدم إهماله شؤون الوقف و تدبير أمره، و يعم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طبق الوقف و لا يتعدى عن مضمون الوقف، فالقول بعدم جواز تعيينه متولیا و ناظرا مشكل، لعدم دليل على اعتبار عدالة الناظر، إلّا كونها موجبة للاطمئنان بحفظ شؤون الوقف، فإذا حصل من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وجه لاعتبارها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 من قبل الواقف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مشروطا في العقد، و إذا كان كذلك فإنه لا يجوز للواقف عزله، عملا بوجوب الوفاء بالشروط الا أن يظهر ما يوجب 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یکن کذلک، بأن نصبه بعد العقد بالنظر المتناول فإنه يجوز عزله متى شاء، لأنه حينئذ في حكم الوكيل الذي يجوز عزله بعد الوكالة متى أراد الحدائق الناضرة في أحكام العترة الطاهرة؛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فى شرائط الواقف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الواقف أحق بالتولي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تحرير الأحكام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أحكام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إرشاد الأذهان في شرائط الوقف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الوقف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الوقف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شرائط الواقف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الوقف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شرائط الواقف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في أحكام الوقوف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الناظر على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يشترط في الواقف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أن لا يدخله شرط خيار الواقف في الرجوع فيه، و لا أن يتولاه هو بنفسه، أو يغيره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متی شاء و ينقله من وجوهه و سبله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معناه أنه لا يصح له أن يشترط في متن العقد أن يجعلها متى شاء لنفسه و متى شاء لغيره، بمعنى متی شاء عزل نفسه و متى شاء عزل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يجوز له عزل الناظر المشروط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في أن الواقف أحق بالتولية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فى شرائط الواقف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في أحكام الوقوف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خلاف في أنه يجوز أن يشترط في عقد الوقف النظر لغيره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يجعله لغيره عندنا و لم يجز لأحد مخالفته عند علمائنا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المعروف من مذهب الأصحاب ذكره في مقام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يجوز ذلك قولا واحداً لما مر من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الأخبار به مستفيضة فعلا و تقريراً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إِكْمَالِ الدِّينِ عَنْ مُحَمَّدِ بْن أَحْمَدَ السَّنَانِي وَ عَلِيِّ بْنِ أَحْمَدَ بْن مُحَمَّدٍ الدَّقَّاقِ وَالْحُسَيْنِ بْن إِبْرَاهِيمَ بْنِ هِشَامِ الْمُؤَدِّبِ وَ عَلِيِّ بْنِ عَبْدِ اللَّهِ الْوَرَاقِ كُلِّهِمْ عَنْ أَبِي الْحُسَيْنِ مُحَمَّدِ بْنِ جَعْفَرِ الْأَسَدِيٍّ فِيمَا وَرَدَ عَلَيْهِ مِنْ جَوَابِ مَسَائِلِهِ عَنْ مُحَمَّدِ بْن عُثْمَانَ الْعَمْرَوى عَنْ صَاحِب الزَّمَانِ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سَأَلْتَ عَنْهُ مِنْ أَمْرِ الرَّجُلِ الَّذِي يَجْعَلُ لِنَاحِيَتِنَا ضَيْعَةً وَ يُسَلِّمُهَا مِن قَيمِ يَقُومُ فِيهَا وَيَعْمُرُهَا وَيُؤَدِّى مِنْ دَخْلِهَا خَرَاجَهَا وَ مَتُونَتَهَا وَ يَجْعَلُ مَا بَقِيَ مِنَ الدَّخْلُ لِنَاحِيَتِنَا فَإِنَّ ذَلِكَ جَائِرٌ لِمَنْ جَعَلَهُ صَاحِبُ الضَّيْعَةِ قَيِّمَا عَلَيْهَا إِنَّمَا لَا يَجُوزُ ذَلِكَ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عَاصِمِ بْنِ حُمَيْدٍ عَنْ أَبِي بَصِيرٍ يَعْنِي الْمُرَادِيَّ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أَلَا أُحَدِّثُكَ بوَصِيَّة فَاطِمَة علیها السلام قُلْتُ بَلَى فَأَخْرَجَ حُقاً أوْ سَفَطاً فَأَخْرَجَ مِنْهُ كِتاباً فَقَرَأَهُ بِسْمِ اللَّهِ الرَّحْمَنِ الرَّحِيمِ هَذَا مَا أَوْصَتْ بهِ فَاطِمَةُ بِنْتُ مُحَمَّدٍ صَأَوْصَتْ بحَوَائِطِهَا السَّبْعَة بِالْعَوَافِ وَالدَّلالِ وَالْبُرْقَةِ وَالْمَبِيتِ وَالْحَسْنَى وَ الصَّافِيَةِ وَ مَالِ أَمِّ إِبْرَاهِيمَ إِلَى عَلِيٍّ بن أبي طَالِب فَإِنْ مَضَى عَلِيٍّ فَإِلَى الْحَسَنِ فَإِنْ مَضَى الْحَسَنُ فَإِلَى الْحُسَيْنِ فَإِنْ مَضَى الْحُسَيْنُ فَإِلَى الْأَكْبَرِ مِنْ وَلْدِي تُشْهدُ اللَّهَ عَلَى ذَلِكَ وَ الْمِقْدَادَ بْنَ الْأَسْوَدِ وَالزُّبَيْرَ بْنَ الْعَوَامِ وَكَتَبَ عَلِيُّ بْنُ أَبِي طَالِب علیه السلام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و لا خلاف في أنه يجوز للواقف أن يجعل التولية لنفسه ما دام حيا أو إلى مدة مستقلا أو بالشركة، و خلاف ابن إدريس غير محقق، و كذا يجوز أن يجعلها لغيره كذلك، بل يجوز أن يجعل أمر التولية بيده بأن يشترط أن يكون له أن ينصب كل من يريد، وكذا يجوز أن يجعل أمرها بيد أجنبى بأن يكون هو المعين للمتولى، و يجوز أن يجعل لكل متول أن ينصب متوليا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يعين الواقف متوليا في ضمن صيغة الوقف، فهل التولية له أو للموقوف عليهم أو أو للحاكم، يفصل بين الوقف الخاص فللموقوف عليهم، و بين الوقف العام فللحاكم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تبنى المسألة على أن العين الموقوفة تبقى على ملك الواقف أو تنتقل إلى الموقوف عليهم أو إلى الله مطلقا، أو يفصل بين الخاص فتنتقل إليهم و العام فإليه تعالى، فعلى القول بالبقاء للواقف، و على القول بالانتقال إلى الموقوف عليهم مطلقا أو في الخاص فلهم، و على القول بكونه الله فللحاكم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فى شرائط الواقف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الواقف أحق بالتولية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ارشاد الأذهان في شرائط الوقف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فی الوقف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في الوقف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الوقف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شرائط الواقف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حكم الناظر على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يجوز أن يجعل الواقف النظر لنفسه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ص</w:t>
      </w:r>
      <w:r>
        <w:rPr>
          <w:rFonts w:eastAsia="IRNazanin" w:cs="IRNazanin"/>
          <w:b w:val="false"/>
          <w:bCs w:val="false"/>
          <w:i w:val="false"/>
          <w:iCs w:val="false"/>
          <w:color w:val="333333"/>
          <w:sz w:val="20"/>
          <w:szCs w:val="20"/>
        </w:rPr>
        <w:t>371</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شرائط الواقف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الوقف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الوقف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الأقوى كونها للحاكم مطلقا و ليست للواقف و لا للموقوف عليهم، أما الواقف فلخروج الأمر مر من يده و صيرورته كالأجنبي و إن قلنا ببقاء ملكه لأنّ هذه الملكية لا تقتضى التولية على المملوک، و لا مجرى لاستصحاب جواز تصرفاته اما على عدم بقاء ملكيته فواضح و اما على بقائها فلان الجواز من آثار الملک المطلق لا من آثار مطلق الملک و امّا الموقوف عليهم فلتعلق حق البطون اللاحقة فليس لهم الولاية على الوقف على نحو ما يكون للمتولى المنصوب من قبل الواقف بحيث تمضى إجارتهم له على البطون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لهم التصرف في تنميته و إصلاحه و نحو ذلك مما هو راجع إلى انتفاعهم به من غير فرق بين 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بملكهم و عدمه بعد كونهم مالكين للمنفعة أو للانتفاع به و كونهم مالكين له على القول به لا يقتضى ولايتهم على نحو ما للمتولى المنصوب، كما أن عدمه لا يوجب عزلهم بالمرة، هذا في الأوقاف الخاصة، و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العامة فليس لهم أمر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الفقه الاسلامی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جعل التولية لشخص لم يجب عليه القبول، سواء كان حاضرا في مجلس العقد أو غائبا بلغ اليه الخبر و لو بعد وفاة الواقف، و لو جعل التولية لأشخاص على الترتيب، و قبل بعضهم لم يجب القبول على من بعده، و مع عدم القبول كان الوقف بلا متول منصوب و لو قبل التولية فهل يجوز له عزل نفسه كالوكيل أم لا؟ قولان لا يترك الاحتياط بعدم العزل و معه يقوم بوظائف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مع المراجعة إلى الحاكم و 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عيّن الواقف وظيفة المتولى و شغله فهو المتبع، و لو أطلق كانت وظيفت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ما هو المتعارف من تعمير الوقف و إجارته و تحصيل أجرته و قسمتها على أربابه و أداء خراجه و نحو ذلک، کل ذلک على وجه الاحتياط و مراعاة الصلاح، و ليس لأحد مزاحمت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الموقوف عليهم، و يجوز أن يجعل الواقف تولية بعض الأمور لشخص و بعضها لآخر، فجع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التعمير و تحصيل المنافع مثلا لأحد و أمر حفظها و قسمتها على أربابها لآخر، أو جعل لواحد أن يكون الوقف بیده و حفظه و للآخر التصرفات و لو فوض الى واحد أمرا كالتعمير و تحصيل الفائدة و أهمل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اقي الجهات من الحفظ و القسمة و غيرهما كان الوقف بالنسبة إلى غير ما فوض اليه بلا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منصوب، فيجرى عليه حكمه الآتى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فقه و کیفیت بیان آن،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عنه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24427</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الوقوف في الأصل صدقات لا يجوز الرجوع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الوقف و الصدقة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 شيء منهما، إلا ما يُتقرب به إلى الله تعالى، فإن لم يقصد بذلك وجه الله لم يصح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مجرد الفقه و الفتاوی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العطايا ثلاثة اثنان منها فى حال الحياة و واحد بعد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فاللذان في حال الحياة فهما الهبة 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الصدقة،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في الأصل صدقات فلأجل هذا لم نذكرها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الوقف صدقة و من شرط الصدقة التقرب بها إلى الله، فمن لا يصح التقرب عليه يبطل الوقف عليه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قدس سره در تفسیر کلام شیخ مفید در مقنعه می نگارد قوله في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الوقف في الأصل صدقات، بمعنى أنه إنما يطلق في الأصل و الصدر السابق على الوقف لفظ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حق كما سمعته من الأخبار المتقدمة، سيما أخبار وقوف الائمة علیهم السلام، و إليه يشير قوله علیه السلام في هذين الخبرين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الصدقة محدثة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إطلاق هذا اللفظ على ما يعطى بقصد التقرب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الذي كان يستعمل في زمنه صلی الله علیه و آله النحلة و الهبة، أعم من أن يكون مقترنة بالتقرب 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سبحانه –، فتدخل فيه الصدقة، بالمعنى 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يكن كذلك، و هذا المعنى الذي استعمل فيه لفظ الصدقة إنما هو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المستعمل من لفظ الصدقة فى الصدر الأوّل إنّما هو الزكاة، كما دلّت عليه الآية، و حينئذ فإذا كان الأصل فى إطلاق الصدقة إنما هو المعنى المترتب على لفظ الوقف، فلا بد من اشتراط التقرب فيه لاشتراط الصدقة بالقربة و إن جرى ذلك أيضاً في الصدقة بالمعنى المتأخر فيجب اشتراط القربة فى الصدقة بكل من المعنيين بالتقريب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قد استحق الأجر، وكتب له الثواب، فلا يجمع بين العوض و المعوّض، و بهذا التقريب يتم المدعى من شرطية التقرب في الوقف،كما هو قول أولئك الفضلاء المتقدمين الحدائق الناظرة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عنهما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24393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عنهما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24445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يصح الوقف على البيع و الكنائس من الكافر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 و الكافي و النهاية و المهذب و الوسيلة و السرائر و جامع الشرائع و الشرائع و النافع و كشف الرموزو التبصرة و التحرير و المختل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و المقتصر و التنقيح و إيضاح النافع و جامع المقاصد و المفاتيح 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فيه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يعتقد التقرب به إلى و وجهه رب به إلى الله تعالى فيقر على دينه، لأنه لا بد له من 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في شرائط الواقف و يعتبر فيه البلوغ و كمال العقل و جواز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فى مسائل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في أحكام الدين،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قواعد الأحكام في معرفة الحلال والحرام،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شرائط الواقف و يشترط فيه أمور أربعة كونه بالغا، عاقلا، جائز التصرف، مالكا، متقربا إلى الله تعالى، فلا يصح وقف الصبي، و لو بلغ عشرا ففى نفوذ وقفه إشكال ينشأ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عدم البلوغ المنوط به الأحكام، و من دلالة الرواية على الصدقة و الوقف نوع منها، و الأقرب عندى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وقف المجنون، أو الساهى، أو الغافل، أو السكران أو المحجور عليه للسفه أو الفلس،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يصح، و لو وقف المملوك بطل، و كذا الفضولي و إن أجاز المالک، و لا يصح 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المكره، و إجازته بعد زوال عذره كإجازة المالک وقف الفضولى على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 قصد القربة فلو وقف تعالى، بطل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إلى تنقيح شرائع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فى أحكام العترة الطاهرة،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وقف في سبيل الله يصرف في كل ما يكون وصلة إلى الثواب، و كذلك لو وقف في وجوه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صلاة الجمعة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في صلاة الجمعة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الأخير؛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صفات إمام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نهاية الإحكام فى صفات إمام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صلاة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الجماعة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صلاة الجمعة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صلاة الجماعة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المجنون لا اعتبار بفعله و من يعتوره لا يكون إماما، و لا في وقت إفاقته، لجواز عروضه له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 لا يؤمن احتلامه في نوبته و هو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لنقصه عن المراتب الجليلة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في صلاة الجمعة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فظهر أن المجنون الأدوارى أيضا لا يصح إمامته، و إن كان وقت إفاقته و علم من عادته 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اء الإفاقة إلى آخر صلاته، بل هذا أظهر أفراد ما ورد في الروايات، إذ غيره لغاية ظهور عدم تأتى إمامته من وجوه كثيرة من جهة عدم التكليف و القراءة و الطهارة و قصد القربة و فعل ما ينافي الصلاة، و غير ذلك من أجزاء الصلاة و شرائطها و منافياتها، لا يحتاج للتعرض لذكر عدم جواز الصلاة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صلاة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في صلاة الجماعة في صفات الإمام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في صلاة الجماعة فى شرائط الإمام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فى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النفلية فى صلاة الجماعة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ذكرى الشيعة فى صلاة الجماعة شرائط الاقتداء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فى مكتبة ملک برقم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الفوائد الملية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صلاة الجماعة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الجماعة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في صلاة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في شرائط الإمام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تذكرة الفقهاء في صلاة الجماعة في صفات الإمام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ذكرى الشيعة في شرائط الاقتداء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ملک برقم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الرسالة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المطالب المظفرية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المرعشى برقم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فى صلاة الجمعة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الاحكام في صلاة الجمعة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صلاة الجمعة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في مكتبة الگلپایگانی</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الجمعة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الجماعة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الصلاة خلف الصبى قبل أن يبلغ الحلم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الجمعة و أحكامها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صلاة الجمعة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في مكتبة الگلپایگانی</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أَحْمَدَ بْنِ يَحْيَى عَن الْحَسَنِ بْن مُوسَى الْخَشَابِ عَنْ غِيَاتِ بْن كَلُوب عَنْ إِسْحَاقَ بْنِ عَمَّارٍ عَنْ جَعْفَرٍ عَنْ أَبِيهِ أَنَّ عَلِيّاً علیه السلام كَانَ يَقُولُ لَا بَأْسَ أَنْ يُؤَذِّنَ الْغُلَامُ قَبْلَ أَنْ يَحْتَلِمَ وَ لَا يَؤُمُّ حَتَّى يَحْتَلِمَ فَإِنْ أَمَّ جَازَتْ صَلَاتُهُ وَ فَسَدَتْ صَلَاةُ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رحمه الله این دیدگاه را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الجماعة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مُرُوهُمْ بِالصَّلَاةِ وَ هُمْ أَبْنَاءُ سَبْعِ وَاضْرِبُوهُمْ عَلَيْهَا وَهُمْ أَبْنَاءُ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سنن 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المستدرک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مروهم بالصلاة 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صلاتهم 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أَحْمَدَ بْنِ مُحَمَّدٍ عَنْ مُحَمَّدِ بْنِ يَحْيَى عَنْ طَلْحَةَ بْنِ زَيْدِ عَنْ جَعْفَرٍ عَنْ أَبِيهِ عَنْ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يُؤَذِّنَ الْغُلَامُ الَّذِي لَمْ يَحْتَلِمْ وَ أَنْ يَوم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أَبِيهِ عَنْ عَبْدِ اللَّهِ بْنِ الْمُغِيرَة عَنْ غِيَاثِ بْن إِبْرَاهِيمَ عَنْ أَبي عَبْدِ اللَّهِ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بالْغُلَامِ الَّذِى لَمْ يَبْلُغَ الْحُلُمَ أنْ يَومَ الْقَوْمَ وَ أَنْ يُؤَذِّنَ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ح </w:t>
      </w:r>
      <w:r>
        <w:rPr>
          <w:rFonts w:eastAsia="IRNazanin" w:cs="IRNazanin"/>
          <w:b w:val="false"/>
          <w:bCs w:val="false"/>
          <w:i w:val="false"/>
          <w:iCs w:val="false"/>
          <w:color w:val="333333"/>
          <w:sz w:val="20"/>
          <w:szCs w:val="20"/>
        </w:rPr>
        <w:t>10785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سَمَاعَةَ بْنِ مِهْرَانَ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صَدَقَةُ الْغُلَامِ وَ عِتْقُهُ وَ يَؤُمُ النَّاسَ إِذَا كَانَ لَهُ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بمنع الإجماع على وجوب تكليف غير البالغ، بل لو قيل بالضد كان أولى، و أمر الولى بأمرهم بالصلاة ليس أمرا لهم، فإنّ الأمر بالأمر بالشيء ليس أمرا بذلك الشيء، و مشروعية صلاتهم ان عنى بها أنها مطلوبة منهم للتمرين فهو مسلم امّا لاستحقاق الثواب فلا، و الرواية ضعيفة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طلحة بترى و متأولة بالغلام الذى بلغ بالسنين و لم يحتلم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خاتمة في الملتزم ص </w:t>
      </w:r>
      <w:r>
        <w:rPr>
          <w:rFonts w:eastAsia="IRNazanin" w:cs="IRNazanin"/>
          <w:b w:val="false"/>
          <w:bCs w:val="false"/>
          <w:i w:val="false"/>
          <w:iCs w:val="false"/>
          <w:color w:val="333333"/>
          <w:sz w:val="20"/>
          <w:szCs w:val="20"/>
        </w:rPr>
        <w:t>139</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الملية فى خصائص صلاة الجماعة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النفلية و الفوائد الملية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الرواية بإمامة ذى العشر مع إرسالها و ضعف سندها تحمل على النفل أو على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يُنَا فِي الْخَبَرَ الْأَوَّلَ لِأَنَّ هَذَا الْخَبَرَ مَحْمُولٌ عَلَى مَنْ لَمْ يَحْتَلِمْ وَكَانَ كَامِلًا عَاقِلًا أَقْرَأَ الْجَمَاعَةِ لِأَنَّ الِاحْتِلَامَ لَيْسَ بِشَرْطِ فِي الْبُلُوغِ وَ لَا يَجُوزُ غَيْرُهُ لِأَنَّ الْبُلُوغَ يُعْتَبَرُ بِأَشْيَاءَ مِنْهَا الِاحْتِلَامُ فَمَنْ تَأَخَّرَ احْتِلَامُهُ اعْتُبرَ بمَا سِوَى ذَلِكَ مِنَ الْإِشْعَارِ وَ الْإِنْبَاتِ وَ مَا جَرَى مَجْرَاهُمَا أَوْ كَمَالَ الْعَقْلِ وَ إِنْ خَلَا مِنْ جَمِيعِ ذَلِكَ وَ الْخَبَرُ الْأَوَّلُ مُتَنَاوِلٌ لِمَنْ لَمْ يَحْصُلْ لَهُ أَحَدٌ شَرَائِطِ الْبُلُوغ وَلَا تَنَافِيَ بَيْنَهُمَا وَ قَدْ بَيَّنَّا أَنَّهُ لَا بَأْسَ أنْ يَؤُمَّ الْأَعْمَى إِذَا كَانَ هُنَاكَ مَنْ يُسَدِّدُهُ وَ يَزِيدُهُ بَيَانَا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وَ غَيْرُهُ عَلَى كَوْنِ الْغُلَامِ قَدْ بَلَغَ بِالسِّنِّ أَوْ بِالْإِنْبَاتِ وَ يُمْكِنُ حَمْلُهُ عَلَى إِمَامَتِهِ لِمِثْلِهِ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اقتداء البالغ بالصبي المميز في الفرض إلا في الجمعة، فيشترط أن يكون بالغا إذا كان الإمام من ضمن العدد الذي لا يصح إلا به، فإن كان زائدا عنهم صح أن يكون صبيا مميزا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فتح العزیز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شروط صحة الإمام البلوغ، فلا أن يقتدى بالغ بصبي مميز في صلاة مفروضة، باتفاق ثلاثة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الصلاة المفروضة، أما صلاة النافلة فيصح للبالغ أن يقتدى بالصبي المميز فيها، باتفاق ثلاثة من الأئمة و خالف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النتف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فتح العزيز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النتف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بدائع الصنائع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و فتح العزیز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اقتداء البالغ بالصبي المميز في الفرض إلا في الجمعة، فيشترط أن يكون بالغا إذا كان الإمام من ضمن العدد الذي لا يصح إلا به، فإن كان زائدا عنهم صح أن يكون صبيا مميزا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فتح العزيز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مغنی المحتاج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كفاية الأخيار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المحلی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يشترط عدم العلم بالولادة عن الزنا لا العلم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طهارة مولده كما نص عليه كثير منهم أن لا يعلم كونه ولد زنا،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منع فيمن تنال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الألسن و لا ولد الشبهة و لا من جهل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السيد في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كتاب الصلاة ص</w:t>
      </w:r>
      <w:r>
        <w:rPr>
          <w:rFonts w:eastAsia="IRNazanin" w:cs="IRNazanin"/>
          <w:b w:val="false"/>
          <w:bCs w:val="false"/>
          <w:i w:val="false"/>
          <w:iCs w:val="false"/>
          <w:color w:val="333333"/>
          <w:sz w:val="20"/>
          <w:szCs w:val="20"/>
        </w:rPr>
        <w:t>158</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الجماعة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شرائط إمام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صلاة الجماعة ص </w:t>
      </w:r>
      <w:r>
        <w:rPr>
          <w:rFonts w:eastAsia="IRNazanin" w:cs="IRNazanin"/>
          <w:b w:val="false"/>
          <w:bCs w:val="false"/>
          <w:i w:val="false"/>
          <w:iCs w:val="false"/>
          <w:color w:val="333333"/>
          <w:sz w:val="20"/>
          <w:szCs w:val="20"/>
        </w:rPr>
        <w:t>283</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صلاة الجمعة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صلاة الجمعة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جَمَاعَة عَنْ أَحْمَدَ بْن مُحَمَّدٍ عَنِ الْحُسَيْنِ بْن سَعِيدٍ عَنْ فَضَالَةَ بْن أَيُّوبَ عَن الْحُسَيْنِ بْن عُثْمَانَ عَن ابْنِ مُسْكَانَ عَنْ أَبِي بَصِير يَعْنِي لَيْنَا الْمُرَادِئَ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لَا يَؤُمُّونَ النَّاسَ عَلَى كُلِّ حَالَ وَ عَدَّ مِنْهُمُ الْمَجْنُونَ وَ 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بْنِ إِبْرَاهِيمَ عَنْ أَبِيهِ عَنْ حَمَّادٍ عَنْ حَرِيرٌ عَنْ زُرَارَةَ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الْمُؤْمِنِينَ علیه السلام لَا يُصَلِّيَنَّ أَحَدُكُمْ خَلْفَ الْمَجْنُون وَ وَلَدِ الزَّنَا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مُحَمَّدِ بْن مُسْلِمٍ عَنْ أَبِي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لَا يَؤُمُّونَ النَّاسَ وَ لَا يُصَلُّونَ بِهِمْ صَلَاةً فَريضَةً فِي جَمَاعَةِ الْأَبْرَصُ وَ الْمَجْذُومُ وَ وَلَدُ الزِّنَا وَ الْأَعْرَابِيُّ حَتَّى يُهَاجِرَ وَ 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 عَنْ أَبِيهِ عَنْ سَعْدِ عَنْ أَحْمَدَ بْنِ مُحَمَّدٍ عَنِ الْعَبَّاسِ بْنِ مَعْرُوفِ عَنْ أَبِي جَمِيلَةَ عَنْ سَعْدِ بْنِ طَرِيفِ عَنِ الْأَصْبَغ بن نُبَاتَةَ قَالَ سَمِعْتُ أَمِيرَ الْمُؤْمِنِينَ علیه السلام يَقُولُ سِتَةٌ لَا يَنْبَغِي أَنْ يَؤُمُّوا النَّاسَ وَلَدُ الزَّنَا وَ الْمُرْتَدُّ وَ الْأَعْرَابِيُّ بَعْدَ الْهَجْرَة وَ شَارِبُ الْخَمْر وَالْمَحْدُودُ وَ الْأَغْلَفُ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الشرح الكبیر بهامش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الإيمان عندنا إنما يتحقق بالاعتراف بإمامة الأئمة الاثنى عشر علیهم السلام، إلا من مات في عهد أحد فلا يشترط في إيمانه إلا معرفة إمام زمانه و من قبله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و الإبهام عن قواعد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ملک برقم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في صلاة الجمعة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في صلاة الجماعة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صلاة الجمعة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صلاة الجمعة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قام الإجماع و نطقت الأدلة العقلية والنقلية على أن المؤمن من يعرف الاصول الخمسة بالدليل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كَوْنِ إمَامِ الْجَمَاعَةِ مُؤْمِناً مُوَالِياً لِلْأَئِمَّةِ وَ عَدَمَ جَوَاز الِاقْتِدَاءِ بِالْمُخَالِفِ فِي الاعْتِقَادَاتِ الصَّحِيحَة الأُصُولِيَّة إِلَّا لِتَقِيَّة 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في صلاة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تَؤُمُّ الْمَرْأَةُ رَجُلًا سنن البيهقى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أَخِّرُوهُنَّ مِنْ حَيْثُ أَخَّرَهُنَّ اللَّهُ المغنی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 في الاستدلال على ذلك انما هو ما قدمناه في المقدمة السادسة في المك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الأخبار الدالة على عدم جواز محاذاة المرأة للرجل و لا تقدمها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العبادات مبنية على التوقيف و لم يرد عن صاحب الشريعة فعل ذلك و لا الأمر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المرأة مأمورة بالخفر والاستتار و الامام بالظهور و الاشتهار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 للمرأة أن توم النساء في الفرائض و النوافل، و ذهب بعض أصحابنا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السيد المرتضى إلى أنه لا يجوز لها أن تؤم النساء فى الفرائض و يجوز في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في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ابن إدريس عن السيد المرتضى المنع، و هو اختيار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للمرأة أن تؤم النساء فيصلين جماعة فى الفرائض و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الجماعة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فى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إمامة المرأة لمثلها و لا يجوز للرجل و لا للخنثى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في هذه المسألة يقع من جهتين الجهة الاولى في أصل مشروعية إمامة المرأة للنساء، و هذا مما لا ينبغى الشبهة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الذكورة إذا كان المأموم ذكرا بل مطلقا 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الْحُسَيْنِ بْن سَعِيدٍ عَنْ عُثْمَانَ بْن عِيسَى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الْمَرْأَةِ تَوْمُ النِّسَاءَ فَقَالَ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سَعْدٍ عَنْ أَحْمَدَ بْنِ مُحَمَّدٍ عَنِ الْحَسَنِ بْن عَلِيِّ بْن فَضَّال عَنْ عَبْدِ اللَّهِ بْن بُكَيْرِ عَنْ بَعْضٍ أَصْحَابَنَا عَنْ أَبِي عَبْدِ اللَّهِ علیه السلام فِي حَدِيثِ فِي الْمَرْأَةِ تَوْمُ النِّسَاءَ قَالَ نَعَمْ تَقُومُ وَسَطًا بَيْنَهُنَّ وَلَا تَتَقَدَّمُهُنَّ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سَعْدِ عَنْ أَحْمَدَ بْنِ مُحَمَّدٍ عَنْ مُوسَى بْنِ الْقَاسِمِ وَ أَبِي قَتَادَةَ جَمِيعاً عَنْ عَلِيِّ بْنِ جَعْفَرٍ عَنْ أَخِيهِ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الْمَرْأَةِ تَوْمُ النِّسَاءَ مَا حَدُّ رَفْعِ صَوْتِهَا بِالْقِرَاءَةِ وَالتَّكْبِيرِ فَقَالَ قَدْرُ مَا 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 للمرأة أن تؤم النساء فى الفرائض و النوافل، و ذهب بعض أصحابنا و هو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المرتضى إلى أنه لا يجوز لها أن تؤم النساء في الفرائض و يجوز في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فى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ابن إدريس عن السيد المرتضى المنع، و هو اختيار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أحكام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مُحَمَّدِ بْن عَبْدِ الْحَمِيدِ عَنِ الْحَسَنِ بْنِ الْجَهْم عَن ابْن مُسْكَانَ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 الْمَرْأةُ النِّسَاءَ فِى الصَّلَاةِ وَ تَقُومُ وَسَطاً مِنْهُنَّ وَيَقُمْنَ عَنْ يَمِينِهَا وَ شِمَالِهَا تَؤْمُّهُنَّ فِي النَّافِلَة وَلَا تَؤْمُهُنَّ فِى الْمَكْتُوبَة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فضالة عَنِ ابْنِ سِنَانِ 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الْمَرأَة تَؤُمُّ النِّسَاءَ فَقَالَ إِذَا كُنَّ جَمِيعاً أَمَّتْهُنَّ فِى النَّافِلَة فَأَمَّا الْمَكْتُوبَةُ فَلَا وَلَا تَتَقَدَّمُهُنَّ وَلَكِنْ تَقُومُ وَسَطاً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أن يكون ذلك راجعا إلى من لم يعرف فرائض الصلاة و واجباتها منهن، فإنه لا يجوز لها أن تؤم غيرها في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وخصصهن بالذكر لأغلبية الوصف 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 الْمَنْعَ مِنْ إِمَامَة الْمَرأَة فَالْمُرَادُ بِهِ الْكَرَاهَةُ بدَلَالَة التَّصْرِيح فِي بَاقِي الْأَحَادِيثِ ذَكَرَهُ الشَّيْخُ وَ غَيْرُهُ وَ قَالَ الْعَلَّامَةُ فِي الْمُنْتَهَى يَحْتَمِلُ أَنْ يَكُونَ ذَلِكَ رَاجِعاً إِلَى مَنْ لَمْ تَعْرِفْ فَرَائِضَ الصَّلَاة وَ وَاجبَاتِهَا مِنْهُنَّ فَلَا تَؤُمُ غَيْرَهَا فِي الْوَاجِب قَالَ وَخَصَّصَهُنَّ بالذكر لِأغْلَبَيَّةِ الْوَصْفِ فِيهِنَّ انْتَهَى وَأَمَّا مَا تَضَمَّنَ الْجَمَاعَةَ فِى النَّافِلَة هُنَا وَ فِيمَا يَأْتِي فَيَجِبُ حَمْلُهُ إِمَّا عَلَى التَّقِيَّة أَوْ عَلَى مُجَرَّدِ الْمُتَابَعَةِ أَوْ عَلَى إِعَادَةِ الْفَرِيضَةِ أو النَّافِلَةِ الَّتِي يَجُوزُ فِيهَا الْجَمَاعَةُ بدَلَالَةِ مَا تَقَدَّمَ فِي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جواهر الکلام فی شرح شرائع الإسلام،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مستند الشيعة في أحكام الشريعة،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تحریر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شروط الإمامة الذكورة المحققة فلا تصح إمامة النساء، و إمامة الخنثى المشكل إذا كان المقتدى به رجال، أما إذا كان المقتدى به نساء فلا تشترط الذكورة في إمامتهن، بل يصح أن تكون المرأة إماما لامرأة مثلها، أو الخنثى باتفاق ثلاثة من الأئمة، و خالف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أن تكون المرأة و لا الخنثى المشكل إماما لرجال أو نساء، لا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 و لا في نفل، فالذكورة شرط في الإمام مطلقا مهما كان المأموم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البيت علا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العدوی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إمامة الفاسق ص </w:t>
      </w:r>
      <w:r>
        <w:rPr>
          <w:rFonts w:eastAsia="IRNazanin" w:cs="IRNazanin"/>
          <w:b w:val="false"/>
          <w:bCs w:val="false"/>
          <w:i w:val="false"/>
          <w:iCs w:val="false"/>
          <w:color w:val="333333"/>
          <w:sz w:val="20"/>
          <w:szCs w:val="20"/>
        </w:rPr>
        <w:t>157</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ص </w:t>
      </w:r>
      <w:r>
        <w:rPr>
          <w:rFonts w:eastAsia="IRNazanin" w:cs="IRNazanin"/>
          <w:b w:val="false"/>
          <w:bCs w:val="false"/>
          <w:i w:val="false"/>
          <w:iCs w:val="false"/>
          <w:color w:val="333333"/>
          <w:sz w:val="20"/>
          <w:szCs w:val="20"/>
        </w:rPr>
        <w:t>87</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الجماعة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الجماعة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 ص</w:t>
      </w:r>
      <w:r>
        <w:rPr>
          <w:rFonts w:eastAsia="IRNazanin" w:cs="IRNazanin"/>
          <w:b w:val="false"/>
          <w:bCs w:val="false"/>
          <w:i w:val="false"/>
          <w:iCs w:val="false"/>
          <w:color w:val="333333"/>
          <w:sz w:val="20"/>
          <w:szCs w:val="20"/>
        </w:rPr>
        <w:t>114</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الجماعة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الجماعة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الجماعة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المرضى من الناس قوله و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المرضى المستوى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المنير في غريب الشرح الكبير للرافعی،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كون ذلك قولا في معنى العدالة مقابلا للقول بكونها الملكة الرادعة عن ارتكاب الكبائر و الإصرار على الصغائر، نظر بل منع،واضح، لأن ظاهر هؤلاء ادعاء كون الأصل في المسلم ما لم يظهر منه ما يوجب الفسق هو العدالة، و مرجعه إلى أنّ الإسلام أمارة على العدالة إلى أن يظهر منه ما يقدح موجبات الفسق، نظير أصالة الصحة في فعل المسلم، فكما أن الصحة و الفساد وصفان متقابلان يطرأ ان لفعل المسلم، والأصل في محلّ الاشتباه هو الصحة إلى أن يعلم الفساد، و مرجعه إلى أنّ الصحة في الفعل الصادر من المسلم تحرز بإسلامه مع عدم ظهور ما يقتضى فساده، فصار الإسلام مع القيد العدمي أمارة على صحة فعله لا أنه نفس الصحة، فكذلك العدالة و الفسق وصفان متقابلان يطرأ ان نفس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محلّ الاشتباه و هو مجهول الحال هو العدالة إلى أن يعلم الفسق، و مرجعه إلى أن العدالة فيه تحرز بإسلامه مع عدم ظهور ما يوجب فسقه فصار الإسلام مع القيد العدمي المذكور أمارة على عدالته لا أنه بنفسه هو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الثانى و هو أنها حُسن الظاهر فقد نسب إلى من عدا أصحاب القول الأول من المتقدمين، و قد سمعت من اختاره من متأخرى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الأصحاب إن من عدا أصحاب القول الأول من المتقدمين فكلامهم محتمل للملكة و حسن الظاهر، و هو كما قال، لكنه ربما كان بعضه ظاهراً في حُسن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الاستاذ دام ظلّه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بالأخبار التي كادت تبلغ حد التواتر و قد سمعت كلام الاستاذ في اصوله و رجاله و أنه مذهب من تقدّم على المصنف إلا الكاتب كما فهم ذلك جماعة من متأخرى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المشهور بينهم من أنها كيفية نفسانية ملازمة للتقوى فقط أو هي مع المروة على الخلاف الآتى فى ذلك أيضا و المراد بملازمة التقوى عدم ارتكاب الكبائر و عدم الإصرار على الصغائر، و لذا قد يعرف بملكة نفسانية تبعث على ترك فعل الكبائر و الإصرار على الصغائر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يعبّر عن الكيفية و الملكة بالهيئة، و قد يعبر بالحالة، و الكل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فتعريفها بين علماء العامة و الخاصة في الأصول والفروع مشهور، بأنها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راسخة في النفس تبعث على ملازمة التقوى و 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في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فى من تقبل شهادته و من لا تقبل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فصل فى بيان الشهادات ص </w:t>
      </w:r>
      <w:r>
        <w:rPr>
          <w:rFonts w:eastAsia="IRNazanin" w:cs="IRNazanin"/>
          <w:b w:val="false"/>
          <w:bCs w:val="false"/>
          <w:i w:val="false"/>
          <w:iCs w:val="false"/>
          <w:color w:val="333333"/>
          <w:sz w:val="20"/>
          <w:szCs w:val="20"/>
        </w:rPr>
        <w:t>230</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في العدالة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الشهادات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يعتبر في الشاهد الصفات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فى الشروط العامة للشاهد،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مذهب المصنف في خبر الواحد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لشيخ المفيد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اشتراط العدالة في الشاهد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الكبائر فهى كل معصية ورد التوعيد عليها بالنار أو بالعقاب أو شدّد عليها تشديدا عظيما، أو دل دليل على كونها أكبر من بعض الكبائر أو مثله أو حكم العقل بأنها كبيرة، أو كان في ارتكاز المتشرعة،كذلك أو ورد النص بكونها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أَبِي الْعَبَّاسِ أَحْمَدَ بْن مُحَمَّدِ بْن سَعِيدِ بْن عُقْدَةَ عَنْ مُحَمَّدِ بْنِ الْمُفَضَّلَ بْن إِبْرَاهِيمَ الْأَشْعَرِيِّ عَنِ الْحَسَنِ بْنِ عَلِيٍّ الْوَشَاءِ عَنْ عَبْدِ الْكَرِيمِ بْنِ عَمْرِو الْخَلْعَمِي عَنْ عَبْدِ اللَّهِ بْنِ أَبِي يَعْفُورٍ وَ مُعَلَّى بْنِ خُنَيْسِ عَنْ أَبِي الصَّامِتِ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الْكَبَائِرِ سَبْعَ الشِّرْكُ بِاللَّهِ الْعَظِيمِ وَ قَتْلُ النَّفْسِ الَّتِي حَرَّمَ اللَّهُ عَزَّ وَ جَلَّ وَ أَكُلُ أَمْوَالِ الْيَتَامَى وَ عُقُوقُ الْوَالِدَيْنِ وَ قَدْفُ الْمُحْصَنَاتِ وَ الْفِرَارُ مِنَ الزَّحْفِ وَ إِنْكَارُ مَا أَنْزَلَ اللَّهُ عَزَّ وَ جَلَّ إِلَى أَنْ قَالَ وَ أَمَّا أكُلُ أَمْوَالِ الْيَتَامَى فَقَالَ ظُلِمْنَا فَيْتَنَا وَ ذَهَبُوا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مجموع الروايات الواردة في تعداد الكبائر و النصوص الواردة في بعض المعاصي على الخصوص بعد إسقاط المكرّرات منها أن الكبائر أربعون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بالله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 ما 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 من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من مكر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على الله و رسوله و على الأوصياء صلوات الله عليهم، و في رواية مطلق 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المحاربة لأولياء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النفس التي حرم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معونة الظالمين و الركون إليهم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من الزحف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بعد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الجنف في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مال اليتم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الربا بعد البينة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الميتة و الدم و لحم الخنزير و ما اهل به لغير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السحت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السرقة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البخس فى المكيال و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الحقوق من غير 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والتبذير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الاشتغال بالملاهي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المحصنات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الاستخفاف بالحج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شيء مما فرض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على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الإصرار الموجب لدخول الصغيرة في الكبائر هو المداومة و الملازمة على المعصية من دون تخلل التوبة، و لا يبعد أن يكون من الإصرار العزم على العود إلى المعصية بعد ارتكابها و إن لم يعد إليها خصوصا إذا كان عزمه على العود حال ارتكاب المعصية الأولى، نعم الظاهر عدم تحققه بمجرد عدم التوبة بعد المعصية من دون العزم على العود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اختلف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معرفة العدالة على أقوال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إلى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كفاية ظهور الإسلام في إحراز العدالة ما لم يعلم الخلاف و هذا هو المشهور بين العامه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حسن الظاهر مطلقا و نسب ذلك إلى المشهور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إفادة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حصول الوثوق و ربما يتوهّم أنّ هذه الأقوال في نفس العدالة من حيث هي، و لكن المتأمل فيها يرى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في الكاشف عنها و المعرف لها لا في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حيث الملازمة الغالبية بين واقع العدالة و حسن الظاهر عبّروا بذلك لا أن يكون ذلك حدا منطقيا أو تحديدا 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 شرعيا، أو يكون 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الموضوعات المستنبطة التي يرجع فيها إلى الفقهاء، بل العدالة مثل سائر الموضوعات العرفية التي يعرفه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العرف بعد الاطلاع عليها و على آثارها كالمحبة و العلاقة و العداوة، بل تكون مثل الحرف و الصنائع كالتجارة والزراعة و الحياكة و نحوها مما تعرف بآثارها و لوازمها العرفية و كذا العدالة صفة نفسانية واقعية التي آثارها ما فصل في صحيح ابن أبي يعفور على ما تقدم، و يشهد بذلك عرف المتشرعة أيضا، و سياق جملة من فقراته يدل أنه لا موضوعية لحسن الظاهر من حيث هو، بل هو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 استكشاف تلك الصفة الواقعية النفسانية، فراجع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1384</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إمامة الفاسق، و لو لمثله، غير صحيحة إلا في صلاة الجمعة و العيد إذا تعذرت صلاتهما خلف غيره، فتجوز إمامته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العزیز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المالكية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إمامة الفاسق مكروهة و لو لمثله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 بالإمامة الأعلم بأحكام الصلاة صحة و فسادا، بشرط أن يجتنب الفواحش الظاهرة، ثم الأحسن تلاوة وتجويدا للقراءة، ثم الأورع، ثم الأقدم إسلاما، ثم الأكبر سنا، إن كانا مسلمين أصليين، ثم الأحسن خلقا، ثم الأحسن وجها، ثم الأشرف نسبا، ثم الأنظف ثوبا، فإن استووا في ذلك كله أقرع بينهم إن تزاحموا على الإمامة، و إلا قدموا من شاء وا، فإن اختلفوا و لم يرضوا بالقرعة قدم من اختاره أكثرهم، فإن اختار أكثرهم غير الأحق بها أساءوا بدون إثم، و هذا كله إذا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يكن بين القوم سلطان، أو صاحب منزل اجتمعوا فيه أو صاحب وظيفة، و إلا قدم السلطان، ثم صاحب البيت مطلقا، و مثله الإمام الراتب في المسجد، و إذا وجد في البيت مالكه و مستأجره، فالأحق بها المستأجر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ندبا في الإمامة الوالى بمحل ولايته، ثم الإمام الراتب، ثم الساكن بحق إن كان أهلا لها، فإن لم يكن فيهم من ذكر قدم الأفقه، فالأقرأ، فالأزهد، فالأورع، فالأقدم هجرة، فالأسن في الإسلام، فالأفضل نسبا، فالأحسن سيرة، فالأنظف ثوبا و بدنا و صنعة، فالأحسن صوتا، فالأحسن صورة، فالمتزوج، فإن تساووا في كل ما ذكر أقرع بينهم، و يجوز للأحق بالإمامة أن يقدم غيره لها، ما لم يكن تقدمه بالصفة، كالأفقه، فليس 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جماعة كل واحد منهم صالح للإمامة يندب تقديم السلطان أو نائبه، و لو كان غيرهما أفقه وأفضل، ثم الإمام الراتب في المسجد، و رب المنزل، و يقدم المستأجر له على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رب المنزل امرأة كانت هي صاحبة الحق، و يجب عليها أن تنيب عنها، لأن إمامتها لا تصح، ثم الأعلم بأحكام الصلاة، ثم الأعلم بفن الحديث رواية و حفظا، ثم العدل على مجهول الحال، ثم الأعلم بالقراءة، ثم الزائد فى العبادة، ثم الأقدم إسلاما، ثم الأرقى نسبا، ثم الأحسن في الخلق، ثم الأحسن لباسا، و هو لابس الجديد المباح فإن يتساوى أهل رتبة قدم أورعهم، و حرم على عبدهم، فإن استووا في كل شيء أقرع بينهم، إلا إذا رضوا بتقديم أحدهم، فإذا كان تزاحمهم بقصد العلو و الكبر سقط حقهم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 بالإمامة الأفقه الأجود قراءة، ثم الفقيه الأجود قراءة، ثم الأجود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راءة فقط، و إن لم يكن فقيها إذا كان يعلم أحكام الصلاة، ثم الحافظ لما يجب للصلاة الأفقه، ثم الحافظ لما يجب لها الفقيه، ثم الحافظ لما يجب العالم فقه صلاته، ثم قارئ لا يعلم فقه صلاته، فإن استووا في عدم القراءة قدم الأعلم بأحكام الصلاة، فإن استووا في القراءة و الفق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أكبرهم سنا ثم الأشرف نسبا، فالأقدم هجرة بنفسه، و السابق بالإسلام كالسابق بالهجرة، ثم الأتقى، ثم الأورع، فإن استووا فيما تقدم أقرع بينهم، و أحق الناس بالإمامة في البيت صاحبه إن كان صالحا للإمامة، و فى المسجد الإمام الراتب، و لو عبدا فيهما، و هذا إذا لم يحضر البيت أو المسجد ذو سلطان، و إلا 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أذان الصلاة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تاج اللغ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و صحاح العربية؛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2068</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تَوَلَّى أَذَانِ الْإِعْلَامِ وَ الْمُدَاوَمَةِ عَلَيْهِ وَ رَفْعِ الصَّوْتِ بِهِ وَ إِكْرَامِ الْمُؤَذِّنِينَ وَ حُسن الظَّنِّ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يَعْقُوبَ بْنِ يَزِيدَ عَنِ ابْنِ أَبِي عُمَيْرٍ عَنْ مُعَاوِيَةَ بْن وَهْبٍ عَنْ أَبي عَبْدِ اللَّهِ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 الله مَنْ أَذَنَ فِي مِصْرَ مِنْ أَمْصَ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 الْمُسْلِمِينَ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الْعَبَّاسِ عَنْ عَبْدِ اللَّهِ بْنِ الْمُغِيرَةِ عَنْ بَكْرِ بْنِ سَالِمٍ عَنْ سَعْدِ الْإِسْكَافِ قَالَ سَمِعْتُ أَبَا جَعْفَرٍ علیه السلام يَقُولُ مَنْ أَذَّنَ سبع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احْتِسَاباً جَاءَ يَوْمَ الْقِيَامَةِ وَ لَا 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مُحَمَّدِ بْنِ الْحُسَيْنِ عَنْ جَعْفَرِ بْنِ بَشِيرٍ عَنِ الْعَرْزَمِي عَنْ أَبِي عَبْدِ اللَّهِ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أطول النَّاسِ أعْنَاقاً يَوْمَ الْقِيَامَةِ الْمُؤَذِّنِينَ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الْبَرْقِيُّ فِي الْمَحَاسِنِ عَنْ عُبَيْدِ بْنِ يَحْيَى بْنِ الْمُغِيرَةِ عَنْ سَهْلِ بْنِ سِنَانِ عَنْ سَلَّامٍ الْمَدَائِنِي عَنْ جَابِرٍ الْجُعْفِى عَنْ مُحَمَّدِ بْن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 الْمُحْتَسِبُ كَالشَّاهِرِ سَيْفَهُ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 بَيْنَ الصَّفَّيْن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شرطه الإسلام و العقل مطلقا و الذكورة، إلا أن تؤذن المرأة لمثلها أو للمحارم، و يكتفى بأذان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فيهما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الاستقبال الثاني القيام الثالث الطهارة في الأذان و أما الإقامة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عرفت أن الأحوط بل لا يخلو عن قوة اعتبارها فيها بل الأحوط اعتبار الاستقبال و القيام أيضا فيها إن كان الأقوى الاستحباب الرابع عدم التكلم في أثنائهما بل يكره بعد قد قامت الصلاة للمقيم بل لغيره أيضا في صلاة الجماعة إلا فى تقديم إمام بل مطلق ما يتعلق بالصلاة كتسوية صف و نحوه بل يستحب له إعادتها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الاستقرار فى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الجزم فى أواخر فصولهما مع التأني في الأذان و الحدر في الإقامة على وجه لا ينافي قاعدة الوقف السابع الإفصاح بالألف و الهاء من الجلالة في آخر كل فصل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وضع الإصبعين في الأذنين فى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مد الصوت في الأذان و رفعه و يستحب الرفع في الإقامة أيضا إلا أنه دون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الفصل بين الأذان و الإقامة بصلاة ركعتين أو خطوة أو قعدة أو سجدة أو ذكر أو دعاء أو سكوت بل أو تكلم لكن في غير الغداة بل لا يبعد كراهته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اللسيد اليزدى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و تکمیل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أخذ الأجرة على أذان الصلاة و لو أتى به بقصدها بطل و أما أذان الإعلام فقد يقال بجواز أخذها عليه لكنه مشكل نعم لا بأس بالارتزاق من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 قواعد العلام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المذكورة في المؤذن ليست شروطا لصحة الأذان فيصح أذان المرأة و الخنثى و الكافر و المجنون و السكران، و يرتفع الإثم عن أهل الحي بوقوعه من أحد هؤلاء، غير يصح الاعتماد أنه لا يصح على خبر الكافر و الفاسق و المجنون في دخول وقت الصلاة، إذ يشترط في التصديق بدخول الوقت أن يكون المؤذن مسلما عدلا، و لو امرأة، و أن يكون عاقلا مميزا عالما بالأوقات، فإذا أذن شخص فاقد لشرط من هذه الشروط صح في ذاته، و لكن لا يصح الاعتماد عليه في دخول الوقت، و يكره أذانه، كما يكره أذان الجنب و الفاسق، و يعاد الأذان ندبا إذا أذن واحد منهم بدل المؤذن الراتب، أما إذا أذن لجماعة عالمين بدخول الوقت و لم يكن بدل المؤذن الراتب، فلا يعاد الأذان، و لا يصح أذان الصبى غير المميز، و لا يرتفع الإثم به، أما أذان المرأة، فإنه يمتنع إن ترتب عليه إثارة شهوة من يسمع صوتها، كما تقدم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فى المؤذن أيضا أن يكون بالغا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أذن الصبي المميز فلا يصح أذانه، إلا إذا اعتمد فيه أو في دخول الوقت على بالغ فيصح أن يكون عدل رواية، فلا يصح أذان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اعتمد على أذان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577</Pages>
  <Words>32879</Words>
  <Characters>120459</Characters>
  <CharactersWithSpaces>151976</CharactersWithSpaces>
  <Paragraphs>1476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2026-08-25T18:53:07Z</dcterms:created>
  <dc:creator>ghaemiyeh.com</dc:creator>
  <dc:description/>
  <dc:language>en-US</dc:language>
  <cp:lastModifiedBy/>
  <dcterms:modified xsi:type="dcterms:W3CDTF">2026-08-25T22:23:30Z</dcterms:modified>
  <cp:revision>1</cp:revision>
  <dc:subject/>
  <dc:title>فقه مقارن مسجد بررسی احکام مسجد با رویکرد فقه مقارن</dc:title>
</cp:coreProperties>
</file>

<file path=docProps/custom.xml><?xml version="1.0" encoding="utf-8"?>
<Properties xmlns="http://schemas.openxmlformats.org/officeDocument/2006/custom-properties" xmlns:vt="http://schemas.openxmlformats.org/officeDocument/2006/docPropsVTypes"/>
</file>