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العقیقة فی الإسلام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15583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4015585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015587_1280447820">
            <w:r>
              <w:rPr>
                <w:webHidden/>
                <w:rStyle w:val="IndexLink"/>
                <w:rtl w:val="true"/>
              </w:rPr>
              <w:t xml:space="preserve">الإهداء </w:t>
            </w:r>
            <w:r>
              <w:rPr>
                <w:rStyle w:val="IndexLink"/>
                <w:rtl w:val="true"/>
              </w:rPr>
              <w:t>:</w:t>
              <w:tab/>
            </w:r>
            <w:r>
              <w:rPr>
                <w:rStyle w:val="IndexLink"/>
              </w:rPr>
              <w:t>8</w:t>
            </w:r>
          </w:hyperlink>
        </w:p>
        <w:p>
          <w:pPr>
            <w:pStyle w:val="Contents2"/>
            <w:tabs>
              <w:tab w:val="clear" w:pos="8743"/>
              <w:tab w:val="right" w:pos="9026" w:leader="dot"/>
            </w:tabs>
            <w:rPr/>
          </w:pPr>
          <w:hyperlink w:anchor="__RefHeading___Toc14015589_1280447820">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4015591_1280447820">
            <w:r>
              <w:rPr>
                <w:webHidden/>
                <w:rStyle w:val="IndexLink"/>
                <w:rtl w:val="true"/>
              </w:rPr>
              <w:t>تعريف العقيقة</w:t>
            </w:r>
            <w:r>
              <w:rPr>
                <w:rStyle w:val="IndexLink"/>
                <w:rtl w:val="true"/>
              </w:rPr>
              <w:tab/>
            </w:r>
            <w:r>
              <w:rPr>
                <w:rStyle w:val="IndexLink"/>
              </w:rPr>
              <w:t>14</w:t>
            </w:r>
          </w:hyperlink>
        </w:p>
        <w:p>
          <w:pPr>
            <w:pStyle w:val="Contents2"/>
            <w:tabs>
              <w:tab w:val="clear" w:pos="8743"/>
              <w:tab w:val="right" w:pos="9026" w:leader="dot"/>
            </w:tabs>
            <w:rPr/>
          </w:pPr>
          <w:hyperlink w:anchor="__RefHeading___Toc14015593_1280447820">
            <w:r>
              <w:rPr>
                <w:webHidden/>
                <w:rStyle w:val="IndexLink"/>
                <w:rtl w:val="true"/>
              </w:rPr>
              <w:t>لماذا العقيقة ؟</w:t>
            </w:r>
            <w:r>
              <w:rPr>
                <w:rStyle w:val="IndexLink"/>
                <w:rtl w:val="true"/>
              </w:rPr>
              <w:tab/>
            </w:r>
            <w:r>
              <w:rPr>
                <w:rStyle w:val="IndexLink"/>
              </w:rPr>
              <w:t>19</w:t>
            </w:r>
          </w:hyperlink>
        </w:p>
        <w:p>
          <w:pPr>
            <w:pStyle w:val="Contents2"/>
            <w:tabs>
              <w:tab w:val="clear" w:pos="8743"/>
              <w:tab w:val="right" w:pos="9026" w:leader="dot"/>
            </w:tabs>
            <w:rPr/>
          </w:pPr>
          <w:hyperlink w:anchor="__RefHeading___Toc14015595_1280447820">
            <w:r>
              <w:rPr>
                <w:webHidden/>
                <w:rStyle w:val="IndexLink"/>
                <w:rtl w:val="true"/>
              </w:rPr>
              <w:t>أقوال علمائنا في العقيقة</w:t>
            </w:r>
            <w:r>
              <w:rPr>
                <w:rStyle w:val="IndexLink"/>
                <w:rtl w:val="true"/>
              </w:rPr>
              <w:tab/>
            </w:r>
            <w:r>
              <w:rPr>
                <w:rStyle w:val="IndexLink"/>
              </w:rPr>
              <w:t>23</w:t>
            </w:r>
          </w:hyperlink>
        </w:p>
        <w:p>
          <w:pPr>
            <w:pStyle w:val="Contents2"/>
            <w:tabs>
              <w:tab w:val="clear" w:pos="8743"/>
              <w:tab w:val="right" w:pos="9026" w:leader="dot"/>
            </w:tabs>
            <w:rPr/>
          </w:pPr>
          <w:hyperlink w:anchor="__RefHeading___Toc14015597_1280447820">
            <w:r>
              <w:rPr>
                <w:webHidden/>
                <w:rStyle w:val="IndexLink"/>
                <w:rtl w:val="true"/>
              </w:rPr>
              <w:t>دعاء العقيقة</w:t>
            </w:r>
            <w:r>
              <w:rPr>
                <w:rStyle w:val="IndexLink"/>
                <w:rtl w:val="true"/>
              </w:rPr>
              <w:tab/>
            </w:r>
            <w:r>
              <w:rPr>
                <w:rStyle w:val="IndexLink"/>
              </w:rPr>
              <w:t>36</w:t>
            </w:r>
          </w:hyperlink>
        </w:p>
        <w:p>
          <w:pPr>
            <w:pStyle w:val="Contents2"/>
            <w:tabs>
              <w:tab w:val="clear" w:pos="8743"/>
              <w:tab w:val="right" w:pos="9026" w:leader="dot"/>
            </w:tabs>
            <w:rPr/>
          </w:pPr>
          <w:hyperlink w:anchor="__RefHeading___Toc14015599_1280447820">
            <w:r>
              <w:rPr>
                <w:webHidden/>
                <w:rStyle w:val="IndexLink"/>
                <w:rtl w:val="true"/>
              </w:rPr>
              <w:t>زبدة البحث</w:t>
            </w:r>
            <w:r>
              <w:rPr>
                <w:rStyle w:val="IndexLink"/>
                <w:rtl w:val="true"/>
              </w:rPr>
              <w:tab/>
            </w:r>
            <w:r>
              <w:rPr>
                <w:rStyle w:val="IndexLink"/>
              </w:rPr>
              <w:t>39</w:t>
            </w:r>
          </w:hyperlink>
        </w:p>
        <w:p>
          <w:pPr>
            <w:pStyle w:val="Contents2"/>
            <w:tabs>
              <w:tab w:val="clear" w:pos="8743"/>
              <w:tab w:val="right" w:pos="9026" w:leader="dot"/>
            </w:tabs>
            <w:rPr/>
          </w:pPr>
          <w:hyperlink w:anchor="__RefHeading___Toc14015601_1280447820">
            <w:r>
              <w:rPr>
                <w:webHidden/>
                <w:rStyle w:val="IndexLink"/>
                <w:rtl w:val="true"/>
              </w:rPr>
              <w:t>نظرة في الإطعام</w:t>
            </w:r>
            <w:r>
              <w:rPr>
                <w:rStyle w:val="IndexLink"/>
                <w:rtl w:val="true"/>
              </w:rPr>
              <w:tab/>
            </w:r>
            <w:r>
              <w:rPr>
                <w:rStyle w:val="IndexLink"/>
              </w:rPr>
              <w:t>44</w:t>
            </w:r>
          </w:hyperlink>
        </w:p>
        <w:p>
          <w:pPr>
            <w:pStyle w:val="Contents2"/>
            <w:tabs>
              <w:tab w:val="clear" w:pos="8743"/>
              <w:tab w:val="right" w:pos="9026" w:leader="dot"/>
            </w:tabs>
            <w:rPr/>
          </w:pPr>
          <w:hyperlink w:anchor="__RefHeading___Toc14015603_1280447820">
            <w:r>
              <w:rPr>
                <w:webHidden/>
                <w:rStyle w:val="IndexLink"/>
                <w:rtl w:val="true"/>
              </w:rPr>
              <w:t>فهرس المصادر والمراجع</w:t>
            </w:r>
            <w:r>
              <w:rPr>
                <w:rStyle w:val="IndexLink"/>
                <w:rtl w:val="true"/>
              </w:rPr>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39_186208"/>
      <w:bookmarkStart w:id="1" w:name="pg19039_186208"/>
      <w:bookmarkEnd w:id="1"/>
    </w:p>
    <w:p>
      <w:pPr>
        <w:pStyle w:val="Heading2"/>
        <w:numPr>
          <w:ilvl w:val="1"/>
          <w:numId w:val="1"/>
        </w:numPr>
        <w:rPr/>
      </w:pPr>
      <w:bookmarkStart w:id="2" w:name="pg19039_186208"/>
      <w:bookmarkStart w:id="3" w:name="__RefHeading___Toc14015583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العقيقة في الإسلام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الشيخ محمود الأرگاني البهبهاني الحائري</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 في الإسلام</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محمود الأرگانيّ البهبهانيّ الحائريّ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حقوق الطبع محفوظة للناشر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زقاق مير أبو طالبي</w:t>
      </w:r>
    </w:p>
    <w:p>
      <w:pPr>
        <w:pStyle w:val="BookText"/>
        <w:rPr/>
      </w:pPr>
      <w:r>
        <w:rPr>
          <w:rFonts w:ascii="Amiri" w:hAnsi="Amiri" w:eastAsia="Amiri" w:cs="Amiri"/>
          <w:color w:val="111111"/>
          <w:sz w:val="28"/>
          <w:sz w:val="28"/>
          <w:szCs w:val="28"/>
          <w:rtl w:val="true"/>
          <w:lang w:bidi="ar-SA"/>
        </w:rPr>
        <w:t xml:space="preserve">رقم البناية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7738936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15585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 في الإسلام</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محمود الأرگانيّ البهبهانيّ الحائريّ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حقوق الطبع محفوظة للناشر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زقاق مير أبو طالبي</w:t>
      </w:r>
    </w:p>
    <w:p>
      <w:pPr>
        <w:pStyle w:val="BookText"/>
        <w:rPr/>
      </w:pPr>
      <w:r>
        <w:rPr>
          <w:rFonts w:ascii="Amiri" w:hAnsi="Amiri" w:eastAsia="Amiri" w:cs="Amiri"/>
          <w:color w:val="111111"/>
          <w:sz w:val="28"/>
          <w:sz w:val="28"/>
          <w:szCs w:val="28"/>
          <w:rtl w:val="true"/>
          <w:lang w:bidi="ar-SA"/>
        </w:rPr>
        <w:t xml:space="preserve">رقم البناية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7738936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0251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المنصوري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039_186212"/>
      <w:bookmarkStart w:id="8" w:name="pg19039_186212"/>
      <w:bookmarkEnd w:id="8"/>
    </w:p>
    <w:p>
      <w:pPr>
        <w:pStyle w:val="Heading2"/>
        <w:numPr>
          <w:ilvl w:val="1"/>
          <w:numId w:val="1"/>
        </w:numPr>
        <w:rPr/>
      </w:pPr>
      <w:bookmarkStart w:id="9" w:name="pg19039_186212"/>
      <w:bookmarkStart w:id="10" w:name="__RefHeading___Toc14015587_1280447820"/>
      <w:bookmarkStart w:id="11" w:name="_Toc3"/>
      <w:bookmarkEnd w:id="9"/>
      <w:bookmarkEnd w:id="10"/>
      <w:r>
        <w:rPr>
          <w:rtl w:val="true"/>
        </w:rPr>
        <w:t xml:space="preserve">الإهداء </w:t>
      </w:r>
      <w:r>
        <w:rPr>
          <w:rtl w:val="true"/>
        </w:rPr>
        <w:t>:</w:t>
      </w:r>
      <w:bookmarkEnd w:id="11"/>
    </w:p>
    <w:p>
      <w:pPr>
        <w:pStyle w:val="BookText"/>
        <w:rPr/>
      </w:pPr>
      <w:r>
        <w:rPr>
          <w:rFonts w:ascii="IRNazanin" w:hAnsi="IRNazanin" w:eastAsia="IRNazanin"/>
          <w:color w:val="111111"/>
          <w:sz w:val="28"/>
          <w:sz w:val="28"/>
          <w:szCs w:val="28"/>
          <w:rtl w:val="true"/>
          <w:lang w:bidi="fa-IR"/>
        </w:rPr>
        <w:t xml:space="preserve">إلى المعصومين عليهم السلام خصوصاً الإمام المهديّ عجّل اللّه تعالى فرجه الشريف ، وإلى أرواح علماء الطائفة الإماميّة الحقّة وعلماء أُسرتي وبالأخصّ والدي الحجّة الشيخ الميرزا أحمد الأرگاني ، وجدّي الأعلى المرجع الديني آية اللّه العظمى الشيخ غلام علي البهبهاني ، وأولاده المجتهدين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 والشيخ علي ، والشيخ مهدي ، والشيخ تقي قدّس اللّه أسرارهم المولودين في كربلاء المقدّسة ، أُهدي ثواب هذا الكتاب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 الأحقر الفاني</w:t>
      </w:r>
    </w:p>
    <w:p>
      <w:pPr>
        <w:pStyle w:val="BookText"/>
        <w:rPr/>
      </w:pPr>
      <w:r>
        <w:rPr>
          <w:rFonts w:ascii="IRNazanin" w:hAnsi="IRNazanin" w:eastAsia="IRNazanin"/>
          <w:color w:val="111111"/>
          <w:sz w:val="28"/>
          <w:sz w:val="28"/>
          <w:szCs w:val="28"/>
          <w:rtl w:val="true"/>
          <w:lang w:bidi="fa-IR"/>
        </w:rPr>
        <w:t>الشيخ محمود الأرگاني البهبهاني الحائري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039_186214"/>
      <w:bookmarkStart w:id="13" w:name="pg19039_186214"/>
      <w:bookmarkEnd w:id="13"/>
    </w:p>
    <w:p>
      <w:pPr>
        <w:pStyle w:val="Heading2"/>
        <w:numPr>
          <w:ilvl w:val="1"/>
          <w:numId w:val="1"/>
        </w:numPr>
        <w:rPr/>
      </w:pPr>
      <w:bookmarkStart w:id="14" w:name="pg19039_186214"/>
      <w:bookmarkStart w:id="15" w:name="__RefHeading___Toc14015589_1280447820"/>
      <w:bookmarkStart w:id="16" w:name="_Toc4"/>
      <w:bookmarkEnd w:id="14"/>
      <w:bookmarkEnd w:id="15"/>
      <w:r>
        <w:rPr>
          <w:rtl w:val="true"/>
        </w:rPr>
        <w:t>المقدِّمة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 بارئ الخلائق أجمعين ، والصلاة والسلام على رحمته للعالمين نبيّ الهدى والرحمة المصطفى الأمجد أبي القاسم محمّد صلوات اللّه وسلامه عليه ، وعلى آله مصابيح الهدى وسفن النجاة والعروة الوثقى وحبل اللّه الممدود من السماء إلى الأرض وآيته الكبرى والنبأ العظيم آل اللّه الطيّبين الطاهرين المعصومين ، واللعن الدائم أبداً على أعدائهم أعداء اللّه مذ قاموا حتّى قيام يوم الدين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فقد مَنَّ الباري سبحانه وتعالى على بريّته بالفضل الكثير والخير العميم ، وشملهم بشآبيب رحمته ورضوانه من فيض عطائه الذي لا ينضب ، فبعد أن أمّن لهم طرق الاستقامة بالعقل والفطرة وبعثة الأنبياء فقد سنّ لهم طريقة حياة مُثلَى جامعة مانعة ، وقد أشخصها بقالب الشريعة الغرّاء التي ما تعس مَن عاش فيها وفق أحكامها وضوابطها ، ومن واسع رحمته جلّ شأنه ولطف تدبيره أن لم يترك صغيرة ولا كبيرة على كافّة مناحي حياة الإنسان الخاصّة والعامّة إلاّ وسنّ له فيها ما يوجّهه إلى جادّة الصواب ، مُحذِّراً عن التخبّط في الأهواء المسنودة بخيوط الوساوس </w:t>
      </w:r>
    </w:p>
    <w:p>
      <w:pPr>
        <w:pStyle w:val="BookText"/>
        <w:rPr/>
      </w:pPr>
      <w:r>
        <w:rPr>
          <w:rFonts w:ascii="Amiri" w:hAnsi="Amiri" w:eastAsia="Amiri" w:cs="Amiri"/>
          <w:color w:val="111111"/>
          <w:sz w:val="28"/>
          <w:sz w:val="28"/>
          <w:szCs w:val="28"/>
          <w:rtl w:val="true"/>
          <w:lang w:bidi="ar-SA"/>
        </w:rPr>
        <w:t xml:space="preserve">الإبليسيّة ، ومؤكِّداً على الالتزام بنهج الشريعة الحقّ المأخوذ من عينه الفيّاضة ونوره الهاد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فقد صاغ سبحانه وتعالى للبشر حياةً نظيفة طيِّبة طاهرة ، لكنّها محفوفة بمخاطر شتّى ، منها العداء الإبليسيّ وهوى النفس الأمّارة بالسوء والتكاسل والابتعاد عن السنن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 من هذه العراقيل المضلّة بشدّة ، وأكّد مراراً وبمختلف الصور عبر وسائل هدايته من العقل والفطرة وتوجيه الأنبياء والشريعة على ضرورة السير الحثيث الجادّ في الطريق القويم للفوز بنعيم الدارين ، وأنّ التمسّك بتطبيقات السنّة المأخوذة من معينها الزلال هي خير ضامن وصمّام الأمان لعدم التخبّط في ظلمات الجهل من خلال الابتعاد عن منهج الشريعة الحقّة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هذا الأساس فقد كان لدين الإسلام برنامج معيّن لكلِّ منحىً من مناحي حياة الإنسان الفرديّة والاجتماعيّة ، ويتماشى معه في كلّ ما يحبّه ويرغب إليه إن كان لا يتعارض مع مؤشّرات الفطرة السليمة ، فالإنسان بطبيعته البشريّة يحبّ الإطعام ويأنس به لدرجة أجبرت فيه الأُدباء أن يفردوا لهذا الموضوع أبواباً ويتّسعوا فيها ، ومنهم ابن قتيبة في أدب الكاتب ، حيث أفرد باباً سمّاه باب معرفة في الطعام والشراب ،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العرس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وطعام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وطعام 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تطعمه النفساء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وطعام الختان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وطعام القادم من 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طعام صنع 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مأْدُبَة ، ومأْدَبَة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يدعو النَّقَرَى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خصَّ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يدعو الأجْفَلَى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توسّع في بسط ذلك صاحب كتاب البخلاء ، وممّا أشار فيه إلى ضروب الطعام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فالطعام الذي يُتَّخذ صبيحة الولادة للرجال والنساء ، وزعموا أنّ أصل ذلك مأخوذٌ من الخُرسة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طعامهم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طعام البناء ، كان الرجل يطعم من يبني له ، وإذا فرغ من بنائه تبرّك بإطعام أصحابه ودعائهم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على لحم الكبش الذي يعقّ عن الصبيّ ، والعقيقة اسم للشَّعر نفسه ، والأشعار هي العقائق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عقّوا عنه ، أي احلقوا عقيقته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عنه ، وعقّ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الكبش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 الجوار وسبب المتلبّس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عقيقةً ، ثمّ سمّوا ذلك الطعام باسم الكبش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 الإسلام على جميع ذلك وأقرّه وحثّ عليه وسنّ له آداباً قد بسطت في كتب السنن والأخلاق ، وضرب قادتنا الميامين أئمّة الهدى والرحمة والسلام والمَثَل الأعلى في كلّ ذلك على الرغم ممّا كانوا يعانون منه، وكتب الحديث والمناقب مليئة بصور حاكية عن الكرم والإيثار والأدب الرفيع لأئمّتنا عليهم السلام في هذا المجال ، تحكي الدين والأصالة وما ينبغي لنا أن نسير عليه في حياتنا ، وكلّ تاريخ أهل البيت عليهم السلام حجّة ، فلابدّ من التوجّه الجادّ في مطالعة تاريخ حياتهم وهظمه واستيعابه والعمل بكلّ ما جاء فيه ، وهذا يعني أصالة الانتماء لهم والتعبّد بأقوالهم وأفعالهم وتقريرهم صلوات اللّه وسلامه عليهم ، وبهذا فمن اللائق الافتخار بحمل هويّة التشيّع لهم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والعقيقة واحدة من تلك السنن المؤكّدة التي أصبحت جزءاً لا يتجزّأ من حياة الإنسان المؤمن ، وهي ذات آثار فرديّة واجتماعيّة ، إذ هي نسك وقربة وإيصال منفعة إلى الآخرين ، وما دام كلّ امرئ مرتهن بعقيقته فلِمَ التأخير </w:t>
      </w:r>
    </w:p>
    <w:p>
      <w:pPr>
        <w:pStyle w:val="BookText"/>
        <w:rPr/>
      </w:pPr>
      <w:r>
        <w:rPr>
          <w:rFonts w:ascii="Amiri" w:hAnsi="Amiri" w:eastAsia="Amiri" w:cs="Amiri"/>
          <w:color w:val="111111"/>
          <w:sz w:val="28"/>
          <w:sz w:val="28"/>
          <w:szCs w:val="28"/>
          <w:rtl w:val="true"/>
          <w:lang w:bidi="ar-SA"/>
        </w:rPr>
        <w:t>عنها والتواني فيها مع ما لها من منافع عديدة كحفظه من الموت السريع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التعليل ذهب البعض في توجيه فعل الإمام العسكريّ عليه السلام بعقّ ولده المهديّ عجّل اللّه تعالى فرجه الشريف بثلاثمائة عقيقة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جرى التأكيد على العقيقة لدى جميع المسلمين بكافّة طوائفهم ولم يتركها أحد منهم وإن اختلفوا في كيفيّة إجراء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لأهمّيّة هذا المطلب من حيث كونه حالة عمليّة يعيشها الناس ويمارسونها باستمرار ، وقد كثر السؤال عن مسائل العقيقة من قِبَلهم واحتار الكثيرون في الإجابة ، وقد رأيت من خلال تتبّعي لما بين أيدينا من كتب أن ليس هناك ما يشفي الغليل ، حيث لم أجد كتاباً واحداً يُفصِّل مسائل العقيقة بشكل مستقلّ ، وكلّ ما عثرت عليه هو تأليف قديم مفقود ليس له من أثر سوى ذكر اسمه في الجزء الخامس عشر من كتاب الذريعة في الصفحة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تحت الأرقام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لذا فقد رأيت من واجبي أن أُشمِّر عن ساعد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ضعف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لَمّ الشتات وجمع كلّ ما يتعلّق بموضوع العقيقة ودرجه في صحيفة قليلة الصفحات كثيرة البركات ، تشفي غليل السائل وتوجّهه إلى كيفيّة إجراء السنّة من غير طائل ، وقد وسمت هذا المؤلّف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وبسطت فيه كلّ ما يحتاج إليه المؤمنون ، راجياً من اللّه 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أوّلاً وآخراً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الأحقر الفاني محمود الأرگانيّ البهبهانيّ الحائريّ</w:t>
      </w:r>
    </w:p>
    <w:p>
      <w:pPr>
        <w:pStyle w:val="BookText"/>
        <w:rPr/>
      </w:pPr>
      <w:r>
        <w:rPr>
          <w:rFonts w:ascii="Amiri" w:hAnsi="Amiri" w:eastAsia="Amiri" w:cs="Amiri"/>
          <w:color w:val="111111"/>
          <w:sz w:val="28"/>
          <w:sz w:val="28"/>
          <w:szCs w:val="28"/>
          <w:rtl w:val="true"/>
          <w:lang w:bidi="ar-SA"/>
        </w:rPr>
        <w:t>الحوزة العلميّة في قم المقدّسة عشّ آل محمّد صلّى اللّه عليه وآله وسلّم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الغدير المبارك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bookmarkStart w:id="17" w:name="pg19039_186218"/>
    </w:p>
    <w:p>
      <w:pPr>
        <w:pStyle w:val="Heading2"/>
        <w:numPr>
          <w:ilvl w:val="1"/>
          <w:numId w:val="1"/>
        </w:numPr>
        <w:rPr/>
      </w:pPr>
      <w:bookmarkStart w:id="18" w:name="__RefHeading___Toc14015591_1280447820"/>
      <w:bookmarkStart w:id="19" w:name="_Toc5"/>
      <w:bookmarkEnd w:id="17"/>
      <w:bookmarkEnd w:id="18"/>
      <w:r>
        <w:rPr>
          <w:rtl w:val="true"/>
        </w:rPr>
        <w:t>تعريف العقيقة</w:t>
      </w:r>
      <w:bookmarkEnd w:id="19"/>
    </w:p>
    <w:p>
      <w:pPr>
        <w:pStyle w:val="BookText"/>
        <w:rPr/>
      </w:pPr>
      <w:r>
        <w:rPr>
          <w:rFonts w:ascii="Amiri" w:hAnsi="Amiri" w:eastAsia="Amiri" w:cs="Amiri"/>
          <w:color w:val="111111"/>
          <w:sz w:val="28"/>
          <w:sz w:val="28"/>
          <w:szCs w:val="28"/>
          <w:rtl w:val="true"/>
          <w:lang w:bidi="ar-SA"/>
        </w:rPr>
        <w:t xml:space="preserve">يُستمدّ أصل معنى الحقيقة على ما يُفهَم من كلام أهل اللغة وغريب الحديث والأثر ممّا سطّره فحول اللغة وأساطينها في مبسوط كتبهم اللغويّة ، وعلى رأسهم الخليل الفراهيديّ ،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الذي يُولَد الوَلَدُ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الشاة التي تُذبَح لذلك عقيقة ؛ يقع اسم الذبح على الطعام ، كما وقع اسم الجزور التي تُنقع على النقيعة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الرجلُ عن أبيه يعقُّ ، إذا حَلَقَ عقيقته وذبح عنه شاة وتُسمّى الشاة التي تُذبَح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 أعضاؤها فتُطبَخ بماء وملح وتُطعم المساكين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مُرتَهن بعقيقته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عَقَّ عن الحسن والحسين بزِنة شَعرهما 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 ، وتُجمَع عِقَقاً</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وثَبَّت ابن دريد ما ذكره الخليل من خلال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أعَقَّت الفرسُ ، إذا نبت شَعرُ الولد 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 يُسمَّى 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يُذبَح عن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الذي يخرج على الولد من بطن أُمّه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المولود الذي يُولَد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ما يُذبَح عند حَلْق ذلك الشَّعر عَقِيقَةً ، 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الرجلُ عن المولود ، إذا ذَبَح عنه عند حَلْق العَقيقة</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وأبان الجوهريّ بعض خصوصيّات ما ذُكِر في صحاحه ،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صوف الجَذَع ، وشَعر كلِّ مولودٍ من الناس والبهائم الذي يُولَد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عقيقةٌ ، وعَقِيقٌ ، وعِقَّة أيضاً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سُمِّيت الشاة التي تُذبَحُ عن المولود يوم أُسبوعه عقيقةً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العِقَّة في الناس والحُمُر ، ولم نسمعه في 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وعَقَّ عن ولده يَعُقُّ عَقّاً ، إذا ذَبَح عنه يوم أُسبوعه ، وكذلك إذا حَلَق عقيقته</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وأصَّل أحمد بن فارس ما ذهب إليه الخليل ومن نحا نحوه ،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والقاف أصل واحد يدلُّ على الشَّقِّ ، وإليه يرجع فروع الباب بلطف نظر ؛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العَقّ 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يرجع العُقُوق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الشَّعر ينشقّ عنه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أصَّله الخليل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وبسط الباب بشرحه هو ما ذكره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عَقَّ الرجل عن ابنه يَعُقُّ عنه ، إذا حَلَق عَقِيقتَه ، وذبح عنه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الشاة عقيقة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مُرتَهن بعقيقته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الذي يولد به ، وكذلك الوَبَر ، فإذا سقط عنه مرّة ذهب عنه ذلك الاسم</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نشوان بن سعيد الحميريّ الذي جمع بين المفردات اللغويّة </w:t>
      </w:r>
    </w:p>
    <w:p>
      <w:pPr>
        <w:pStyle w:val="BookText"/>
        <w:rPr/>
      </w:pPr>
      <w:r>
        <w:rPr>
          <w:rFonts w:ascii="Amiri" w:hAnsi="Amiri" w:eastAsia="Amiri" w:cs="Amiri"/>
          <w:color w:val="111111"/>
          <w:sz w:val="28"/>
          <w:sz w:val="28"/>
          <w:szCs w:val="28"/>
          <w:rtl w:val="true"/>
          <w:lang w:bidi="ar-SA"/>
        </w:rPr>
        <w:t xml:space="preserve">والمسائل الفقهيّة على مذهب العامّة والزيديّة في كتابه شمس العلوم ،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التي تذبح عند حَلْق رأس المولود ، سُمِّيت باسم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المولود الذي يولد وهو عليه ، 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أذلك أمْ أقبُّ الظهر جأْبٌ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عقيقته عِفاءُ</w:t>
      </w:r>
    </w:p>
    <w:p>
      <w:pPr>
        <w:pStyle w:val="BookText"/>
        <w:rPr/>
      </w:pPr>
      <w:r>
        <w:rPr>
          <w:rFonts w:ascii="Amiri" w:hAnsi="Amiri" w:eastAsia="Amiri" w:cs="Amiri"/>
          <w:color w:val="111111"/>
          <w:sz w:val="28"/>
          <w:sz w:val="28"/>
          <w:szCs w:val="28"/>
          <w:rtl w:val="true"/>
          <w:lang w:bidi="ar-SA"/>
        </w:rPr>
        <w:t xml:space="preserve">وفي الحديث عن النبيّ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الغلام مرتهن بعقيقته ، يذبح عنه يوم سابعه ويُحلق رأسه ويُسمَّى</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الغلام مرتهن بعقيقته يذبح عنه يوم سابعه ويُحلق رأسه 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 عن الصبيّ أو الجارية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الغلام شاتان وعن الجارية شاة</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يبتعد أهل الغريب في الحديث كثيراً عمّا ذهب إليه أهل اللغة ، حيث قال الزمخشريّ في 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والعِقّة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الذي يُولَد به ، وعَقَّ عن الصبيّ ، إذا حَلَق العَقِيقةَ بعد سبعة أيّام من مولده ، وذبح عنه شاة ، وأطعمها المساكين ، وتلك الشاة تسمّى العقيقة باسمها ، وكان تركُها عندهم عيباً وشحّاً ولؤماً</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الغلام شاتانِ مِثْلان ، وعن الجارية 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الغلام عَقِيقتُه ، فأهريقوا</w:t>
      </w:r>
      <w:r>
        <w:rPr>
          <w:rStyle w:val="FootnoteAnchor"/>
          <w:rtl w:val="true"/>
        </w:rPr>
        <w:footnoteReference w:id="9"/>
      </w:r>
      <w:r>
        <w:rPr>
          <w:rFonts w:ascii="Amiri" w:hAnsi="Amiri" w:eastAsia="Amiri" w:cs="Amiri"/>
          <w:color w:val="111111"/>
          <w:sz w:val="28"/>
          <w:sz w:val="28"/>
          <w:szCs w:val="28"/>
          <w:rtl w:val="true"/>
          <w:lang w:bidi="ar-SA"/>
        </w:rPr>
        <w:t>نه دماً ، وأميطوا عنه البلاء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العقيقة ، والعقيق ، والعِقّة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رأس المولود ، ثمّ سمّيت الشاة التي تُذبَح عند حَلْقه عقيقة ، وهو من العَقّ والقَطْع ؛ لأنّها تُحلَق</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غلام رَهِينة بعقيقته</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رهينة بعقيقته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العقيقة لازمة لابدّ له منها ، فشُبِّه في لزومه لها وعدم انفكاكه منها بالرَّهْن في يد المرتهن ، 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 رهن بكذا ، أي ضامن</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ونختم الحديث حول العقيقة عند أهل اللغة وغريب الحديث بما جاء في النهاية لابن الأثير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عَقَّ عن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الذبيحة التي تُذبَح عن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والقَطْع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للذبيحة عقيقةٌ ، لأنّها يُشَقّ حَلْقُها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الغلامُ مُرتَهن بعَقِيقَته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أباه يُحْرَم شفاعة وَلَدِه إذا لم يَعُقّ عنه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العقيقة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w:t>
      </w:r>
    </w:p>
    <w:p>
      <w:pPr>
        <w:pStyle w:val="BookText"/>
        <w:rPr/>
      </w:pPr>
      <w:r>
        <w:rPr>
          <w:rFonts w:ascii="Amiri" w:hAnsi="Amiri" w:eastAsia="Amiri" w:cs="Amiri"/>
          <w:color w:val="111111"/>
          <w:sz w:val="28"/>
          <w:sz w:val="28"/>
          <w:szCs w:val="28"/>
          <w:rtl w:val="true"/>
          <w:lang w:bidi="ar-SA"/>
        </w:rPr>
        <w:t>تَوْهينٌ لأمر العقيقة ولا إسقاطٌ لها ، وإنّما كَرِه الاسم ، وأحَبَّ أن تُسمَّى بأحْسَن منه ، كالنسيكة</w:t>
      </w:r>
      <w:r>
        <w:rPr>
          <w:rStyle w:val="FootnoteAnchor"/>
          <w:rtl w:val="true"/>
        </w:rPr>
        <w:footnoteReference w:id="13"/>
      </w:r>
      <w:r>
        <w:rPr>
          <w:rFonts w:ascii="Amiri" w:hAnsi="Amiri" w:eastAsia="Amiri" w:cs="Amiri"/>
          <w:color w:val="111111"/>
          <w:sz w:val="28"/>
          <w:sz w:val="28"/>
          <w:szCs w:val="28"/>
          <w:rtl w:val="true"/>
          <w:lang w:bidi="ar-SA"/>
        </w:rPr>
        <w:t xml:space="preserve">الذبيحة ، جَرْياً على عادته في تغيير الاسم القبيح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ويقال للشَّعر الذي يخرج على رأس المولود من بطن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عقيقة ، لأنّها تُحلَق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الزمخشريّ الشَّعر أصلاً ، والشاة المذبوحة مشتقّة منه</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وأضاف الفيّوميّ حديثاً دعم فيه توجيه ابن الأثير 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نَسِيكةٌ ولا تقولوا 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عليه السلام رآهم تَطَيَّرُوا بهذه الكلمة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نسيكة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وخلاصة كلّ ما تقدّم أنّ العقيقة في الأصل هي الشَّعر الذي يخرج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آدميّ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بطن أُمِّه وهي عليه ، ثمّ قيل للذبيحة التي تُذبَح يوم استحباب حَلْق شَعره 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يُشقّ حلقومها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 اسم السبب على المسبّب ، والفعل منه عَقَّ يَعُقُّ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يشذّ أحد من علمائنا الأفذاذ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متقدّميهم ومتأخّريهم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جاء به أهل اللغة وغريب الحديث وذكروا كلّ ذلك في مصادرهم العلميّة حين تناولهم للعقيقة ، وعَبَّر الشيخ الطوسيّ قدّس اللّه نفسه الزكيّة عن وجه التسمية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المولود إذا جمع ومن شأنه ، والمستحبّ أن يُحلق يوم السابع ويذبح عنه في يوم حَلْقه ، فسمّيت عقيقة لمجاورتها يوم الذبح</w:t>
      </w:r>
      <w:r>
        <w:rPr>
          <w:rStyle w:val="FootnoteAnchor"/>
          <w:rtl w:val="true"/>
        </w:rPr>
        <w:footnoteReference w:id="16"/>
      </w:r>
      <w:bookmarkStart w:id="20" w:name="pg19039_186223"/>
    </w:p>
    <w:p>
      <w:pPr>
        <w:pStyle w:val="Heading2"/>
        <w:numPr>
          <w:ilvl w:val="1"/>
          <w:numId w:val="1"/>
        </w:numPr>
        <w:rPr/>
      </w:pPr>
      <w:bookmarkStart w:id="21" w:name="__RefHeading___Toc14015593_1280447820"/>
      <w:bookmarkStart w:id="22" w:name="_Toc6"/>
      <w:bookmarkEnd w:id="20"/>
      <w:bookmarkEnd w:id="21"/>
      <w:r>
        <w:rPr>
          <w:rtl w:val="true"/>
        </w:rPr>
        <w:t>لماذا العقيقة ؟</w:t>
      </w:r>
      <w:bookmarkEnd w:id="22"/>
    </w:p>
    <w:p>
      <w:pPr>
        <w:pStyle w:val="BookText"/>
        <w:rPr/>
      </w:pPr>
      <w:r>
        <w:rPr>
          <w:rFonts w:ascii="Amiri" w:hAnsi="Amiri" w:eastAsia="Amiri" w:cs="Amiri"/>
          <w:color w:val="111111"/>
          <w:sz w:val="28"/>
          <w:sz w:val="28"/>
          <w:szCs w:val="28"/>
          <w:rtl w:val="true"/>
          <w:lang w:bidi="ar-SA"/>
        </w:rPr>
        <w:t xml:space="preserve">جاء في 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 عن آبائه ، عن عليّ بن الحسين عليهم السلام ، عن أسماء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جدّتك فاطمة عليها السلام بالحسن والحسين عليهما السلام ، فلمّا وُلد الحَسن عليه السلام جاء النبيّ صلّى اللّه عليه وآله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 ، هاتي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فدفعتُه إليه في خرقة صفراء ، فرمى بها النبيّ صلّى اللّه عليه وآله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 ألم أعهد إليكم أن لا تلفّوا المولود في خرقة 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فلففته في خرقة بيضاء فدفعته إليه ، فأذَّن في أُذنه اليمنى وأقام في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الحديثَ إلى أن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سابعه عَقَّ النبيُّ صلّى اللّه عليه وآله عنه بكبشَين أملحَين وأعطى القابلة فخذاً وديناراً ، وحَلَق رأسَه وتصدّق بوزن الشَّعر وَرِقاً</w:t>
      </w:r>
      <w:r>
        <w:rPr>
          <w:rStyle w:val="FootnoteAnchor"/>
          <w:rtl w:val="true"/>
        </w:rPr>
        <w:footnoteReference w:id="17"/>
      </w:r>
      <w:r>
        <w:rPr>
          <w:rFonts w:ascii="Amiri" w:hAnsi="Amiri" w:eastAsia="Amiri" w:cs="Amiri"/>
          <w:color w:val="111111"/>
          <w:sz w:val="28"/>
          <w:sz w:val="28"/>
          <w:szCs w:val="28"/>
          <w:rtl w:val="true"/>
          <w:lang w:bidi="ar-SA"/>
        </w:rPr>
        <w:t xml:space="preserve">وطلى رأسَه بالخَلوق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 ، الدم فعل الجاهليّة</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حَوْل وُلد الحسين عليه السلام وجاءني النبيّ </w:t>
      </w:r>
    </w:p>
    <w:p>
      <w:pPr>
        <w:pStyle w:val="BookText"/>
        <w:rPr/>
      </w:pPr>
      <w:r>
        <w:rPr>
          <w:rFonts w:ascii="Amiri" w:hAnsi="Amiri" w:eastAsia="Amiri" w:cs="Amiri"/>
          <w:color w:val="111111"/>
          <w:sz w:val="28"/>
          <w:sz w:val="28"/>
          <w:szCs w:val="28"/>
          <w:rtl w:val="true"/>
          <w:lang w:bidi="ar-SA"/>
        </w:rPr>
        <w:t xml:space="preserve">صلّى اللّه عليه وآله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 ، هلمّي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فدفعته إليه في خرقة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فعله بالحسين عليه السلام مثل ما فعل بالحسن عليه السلام</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وجاء في الكافي ، عن الإمام الصادق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رسول اللّه صلّى اللّه عليه وآله عن الحسن بيده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عقيقة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عظمها بعظمه ، ولحمها بلحمه ، ودمها بدمه ، وشعرها بشعره ، اللّهمّ اجعلها وقاءً لمحمّدٍ وآله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فالنبيّ صلّى اللّه عليه وآله قد عمل العقيقة لولديه وسنّ لنا ما يقال فيها ، واستمرّ آل بيت النبوّة والطهارة صلوات اللّه وسلامه عليهم على هذه السنّة ، وحذا المؤمنون حذوهم تعبّداً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ويُستشفّ من الروايات والأخبار بعض آثار وفوائد هذه السنّة المباركة ، وفي مقدّمتها ما أورده الشيخ الصدوق رحمه اللّه في علل الشرائع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محمّد بن أحمد بن يحيى بن عمران الأشعريّ ، عن العبّاس بن معروف ، عن صفوان بن يحيى ، عمَّن حدّثه عن أبي عبد اللّه عليه السلام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ما العلّة في حَلْق رأس المولود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تطهيرٌ له من شَعر الرحم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فمِن أُولى فوائد العقيقة أنّها تُطهِّر الإنسان ممّا بقي معه من عالم الأرحام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الحديث النبويّ الشريف وروايات النور والهداية لتضيف فائدة أُخرى مستتبعة للفائدة الأُولى إذا ما التُزِم بالسنّة ، حيث يأتي التأكيد على أنّ العقيقة فداء للطفل وبمثابة التأمين على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عن النبيّ الأكرم صلّى اللّه عليه 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مرتهن بعقيقته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وأكّد هذا الحديث المبارك الإمام الصادق عليه السلام بلفظ آخر كما جاء عن عمّار بن موسى الساباطيّ ، 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مرتهن بعقيقته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وكرّر الشيخ الكلينيّ رحمه اللّه ذلك عن الإمام الصادق عليه السلام بعبارة أُخرى تصبّ في نفس السياق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الغلام رهن بسابعه ، يُسمّى فيه ، ويعقّ عنه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فالاختلاف الوارد في الثلاثة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يضرّ الاختلاف المذكور أصل موضوع الخبر ولا بحكمه وآثاره ، بل يشير إلى أنّ الوقت موسّع في هذا المطلب ، والإنسان مطالب به ما دام حيّاً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أبدع هذا التعبير وأجمل هذا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فاللّه سبحانه وتعالى قد وهب الوالدين بمولود ، والمولود بعد ولادته بين أن يرفل بالعيش عند والديه ، وبين أن يفاجئ والديه بموته إذا ما استرجع اللّه سبحانه </w:t>
      </w:r>
    </w:p>
    <w:p>
      <w:pPr>
        <w:pStyle w:val="BookText"/>
        <w:rPr/>
      </w:pPr>
      <w:r>
        <w:rPr>
          <w:rFonts w:ascii="Amiri" w:hAnsi="Amiri" w:eastAsia="Amiri" w:cs="Amiri"/>
          <w:color w:val="111111"/>
          <w:sz w:val="28"/>
          <w:sz w:val="28"/>
          <w:szCs w:val="28"/>
          <w:rtl w:val="true"/>
          <w:lang w:bidi="ar-SA"/>
        </w:rPr>
        <w:t xml:space="preserve">وتعالى هبته ، ولكن إذا عُقَّ عنه بعقيقةٍ فإنّه سيعيش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العقيقة على ما مرّ بمنزلة الرهان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هذه الحقيقة ، فقد عَقَّ الإمام العسكريّ عليه السلام عن ولده الإمام المهديّ عجّل اللّه تعالى فرجه الشريف بثلاثمائة 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امتاز الإمام المهديّ عليه الصلاة والسلام بهذه المزيّة على جميع الأوّلين والآخرين ، إذ لم يذكر التاريخ أنّ مولوداً عُقَّ عنه بثلاثمائة عقيقة سوى الإمام المهديّ عليه آلاف التحيّة والثناء</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ويتلألأ هنا سِرٌّ عظيم وتنكشف لنا ملامحه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العقيقة الواحدة نافذة المفعول في طول عمر المولود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متعارَف عليه ، فيما بين الستّين إلى السبعين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المولود الذي قدَّر اللّه تعالى له</w:t>
      </w:r>
    </w:p>
    <w:p>
      <w:pPr>
        <w:pStyle w:val="BookText"/>
        <w:rPr/>
      </w:pPr>
      <w:r>
        <w:rPr>
          <w:rFonts w:ascii="Amiri" w:hAnsi="Amiri" w:eastAsia="Amiri" w:cs="Amiri"/>
          <w:color w:val="111111"/>
          <w:sz w:val="28"/>
          <w:sz w:val="28"/>
          <w:szCs w:val="28"/>
          <w:rtl w:val="true"/>
          <w:lang w:bidi="ar-SA"/>
        </w:rPr>
        <w:t xml:space="preserve">أن يعيش لأكثر من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أعدائه وتربّصهم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يتطلّب أن يُعقَّ عنه بمئات الذبائح لنفس الغرض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منافاة هنا في أن يكون الباري جلّت قدرته وعظمته هو الحافظ والحارس للإمام المهديّ روحي وجسمي لتراب مقدمه الفداء خلال قرون حياته الشريفة ، وفي نفس الوقت يُعَقُّ عنه بهذا العدد الكبير تحقيقاً للهدف ، لما للعقيقة من آثار وضعيّة ، مضافاً إلى الحفاظ على مسألة إحياء السنّة التي لابدّ لكلّ مؤمن من أن يعيشها اعتقاداً وممارسة في كافّة شؤون حياته الفرديّة والاجتماعيّة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كونها عبادة وإجراء للسنّة فهي تطيل عمر الإنسان وتقيه خبطات الزمان </w:t>
      </w:r>
      <w:r>
        <w:rPr>
          <w:rFonts w:eastAsia="Amiri" w:cs="Amiri" w:ascii="Amiri" w:hAnsi="Amiri"/>
          <w:color w:val="111111"/>
          <w:sz w:val="28"/>
          <w:szCs w:val="28"/>
          <w:rtl w:val="true"/>
          <w:lang w:bidi="ar-SA"/>
        </w:rPr>
        <w:t xml:space="preserve">. </w:t>
      </w:r>
      <w:bookmarkStart w:id="23" w:name="pg19039_186227"/>
    </w:p>
    <w:p>
      <w:pPr>
        <w:pStyle w:val="Heading2"/>
        <w:numPr>
          <w:ilvl w:val="1"/>
          <w:numId w:val="1"/>
        </w:numPr>
        <w:rPr/>
      </w:pPr>
      <w:bookmarkStart w:id="24" w:name="__RefHeading___Toc14015595_1280447820"/>
      <w:bookmarkStart w:id="25" w:name="_Toc7"/>
      <w:bookmarkEnd w:id="23"/>
      <w:bookmarkEnd w:id="24"/>
      <w:r>
        <w:rPr>
          <w:rtl w:val="true"/>
        </w:rPr>
        <w:t>أقوال علمائنا في العقيقة</w:t>
      </w:r>
      <w:bookmarkEnd w:id="25"/>
    </w:p>
    <w:p>
      <w:pPr>
        <w:pStyle w:val="BookText"/>
        <w:rPr/>
      </w:pPr>
      <w:r>
        <w:rPr>
          <w:rFonts w:ascii="Amiri" w:hAnsi="Amiri" w:eastAsia="Amiri" w:cs="Amiri"/>
          <w:color w:val="111111"/>
          <w:sz w:val="28"/>
          <w:sz w:val="28"/>
          <w:szCs w:val="28"/>
          <w:rtl w:val="true"/>
          <w:lang w:bidi="ar-SA"/>
        </w:rPr>
        <w:t xml:space="preserve">قال الشريف المرتضى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ظنّ انفراد الإماميّة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بوجوب العقيقة ، وهي الذبيحة التي تُذبَح عن المولود ذكراً كان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باقي الفقهاء في ذلك ، فقال الشافعيّ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مستحبّة</w:t>
      </w:r>
      <w:r>
        <w:rPr>
          <w:rStyle w:val="FootnoteAnchor"/>
          <w:rtl w:val="true"/>
        </w:rPr>
        <w:footnoteReference w:id="25"/>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بمستحبّة</w:t>
      </w:r>
      <w:r>
        <w:rPr>
          <w:rStyle w:val="FootnoteAnchor"/>
          <w:rtl w:val="true"/>
        </w:rPr>
        <w:footnoteReference w:id="26"/>
      </w:r>
      <w:r>
        <w:rPr>
          <w:rFonts w:ascii="Amiri" w:hAnsi="Amiri" w:eastAsia="Amiri" w:cs="Amiri"/>
          <w:color w:val="111111"/>
          <w:sz w:val="28"/>
          <w:sz w:val="28"/>
          <w:szCs w:val="28"/>
          <w:rtl w:val="true"/>
          <w:lang w:bidi="ar-SA"/>
        </w:rPr>
        <w:t xml:space="preserve">وحُكي عن الحسن البصريّ القول بوجوبها ، وهو مذهب أهل الظاهر ، وهذه موافقة للإماميّة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دليلنا بعد الإجماع المتردّد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العقيقة نُسك وقربة بلا خلاف ، وإيصال منفعة إلى المساكين ، وتدخل في 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وما أشبه</w:t>
      </w:r>
    </w:p>
    <w:p>
      <w:pPr>
        <w:pStyle w:val="BookText"/>
        <w:rPr/>
      </w:pPr>
      <w:r>
        <w:rPr>
          <w:rFonts w:ascii="Amiri" w:hAnsi="Amiri" w:eastAsia="Amiri" w:cs="Amiri"/>
          <w:color w:val="111111"/>
          <w:sz w:val="28"/>
          <w:sz w:val="28"/>
          <w:szCs w:val="28"/>
          <w:rtl w:val="true"/>
          <w:lang w:bidi="ar-SA"/>
        </w:rPr>
        <w:t>هذه الآية من الأمر بالطاعات والقربات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الأمر في الشريعة يقتضي الوجوب</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 الطائفة الطوسيّ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صلّى اللّه عليه 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غلام رهينة بعقيقته ، يُذبَح عنه يوم سابعه ، ويحلق ويسمّى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ولا خلاف بين أصحابنا في ذلك</w:t>
      </w:r>
      <w:r>
        <w:rPr>
          <w:rStyle w:val="FootnoteAnchor"/>
          <w:rtl w:val="true"/>
        </w:rPr>
        <w:footnoteReference w:id="29"/>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 فإنّ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واجبة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سنّة مؤكّدة</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وأمّا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جازت سبعة أيّام فلا عقيقة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انتفاء الفضل الزمانيّ دون الفعليّ ، جمعاً</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وقال ابن إدريس الحلّيّ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والعقيقة سنّة مؤكّدة ، لا يتركها مع الاختيار ، فهي شديدة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بعض أصحابنا إلى أنّها على الإيجاب ، وهو اختيار السيّد المرتضى</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وقال العلاّمة الحلّيّ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Style w:val="FootnoteAnchor"/>
          <w:rtl w:val="true"/>
        </w:rPr>
        <w:footnoteReference w:id="33"/>
      </w:r>
      <w:r>
        <w:rPr>
          <w:rFonts w:ascii="Amiri" w:hAnsi="Amiri" w:eastAsia="Amiri" w:cs="Amiri"/>
          <w:color w:val="111111"/>
          <w:sz w:val="28"/>
          <w:sz w:val="28"/>
          <w:szCs w:val="28"/>
          <w:rtl w:val="true"/>
          <w:lang w:bidi="ar-SA"/>
        </w:rPr>
        <w:t xml:space="preserve">العقيقة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الصدقة بثمنها عنها ، ولا يسقط استحبابها بالتأخير لعذر وغيره ، ويستحبّ أن يجمع شروط الأُضاحيّ</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وقال الشهيد الثاني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 واجبة ، وكلّ مولود مرتهن بعقيقته</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والعقيقة أوجب من الأُضحيّة</w:t>
      </w:r>
      <w:r>
        <w:rPr>
          <w:rStyle w:val="FootnoteAnchor"/>
          <w:rtl w:val="true"/>
        </w:rPr>
        <w:footnoteReference w:id="3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فيستحبّ أن يعقّ عن الذكر ذكر وعن الأُنثى أُنثى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استحباب مساواتها للولد في الذكوريّة والأُنوثيّة ، رواه الكلينيّ مرسلاً عن الباقر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السابع وقد وُلد لأحدكم غلام أو جارية فليعقّ عنه كبشاً عن الذكر ذكراً وعن الأُنثى مثل ذلك</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ورُويت أخبار كثيرة تدلّ على إجزاء الذكر والأُنثى مطلقاً ، منها صحيحة منصور بن حازم 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 في الغلام والجارية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وحسنة ابن مسكان ، عنه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عقيقة الغلام والجارية كبش كبش</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ورواية منهال القمّاط ، 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شاة لحم ، ليست بمنزلة الأُضحيّة ، يجزي منها كلّ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أنّ الرواية الأُولى ليست صريحة في اعتبار المساواة ، بل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والأُنثى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المستحبّ كونها ذكراً في الذكر والأُنثى ، فيكون موافقاً لغيره من الأخبار الدالّة على التسوية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إجزاء الجميع ، إنّما الكلام في الأفضليّة</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تجب العقيقة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بالوجوب للمرتضى</w:t>
      </w:r>
      <w:r>
        <w:rPr>
          <w:rStyle w:val="FootnoteAnchor"/>
          <w:rtl w:val="true"/>
        </w:rPr>
        <w:footnoteReference w:id="41"/>
      </w:r>
      <w:r>
        <w:rPr>
          <w:rFonts w:ascii="Amiri" w:hAnsi="Amiri" w:eastAsia="Amiri" w:cs="Amiri"/>
          <w:color w:val="111111"/>
          <w:sz w:val="28"/>
          <w:sz w:val="28"/>
          <w:szCs w:val="28"/>
          <w:rtl w:val="true"/>
          <w:lang w:bidi="ar-SA"/>
        </w:rPr>
        <w:t>ابن الجنيد</w:t>
      </w:r>
      <w:r>
        <w:rPr>
          <w:rStyle w:val="FootnoteAnchor"/>
          <w:rtl w:val="true"/>
        </w:rPr>
        <w:footnoteReference w:id="42"/>
      </w:r>
      <w:r>
        <w:rPr>
          <w:rFonts w:ascii="Amiri" w:hAnsi="Amiri" w:eastAsia="Amiri" w:cs="Amiri"/>
          <w:color w:val="111111"/>
          <w:sz w:val="28"/>
          <w:sz w:val="28"/>
          <w:szCs w:val="28"/>
          <w:rtl w:val="true"/>
          <w:lang w:bidi="ar-SA"/>
        </w:rPr>
        <w:t xml:space="preserve">واحتجّ عليه السيّد </w:t>
      </w:r>
    </w:p>
    <w:p>
      <w:pPr>
        <w:pStyle w:val="BookText"/>
        <w:rPr/>
      </w:pPr>
      <w:r>
        <w:rPr>
          <w:rFonts w:ascii="Amiri" w:hAnsi="Amiri" w:eastAsia="Amiri" w:cs="Amiri"/>
          <w:color w:val="111111"/>
          <w:sz w:val="28"/>
          <w:sz w:val="28"/>
          <w:szCs w:val="28"/>
          <w:rtl w:val="true"/>
          <w:lang w:bidi="ar-SA"/>
        </w:rPr>
        <w:t xml:space="preserve">في الانتصار بإجماع الإماميّة ، وابن الجنيد بالأخبار الدالّة على الوجوب ، كرواية أبي بصير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العقيقة ، أواجبة هي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واجبة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ورواية أبي المغرا عن عليّ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 واجبة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ورواية عليّ بن أبي حمزة عن الكاظم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 واجبة إذا وُلِد للرجل وَلَد</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والأشهر الاستحباب ، وهذه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أسنادها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محمولة على تأكيد الاستحباب أو ثبوته ، لأنّه معنى الوجوب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الثاني قول الصادق عليه السلام في رواية عمر بن يزيد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والعقيقة أوجب من الأُضحيّة</w:t>
      </w:r>
      <w:r>
        <w:rPr>
          <w:rFonts w:eastAsia="Amiri" w:cs="Amiri" w:ascii="Amiri" w:hAnsi="Amiri"/>
          <w:color w:val="111111"/>
          <w:sz w:val="28"/>
          <w:szCs w:val="28"/>
          <w:rtl w:val="true"/>
          <w:lang w:bidi="ar-SA"/>
        </w:rPr>
        <w:t>»</w:t>
      </w:r>
      <w:r>
        <w:rPr>
          <w:rStyle w:val="FootnoteAnchor"/>
          <w:rtl w:val="true"/>
        </w:rPr>
        <w:footnoteReference w:id="45"/>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وممّا يدعم أنّ العقيقة سنّة مؤكّدة ما ذهب إليه شيخ الطائفة الطوسيّ رحمه اللّه في كتابه الخلاف</w:t>
      </w:r>
      <w:r>
        <w:rPr>
          <w:rStyle w:val="FootnoteAnchor"/>
          <w:rtl w:val="true"/>
        </w:rPr>
        <w:footnoteReference w:id="4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واحد من الأخبار أنّها واجبة ، </w:t>
      </w:r>
    </w:p>
    <w:p>
      <w:pPr>
        <w:pStyle w:val="BookText"/>
        <w:rPr/>
      </w:pPr>
      <w:r>
        <w:rPr>
          <w:rFonts w:ascii="Amiri" w:hAnsi="Amiri" w:eastAsia="Amiri" w:cs="Amiri"/>
          <w:color w:val="111111"/>
          <w:sz w:val="28"/>
          <w:sz w:val="28"/>
          <w:szCs w:val="28"/>
          <w:rtl w:val="true"/>
          <w:lang w:bidi="ar-SA"/>
        </w:rPr>
        <w:t xml:space="preserve">وللتأمّل فيه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الشيخ قدّس سرّه</w:t>
      </w:r>
      <w:r>
        <w:rPr>
          <w:rStyle w:val="FootnoteAnchor"/>
          <w:rtl w:val="true"/>
        </w:rPr>
        <w:footnoteReference w:id="48"/>
      </w:r>
      <w:r>
        <w:rPr>
          <w:rFonts w:ascii="Amiri" w:hAnsi="Amiri" w:eastAsia="Amiri" w:cs="Amiri"/>
          <w:color w:val="111111"/>
          <w:sz w:val="28"/>
          <w:sz w:val="28"/>
          <w:szCs w:val="28"/>
          <w:rtl w:val="true"/>
          <w:lang w:bidi="ar-SA"/>
        </w:rPr>
        <w:t xml:space="preserve">مَن تأخّر عنه إلى استحبابها ، استضعافاً لأدلّة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 الصحيحة أنّها أوجب من الأُضحيّة</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وقد جمع كلّ ما تقدّم الفقيه الأُصوليّ السيّد عليّ الطباطبائيّ رحمه اللّه في رياض المسائل ، وأظهر ما فيه الكفاية لمن يريد أن يستوعب مطلب العقيقة عن وعي ودراية ،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يُعَقّ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إن كان ذَكَراً ، وإلاّ فأُنثى ؛ للخبر</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وليست المماثلة واجبة إجماعاً كما حُكي</w:t>
      </w:r>
      <w:r>
        <w:rPr>
          <w:rStyle w:val="FootnoteAnchor"/>
          <w:rtl w:val="true"/>
        </w:rPr>
        <w:footnoteReference w:id="51"/>
      </w:r>
      <w:r>
        <w:rPr>
          <w:rFonts w:ascii="Amiri" w:hAnsi="Amiri" w:eastAsia="Amiri" w:cs="Amiri"/>
          <w:color w:val="111111"/>
          <w:sz w:val="28"/>
          <w:sz w:val="28"/>
          <w:szCs w:val="28"/>
          <w:rtl w:val="true"/>
          <w:lang w:bidi="ar-SA"/>
        </w:rPr>
        <w:t xml:space="preserve">وللنصوص المستفيضة ، منها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 في الغلام والجارية سواء</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في رجحانه في الجملة ، والنصوص به مستفيضة كاستفاضتها في توقيتها باليوم السابع فضلاً</w:t>
      </w:r>
      <w:r>
        <w:rPr>
          <w:rStyle w:val="FootnoteAnchor"/>
          <w:rtl w:val="true"/>
        </w:rPr>
        <w:footnoteReference w:id="53"/>
      </w:r>
      <w:r>
        <w:rPr>
          <w:rFonts w:ascii="Amiri" w:hAnsi="Amiri" w:eastAsia="Amiri" w:cs="Amiri"/>
          <w:color w:val="111111"/>
          <w:sz w:val="28"/>
          <w:sz w:val="28"/>
          <w:szCs w:val="28"/>
          <w:rtl w:val="true"/>
          <w:lang w:bidi="ar-SA"/>
        </w:rPr>
        <w:t xml:space="preserve">وإنّما الخلاف في الوجوب ، والأظهر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بل كاد أن يكون إجماعاً ، بل حُكي صريحاً في الخلاف</w:t>
      </w:r>
      <w:r>
        <w:rPr>
          <w:rStyle w:val="FootnoteAnchor"/>
          <w:rtl w:val="true"/>
        </w:rPr>
        <w:footnoteReference w:id="5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الحجّة فيه بعد الأصل ، مع فقد المعارض ؛ إذ ليس إلاّ الأوامر في النصوص</w:t>
      </w:r>
      <w:r>
        <w:rPr>
          <w:rStyle w:val="FootnoteAnchor"/>
          <w:rtl w:val="true"/>
        </w:rPr>
        <w:footnoteReference w:id="55"/>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قصور أسانيدها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متضمّنة لكثير من الأوامر </w:t>
      </w:r>
    </w:p>
    <w:p>
      <w:pPr>
        <w:pStyle w:val="BookText"/>
        <w:rPr/>
      </w:pPr>
      <w:r>
        <w:rPr>
          <w:rFonts w:ascii="Amiri" w:hAnsi="Amiri" w:eastAsia="Amiri" w:cs="Amiri"/>
          <w:color w:val="111111"/>
          <w:sz w:val="28"/>
          <w:sz w:val="28"/>
          <w:szCs w:val="28"/>
          <w:rtl w:val="true"/>
          <w:lang w:bidi="ar-SA"/>
        </w:rPr>
        <w:t xml:space="preserve">المستحبّة الموهنة لدلالة الأوامر المزبورة على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المتضمّنة لإطلاق ألفاظ الوجوب عليها</w:t>
      </w:r>
      <w:r>
        <w:rPr>
          <w:rStyle w:val="FootnoteAnchor"/>
          <w:rtl w:val="true"/>
        </w:rPr>
        <w:footnoteReference w:id="56"/>
      </w:r>
      <w:r>
        <w:rPr>
          <w:rFonts w:ascii="Amiri" w:hAnsi="Amiri" w:eastAsia="Amiri" w:cs="Amiri"/>
          <w:color w:val="111111"/>
          <w:sz w:val="28"/>
          <w:sz w:val="28"/>
          <w:szCs w:val="28"/>
          <w:rtl w:val="true"/>
          <w:lang w:bidi="ar-SA"/>
        </w:rPr>
        <w:t>فمع تضمّن</w:t>
      </w:r>
    </w:p>
    <w:p>
      <w:pPr>
        <w:pStyle w:val="BookText"/>
        <w:rPr/>
      </w:pPr>
      <w:r>
        <w:rPr>
          <w:rFonts w:ascii="Amiri" w:hAnsi="Amiri" w:eastAsia="Amiri" w:cs="Amiri"/>
          <w:color w:val="111111"/>
          <w:sz w:val="28"/>
          <w:sz w:val="28"/>
          <w:szCs w:val="28"/>
          <w:rtl w:val="true"/>
          <w:lang w:bidi="ar-SA"/>
        </w:rPr>
        <w:t xml:space="preserve">أكثرها ما ذُكِر مع قصور السند ، يزيد ضعف الاستناد عليها على ما تقدّم بضعف دلالة الوجوب على المعنى المصطلح ، فلعلّ المراد به مطلق الثبوت المجامع للاستحباب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ويقوى إرادته هنا بالشهرة وبالصحيح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مرتهن يوم القيامة بعقيقة ، والعقيقة أوجب من الأُضحيّة</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الحال أنّ الأُضحيّة مستحبّة عند أكثر علمائنا ، بل ربّما ادُّعي عليه الاتّفاق</w:t>
      </w:r>
      <w:r>
        <w:rPr>
          <w:rStyle w:val="FootnoteAnchor"/>
          <w:rtl w:val="true"/>
        </w:rPr>
        <w:footnoteReference w:id="58"/>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فخلاف المرتضى والإسكافيّ الموجبين لها</w:t>
      </w:r>
      <w:r>
        <w:rPr>
          <w:rStyle w:val="FootnoteAnchor"/>
          <w:rtl w:val="true"/>
        </w:rPr>
        <w:footnoteReference w:id="59"/>
      </w:r>
      <w:r>
        <w:rPr>
          <w:rFonts w:ascii="Amiri" w:hAnsi="Amiri" w:eastAsia="Amiri" w:cs="Amiri"/>
          <w:color w:val="111111"/>
          <w:sz w:val="28"/>
          <w:sz w:val="28"/>
          <w:szCs w:val="28"/>
          <w:rtl w:val="true"/>
          <w:lang w:bidi="ar-SA"/>
        </w:rPr>
        <w:t xml:space="preserve">عيف جدّاً ، والإجماع الذي ادّعاه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وهنه باشتهار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بإجماع الشيخ ، الذي منه أقوى 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الاستدلال</w:t>
      </w:r>
      <w:r>
        <w:rPr>
          <w:rStyle w:val="FootnoteAnchor"/>
          <w:rtl w:val="true"/>
        </w:rPr>
        <w:footnoteReference w:id="60"/>
      </w:r>
      <w:r>
        <w:rPr>
          <w:rFonts w:ascii="Amiri" w:hAnsi="Amiri" w:eastAsia="Amiri" w:cs="Amiri"/>
          <w:color w:val="111111"/>
          <w:sz w:val="28"/>
          <w:sz w:val="28"/>
          <w:szCs w:val="28"/>
          <w:rtl w:val="true"/>
          <w:lang w:bidi="ar-SA"/>
        </w:rPr>
        <w:t>لى الاستحباب بالموثَّقَين الدالَّين على إجزاء الأُضحيّة عن العقيقة إذا لم يُعَقّ عنه</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والآخر في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والوسائل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في محلّه ؛ لاحتمال التداخل</w:t>
      </w:r>
    </w:p>
    <w:p>
      <w:pPr>
        <w:pStyle w:val="BookText"/>
        <w:rPr/>
      </w:pPr>
      <w:r>
        <w:rPr>
          <w:rFonts w:ascii="Amiri" w:hAnsi="Amiri" w:eastAsia="Amiri" w:cs="Amiri"/>
          <w:color w:val="111111"/>
          <w:sz w:val="28"/>
          <w:sz w:val="28"/>
          <w:szCs w:val="28"/>
          <w:rtl w:val="true"/>
          <w:lang w:bidi="ar-SA"/>
        </w:rPr>
        <w:t xml:space="preserve">وإجزاء المستحبّ عن الواجب كما وُجِدَ نظيره في كثير من الأحكام الشرعيّة ، 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قاله الصدوق رحمه اللّه من إجزاء غسل الجمعة عن غسل الجنابة للصائم الناسي لها</w:t>
      </w:r>
      <w:r>
        <w:rPr>
          <w:rStyle w:val="FootnoteAnchor"/>
          <w:rtl w:val="true"/>
        </w:rPr>
        <w:footnoteReference w:id="62"/>
      </w:r>
      <w:r>
        <w:rPr>
          <w:rFonts w:ascii="Amiri" w:hAnsi="Amiri" w:eastAsia="Amiri" w:cs="Amiri"/>
          <w:color w:val="111111"/>
          <w:sz w:val="28"/>
          <w:sz w:val="28"/>
          <w:szCs w:val="28"/>
          <w:rtl w:val="true"/>
          <w:lang w:bidi="ar-SA"/>
        </w:rPr>
        <w:t>مع استحباب الأوّل عنده ، كما يظهر من كلامه في الفقيه</w:t>
      </w:r>
      <w:r>
        <w:rPr>
          <w:rStyle w:val="FootnoteAnchor"/>
          <w:rtl w:val="true"/>
        </w:rPr>
        <w:footnoteReference w:id="63"/>
      </w:r>
      <w:r>
        <w:rPr>
          <w:rFonts w:ascii="Amiri" w:hAnsi="Amiri" w:eastAsia="Amiri" w:cs="Amiri"/>
          <w:color w:val="111111"/>
          <w:sz w:val="28"/>
          <w:sz w:val="28"/>
          <w:szCs w:val="28"/>
          <w:rtl w:val="true"/>
          <w:lang w:bidi="ar-SA"/>
        </w:rPr>
        <w:t>واعترف به المستدلّ هنا في جملة تحقيقاته ثمّة ، حيث زيّف نسبة القول بالوجوب إليه هناك</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وما قال به جماعة من إجزاء الغسل المستحبّ عن الأغسال الواجبة وإن لم يكن نواها</w:t>
      </w:r>
      <w:r>
        <w:rPr>
          <w:rStyle w:val="FootnoteAnchor"/>
          <w:rtl w:val="true"/>
        </w:rPr>
        <w:footnoteReference w:id="65"/>
      </w:r>
      <w:r>
        <w:rPr>
          <w:rFonts w:ascii="IRNazanin" w:hAnsi="IRNazanin" w:eastAsia="IRNazanin"/>
          <w:color w:val="111111"/>
          <w:sz w:val="28"/>
          <w:sz w:val="28"/>
          <w:szCs w:val="28"/>
          <w:rtl w:val="true"/>
          <w:lang w:bidi="fa-IR"/>
        </w:rPr>
        <w:t>ووردت به النصوص</w:t>
      </w:r>
      <w:r>
        <w:rPr>
          <w:rStyle w:val="FootnoteAnchor"/>
          <w:rtl w:val="true"/>
        </w:rPr>
        <w:footnoteReference w:id="66"/>
      </w:r>
      <w:r>
        <w:rPr>
          <w:rFonts w:ascii="Amiri" w:hAnsi="Amiri" w:eastAsia="Amiri" w:cs="Amiri"/>
          <w:color w:val="111111"/>
          <w:sz w:val="28"/>
          <w:sz w:val="28"/>
          <w:szCs w:val="28"/>
          <w:rtl w:val="true"/>
          <w:lang w:bidi="ar-SA"/>
        </w:rPr>
        <w:t xml:space="preserve">يضاً كالأوّل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قاله أكثر الأصحاب من إجزاء صلاة الجمعة في زمان الغيبة عن الظهر ، مع استحبابها ووجوب الثاني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تسميتهم الأوّل بالواجب المخيّر ، فإنّما هي مجاز بلا خلاف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هما صالحان للتأييد ، سيّما وإذا لم يقل بهما الموجبون ،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تجزئ الصدقة بثمنها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للأصل ، مع خروجه عن مسمّاها ، وللخبرين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لأبي جعفر عليه السلام غلامان ، فأمر زيد بن عليّ </w:t>
      </w:r>
    </w:p>
    <w:p>
      <w:pPr>
        <w:pStyle w:val="BookText"/>
        <w:rPr/>
      </w:pPr>
      <w:r>
        <w:rPr>
          <w:rFonts w:ascii="Amiri" w:hAnsi="Amiri" w:eastAsia="Amiri" w:cs="Amiri"/>
          <w:color w:val="111111"/>
          <w:sz w:val="28"/>
          <w:sz w:val="28"/>
          <w:szCs w:val="28"/>
          <w:rtl w:val="true"/>
          <w:lang w:bidi="ar-SA"/>
        </w:rPr>
        <w:t xml:space="preserve">أن يشتري له جزورَين ، فاشترى له واحدة وعسرت عليه الأُخرى ، فقال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عسرت عَلَيَّ الأُخرى ، فيصدّق بثمنها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اطلبها حتّى تقدر عليها ، فإنّ اللّه عزّ وجلّ يحبّ إهراق الدماء وإطعام الطعام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والآخر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والوسائل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توقّع المكنة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 يشمل استحبابها وعدم سقوط استحبابه ولو إلى ما بعد البلوغ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خصوص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يزيد لمولانا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أدري كان أبي عقّ عنّي أم لا ، فأمره فعقّ عن نفسه وهو شيخ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مرتهن بعقيقته ، والعقيقة أوجب من الأُضحيّة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وفي المضمر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ضُحِّي عنه أو قد ضَحَّى الوَلَد عن نفسه أجزاه عن عقيقته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وأمّا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جازت سبعة أيّام فلا عقيقة له</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محمول على انتفاء الفضل الزمانيّ دون الفعليّ جمعاً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فيها شروط 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سليمة من العيوب سمينة ؛ </w:t>
      </w:r>
    </w:p>
    <w:p>
      <w:pPr>
        <w:pStyle w:val="BookText"/>
        <w:rPr/>
      </w:pPr>
      <w:r>
        <w:rPr>
          <w:rFonts w:ascii="Amiri" w:hAnsi="Amiri" w:eastAsia="Amiri" w:cs="Amiri"/>
          <w:color w:val="111111"/>
          <w:sz w:val="28"/>
          <w:sz w:val="28"/>
          <w:szCs w:val="28"/>
          <w:rtl w:val="true"/>
          <w:lang w:bidi="ar-SA"/>
        </w:rPr>
        <w:t xml:space="preserve">للخبر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 عنه كبش ، فإن لم يوجد كبش أجزأه ما يجزئ في الأُضحيّة ، وإلاّ فَحَمل</w:t>
      </w:r>
      <w:r>
        <w:rPr>
          <w:rStyle w:val="FootnoteAnchor"/>
          <w:rtl w:val="true"/>
        </w:rPr>
        <w:footnoteReference w:id="71"/>
      </w:r>
      <w:r>
        <w:rPr>
          <w:rFonts w:ascii="Amiri" w:hAnsi="Amiri" w:eastAsia="Amiri" w:cs="Amiri"/>
          <w:color w:val="111111"/>
          <w:sz w:val="28"/>
          <w:sz w:val="28"/>
          <w:szCs w:val="28"/>
          <w:rtl w:val="true"/>
          <w:lang w:bidi="ar-SA"/>
        </w:rPr>
        <w:t>عظم ما يكون من حُملان السنة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وأمّا النصوص بأنّها ليست كالأُضحيّة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الصحيح وغيره من المعتبرة</w:t>
      </w:r>
      <w:r>
        <w:rPr>
          <w:rStyle w:val="FootnoteAnchor"/>
          <w:rtl w:val="true"/>
        </w:rPr>
        <w:footnoteReference w:id="73"/>
      </w:r>
      <w:r>
        <w:rPr>
          <w:rFonts w:ascii="Amiri" w:hAnsi="Amiri" w:eastAsia="Amiri" w:cs="Amiri"/>
          <w:color w:val="111111"/>
          <w:sz w:val="28"/>
          <w:sz w:val="28"/>
          <w:szCs w:val="28"/>
          <w:rtl w:val="true"/>
          <w:lang w:bidi="ar-SA"/>
        </w:rPr>
        <w:t xml:space="preserve">فمحمولة على حال الضرورة ، أو نفي الوجوب والشرطيّة ، كما في الأُضحيّة ، فليست لما مضى بمنافية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فمناقشة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الشروط هنا كما في الأُضحيّة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المذكورة</w:t>
      </w:r>
      <w:r>
        <w:rPr>
          <w:rStyle w:val="FootnoteAnchor"/>
          <w:rtl w:val="true"/>
        </w:rPr>
        <w:footnoteReference w:id="74"/>
      </w:r>
      <w:r>
        <w:rPr>
          <w:rFonts w:ascii="Amiri" w:hAnsi="Amiri" w:eastAsia="Amiri" w:cs="Amiri"/>
          <w:color w:val="111111"/>
          <w:sz w:val="28"/>
          <w:sz w:val="28"/>
          <w:szCs w:val="28"/>
          <w:rtl w:val="true"/>
          <w:lang w:bidi="ar-SA"/>
        </w:rPr>
        <w:t xml:space="preserve">واهية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يخصّ القابلة بالرِّجْل والورك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النصوص</w:t>
      </w:r>
      <w:r>
        <w:rPr>
          <w:rStyle w:val="FootnoteAnchor"/>
          <w:rtl w:val="true"/>
        </w:rPr>
        <w:footnoteReference w:id="75"/>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تُعطَى الربع</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يوافق الرِّجْل والورك غالباً</w:t>
      </w:r>
      <w:r>
        <w:rPr>
          <w:rStyle w:val="FootnoteAnchor"/>
          <w:rtl w:val="true"/>
        </w:rPr>
        <w:footnoteReference w:id="77"/>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الجمع بتفاوت مراتب الفضل ممكن ، وإن كان الأخذ بما اشتهر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ذبيحة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ثمن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للموثّق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القابلة يهوديّة لا تأكل من ذبيحة المسلمين ، أُعطيت قيمة ربع الكبش</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وخُصّت اليهوديّة بالذكر لأكل النصارى وكذا المجوس ذبائحنا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قابلة ، تصدّقت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الربع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شاءت من فقير أو غنيّ ؛ لعموم الموثّق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تكن قابلة فلأُمّه تعطيها مَن شاءت</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يَعِقّ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يعقَّ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شاب ، بلا خلاف ؛ لمفهوم الموثّقَين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يعقّ عنه حتّى ضحّى فقد أجزأته الأُضحيّة</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نحوه الثاني</w:t>
      </w:r>
      <w:r>
        <w:rPr>
          <w:rStyle w:val="FootnoteAnchor"/>
          <w:rtl w:val="true"/>
        </w:rPr>
        <w:footnoteReference w:id="82"/>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والأجود الاستدلال عليه بفحوى الصحيح الدالّ على استحبابها للوَلَد مع الشكّ في عقيقة الوالد عنه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كان أبي عقّ عنّي أم لا ، فأمرني فعققت عن نفسي وأنا شيخ كبير</w:t>
      </w:r>
      <w:r>
        <w:rPr>
          <w:rStyle w:val="FootnoteAnchor"/>
          <w:rtl w:val="true"/>
        </w:rPr>
        <w:footnoteReference w:id="83"/>
      </w:r>
      <w:r>
        <w:rPr>
          <w:rFonts w:ascii="Amiri" w:hAnsi="Amiri" w:eastAsia="Amiri" w:cs="Amiri"/>
          <w:color w:val="111111"/>
          <w:sz w:val="28"/>
          <w:sz w:val="28"/>
          <w:szCs w:val="28"/>
          <w:rtl w:val="true"/>
          <w:lang w:bidi="ar-SA"/>
        </w:rPr>
        <w:t>مضافاً إلى النصوص الدالّة بأنّ المرء مرتهن بعقيقته</w:t>
      </w:r>
      <w:r>
        <w:rPr>
          <w:rStyle w:val="FootnoteAnchor"/>
          <w:rtl w:val="true"/>
        </w:rPr>
        <w:footnoteReference w:id="8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أو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قبل الزوال ،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بعد الزوال لم يسقط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 الظاهر ؛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مولود يولد فيموت يوم السابع ، هل يعقّ عنه ؟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 قبل الظهر لم يعقّ عنه ، وإن مات بعد الظهر عقّ عنه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حُكي قولٌ بعدم الجواز</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يأكل منها الوالدان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ومَن في عيالهما ، والكراهة في الأُمّ أشدّ ؛ للنصوص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 هو ولا أحد من عياله من العقيقة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وفي الرضويّ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يأكل منه الأبوان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وفي ذيل الأوّل ما يدلّ على جواز أكل ما عدا الأُمّ وشدّة كراهته فيها ، ونحوه في الأوّل</w:t>
      </w:r>
      <w:r>
        <w:rPr>
          <w:rStyle w:val="FootnoteAnchor"/>
          <w:rtl w:val="true"/>
        </w:rPr>
        <w:footnoteReference w:id="89"/>
      </w:r>
      <w:r>
        <w:rPr>
          <w:rFonts w:ascii="Amiri" w:hAnsi="Amiri" w:eastAsia="Amiri" w:cs="Amiri"/>
          <w:color w:val="111111"/>
          <w:sz w:val="28"/>
          <w:sz w:val="28"/>
          <w:szCs w:val="28"/>
          <w:rtl w:val="true"/>
          <w:lang w:bidi="ar-SA"/>
        </w:rPr>
        <w:t xml:space="preserve">صوص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وُلِد لك غلام أو جارية فَعُقَّ عنه يوم السابع شاة أو جزوراً ، وكُلْ منها وأطعم</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عقيقة الرسول صلّى اللّه عليه وآله وسلّم عن الحسنين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وعقّ عنهما شاةً شاة ، وبعثوا بِرِجْلٍ إلى القابلة ، ونظروا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غيره فأكلوا منه</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وقريب منهما آخر</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الأصل ، وضعف النصوص المانعة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القول بالحرمة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ونحوه في الثاني</w:t>
      </w:r>
      <w:r>
        <w:rPr>
          <w:rStyle w:val="FootnoteAnchor"/>
          <w:rtl w:val="true"/>
        </w:rPr>
        <w:footnoteReference w:id="93"/>
      </w:r>
      <w:r>
        <w:rPr>
          <w:rFonts w:ascii="Amiri" w:hAnsi="Amiri" w:eastAsia="Amiri" w:cs="Amiri"/>
          <w:color w:val="111111"/>
          <w:sz w:val="28"/>
          <w:sz w:val="28"/>
          <w:szCs w:val="28"/>
          <w:rtl w:val="true"/>
          <w:lang w:bidi="ar-SA"/>
        </w:rPr>
        <w:t xml:space="preserve">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تطعم الأُمّ منها شيئاً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والمرسل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المرأة من عقيقة ولدها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وفي الرضويّ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يأكل منها الأبوان ، وإن أكلت منه الأُمّ فلا ترضعه</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ويستفاد منه كراهة الإرضاع مع أكلها منها ، وبه صرّح الصدوق رحمه اللّه في الفقيه</w:t>
      </w:r>
      <w:r>
        <w:rPr>
          <w:rStyle w:val="FootnoteAnchor"/>
          <w:rtl w:val="true"/>
        </w:rPr>
        <w:footnoteReference w:id="97"/>
      </w:r>
      <w:r>
        <w:rPr>
          <w:rFonts w:ascii="Amiri" w:hAnsi="Amiri" w:eastAsia="Amiri" w:cs="Amiri"/>
          <w:color w:val="111111"/>
          <w:sz w:val="28"/>
          <w:sz w:val="28"/>
          <w:szCs w:val="28"/>
          <w:rtl w:val="true"/>
          <w:lang w:bidi="ar-SA"/>
        </w:rPr>
        <w:t xml:space="preserve">ولا بأس بها وإن لم يذكره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يُكسَر شيء من عظامها ، بل يفصل مفاصل</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لا خلاف ؛ للنصوص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تكسر العظم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واقطع العقيقة جداول</w:t>
      </w:r>
      <w:r>
        <w:rPr>
          <w:rStyle w:val="FootnoteAnchor"/>
          <w:rtl w:val="true"/>
        </w:rPr>
        <w:footnoteReference w:id="100"/>
      </w:r>
      <w:r>
        <w:rPr>
          <w:rFonts w:ascii="Amiri" w:hAnsi="Amiri" w:eastAsia="Amiri" w:cs="Amiri"/>
          <w:color w:val="111111"/>
          <w:sz w:val="28"/>
          <w:sz w:val="28"/>
          <w:szCs w:val="28"/>
          <w:rtl w:val="true"/>
          <w:lang w:bidi="ar-SA"/>
        </w:rPr>
        <w:t>وادع عليها رهطاً من المسلمين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وليس بمحظور إجماعاً ؛ للأصل ، وضعف النصوص المانعة ، وصريح الموثّق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العقيقة إذا ذُبِحَت ، هل يكسر عظمها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اشتهر في أمثال زماننا بين الناس من استحباب دفن العظام ،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ولفّها في خرقة ، فلم نقف في النصوص على كثرتها وكذا أقوال الفقهاء على ما يدلّ عليه ، ولا بأس به ما لم يقصد الشرعيّة ، ومعه فيمكن التحريم والإباحة ؛ بناءً على احتمال دخوله في المعتبرة الدالّة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بلغه شيء من الثواب ، إلى آخره</w:t>
      </w:r>
      <w:r>
        <w:rPr>
          <w:rStyle w:val="FootnoteAnchor"/>
          <w:rtl w:val="true"/>
        </w:rPr>
        <w:footnoteReference w:id="103"/>
      </w:r>
      <w:r>
        <w:rPr>
          <w:rFonts w:ascii="Amiri" w:hAnsi="Amiri" w:eastAsia="Amiri" w:cs="Amiri"/>
          <w:color w:val="111111"/>
          <w:sz w:val="28"/>
          <w:sz w:val="28"/>
          <w:szCs w:val="28"/>
          <w:rtl w:val="true"/>
          <w:lang w:bidi="ar-SA"/>
        </w:rPr>
        <w:t>ولكن المُتَّجه حينئذٍ الاستحباب ، لكنّه مشكل ، واللّه العالِم</w:t>
      </w:r>
      <w:r>
        <w:rPr>
          <w:rStyle w:val="FootnoteAnchor"/>
          <w:rtl w:val="true"/>
        </w:rPr>
        <w:footnoteReference w:id="104"/>
      </w:r>
      <w:bookmarkStart w:id="26" w:name="pg19039_186240"/>
    </w:p>
    <w:p>
      <w:pPr>
        <w:pStyle w:val="Heading2"/>
        <w:numPr>
          <w:ilvl w:val="1"/>
          <w:numId w:val="1"/>
        </w:numPr>
        <w:rPr/>
      </w:pPr>
      <w:bookmarkStart w:id="27" w:name="__RefHeading___Toc14015597_1280447820"/>
      <w:bookmarkStart w:id="28" w:name="_Toc8"/>
      <w:bookmarkEnd w:id="26"/>
      <w:bookmarkEnd w:id="27"/>
      <w:r>
        <w:rPr>
          <w:rtl w:val="true"/>
        </w:rPr>
        <w:t>دعاء العقيقة</w:t>
      </w:r>
      <w:bookmarkEnd w:id="28"/>
    </w:p>
    <w:p>
      <w:pPr>
        <w:pStyle w:val="BookText"/>
        <w:rPr/>
      </w:pPr>
      <w:r>
        <w:rPr>
          <w:rFonts w:ascii="Amiri" w:hAnsi="Amiri" w:eastAsia="Amiri" w:cs="Amiri"/>
          <w:color w:val="111111"/>
          <w:sz w:val="28"/>
          <w:sz w:val="28"/>
          <w:szCs w:val="28"/>
          <w:rtl w:val="true"/>
          <w:lang w:bidi="ar-SA"/>
        </w:rPr>
        <w:t xml:space="preserve">وبعد هذا العرض لأقوال علمائنا في العقيقة وبيان مسائلها من خلال التوجيه الفقهيّ لهذا المطلب الضروريّ والحسّاس الذي لا ينفكّ عنه أيّ إنسان مسلم ، نذكر ما يستحبّ الدعاء به في العقيقة ، وخير ما يمكن ذِكره هو ما جمعه الشهيد الثاني رحمه اللّه في شرح اللمعة ، لجامعيّته ، وهو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والدعاء عند ذبحها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 اللَّهُمَّ هذِهِ عَقِيقَةٌ عَن فُلانِ ، لَحْمُهَا بِلَحْمِهِ ، وَدَمُهَا بِدَمِهِ ، وَعَظْمُهَا بِعَظْمِهِ ، اللَّهُمَّ اجْعَلْهُ وِقَاءً لاِلِ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الكرخيّ عن أبي عبد اللّه عليه السلام</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وعن الباقر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ذبحت فقل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وَالْحَمْدُ لِلَّهِ وَاللَّهُ أَكْبَرُ إيمَاناً بِاللَّهِ ، وَثَنَاءً عَلَى رَسُولِ اللَّهِ صَلَّى اللَّهُ عَلَيْهِ وَآلِهِ ، وَالعَظَمَةُ لِأَمْرِهِ ، وَالشُّكْرُ لِرِزْقِهِ ، وَالمَعْرِفَةُ بِفَضْلِهِ عَلَيْنَا أَهْلَ البَيْتِ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فإن كان ذكراً ، فقل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وَهَبْتَ لَنَا ذَكَراً وَأَنتَ أَعْلَمُ بِمَا وَهَبْتَ ، وَمِنكَ مَا أَعْطَيْتَ ، وَكُلُّ مَا صَنَعْنَا فَتَقَبَّلْهُ مِنَّا عَلَى سُنَّتِكَ وَسُنَّةِ نَبِيِّكَ صَلَّى اللَّهُ عَلَيْهِ وَآلِهِ وَأَخْسِئْ عَنَّا الشَّيْطَانَ الرَّجِيمَ ، اللَّهُمَّ لَكَ سُفِكَتِ الدِّمَاءُ لاَ شَرِيكَ لَكَ ، وَالْحَمْدُ لِلَّهِ رَبِّ العَالَمِينَ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وعن الصادق عليه السلام مثله ، وزاد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لَحْمُهَا بِلَحْمِهِ ، وَدَمُهَا بِدَمِهِ ، وَعَظْمُهَا بِعَظْمِهِ ، وَشَعْرُهَا بِشَعْرِهِ ، وَجِلْدُهَا بِجِلْدِهِ ، اللَّهُمَّ اجْعَلْهَا وِقَاءً لِفُلاَنِ بْنِ فُلاَنٍ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تذبح العقيقة قُلتَ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إِنِّي بَرِيءٌ مِمَّا تُشْرِكُونَ ، إِنِّي وَجَّهْتُ وَجْهِيَ لِلَّذِي فَطَرَ السَّمَاوَاتِ</w:t>
      </w:r>
    </w:p>
    <w:p>
      <w:pPr>
        <w:pStyle w:val="BookText"/>
        <w:rPr/>
      </w:pPr>
      <w:r>
        <w:rPr>
          <w:rFonts w:ascii="Amiri" w:hAnsi="Amiri" w:eastAsia="Amiri" w:cs="Amiri"/>
          <w:color w:val="111111"/>
          <w:sz w:val="28"/>
          <w:sz w:val="28"/>
          <w:szCs w:val="28"/>
          <w:rtl w:val="true"/>
          <w:lang w:bidi="ar-SA"/>
        </w:rPr>
        <w:t xml:space="preserve">وَالأَرْضَ حَنِيفاً مُسْلِماً وَمَا أَنَا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صَلاَتِي وَنُسُكِي وَمَحْيَايَ وَمَمَاتِي لِلَّهِ رَبِّ الْعَالَمِينَ ، لاَ شَرِيكَ لَهُ وِبِذَلِكَ أُمِرْتُ وَأَنَا أَوَّلُ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مِنكَ وَلَكَ ، بِسْمِ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 المولود باسمه ثمّ تَذبَح</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عند العقيقة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مِنكَ وَلَكَ مَا وَهَبْتَ وَأَنتَ أَعْطَيْتَ ، اللَّهُمَّ فَتَقَبَّلْهُ مِنَّا عَلَى سُنَّةِ نَبِيِّكَ صَلَّى اللَّهُ عَلَيْهِ وَآلِهِ ، وَنَسْتَعِيذُ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 وتَذبَح وتقول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سُفِكَتِ الدِّمَاءُ لاَ شَرِيكَ لَكَ ، والحَمْدُ لِلَّهِ رَبِّ العَالَمِينَ ، اللَّهُمَّ أَخْسِئ</w:t>
      </w:r>
    </w:p>
    <w:p>
      <w:pPr>
        <w:pStyle w:val="BookText"/>
        <w:rPr/>
      </w:pPr>
      <w:r>
        <w:rPr>
          <w:rFonts w:ascii="Amiri" w:hAnsi="Amiri" w:eastAsia="Amiri" w:cs="Amiri"/>
          <w:color w:val="111111"/>
          <w:sz w:val="28"/>
          <w:sz w:val="28"/>
          <w:szCs w:val="28"/>
          <w:rtl w:val="true"/>
          <w:lang w:bidi="ar-SA"/>
        </w:rPr>
        <w:t>عَنَّا الشَّيْطَانَ الرَّجِيمَ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فهذه جملة ما وقفتُ عليه من الدعاء المأثور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وسؤال اللّه تعالى أن يجعلها فدية ، لحماً بلحم ، وعظماً بعظم ، وجلداً بجلد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داخل في المأثور ، فكان يستغني عن تخصيصه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لمزيد الاهتمام به ، أو التنبيه عليه حيث لا يتّفق الدعاء بالمأثور</w:t>
      </w:r>
      <w:r>
        <w:rPr>
          <w:rStyle w:val="FootnoteAnchor"/>
          <w:rtl w:val="true"/>
        </w:rPr>
        <w:footnoteReference w:id="110"/>
      </w:r>
      <w:bookmarkStart w:id="29" w:name="pg19039_186243"/>
    </w:p>
    <w:p>
      <w:pPr>
        <w:pStyle w:val="Heading2"/>
        <w:numPr>
          <w:ilvl w:val="1"/>
          <w:numId w:val="1"/>
        </w:numPr>
        <w:rPr/>
      </w:pPr>
      <w:bookmarkStart w:id="30" w:name="__RefHeading___Toc14015599_1280447820"/>
      <w:bookmarkStart w:id="31" w:name="_Toc9"/>
      <w:bookmarkEnd w:id="29"/>
      <w:bookmarkEnd w:id="30"/>
      <w:r>
        <w:rPr>
          <w:rtl w:val="true"/>
        </w:rPr>
        <w:t>زبدة البحث</w:t>
      </w:r>
      <w:bookmarkEnd w:id="31"/>
    </w:p>
    <w:p>
      <w:pPr>
        <w:pStyle w:val="BookText"/>
        <w:rPr/>
      </w:pPr>
      <w:r>
        <w:rPr>
          <w:rFonts w:ascii="Amiri" w:hAnsi="Amiri" w:eastAsia="Amiri" w:cs="Amiri"/>
          <w:color w:val="111111"/>
          <w:sz w:val="28"/>
          <w:sz w:val="28"/>
          <w:szCs w:val="28"/>
          <w:rtl w:val="true"/>
          <w:lang w:bidi="ar-SA"/>
        </w:rPr>
        <w:t xml:space="preserve">وأدناه سردٌ موجز أو خلاصة مرتّبة على حسب التسلسل الزمنيّ لإجراء سنّة 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إمكان 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ما جاءت به السنّة المُطهَّرة عبر روايات أهل بيت العصمة والطهارة صلوات اللّه وسلامه عليهم وتوجيهات علمائنا الأعلام لما جاء عنهم عليهم السلام ، متوخّين من التكرار الإفادة لسهولة التقاط المطالب المُرادة من قِبَل القارئ الكريم ، فأقول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العقيقة سُنَّة مؤكّدة ، وهي عبارة عن ذبح شاة عند الولادة ، وقد حدّدها المصطلح الشرعيّ بأن يُذبَح كبش عند حَلْق الشَّعر الذي يُولَد الوَلَد به ، يوم سابعه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أن يعقّ عن الولد في اليوم السابع من ولادته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مساواتها في الذكورة والأُنوثة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يعقّ عن ولده بكبش إن كان ذكراً أو بنعجة إن كانت أُنثى ، ولو خالفته أجزأت ، لأنّه قد ورد في رواية أهل البيت عليهم آلاف التحيّة والسلام بأنّ عقيقة الذكر والأُنثى سواء كبش كبش ، ويستحبّ أن يعقّ عن الذكر بذكر وعن الأُنثى بأُنثى ، حيث ورد عن أبي عبد اللّه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 في الغلام والجارية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سماعة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العقيقة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الذكر والأُنثى </w:t>
      </w:r>
    </w:p>
    <w:p>
      <w:pPr>
        <w:pStyle w:val="BookText"/>
        <w:rPr/>
      </w:pP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بصير عنه عليه 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العقيقة ، عن الغلام والجارية ، سواء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كبش كبش</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يُعَقَّ للتوأمَين اثنين ، فعن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لأبي جعفر عليه السلام غلامان جميعاً ، فأمر زيد بن عليّ أن يشتري له جزورَين للعقيقة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عقد الحُرّ العامليّ في وسائل الشيعة باباً جاء فيه استحباب عقيقتَين للتوأمين</w:t>
      </w:r>
      <w:r>
        <w:rPr>
          <w:rStyle w:val="FootnoteAnchor"/>
          <w:rtl w:val="true"/>
        </w:rPr>
        <w:footnoteReference w:id="112"/>
      </w:r>
      <w:r>
        <w:rPr>
          <w:rFonts w:ascii="Amiri" w:hAnsi="Amiri" w:eastAsia="Amiri" w:cs="Amiri"/>
          <w:color w:val="111111"/>
          <w:sz w:val="28"/>
          <w:sz w:val="28"/>
          <w:szCs w:val="28"/>
          <w:rtl w:val="true"/>
          <w:lang w:bidi="ar-SA"/>
        </w:rPr>
        <w:t xml:space="preserve">وقال السنقيطيّ في أضواء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الأسباب المقتضية التكرار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وُلِد له توأمان ، فإنّ عليه عقيقتَين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مات الصبيّ يوم السابع بعد الزوال لم تسقط عنه ، وقبله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ذلك إدريس بن عبد اللّه عن أبي عبد اللّه عليه السلام</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ومتى لم يُعَقَّ الوالد عن ولده ، فيستحبّ للولد أن يَعُقَّ عن نفسه إذا أدرك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لا يقدر عليها فلا شيء عليه ، فإن قدر فيما بعد قضاها ، لأنّه يتمّ الإجزاء سواء عُقَّ عنه أو عَقَّ عن نفسه ، كما جاء في الخبر المضمر المارّ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ضُحِّي عنه أو قد ضَحَّى الوَلَد عن نفسه أجزأه عن عقيقته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وإن شكّ الوَلَد هل عُقَّ عنه أم لا ، فليعقّ هو ، إذ الأصل عدم عقيقة أبيه ، ولرواية عبد اللّه بن سنان ،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أدري كان أبي عقّ عنّي أم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فأمرني أبو عبد اللّه عليه السلام بها ، فعققت عن نفسي وأنا شيخ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مرتهن بعقيقته ، والعقيقة أوجب من الأُضحيّة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أن تجتمع في العقيقة شروط الأُضحيّة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الشاة سالمة من العيوب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سمينة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تكون في الشهر الثامن من عمرها على الأفضل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ويجري فيها مطلق الشاة ، لما ورد عن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شاة لحم ليست بمنزلة الأُضحيّة ، يُجزى منها كلّ شيء ، وخيرها أسمنها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ذكروا بأنّها لا تقوم مقامَ العقيقةِ الصدقةُ بثمنها ، وثمّة ما يؤيِّد هذا في روايات أهل بيت العصمة عليهم السلام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بكير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فجاءه رسول عمّه عبد اللّه بن عليّ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طلبنا العقيقة فلم نجدها ، فما ترى ، نتصدّق بها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إنّ اللّه يحبّ إطعام الطعام وإراقة الدماء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الحديث رقم </w:t>
      </w:r>
      <w:r>
        <w:rPr>
          <w:rFonts w:eastAsia="Amiri" w:cs="Amiri" w:ascii="Amiri" w:hAnsi="Amiri"/>
          <w:color w:val="111111"/>
          <w:sz w:val="28"/>
          <w:szCs w:val="28"/>
          <w:lang w:bidi="ar-SA"/>
        </w:rPr>
        <w:t>27452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لأبي جعفر عليه</w:t>
      </w:r>
    </w:p>
    <w:p>
      <w:pPr>
        <w:pStyle w:val="BookText"/>
        <w:rPr/>
      </w:pPr>
      <w:r>
        <w:rPr>
          <w:rFonts w:ascii="Amiri" w:hAnsi="Amiri" w:eastAsia="Amiri" w:cs="Amiri"/>
          <w:color w:val="111111"/>
          <w:sz w:val="28"/>
          <w:sz w:val="28"/>
          <w:szCs w:val="28"/>
          <w:rtl w:val="true"/>
          <w:lang w:bidi="ar-SA"/>
        </w:rPr>
        <w:t xml:space="preserve">السلام غلامان جميعاً ، فأمر زيد بن عليّ أن يشتري له جزورَين للعقيقة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زمن 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فاشترى له واحدة وعسرت عليه الأُخرى ، فقال لأبيجعفر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عسرت عَلَيَّ الأُخرى ، فيصدّق بثمنها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اطلبها حتّى تقدر عليها ، فإنّ اللّه عزّ وجلّ يحبّ إهراق الدماء وإطعام الطعام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سُنّة العقيقة أن تعطى القابلة ربع العقيقة ، وتُخَصّ بالرِّجْل والوركَين إن كانت مسلمة أو ذمّيّة تأكل من ذبائح المسلمين كأن تكون نصرانيّة أو مجوسيّة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القابلة 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من ذبائح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ربع قيمة العقيقة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القابلة أُمّ الرَّجُل أو في عياله ، فليس لها من العقيقة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للولد قابلة ، أُعطي أُمّه الربع ، تتصدَّق به ولا تأكل منه ، بمعنى أنّ حصّة القابلة تكون للأُمّ ، ولا تختصّ صدقة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بالفقراء ، بل تعطي مَن شاءت ، كما ورد في 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يُفرَّق لحم العقيقة على قوم مؤمنين محتاجين ، قال شيخ الطائفة رحمه اللّه في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فرّق اللحم على الفقراء كان أيضاً جائزاً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رواية أهل بيت العصمة والطهارة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تعطى العقيقة إلاّ لأهل الولاية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يُعدّ طعاماً ، وأن يدعى عليه قوم من الإخوة المؤمنين ، وحدّه عشرة </w:t>
      </w:r>
    </w:p>
    <w:p>
      <w:pPr>
        <w:pStyle w:val="BookText"/>
        <w:rPr/>
      </w:pPr>
      <w:r>
        <w:rPr>
          <w:rFonts w:ascii="Amiri" w:hAnsi="Amiri" w:eastAsia="Amiri" w:cs="Amiri"/>
          <w:color w:val="111111"/>
          <w:sz w:val="28"/>
          <w:sz w:val="28"/>
          <w:szCs w:val="28"/>
          <w:rtl w:val="true"/>
          <w:lang w:bidi="ar-SA"/>
        </w:rPr>
        <w:t xml:space="preserve">أنفس وما زاد ، وكلّما أكثرت فهو أفضل ، وقال شيخ الطائفة قدّس سرّة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أن يُطبَخ اللحم ويدعى عليه جماعة من المؤمنين ، وكلّما كثر عددهم كان أفضل</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وأفضل ما يُطبَخ به ماءٌ وملح ، وبيانه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يطبخ طبخاً دون أن تُفرَّق لحماً أو تشوى على النار ، والمعتبر مُسمّاه ، وأقلّه أن يُطبَخ بالماء والملح ، ولو أُضيف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غيرهما فلا بأس ، لإطلاق الأمر الصادق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للأمر ، أي يصدق المأمور به بمجرّد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كان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مُسمَّى الطبخ بأيِّ نوع من أنواعه كان ، وما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الماء والملح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أقلّ ما يتأتى به الطبخ لا الحصر ،</w:t>
      </w:r>
    </w:p>
    <w:p>
      <w:pPr>
        <w:pStyle w:val="BookText"/>
        <w:rPr/>
      </w:pPr>
      <w:r>
        <w:rPr>
          <w:rFonts w:ascii="Amiri" w:hAnsi="Amiri" w:eastAsia="Amiri" w:cs="Amiri"/>
          <w:color w:val="111111"/>
          <w:sz w:val="28"/>
          <w:sz w:val="28"/>
          <w:szCs w:val="28"/>
          <w:rtl w:val="true"/>
          <w:lang w:bidi="ar-SA"/>
        </w:rPr>
        <w:t xml:space="preserve">إذ لم يَرِد نصّ بكون الطبخ بالماء والملح خاصّة ، بل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بالطبخ مطلقاً من دون تقييده بالملح والماء خاصّة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ينبغي أن يُكسَر العَظْم ، بل تُفصَل الأعضاء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يأكل من العقيقة الأبوان ، وخصوصاً الأُمّ ، فإن أكلت منه فلا ترضعه ، وكذا مَن في عيالهما ، وإن كانت القابلة منهم ، لقول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 هو ولا أحد من عياله من العقيقة</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ابن إدريس عن شيخ الطائفة رضوان اللّه تعالى عليه في نهايته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للوالدين أن يأكلا من العقيقة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منه رضي اللّه عنه على طرق تأكيد الكراهة ، لأنّ الشيء إذا كان شديد الكراهة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117"/>
      </w:r>
      <w:bookmarkStart w:id="32" w:name="pg19039_186248"/>
    </w:p>
    <w:p>
      <w:pPr>
        <w:pStyle w:val="Heading2"/>
        <w:numPr>
          <w:ilvl w:val="1"/>
          <w:numId w:val="1"/>
        </w:numPr>
        <w:rPr/>
      </w:pPr>
      <w:bookmarkStart w:id="33" w:name="__RefHeading___Toc14015601_1280447820"/>
      <w:bookmarkStart w:id="34" w:name="_Toc10"/>
      <w:bookmarkEnd w:id="32"/>
      <w:bookmarkEnd w:id="33"/>
      <w:r>
        <w:rPr>
          <w:rtl w:val="true"/>
        </w:rPr>
        <w:t>نظرة في الإطعام</w:t>
      </w:r>
      <w:bookmarkEnd w:id="34"/>
    </w:p>
    <w:p>
      <w:pPr>
        <w:pStyle w:val="BookText"/>
        <w:rPr/>
      </w:pPr>
      <w:r>
        <w:rPr>
          <w:rFonts w:ascii="Amiri" w:hAnsi="Amiri" w:eastAsia="Amiri" w:cs="Amiri"/>
          <w:color w:val="111111"/>
          <w:sz w:val="28"/>
          <w:sz w:val="28"/>
          <w:szCs w:val="28"/>
          <w:rtl w:val="true"/>
          <w:lang w:bidi="ar-SA"/>
        </w:rPr>
        <w:t xml:space="preserve">وبعد أن انتهينا من ذِكر السرد الموجز نرى من المناسب هنا أن نطلّ بإطلالة على موضوع الإطعام في نظر الشريعة المقدّسة ، تبياناً لما مرّ التأكيد عليه فيما سبق بعبارة غنيّة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إطعام الطعام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السيّد ابن طاوُس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فضل إطعام الطعام معقول فضله بأنوار العقول المصدّقة للأنبياء والمرسلين صلوات اللّه عليهم أجمعين</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فهلمّ عزيزي القارئ نطالع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معنونة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جاء على لسان العترة الطاهرة عليهم السلام بخصوص هذا المطلب الذي يحبّه اللّه ورسوله وآله عليهم صلوات اللّه ، وتأنس إليه وفيه نفوس الناس وتفعله بطيب خاطر وانشراح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الإطعام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صلّى اللّه عليه وآله أنّه قال لبلال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بلال ، إنّي قد زوّجت ابنتي بابن عمّي ، وأنا أُحبّ أن يكون من 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الطعام عند النكاح </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الرضا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جعل الليل سكناً ، وجعل </w:t>
      </w:r>
    </w:p>
    <w:p>
      <w:pPr>
        <w:pStyle w:val="BookText"/>
        <w:rPr/>
      </w:pPr>
      <w:r>
        <w:rPr>
          <w:rFonts w:ascii="Amiri" w:hAnsi="Amiri" w:eastAsia="Amiri" w:cs="Amiri"/>
          <w:color w:val="111111"/>
          <w:sz w:val="28"/>
          <w:sz w:val="28"/>
          <w:szCs w:val="28"/>
          <w:rtl w:val="true"/>
          <w:lang w:bidi="ar-SA"/>
        </w:rPr>
        <w:t xml:space="preserve">النساء سكناً ، ومن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بالليل وإطعام الطعام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أوقاته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الإمام الرضا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أطيلوا الجلوس عند الموائد ، فإنّها أوقات لا تُحسَب من أعماركم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إسراف في الإطعام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عملتَ طعاماً بمائة ألف درهم ، وأكل منه مؤمن واحد ، لم يعد سَرَفاً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 في الحقوق والواجبات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محادثة النبيّ الأكرم صلّى اللّه عليه وآله مع أمير المؤمنين عليّ بن أبي طالب عليهما السلام حول دخوله الجنّة وما جرى له فيها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فرأيتُ فيها قصراً من ياقوت أحمر ، يُرى داخله من خارجه ، وخارجه من داخله من نوره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لمن هذا القصر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أطاب الكلام ، وأدام الصيام ، وأطعم الطعام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 وفي أُمّتك مَن يطيق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رسول اللّه صلّى اللّه عليه وآله يُفسِّر له ذلك ،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ما إطعام الطعام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لعياله ما يكفّ به وجوههم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ومن جانب آخر ، فقد ورد عن الإمام الباقر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إطعام الأسير والإحسان إليه حقٌّ واجبٌ وإن قتلته من الغد</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المنجيات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المنجيات </w:t>
      </w:r>
    </w:p>
    <w:p>
      <w:pPr>
        <w:pStyle w:val="BookText"/>
        <w:rPr/>
      </w:pP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 وإفشاء السلام ، والصلاة بالليل والناس نيام</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الأعمال وأبغضها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عن أبي عبد اللّه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 الأعمال إلى اللّه شبعة جوع المسلم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أحبّ الأعمال إلى اللّه تعالى إشباع جوعة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أبي عبد اللّه عليه السلام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أشبع مؤمناً وجبت له الجنّة ، ومَن أشبع كافراً كان حقّاً على اللّه أن يملأ جوفه من الزقّوم ، مؤمناً كان أو كافراً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ذلك بين البادي والحاضر ، لعموم الاخبار ، خلافاً لبعض العامّة حيث خصّوه بالأوّل ، لأنّ في الحضر مرتفقاً وسوقاً ، ولا يخفى ضعفه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المُطعِم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تخرج في أصل الجحيم ، طلعها كأنّه رؤوس الشياطين ، منبتها قعر جهنّم ، أغصانها انتشرت في دركاتها ، ولها ثمرة في غاية القبح والمرارة والبشاعة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ظاهراً على عدم جواز إطعام الكافر مطلقاً ، حربيّاً كان أو ذمّيّاً ، قريباً كان أو بعيداً ، غنيّاً كان أو فقيراً ، ولو كان مشرفاً على الموت</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فالإطعام إذن هو من أحبّ الأعمال إلى الباري تعالى إن أُطعِمَ فيه المسلم المؤمن ، وهو من أبغضها إليه سبحانه إن عُمِلَ للكافر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نزلت آية قرآنيّة ساخطة على أبي جهل وكفّار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يَحُضُّ </w:t>
      </w:r>
    </w:p>
    <w:p>
      <w:pPr>
        <w:pStyle w:val="BookText"/>
        <w:rPr/>
      </w:pPr>
      <w:r>
        <w:rPr>
          <w:rFonts w:ascii="Amiri" w:hAnsi="Amiri" w:eastAsia="Amiri" w:cs="Amiri"/>
          <w:color w:val="111111"/>
          <w:sz w:val="28"/>
          <w:sz w:val="28"/>
          <w:szCs w:val="28"/>
          <w:rtl w:val="true"/>
          <w:lang w:bidi="ar-SA"/>
        </w:rPr>
        <w:t xml:space="preserve">عَلَى طَعَامِ الْمِسْكِينِ </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يرغب في إطعام المسكين ، فذمّ الباري سبحانه وتعالى هذه الصفة وتوعّد صاحبها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لَهُ الْيَوْمَ هَاهُنَا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طَعَامٌ إلاَّ مِنْ غِسْلِينٍ </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وهي تحمل في دفينها نداءً لكلِّ مؤمن بأن لا يتلبّس بتلك الخصال الممقوتة عند اللّه تعالى ، ولابدّ من التعامل بضدّها لكسب رضوانه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أفضل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رجل بلجام دابّة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 الأعمال أفضل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إطعام الطعام ، وإطياب الكلام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بن عليّ الكفعميّ رحمه اللّه في الجنّة الواقية ، في سياق أعمال شهر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روى صاحب مسار الشيعة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أنفق في اليوم التاسع منه شيئاً غُفِر له ، ويستحبّ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الإخوان وتطييبهم و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بل ويستحبّ أيضاً إطعام الحَمَام الراعبيّة وفتّ الخبز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أميرَ المؤمنين عليه السلام عن المروءة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إطعام الطعام ، و </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خيره 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صالح بن عقبة للإمام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p>
    <w:p>
      <w:pPr>
        <w:pStyle w:val="BookText"/>
        <w:rPr/>
      </w:pPr>
      <w:r>
        <w:rPr>
          <w:rFonts w:ascii="Amiri" w:hAnsi="Amiri" w:eastAsia="Amiri" w:cs="Amiri"/>
          <w:color w:val="111111"/>
          <w:sz w:val="28"/>
          <w:sz w:val="28"/>
          <w:szCs w:val="28"/>
          <w:rtl w:val="true"/>
          <w:lang w:bidi="ar-SA"/>
        </w:rPr>
        <w:t xml:space="preserve">فداك ، قد كبر سنّي وضعفتُ عن صوم هذه الثلاثة ، فقال 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عن كلِّ يومٍ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استثقلتَ الدرهم ، إنّ إطعامَ مسكينٍ خيرٌ من صيام الشهر</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أطعم مسلماً حتّى يشبعه لم يدرِ أحد من خَلْق اللّه ما له من الأجر في الآخرة ، لا مَلَكٌ مُقرَّب ولا نبيٌّ مرسل إلاّ</w:t>
      </w:r>
    </w:p>
    <w:p>
      <w:pPr>
        <w:pStyle w:val="BookText"/>
        <w:rPr/>
      </w:pP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موجبات الجنّة والمغفرة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السغبان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الَّذِينَ آمَنُوا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فقه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وأروي عن العالِم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أطعموا الطعام ، وأفشوا السلام ، وصَلّوا والناس نيام وادخلوا الجنّة بسلام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إطعام مسلم يعدل عتق نَسَمة</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محمّد بن عليّ عليه السلام ، ما يعدل عتق رقبة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إطعام رجل مؤمن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وفي 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حنان بن سدير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تستطيع أن تعتق كلّ يوم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مالي 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تُشبع كلّ يوم مؤمنان ، فإنّ إطعام المؤمن أفضل من عتق رقبة</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وتقول رواية الشيخ هادي النجفيّ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سدير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تعتق كلّ يوم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مالي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تطعم كلّ يوم مسلماً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مؤسراً أو معسراً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المؤسر قد يشتهي الطعام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حيث السند معتبرة ، ومتنها يدلّ على استحباب إطعام المسلم وإن كان مؤسراً</w:t>
      </w:r>
      <w:r>
        <w:rPr>
          <w:rStyle w:val="FootnoteAnchor"/>
          <w:rtl w:val="true"/>
        </w:rPr>
        <w:footnoteReference w:id="13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كفّارة اليمين إطعام عشرة مساكين ، وفي كفّارة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مؤمناً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ستّين مسكيناً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مُلِئَت كتب الفقه روايات تحكي المراد ، وهي أكثر من أن تُعدّ أو تُحصَى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والإطعام وسيلة للتقرّب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فقه الرضا عليه السلام لعليّ بن بابويه القمّيّ رحمهما اللّه ، في باب السخاء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شيء يُتَقَرَّب به</w:t>
      </w:r>
    </w:p>
    <w:p>
      <w:pPr>
        <w:pStyle w:val="BookText"/>
        <w:rPr/>
      </w:pPr>
      <w:r>
        <w:rPr>
          <w:rFonts w:ascii="Amiri" w:hAnsi="Amiri" w:eastAsia="Amiri" w:cs="Amiri"/>
          <w:color w:val="111111"/>
          <w:sz w:val="28"/>
          <w:sz w:val="28"/>
          <w:szCs w:val="28"/>
          <w:rtl w:val="true"/>
          <w:lang w:bidi="ar-SA"/>
        </w:rPr>
        <w:t>إلى اللّه عزّ وجلّ أحبّ إليه من إطعام الطعام وإراقة الدماء</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الإطعام يُدفَع البلاء ويُنسَأ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عليّ عليهما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بني إسرائيل رجل له نعمة ، ولم يُرزَق من الولد </w:t>
      </w:r>
    </w:p>
    <w:p>
      <w:pPr>
        <w:pStyle w:val="BookText"/>
        <w:rPr/>
      </w:pPr>
      <w:r>
        <w:rPr>
          <w:rFonts w:ascii="Amiri" w:hAnsi="Amiri" w:eastAsia="Amiri" w:cs="Amiri"/>
          <w:color w:val="111111"/>
          <w:sz w:val="28"/>
          <w:sz w:val="28"/>
          <w:szCs w:val="28"/>
          <w:rtl w:val="true"/>
          <w:lang w:bidi="ar-SA"/>
        </w:rPr>
        <w:t xml:space="preserve">غير واحد ، وكان له محبّاً وعليه شفيقاً ، فلمّا بلغ مبلغ الرجال زوّجه ابنة عمٍّ له ، فأتاه آتٍ في منامه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هذا ليلة يدخل بهذه المرأة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 لذلك غمّاً شديداً وكتمه ، وجعل يسوّف بالدخول ، حتّى ألحّتْ امرأته عليه وولده وأهل بيت المرأة ، فلمّا لم يجد حيلة استخار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ذلك كان من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أهله عليه ، وبات ليلة دخوله قائماً وينتظر ما يكون من ابنه ، حتّى إذا أصبح غدا عليه ، فأصابه بأحسن حال ، فحمد اللّه وأثنى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الليل نام ، فأتاه ذلك الذي كان أتاه في منامه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دفع عن ابنك وأنسأ أجله بما صنع بالسائل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غدا على ابنه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هل كان لك صنيع صنعته بسائل في ليلة ابتنائك بامرأتك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أردتَ من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تخبرني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فاحتشم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من أن تخبرني بالخبر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لمّا فرغنا ممّا كنّا فيه من إطعام الناس ، بقيت لنا فضول كثيرة من الطعام ، وأُدْخِلْتُ إلى المرأة ، فلمّا خلوت بها ودنوت منها وقف سائل بالباب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الدار ، واسونا ممّا رزقكم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فقمتُ إليه فأخذت بيده وأدخلته وقرّبته إلى الطعام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حتّى 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عيال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فاحمل إليهم ما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ما قدر عليه وانصرف ، وانصرفت أنا إلى أهلي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فحمد اللّه أبوه ، وأخبره بالخبر</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فالإطعام سنّة ، أوقاته مباركة ولا إسراف فيه ، ويدخل في الحقوق والواجبات ، وهو من أحبّ الأعمال ومن المنجيات ، وهو من المستحبّات وخيره عميم ، وبه الكفّارة ودفع البلاء وتأجيل الأجل ، وباعتباره من وسائل التقرّب ودخول الجنّة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فحبّذا فيما لو يُعمَل الإطعام في حالة تعبّديّة ، وفي وليمة 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المولود بل وفداء للطفل وتأميناً على حياته ، وطاعة وعبادة ، وكلّ ما ذكرنا في الإطعام وأكثر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أُنوّه وأقول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جاء في هذا الكتيِّب لا يُمثِّل آراء فقهيّة خاصّة ، ومَن أراد براءة الذمّة بما يقتضيه الاحتياط فيلزمه مراجعة فتاوى مرجعه الذي يقلّده في هذه المسائل</w:t>
      </w:r>
      <w:r>
        <w:rPr>
          <w:rStyle w:val="FootnoteAnchor"/>
          <w:rtl w:val="true"/>
        </w:rPr>
        <w:footnoteReference w:id="1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دمنا ختمنا موضوعنا بموضوع الإطعام ، فحبّذا هنا أيضاً أن يكون زينة المدعوّين من الفقراء الموالين ، وينبغي أن يكون معه ذكر مصائب ومناقب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w:t>
      </w:r>
    </w:p>
    <w:p>
      <w:pPr>
        <w:pStyle w:val="BookText"/>
        <w:rPr/>
      </w:pPr>
      <w:r>
        <w:rPr>
          <w:rFonts w:ascii="Amiri" w:hAnsi="Amiri" w:eastAsia="Amiri" w:cs="Amiri"/>
          <w:color w:val="111111"/>
          <w:sz w:val="28"/>
          <w:sz w:val="28"/>
          <w:szCs w:val="28"/>
          <w:rtl w:val="true"/>
          <w:lang w:bidi="ar-SA"/>
        </w:rPr>
        <w:t>والصلاة والسلام على رسول اللّه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آل بيته حجج اللّه </w:t>
      </w:r>
      <w:bookmarkStart w:id="35" w:name="pg19039_186256"/>
    </w:p>
    <w:p>
      <w:pPr>
        <w:pStyle w:val="Heading2"/>
        <w:numPr>
          <w:ilvl w:val="1"/>
          <w:numId w:val="1"/>
        </w:numPr>
        <w:rPr/>
      </w:pPr>
      <w:bookmarkStart w:id="36" w:name="__RefHeading___Toc14015603_1280447820"/>
      <w:bookmarkStart w:id="37" w:name="_Toc11"/>
      <w:bookmarkEnd w:id="35"/>
      <w:bookmarkEnd w:id="36"/>
      <w:r>
        <w:rPr>
          <w:rtl w:val="true"/>
        </w:rPr>
        <w:t>فهرس المصادر والمراجع</w:t>
      </w:r>
      <w:bookmarkEnd w:id="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الأذهان إلى أحكام الإيمان ، للشيخ أبي منصور الحسن بن يوسف بن المطهّر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 الشيخ فارس الحسّون ، طبعة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أضواء البيان ، للشنقيطيّ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حديث في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للشيخ هادي النجفيّ ، طبعة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 للشريف عليّ بن الحسين الموسويّ البغداديّ المرتضى ، 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أنيس النفوس في تراجم رجال آل طاوُس قدّس اللّه أسرارهم ، للشيخ محمود الأركانيّ البهبهانيّ الحائريّ ، طبعة دار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المتعلّمين في أحكام الدين ، لجمال الدين الحسن بن يوسف المطهّر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بتحقيق السيّد أحمد الحسينيّ والشيخ هادي اليوسفيّ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على مذهب الإماميّة ، للشيخ جمال الدين أبي منصور الحسن بن يوسف بن مطهّر المعروف بالعلاّمة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 لأبي النضر محمّد بن مسعود بن عيّاش السلميّ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 الحاجّ السيّد رسولي المحلاّتيّ ، طبعة 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 للشيخ جمال الدين الحسن بن يوسف بن عليّ بن 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المكتبة الرضويّة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في شرح المقنعة للشيخ المفيد ، لشيخ الطائفة الطوسيّ ، بتحقيق السيّد حسن الموسويّ الخرسان ، طبعة دار الكتب الإسلاميّة ،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 للشيخ إسماعيل المعزّي الملايريّ ، تحت إشراف سماعة السيّد حسين الطباطبائيّ البروجرديّ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الخلاف والوفاق بين الإماميّة وبين أئمّة الحجاز والعراق ،للشيخ عليّ بن محمّد بن محمّد القمّيّ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بتحقيق الشيخ</w:t>
      </w:r>
    </w:p>
    <w:p>
      <w:pPr>
        <w:pStyle w:val="BookText"/>
        <w:rPr/>
      </w:pPr>
      <w:r>
        <w:rPr>
          <w:rFonts w:ascii="Amiri" w:hAnsi="Amiri" w:eastAsia="Amiri" w:cs="Amiri"/>
          <w:color w:val="111111"/>
          <w:sz w:val="28"/>
          <w:sz w:val="28"/>
          <w:szCs w:val="28"/>
          <w:rtl w:val="true"/>
          <w:lang w:bidi="ar-SA"/>
        </w:rPr>
        <w:t>حسين الحسنيّ البيرجنديّ ، طبعة زمينه سازان ظهور إمام عصر عجّل اللّه تعالى فرجه الشريف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للشرائع ، للشيخ يحيى بن سعيد الحلّيّ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 مؤسّسة سيّد الشهداء عليه السلام العلميّة ، طبعة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اللغة ، لأبي بكر 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 عادل عبد الرحمن البدريّ ، طبعة 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المقدّسة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شرح شرائع الإسلام ، للشيخ محمّد حسن النجفيّ المعروف بالجواهريّ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بتحقيق الشيخ عبّاس القوچانيّ ، 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 للشيخ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 للشيخ أبي جعفر محمّد بن الحسن الطوسيّ المشهور بشيخ الطائفة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في تحقيق الأحكام بالدلائل ، للسيّد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مؤسّسة آل البيت عليهم السلام لإحياء التراث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 للشيخ الفقيه أبي جعفر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في مسائل الحلال والحرام ، للمحقّق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بتحقيق السيّد صادق الشيرازيّ ، طبعة دار طباعة ونشر الاستقلال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في فضائل الأئمّة الأطهار عليهم السلام ، للنعمان بن محمّد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السيّد محمّد الحسينيّ الجلاليّ ، طبعة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العلوم ودواء كلام العرب من الكلوم ، لنشوان بن سعيد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 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عبد العمريّ وأ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 بن علي الإريانيّ وأ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محمّد عبد اللّه ، 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في الميزان ، للشيخ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دار الشروق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لإسماعيل بن حمّاد الجوهريّ ، بتحقيق أحمد عبدالغفور عطّار ، طبعة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 للشيخ الصدوق أبي جعفر محمّد بن عليّ بن الحسين بن موسى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منشورات المكتبة الحيدريّة ومطبعتها في النجف الأشرف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 للخليل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 الدكتور مهدي المخزوميّ والدكتور إبراهيم السامرّائيّ ، بترتيب الأُستاذ أسعد الطيِّب ، طبعة انتشارات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في غريب الحديث ، لجار اللّه محمود بن عمر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 علي محمّد البجاويّ ومحمّد أبي الفضل إبراهيم ، طبعة دار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الفروع من الكافي ، للشيخ أبي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بتحقيق علي أكبر الغفاريّ ، طبعة دار الكتب الإسلاميّة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الرضا عليه السلام ، المنسوب للإمام الرضا عليه السلام ، بتحقيق مؤسّسة آل البيت عليهم السلام لإحياء التراث ، طبعة المؤتمر العالميّ للإمام الرضا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مشهد المقدّسة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 لأبي منصور الحسن بن يوسف بن المطهّر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في الفقه ، لتقي الدين أبي الصلاح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 الشيخ رضا الأُستاديّ ، طبعة مكتبة الإمام 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الرموز في شرح المختصر النافع ، لزين الدين أبي عليّ الحسن بن أبي طالب بن أبي المجد اليوسفيّ ، المعروف بالفاضل والمحقّق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 حسين اليزديّ وغيره ، طبعة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عن قواعد الأحكام ، للشيخ بهاء الدين محمّد بن الحسن الأصفهانيّ ، المعروف بالفاضل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مؤسّسة النشر الإسلاميّ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 المشتهر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للمولى محمّد باقر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بتحقيق مرتضى الواعظيّ الأراكيّ ، طبعة مؤسّسة النشر الإسلاميّ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التقوى ، للشيخ محمّد أمين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اللمعة الدمشقيّة ، للشهيد السعيد محمّد بن جمال الدين مكّي العامليّ ، المشهور بالشهيد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 لشيخ الطائفة أبي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 السيّد محمّد تقي الكشفيّ ،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طبعة المكتبة المرتضويّة لإحياء تراث الجعفريّة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 لأبي منصور الحسن بن يوسف بن المطهّر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مؤسّسة النشر الإسلاميّ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في فقه الإماميّة ، للشيخ أبي القاسم نجم الدين جعفر بن الحسن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مؤسّسة البعثة ،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إلى تنقيح شرائع الإسلام ، للشيخ زين الدين بن عليّ العامليّ ، المشهور بالشهيد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المعارف الإسلاميّة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مقاييس اللغة ، لأبي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 عبد السلام محمّد هارون ، طبعة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المفردات في غريب القرآن ، لأبي القاسم الحسين بن محمّد المعروف بالراغب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بتحقيق محمّد سيّد كيلاني ، طبعة المكتبة المرتضويّة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 للشيخ أبي جعفر محمّد بن عليّ بن الحسن بن بابويه القمّيّ ، المشهور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 ونشر لجنة التحقيق التابعة لمؤسّسة الإمام الهادي عليه السلام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 لفخر الشيعة أبي عبد اللّه محمّد بن محمّد بن النعمان العكبريّ البغداديّ ، الملقّب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 للشيخ رضي الدين أبي نصر الحسن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منشورات الشريف الرضيّ ، 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المرام ،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 الشيخ مجتبى العراقيّ ، طبعة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 لمجد الدين أبي السعادات المبارك بن محمّد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 طاهر أحمد الزاويّ ومحمود محمّد الطناحيّ ، طبعة مؤسّسة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والفتاوى ، لشيخ الطائفة أبي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دار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محمّد بن عليّ بن الحسين بن بابويه القمّيّ ، المشتهر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مؤسّسة الإمام الهادي عليه السلام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إلى نيل الفضيلة ، للفقيه عماد الدين أبي جعفر محمّد بن عليّ الطوسيّ ، المعروف بابن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بتحقيق الشيخ محمّد الحسّون ، طبعة مكتبة آية اللّه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المرعشيّ النجفيّ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الكتب المؤلّفة والمحقّقة والمترجمة</w:t>
      </w:r>
    </w:p>
    <w:p>
      <w:pPr>
        <w:pStyle w:val="BookText"/>
        <w:rPr/>
      </w:pPr>
      <w:r>
        <w:rPr>
          <w:rFonts w:ascii="Amiri" w:hAnsi="Amiri" w:eastAsia="Amiri" w:cs="Amiri"/>
          <w:color w:val="111111"/>
          <w:sz w:val="28"/>
          <w:sz w:val="28"/>
          <w:szCs w:val="28"/>
          <w:rtl w:val="true"/>
          <w:lang w:bidi="ar-SA"/>
        </w:rPr>
        <w:t>باللغتين الفارسيّة والعربيّة للمؤلّف</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المؤلّفات الفارسيّة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خاندان ارگانى بهبهانى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در اسلام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صله ارحام در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 و بازديد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و درمان وسوسه و وسواس در اسلام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و اثرات شير مادر در اسلام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تربيت فرزند در اسلام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معاشرت با خويشاوندان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 و خويشاوندان چگونه رفتار كنيم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 تنها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كَنْد و كاوى در ازدواج موقّت و آثار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نقش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در آئينه دين و خرد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راهى به روشنا ، آداب استخاره و استشاره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مطالعه و نگارش در اسلام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كتب چاپى كتابخانه شيخ محمود ارگانى بهبهانى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 خطى كتابخانه شيخ محمود ارگانى بهبهانى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المؤلّفات العربيّة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أنيس النفوس في تراجم رجال آل طاووس قدّس اللّه أسرارهم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المعاني في إجازات الشيخ محمود الأرگاني البهبهاني</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ربيع المغاني في تراجم آل البهبهاني الحائري الأرگاني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المحقّقة بالعربيّة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العبرة في غبن العترة عليهم السلام ، للسيّد أحمد بن طاووس قدّس سرّه ، المتوفّى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ه ق</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الثمين في أسرار الأنزع البطين ، للشيخ تقي الدين عبداللّه الحلبي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البهيّة في إثبات الوصيّة ، للسيّد هاشم البحراني ، المتوفّى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الأنوار وأنوار الأبصار في معجزات ودلالات النبيّ المختار صلّى اللّه عليه وآله ، للسيّد هاشم البحراني ، المتوفّى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ه ق ، في مجلّدين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القرآنيّة إلى الولاية الإماميّة ، للسيّد هاشم البحراني ، المتوفّى سنة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ه ق ، في مجلّدين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بالعربيّة ، ومن المحقّقات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التي تنتظر الطبع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كتب چاپى كتابخانه شيخ محمود ارگانى بهبهانى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المجلّد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 ، ومن المؤلّفات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 عكسى كتابخانه شيخ محمود ارگانى بهبهانى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بالفارسيّة ، ومن المؤلّفات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كتب سنگى كتابخانه شيخ محود ارگاني بهبهاني 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العقيقة في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حكمت حجاب در اسلام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عقائدنا من الكتاب والسنّة والعقل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المترجمة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در اسلام ،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الرضا النقوي الباكستاني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الأرديّة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صله ارحام در اسلام ،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غلام‌رضا الروحاني الباكستاني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الأرديّة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شناخت و درمان وسوسه و وسواس در اسلام ،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الرضا النقوي الباكستاني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الأرديّة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راهى به روشنا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استخاره و استشاره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 إلى اللغتين الأُردية والإنجليزيّة تحت إشراف السيّد حسن جعفر النقوي الباكستاني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بيمه عمر نوزاد ،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الكتب المترجمة ما زالت تحت الطبع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وتأخير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عقق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عقق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بهذا اللفظ من حديث سَمُرَة بن جُنْدب عن أحمد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صحيح والعمل على هذا عند أهل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يَستَحِبُّون أن يذبح عن الغلام العقيقة يوم السابع ، فإن لم يُتهيّأ يوم السابع فيوم الرابع عشر ، فإن لم يتهيّأ عقّ عنه يوم أحد وعشرين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يُجزئ في العقيقة من الشاة ما يُجزئ في الأُضحيّة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العلوم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العقيقة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شذب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هَراق وأهراق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لغتان بإبدال الهاء من الهمزة وزيادتها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عقق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الناس في هذا ، وأجود ما قيل فيه ما ذهب إليه أحمد بن حنبل ، قال في الشفاعة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أنّه لم يُعَقّ عنه فمات طفلاً لم يشفع لوالديه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 في المفردات ،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والنَّسِيكَةُ مُخْتَصَّةٌ بالذَّبِيحة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عقق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وهامشه ، والحدائق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الكلام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الفضّة ، وإذا ضُربت دراهمَ فهي 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فَابْعَثَُوا أَحَدَكُم بِوَرِقِكُمْ هذِهِ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تبيعوا الذهبَ بالذهبِ ، ولا الوَرِقَ بالوَرِقِ ، ولا البُرَّ بالبُرِّ ، ولا الشعيرَ بالشعيرِ إلاّ مثلاً بمثل ، يداً بيد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شمس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 عن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 للشيخ الطوسيّ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خديجة ، عن أبي عبد اللّه عليه السلام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الميزان ، لمحمّد جواد مغنية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الفقهاء ، للطحاويّ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أحكام العقيقة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والوفاق ، للشيخ علي محمّد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الذبائح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بعقيقته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والكاشانيّ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بتفاوت يسير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بتفاوت يسير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الضائنة في السنة الأُولى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جواز أكل ما عدا الأُمّ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شدّة كراهة الأكل في الأُمّ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الأعضاء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النكاح ، أبواب أحكام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بإسقاط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طبعة آل البيت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27461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طبعة آل البيت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ويُستشَف من هذه الرواية وما يماثلها أنّ التخصيص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لأهل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للتأكيد على ضرورة التمسّك بالتبرّي والتولّي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 ، لأنّ التبرّي من أعداء المعصومين عليهم السلام هو التبرّي من أعداء اللّه ، وهو أساس الإيمان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كتاب النكاح ، 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السخاء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وتكرّرت الآية في سورة الماعون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السخاء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حديث في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النفوس في تراجم آل طاوس رحمهم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image" Target="media/image2.jpeg"/><Relationship Id="rId64" Type="http://schemas.openxmlformats.org/officeDocument/2006/relationships/image" Target="media/image2.jpeg"/><Relationship Id="rId65" Type="http://schemas.openxmlformats.org/officeDocument/2006/relationships/footer" Target="footer58.xml"/><Relationship Id="rId66" Type="http://schemas.openxmlformats.org/officeDocument/2006/relationships/footnotes" Target="footnotes.xml"/><Relationship Id="rId67" Type="http://schemas.openxmlformats.org/officeDocument/2006/relationships/numbering" Target="numbering.xml"/><Relationship Id="rId68" Type="http://schemas.openxmlformats.org/officeDocument/2006/relationships/fontTable" Target="fontTable.xml"/><Relationship Id="rId69" Type="http://schemas.openxmlformats.org/officeDocument/2006/relationships/settings" Target="settings.xml"/><Relationship Id="rId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Pages>
  <Words>11812</Words>
  <Characters>44207</Characters>
  <CharactersWithSpaces>55591</CharactersWithSpaces>
  <Paragraphs>627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2026-08-25T18:01:09Z</dcterms:created>
  <dc:creator>ghaemiyeh.com</dc:creator>
  <dc:description/>
  <dc:language>en-US</dc:language>
  <cp:lastModifiedBy/>
  <dcterms:modified xsi:type="dcterms:W3CDTF">2026-08-25T21:31:11Z</dcterms:modified>
  <cp:revision>1</cp:revision>
  <dc:subject/>
  <dc:title>العقیقة فی الإسلام</dc:title>
</cp:coreProperties>
</file>

<file path=docProps/custom.xml><?xml version="1.0" encoding="utf-8"?>
<Properties xmlns="http://schemas.openxmlformats.org/officeDocument/2006/custom-properties" xmlns:vt="http://schemas.openxmlformats.org/officeDocument/2006/docPropsVTypes"/>
</file>