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72110_128044782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3372112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3372114_1280447820">
            <w:r>
              <w:rPr>
                <w:webHidden/>
                <w:rStyle w:val="IndexLink"/>
                <w:rtl w:val="true"/>
              </w:rPr>
              <w:t>فهرس الموضوعات</w:t>
            </w:r>
            <w:r>
              <w:rPr>
                <w:rStyle w:val="IndexLink"/>
                <w:rtl w:val="true"/>
              </w:rPr>
              <w:tab/>
            </w:r>
            <w:r>
              <w:rPr>
                <w:rStyle w:val="IndexLink"/>
              </w:rPr>
              <w:t>17</w:t>
            </w:r>
          </w:hyperlink>
        </w:p>
        <w:p>
          <w:pPr>
            <w:pStyle w:val="Contents2"/>
            <w:tabs>
              <w:tab w:val="clear" w:pos="8743"/>
              <w:tab w:val="right" w:pos="9026" w:leader="dot"/>
            </w:tabs>
            <w:rPr/>
          </w:pPr>
          <w:hyperlink w:anchor="__RefHeading___Toc13372116_1280447820">
            <w:r>
              <w:rPr>
                <w:webHidden/>
                <w:rStyle w:val="IndexLink"/>
                <w:rtl w:val="true"/>
              </w:rPr>
              <w:t>كتاب التجارة</w:t>
            </w:r>
            <w:r>
              <w:rPr>
                <w:rStyle w:val="IndexLink"/>
                <w:rtl w:val="true"/>
              </w:rPr>
              <w:tab/>
            </w:r>
            <w:r>
              <w:rPr>
                <w:rStyle w:val="IndexLink"/>
              </w:rPr>
              <w:t>39</w:t>
            </w:r>
          </w:hyperlink>
        </w:p>
        <w:p>
          <w:pPr>
            <w:pStyle w:val="Contents3"/>
            <w:tabs>
              <w:tab w:val="clear" w:pos="8459"/>
              <w:tab w:val="right" w:pos="9026" w:leader="dot"/>
            </w:tabs>
            <w:rPr/>
          </w:pPr>
          <w:hyperlink w:anchor="__RefHeading___Toc13372118_1280447820">
            <w:r>
              <w:rPr>
                <w:webHidden/>
                <w:rStyle w:val="IndexLink"/>
                <w:rtl w:val="true"/>
              </w:rPr>
              <w:t>الكلام في العقود</w:t>
            </w:r>
            <w:r>
              <w:rPr>
                <w:rStyle w:val="IndexLink"/>
                <w:rtl w:val="true"/>
              </w:rPr>
              <w:tab/>
            </w:r>
            <w:r>
              <w:rPr>
                <w:rStyle w:val="IndexLink"/>
              </w:rPr>
              <w:t>39</w:t>
            </w:r>
          </w:hyperlink>
        </w:p>
        <w:p>
          <w:pPr>
            <w:pStyle w:val="Contents4"/>
            <w:tabs>
              <w:tab w:val="clear" w:pos="8176"/>
              <w:tab w:val="right" w:pos="9026" w:leader="dot"/>
            </w:tabs>
            <w:rPr/>
          </w:pPr>
          <w:hyperlink w:anchor="__RefHeading___Toc13372120_1280447820">
            <w:r>
              <w:rPr>
                <w:webHidden/>
                <w:rStyle w:val="IndexLink"/>
                <w:rtl w:val="true"/>
              </w:rPr>
              <w:t>إشارة</w:t>
            </w:r>
            <w:r>
              <w:rPr>
                <w:rStyle w:val="IndexLink"/>
                <w:rtl w:val="true"/>
              </w:rPr>
              <w:t>:</w:t>
              <w:tab/>
            </w:r>
            <w:r>
              <w:rPr>
                <w:rStyle w:val="IndexLink"/>
              </w:rPr>
              <w:t>39</w:t>
            </w:r>
          </w:hyperlink>
        </w:p>
        <w:p>
          <w:pPr>
            <w:pStyle w:val="Contents4"/>
            <w:tabs>
              <w:tab w:val="clear" w:pos="8176"/>
              <w:tab w:val="right" w:pos="9026" w:leader="dot"/>
            </w:tabs>
            <w:rPr/>
          </w:pPr>
          <w:hyperlink w:anchor="__RefHeading___Toc13372122_1280447820">
            <w:r>
              <w:rPr>
                <w:webHidden/>
                <w:rStyle w:val="IndexLink"/>
                <w:rtl w:val="true"/>
              </w:rPr>
              <w:t>المطلب الأوّل</w:t>
            </w:r>
            <w:r>
              <w:rPr>
                <w:rStyle w:val="IndexLink"/>
                <w:rtl w:val="true"/>
              </w:rPr>
              <w:tab/>
            </w:r>
            <w:r>
              <w:rPr>
                <w:rStyle w:val="IndexLink"/>
              </w:rPr>
              <w:t>40</w:t>
            </w:r>
          </w:hyperlink>
        </w:p>
        <w:p>
          <w:pPr>
            <w:pStyle w:val="Contents5"/>
            <w:tabs>
              <w:tab w:val="clear" w:pos="7892"/>
              <w:tab w:val="right" w:pos="9026" w:leader="dot"/>
            </w:tabs>
            <w:rPr/>
          </w:pPr>
          <w:hyperlink w:anchor="__RefHeading___Toc13372124_1280447820">
            <w:r>
              <w:rPr>
                <w:webHidden/>
                <w:rStyle w:val="IndexLink"/>
                <w:rtl w:val="true"/>
              </w:rPr>
              <w:t>إشارة</w:t>
            </w:r>
            <w:r>
              <w:rPr>
                <w:rStyle w:val="IndexLink"/>
                <w:rtl w:val="true"/>
              </w:rPr>
              <w:t>:</w:t>
              <w:tab/>
            </w:r>
            <w:r>
              <w:rPr>
                <w:rStyle w:val="IndexLink"/>
              </w:rPr>
              <w:t>40</w:t>
            </w:r>
          </w:hyperlink>
        </w:p>
        <w:p>
          <w:pPr>
            <w:pStyle w:val="Contents5"/>
            <w:tabs>
              <w:tab w:val="clear" w:pos="7892"/>
              <w:tab w:val="right" w:pos="9026" w:leader="dot"/>
            </w:tabs>
            <w:rPr/>
          </w:pPr>
          <w:hyperlink w:anchor="__RefHeading___Toc13372126_1280447820">
            <w:r>
              <w:rPr>
                <w:webHidden/>
                <w:rStyle w:val="IndexLink"/>
                <w:rtl w:val="true"/>
              </w:rPr>
              <w:t>أحدها</w:t>
            </w:r>
            <w:r>
              <w:rPr>
                <w:rStyle w:val="IndexLink"/>
                <w:rtl w:val="true"/>
              </w:rPr>
              <w:t xml:space="preserve">: </w:t>
            </w:r>
            <w:r>
              <w:rPr>
                <w:rStyle w:val="IndexLink"/>
                <w:rtl w:val="true"/>
              </w:rPr>
              <w:t>عدم تعلّق الأحكام الخمسة بالأعيان بل بفعل المكلّف</w:t>
            </w:r>
            <w:r>
              <w:rPr>
                <w:rStyle w:val="IndexLink"/>
                <w:rtl w:val="true"/>
              </w:rPr>
              <w:tab/>
            </w:r>
            <w:r>
              <w:rPr>
                <w:rStyle w:val="IndexLink"/>
              </w:rPr>
              <w:t>40</w:t>
            </w:r>
          </w:hyperlink>
        </w:p>
        <w:p>
          <w:pPr>
            <w:pStyle w:val="Contents5"/>
            <w:tabs>
              <w:tab w:val="clear" w:pos="7892"/>
              <w:tab w:val="right" w:pos="9026" w:leader="dot"/>
            </w:tabs>
            <w:rPr/>
          </w:pPr>
          <w:hyperlink w:anchor="__RefHeading___Toc13372128_1280447820">
            <w:r>
              <w:rPr>
                <w:webHidden/>
                <w:rStyle w:val="IndexLink"/>
                <w:rtl w:val="true"/>
              </w:rPr>
              <w:t>ثانيها</w:t>
            </w:r>
            <w:r>
              <w:rPr>
                <w:rStyle w:val="IndexLink"/>
                <w:rtl w:val="true"/>
              </w:rPr>
              <w:t xml:space="preserve">: </w:t>
            </w:r>
            <w:r>
              <w:rPr>
                <w:rStyle w:val="IndexLink"/>
                <w:rtl w:val="true"/>
              </w:rPr>
              <w:t>فيما إذا تعلق النهى بالمعاملة أو النهى بصيغته فالظاهر منه الفساد</w:t>
            </w:r>
            <w:r>
              <w:rPr>
                <w:rStyle w:val="IndexLink"/>
                <w:rtl w:val="true"/>
              </w:rPr>
              <w:tab/>
            </w:r>
            <w:r>
              <w:rPr>
                <w:rStyle w:val="IndexLink"/>
              </w:rPr>
              <w:t>40</w:t>
            </w:r>
          </w:hyperlink>
        </w:p>
        <w:p>
          <w:pPr>
            <w:pStyle w:val="Contents5"/>
            <w:tabs>
              <w:tab w:val="clear" w:pos="7892"/>
              <w:tab w:val="right" w:pos="9026" w:leader="dot"/>
            </w:tabs>
            <w:rPr/>
          </w:pPr>
          <w:hyperlink w:anchor="__RefHeading___Toc13372130_1280447820">
            <w:r>
              <w:rPr>
                <w:webHidden/>
                <w:rStyle w:val="IndexLink"/>
                <w:rtl w:val="true"/>
              </w:rPr>
              <w:t>ثالثها</w:t>
            </w:r>
            <w:r>
              <w:rPr>
                <w:rStyle w:val="IndexLink"/>
                <w:rtl w:val="true"/>
              </w:rPr>
              <w:t xml:space="preserve">: </w:t>
            </w:r>
            <w:r>
              <w:rPr>
                <w:rStyle w:val="IndexLink"/>
                <w:rtl w:val="true"/>
              </w:rPr>
              <w:t xml:space="preserve">فيما يقال من أن تحريم الثمن في قوله </w:t>
            </w:r>
            <w:r>
              <w:rPr>
                <w:rStyle w:val="IndexLink"/>
                <w:rtl w:val="true"/>
              </w:rPr>
              <w:t>(</w:t>
            </w:r>
            <w:r>
              <w:rPr>
                <w:rStyle w:val="IndexLink"/>
                <w:rtl w:val="true"/>
              </w:rPr>
              <w:t>عَلَيهِ السَّلَامُ</w:t>
            </w:r>
            <w:r>
              <w:rPr>
                <w:rStyle w:val="IndexLink"/>
                <w:rtl w:val="true"/>
              </w:rPr>
              <w:t>): «</w:t>
            </w:r>
            <w:r>
              <w:rPr>
                <w:rStyle w:val="IndexLink"/>
                <w:rtl w:val="true"/>
              </w:rPr>
              <w:t>إن اللّه إذا حرم شيئاً فقد حرّم ثمنه</w:t>
            </w:r>
            <w:r>
              <w:rPr>
                <w:rStyle w:val="IndexLink"/>
                <w:rtl w:val="true"/>
              </w:rPr>
              <w:t xml:space="preserve">» </w:t>
            </w:r>
            <w:r>
              <w:rPr>
                <w:rStyle w:val="IndexLink"/>
                <w:rtl w:val="true"/>
              </w:rPr>
              <w:t>دليل على فساد المعاملة</w:t>
            </w:r>
            <w:r>
              <w:rPr>
                <w:rStyle w:val="IndexLink"/>
                <w:rtl w:val="true"/>
              </w:rPr>
              <w:tab/>
            </w:r>
            <w:r>
              <w:rPr>
                <w:rStyle w:val="IndexLink"/>
              </w:rPr>
              <w:t>41</w:t>
            </w:r>
          </w:hyperlink>
        </w:p>
        <w:p>
          <w:pPr>
            <w:pStyle w:val="Contents5"/>
            <w:tabs>
              <w:tab w:val="clear" w:pos="7892"/>
              <w:tab w:val="right" w:pos="9026" w:leader="dot"/>
            </w:tabs>
            <w:rPr/>
          </w:pPr>
          <w:hyperlink w:anchor="__RefHeading___Toc13372132_1280447820">
            <w:r>
              <w:rPr>
                <w:webHidden/>
                <w:rStyle w:val="IndexLink"/>
                <w:rtl w:val="true"/>
              </w:rPr>
              <w:t>رابعها في أنّ الأصل إباحة المشكوك في جواز استعماله والانتفاع به</w:t>
            </w:r>
            <w:r>
              <w:rPr>
                <w:rStyle w:val="IndexLink"/>
                <w:rtl w:val="true"/>
              </w:rPr>
              <w:tab/>
            </w:r>
            <w:r>
              <w:rPr>
                <w:rStyle w:val="IndexLink"/>
              </w:rPr>
              <w:t>41</w:t>
            </w:r>
          </w:hyperlink>
        </w:p>
        <w:p>
          <w:pPr>
            <w:pStyle w:val="Contents5"/>
            <w:tabs>
              <w:tab w:val="clear" w:pos="7892"/>
              <w:tab w:val="right" w:pos="9026" w:leader="dot"/>
            </w:tabs>
            <w:rPr/>
          </w:pPr>
          <w:hyperlink w:anchor="__RefHeading___Toc13372134_1280447820">
            <w:r>
              <w:rPr>
                <w:webHidden/>
                <w:rStyle w:val="IndexLink"/>
                <w:rtl w:val="true"/>
              </w:rPr>
              <w:t>خامسها</w:t>
            </w:r>
            <w:r>
              <w:rPr>
                <w:rStyle w:val="IndexLink"/>
                <w:rtl w:val="true"/>
              </w:rPr>
              <w:t xml:space="preserve">: </w:t>
            </w:r>
            <w:r>
              <w:rPr>
                <w:rStyle w:val="IndexLink"/>
                <w:rtl w:val="true"/>
              </w:rPr>
              <w:t>في عدم الملازمة بين صفة الملك والمالية</w:t>
            </w:r>
            <w:r>
              <w:rPr>
                <w:rStyle w:val="IndexLink"/>
                <w:rtl w:val="true"/>
              </w:rPr>
              <w:tab/>
            </w:r>
            <w:r>
              <w:rPr>
                <w:rStyle w:val="IndexLink"/>
              </w:rPr>
              <w:t>41</w:t>
            </w:r>
          </w:hyperlink>
        </w:p>
        <w:p>
          <w:pPr>
            <w:pStyle w:val="Contents5"/>
            <w:tabs>
              <w:tab w:val="clear" w:pos="7892"/>
              <w:tab w:val="right" w:pos="9026" w:leader="dot"/>
            </w:tabs>
            <w:rPr/>
          </w:pPr>
          <w:hyperlink w:anchor="__RefHeading___Toc13372136_1280447820">
            <w:r>
              <w:rPr>
                <w:webHidden/>
                <w:rStyle w:val="IndexLink"/>
                <w:rtl w:val="true"/>
              </w:rPr>
              <w:t>سادسها</w:t>
            </w:r>
            <w:r>
              <w:rPr>
                <w:rStyle w:val="IndexLink"/>
                <w:rtl w:val="true"/>
              </w:rPr>
              <w:t xml:space="preserve">: </w:t>
            </w:r>
            <w:r>
              <w:rPr>
                <w:rStyle w:val="IndexLink"/>
                <w:rtl w:val="true"/>
              </w:rPr>
              <w:t>في أن الأصل يقضي باختصاص ما كان تحت اليد بصاحبه</w:t>
            </w:r>
            <w:r>
              <w:rPr>
                <w:rStyle w:val="IndexLink"/>
                <w:rtl w:val="true"/>
              </w:rPr>
              <w:tab/>
            </w:r>
            <w:r>
              <w:rPr>
                <w:rStyle w:val="IndexLink"/>
              </w:rPr>
              <w:t>42</w:t>
            </w:r>
          </w:hyperlink>
        </w:p>
        <w:p>
          <w:pPr>
            <w:pStyle w:val="Contents5"/>
            <w:tabs>
              <w:tab w:val="clear" w:pos="7892"/>
              <w:tab w:val="right" w:pos="9026" w:leader="dot"/>
            </w:tabs>
            <w:rPr/>
          </w:pPr>
          <w:hyperlink w:anchor="__RefHeading___Toc13372138_1280447820">
            <w:r>
              <w:rPr>
                <w:webHidden/>
                <w:rStyle w:val="IndexLink"/>
                <w:rtl w:val="true"/>
              </w:rPr>
              <w:t>سابعها</w:t>
            </w:r>
            <w:r>
              <w:rPr>
                <w:rStyle w:val="IndexLink"/>
                <w:rtl w:val="true"/>
              </w:rPr>
              <w:t xml:space="preserve">: </w:t>
            </w:r>
            <w:r>
              <w:rPr>
                <w:rStyle w:val="IndexLink"/>
                <w:rtl w:val="true"/>
              </w:rPr>
              <w:t>في جواز المعاوضة على رفع اليد عن الاختصاص بصلح وشبهه</w:t>
            </w:r>
            <w:r>
              <w:rPr>
                <w:rStyle w:val="IndexLink"/>
                <w:rtl w:val="true"/>
              </w:rPr>
              <w:tab/>
            </w:r>
            <w:r>
              <w:rPr>
                <w:rStyle w:val="IndexLink"/>
              </w:rPr>
              <w:t>42</w:t>
            </w:r>
          </w:hyperlink>
        </w:p>
        <w:p>
          <w:pPr>
            <w:pStyle w:val="Contents5"/>
            <w:tabs>
              <w:tab w:val="clear" w:pos="7892"/>
              <w:tab w:val="right" w:pos="9026" w:leader="dot"/>
            </w:tabs>
            <w:rPr/>
          </w:pPr>
          <w:hyperlink w:anchor="__RefHeading___Toc13372140_1280447820">
            <w:r>
              <w:rPr>
                <w:webHidden/>
                <w:rStyle w:val="IndexLink"/>
                <w:rtl w:val="true"/>
              </w:rPr>
              <w:t>ثامنها</w:t>
            </w:r>
            <w:r>
              <w:rPr>
                <w:rStyle w:val="IndexLink"/>
                <w:rtl w:val="true"/>
              </w:rPr>
              <w:t xml:space="preserve">: </w:t>
            </w:r>
            <w:r>
              <w:rPr>
                <w:rStyle w:val="IndexLink"/>
                <w:rtl w:val="true"/>
              </w:rPr>
              <w:t>في عدم الملازمة بين الملك وبين جواز النقل والتمليك في المشكوك بجواز نقله وتمليكه</w:t>
            </w:r>
            <w:r>
              <w:rPr>
                <w:rStyle w:val="IndexLink"/>
                <w:rtl w:val="true"/>
              </w:rPr>
              <w:tab/>
            </w:r>
            <w:r>
              <w:rPr>
                <w:rStyle w:val="IndexLink"/>
              </w:rPr>
              <w:t>42</w:t>
            </w:r>
          </w:hyperlink>
        </w:p>
        <w:p>
          <w:pPr>
            <w:pStyle w:val="Contents5"/>
            <w:tabs>
              <w:tab w:val="clear" w:pos="7892"/>
              <w:tab w:val="right" w:pos="9026" w:leader="dot"/>
            </w:tabs>
            <w:rPr/>
          </w:pPr>
          <w:hyperlink w:anchor="__RefHeading___Toc13372142_1280447820">
            <w:r>
              <w:rPr>
                <w:webHidden/>
                <w:rStyle w:val="IndexLink"/>
                <w:rtl w:val="true"/>
              </w:rPr>
              <w:t>تاسعها</w:t>
            </w:r>
            <w:r>
              <w:rPr>
                <w:rStyle w:val="IndexLink"/>
                <w:rtl w:val="true"/>
              </w:rPr>
              <w:t xml:space="preserve">: </w:t>
            </w:r>
            <w:r>
              <w:rPr>
                <w:rStyle w:val="IndexLink"/>
                <w:rtl w:val="true"/>
              </w:rPr>
              <w:t>في عدم الملازمة بين جواز النقل مطلقاً وجواز المعاوضة عليه</w:t>
            </w:r>
            <w:r>
              <w:rPr>
                <w:rStyle w:val="IndexLink"/>
                <w:rtl w:val="true"/>
              </w:rPr>
              <w:tab/>
            </w:r>
            <w:r>
              <w:rPr>
                <w:rStyle w:val="IndexLink"/>
              </w:rPr>
              <w:t>42</w:t>
            </w:r>
          </w:hyperlink>
        </w:p>
        <w:p>
          <w:pPr>
            <w:pStyle w:val="Contents5"/>
            <w:tabs>
              <w:tab w:val="clear" w:pos="7892"/>
              <w:tab w:val="right" w:pos="9026" w:leader="dot"/>
            </w:tabs>
            <w:rPr/>
          </w:pPr>
          <w:hyperlink w:anchor="__RefHeading___Toc13372144_1280447820">
            <w:r>
              <w:rPr>
                <w:webHidden/>
                <w:rStyle w:val="IndexLink"/>
                <w:rtl w:val="true"/>
              </w:rPr>
              <w:t>عاشرها</w:t>
            </w:r>
            <w:r>
              <w:rPr>
                <w:rStyle w:val="IndexLink"/>
                <w:rtl w:val="true"/>
              </w:rPr>
              <w:t xml:space="preserve">: </w:t>
            </w:r>
            <w:r>
              <w:rPr>
                <w:rStyle w:val="IndexLink"/>
                <w:rtl w:val="true"/>
              </w:rPr>
              <w:t>في عدم جواز استعمال الأعيان النجسة</w:t>
            </w:r>
            <w:r>
              <w:rPr>
                <w:rStyle w:val="IndexLink"/>
                <w:rtl w:val="true"/>
              </w:rPr>
              <w:tab/>
            </w:r>
            <w:r>
              <w:rPr>
                <w:rStyle w:val="IndexLink"/>
              </w:rPr>
              <w:t>43</w:t>
            </w:r>
          </w:hyperlink>
        </w:p>
        <w:p>
          <w:pPr>
            <w:pStyle w:val="Contents5"/>
            <w:tabs>
              <w:tab w:val="clear" w:pos="7892"/>
              <w:tab w:val="right" w:pos="9026" w:leader="dot"/>
            </w:tabs>
            <w:rPr/>
          </w:pPr>
          <w:hyperlink w:anchor="__RefHeading___Toc13372146_1280447820">
            <w:r>
              <w:rPr>
                <w:webHidden/>
                <w:rStyle w:val="IndexLink"/>
                <w:rtl w:val="true"/>
              </w:rPr>
              <w:t>حادي عشرها</w:t>
            </w:r>
            <w:r>
              <w:rPr>
                <w:rStyle w:val="IndexLink"/>
                <w:rtl w:val="true"/>
              </w:rPr>
              <w:t xml:space="preserve">: </w:t>
            </w:r>
            <w:r>
              <w:rPr>
                <w:rStyle w:val="IndexLink"/>
                <w:rtl w:val="true"/>
              </w:rPr>
              <w:t>في أنّ كلّ ما يقبل التطهير يملك ويجوز نقله</w:t>
            </w:r>
            <w:r>
              <w:rPr>
                <w:rStyle w:val="IndexLink"/>
                <w:rtl w:val="true"/>
              </w:rPr>
              <w:tab/>
            </w:r>
            <w:r>
              <w:rPr>
                <w:rStyle w:val="IndexLink"/>
              </w:rPr>
              <w:t>43</w:t>
            </w:r>
          </w:hyperlink>
        </w:p>
        <w:p>
          <w:pPr>
            <w:pStyle w:val="Contents5"/>
            <w:tabs>
              <w:tab w:val="clear" w:pos="7892"/>
              <w:tab w:val="right" w:pos="9026" w:leader="dot"/>
            </w:tabs>
            <w:rPr/>
          </w:pPr>
          <w:hyperlink w:anchor="__RefHeading___Toc13372148_1280447820">
            <w:r>
              <w:rPr>
                <w:webHidden/>
                <w:rStyle w:val="IndexLink"/>
                <w:rtl w:val="true"/>
              </w:rPr>
              <w:t>ثاني عشرها</w:t>
            </w:r>
            <w:r>
              <w:rPr>
                <w:rStyle w:val="IndexLink"/>
                <w:rtl w:val="true"/>
              </w:rPr>
              <w:t xml:space="preserve">: </w:t>
            </w:r>
            <w:r>
              <w:rPr>
                <w:rStyle w:val="IndexLink"/>
                <w:rtl w:val="true"/>
              </w:rPr>
              <w:t>في جواز استعمال المائع المتنجس بالعارض إن قبل التطهير</w:t>
            </w:r>
            <w:r>
              <w:rPr>
                <w:rStyle w:val="IndexLink"/>
                <w:rtl w:val="true"/>
              </w:rPr>
              <w:tab/>
            </w:r>
            <w:r>
              <w:rPr>
                <w:rStyle w:val="IndexLink"/>
              </w:rPr>
              <w:t>43</w:t>
            </w:r>
          </w:hyperlink>
        </w:p>
        <w:p>
          <w:pPr>
            <w:pStyle w:val="Contents5"/>
            <w:tabs>
              <w:tab w:val="clear" w:pos="7892"/>
              <w:tab w:val="right" w:pos="9026" w:leader="dot"/>
            </w:tabs>
            <w:rPr/>
          </w:pPr>
          <w:hyperlink w:anchor="__RefHeading___Toc13372150_1280447820">
            <w:r>
              <w:rPr>
                <w:webHidden/>
                <w:rStyle w:val="IndexLink"/>
                <w:rtl w:val="true"/>
              </w:rPr>
              <w:t>ثالث عشرها</w:t>
            </w:r>
            <w:r>
              <w:rPr>
                <w:rStyle w:val="IndexLink"/>
                <w:rtl w:val="true"/>
              </w:rPr>
              <w:t xml:space="preserve">: </w:t>
            </w:r>
            <w:r>
              <w:rPr>
                <w:rStyle w:val="IndexLink"/>
                <w:rtl w:val="true"/>
              </w:rPr>
              <w:t>في أنّ الدهن لو أصابته نجاسة عارضيّة وأبطلت الانتفاع به خرج عن الملكية وجاز استعماله</w:t>
            </w:r>
            <w:r>
              <w:rPr>
                <w:rStyle w:val="IndexLink"/>
                <w:rtl w:val="true"/>
              </w:rPr>
              <w:tab/>
            </w:r>
            <w:r>
              <w:rPr>
                <w:rStyle w:val="IndexLink"/>
              </w:rPr>
              <w:t>44</w:t>
            </w:r>
          </w:hyperlink>
        </w:p>
        <w:p>
          <w:pPr>
            <w:pStyle w:val="Contents5"/>
            <w:tabs>
              <w:tab w:val="clear" w:pos="7892"/>
              <w:tab w:val="right" w:pos="9026" w:leader="dot"/>
            </w:tabs>
            <w:rPr/>
          </w:pPr>
          <w:hyperlink w:anchor="__RefHeading___Toc13372152_1280447820">
            <w:r>
              <w:rPr>
                <w:webHidden/>
                <w:rStyle w:val="IndexLink"/>
                <w:rtl w:val="true"/>
              </w:rPr>
              <w:t xml:space="preserve">رابع عشرها </w:t>
            </w:r>
            <w:r>
              <w:rPr>
                <w:rStyle w:val="IndexLink"/>
                <w:rtl w:val="true"/>
              </w:rPr>
              <w:t xml:space="preserve">: </w:t>
            </w:r>
            <w:r>
              <w:rPr>
                <w:rStyle w:val="IndexLink"/>
                <w:rtl w:val="true"/>
              </w:rPr>
              <w:t>حكم ما لو تقابل المجتهدان المختلفان في التقييد والإطلاق وكان الدهن لا قابلية له للاستصباح</w:t>
            </w:r>
            <w:r>
              <w:rPr>
                <w:rStyle w:val="IndexLink"/>
                <w:rtl w:val="true"/>
              </w:rPr>
              <w:tab/>
            </w:r>
            <w:r>
              <w:rPr>
                <w:rStyle w:val="IndexLink"/>
              </w:rPr>
              <w:t>45</w:t>
            </w:r>
          </w:hyperlink>
        </w:p>
        <w:p>
          <w:pPr>
            <w:pStyle w:val="Contents5"/>
            <w:tabs>
              <w:tab w:val="clear" w:pos="7892"/>
              <w:tab w:val="right" w:pos="9026" w:leader="dot"/>
            </w:tabs>
            <w:rPr/>
          </w:pPr>
          <w:hyperlink w:anchor="__RefHeading___Toc13372154_1280447820">
            <w:r>
              <w:rPr>
                <w:webHidden/>
                <w:rStyle w:val="IndexLink"/>
                <w:rtl w:val="true"/>
              </w:rPr>
              <w:t>خامس عشرها</w:t>
            </w:r>
            <w:r>
              <w:rPr>
                <w:rStyle w:val="IndexLink"/>
                <w:rtl w:val="true"/>
              </w:rPr>
              <w:t xml:space="preserve">: </w:t>
            </w:r>
            <w:r>
              <w:rPr>
                <w:rStyle w:val="IndexLink"/>
                <w:rtl w:val="true"/>
              </w:rPr>
              <w:t>في عدم جواز تملك عذرة الإنسان وغيره من نجس العين</w:t>
            </w:r>
            <w:r>
              <w:rPr>
                <w:rStyle w:val="IndexLink"/>
                <w:rtl w:val="true"/>
              </w:rPr>
              <w:tab/>
            </w:r>
            <w:r>
              <w:rPr>
                <w:rStyle w:val="IndexLink"/>
              </w:rPr>
              <w:t>45</w:t>
            </w:r>
          </w:hyperlink>
        </w:p>
        <w:p>
          <w:pPr>
            <w:pStyle w:val="Contents5"/>
            <w:tabs>
              <w:tab w:val="clear" w:pos="7892"/>
              <w:tab w:val="right" w:pos="9026" w:leader="dot"/>
            </w:tabs>
            <w:rPr/>
          </w:pPr>
          <w:hyperlink w:anchor="__RefHeading___Toc13372156_1280447820">
            <w:r>
              <w:rPr>
                <w:webHidden/>
                <w:rStyle w:val="IndexLink"/>
                <w:rtl w:val="true"/>
              </w:rPr>
              <w:t>سادس عشرها</w:t>
            </w:r>
            <w:r>
              <w:rPr>
                <w:rStyle w:val="IndexLink"/>
                <w:rtl w:val="true"/>
              </w:rPr>
              <w:t xml:space="preserve">: </w:t>
            </w:r>
            <w:r>
              <w:rPr>
                <w:rStyle w:val="IndexLink"/>
                <w:rtl w:val="true"/>
              </w:rPr>
              <w:t>في جواز استعمال النجس تقيّةً أو لمرض أو اضطراراً</w:t>
            </w:r>
            <w:r>
              <w:rPr>
                <w:rStyle w:val="IndexLink"/>
                <w:rtl w:val="true"/>
              </w:rPr>
              <w:tab/>
            </w:r>
            <w:r>
              <w:rPr>
                <w:rStyle w:val="IndexLink"/>
              </w:rPr>
              <w:t>46</w:t>
            </w:r>
          </w:hyperlink>
        </w:p>
        <w:p>
          <w:pPr>
            <w:pStyle w:val="Contents5"/>
            <w:tabs>
              <w:tab w:val="clear" w:pos="7892"/>
              <w:tab w:val="right" w:pos="9026" w:leader="dot"/>
            </w:tabs>
            <w:rPr/>
          </w:pPr>
          <w:hyperlink w:anchor="__RefHeading___Toc13372158_1280447820">
            <w:r>
              <w:rPr>
                <w:webHidden/>
                <w:rStyle w:val="IndexLink"/>
                <w:rtl w:val="true"/>
              </w:rPr>
              <w:t xml:space="preserve">سابع عشرها </w:t>
            </w:r>
            <w:r>
              <w:rPr>
                <w:rStyle w:val="IndexLink"/>
                <w:rtl w:val="true"/>
              </w:rPr>
              <w:t xml:space="preserve">: </w:t>
            </w:r>
            <w:r>
              <w:rPr>
                <w:rStyle w:val="IndexLink"/>
                <w:rtl w:val="true"/>
              </w:rPr>
              <w:t>في لزوم إعلام نجاسة المبيع للمشتري</w:t>
            </w:r>
            <w:r>
              <w:rPr>
                <w:rStyle w:val="IndexLink"/>
                <w:rtl w:val="true"/>
              </w:rPr>
              <w:tab/>
            </w:r>
            <w:r>
              <w:rPr>
                <w:rStyle w:val="IndexLink"/>
              </w:rPr>
              <w:t>46</w:t>
            </w:r>
          </w:hyperlink>
        </w:p>
        <w:p>
          <w:pPr>
            <w:pStyle w:val="Contents5"/>
            <w:tabs>
              <w:tab w:val="clear" w:pos="7892"/>
              <w:tab w:val="right" w:pos="9026" w:leader="dot"/>
            </w:tabs>
            <w:rPr/>
          </w:pPr>
          <w:hyperlink w:anchor="__RefHeading___Toc13372160_1280447820">
            <w:r>
              <w:rPr>
                <w:webHidden/>
                <w:rStyle w:val="IndexLink"/>
                <w:rtl w:val="true"/>
              </w:rPr>
              <w:t>ثامن عشرها في عدم جواز بيع النجس على مستحلّيه مطلقاً</w:t>
            </w:r>
            <w:r>
              <w:rPr>
                <w:rStyle w:val="IndexLink"/>
                <w:rtl w:val="true"/>
              </w:rPr>
              <w:tab/>
            </w:r>
            <w:r>
              <w:rPr>
                <w:rStyle w:val="IndexLink"/>
              </w:rPr>
              <w:t>46</w:t>
            </w:r>
          </w:hyperlink>
        </w:p>
        <w:p>
          <w:pPr>
            <w:pStyle w:val="Contents5"/>
            <w:tabs>
              <w:tab w:val="clear" w:pos="7892"/>
              <w:tab w:val="right" w:pos="9026" w:leader="dot"/>
            </w:tabs>
            <w:rPr/>
          </w:pPr>
          <w:hyperlink w:anchor="__RefHeading___Toc13372162_1280447820">
            <w:r>
              <w:rPr>
                <w:webHidden/>
                <w:rStyle w:val="IndexLink"/>
                <w:rtl w:val="true"/>
              </w:rPr>
              <w:t>تاسع عشرها</w:t>
            </w:r>
            <w:r>
              <w:rPr>
                <w:rStyle w:val="IndexLink"/>
                <w:rtl w:val="true"/>
              </w:rPr>
              <w:t xml:space="preserve">: </w:t>
            </w:r>
            <w:r>
              <w:rPr>
                <w:rStyle w:val="IndexLink"/>
                <w:rtl w:val="true"/>
              </w:rPr>
              <w:t>في جواز الانتفاع بالأرواث والأبوال الطاهرة وبيعها</w:t>
            </w:r>
            <w:r>
              <w:rPr>
                <w:rStyle w:val="IndexLink"/>
                <w:rtl w:val="true"/>
              </w:rPr>
              <w:tab/>
            </w:r>
            <w:r>
              <w:rPr>
                <w:rStyle w:val="IndexLink"/>
              </w:rPr>
              <w:t>47</w:t>
            </w:r>
          </w:hyperlink>
        </w:p>
        <w:p>
          <w:pPr>
            <w:pStyle w:val="Contents5"/>
            <w:tabs>
              <w:tab w:val="clear" w:pos="7892"/>
              <w:tab w:val="right" w:pos="9026" w:leader="dot"/>
            </w:tabs>
            <w:rPr/>
          </w:pPr>
          <w:hyperlink w:anchor="__RefHeading___Toc13372164_1280447820">
            <w:r>
              <w:rPr>
                <w:webHidden/>
                <w:rStyle w:val="IndexLink"/>
                <w:rtl w:val="true"/>
              </w:rPr>
              <w:t>العشرون</w:t>
            </w:r>
            <w:r>
              <w:rPr>
                <w:rStyle w:val="IndexLink"/>
                <w:rtl w:val="true"/>
              </w:rPr>
              <w:t xml:space="preserve">: </w:t>
            </w:r>
            <w:r>
              <w:rPr>
                <w:rStyle w:val="IndexLink"/>
                <w:rtl w:val="true"/>
              </w:rPr>
              <w:t>في الأصل تحريم الخبائث وتحليل الطيبات</w:t>
            </w:r>
            <w:r>
              <w:rPr>
                <w:rStyle w:val="IndexLink"/>
                <w:rtl w:val="true"/>
              </w:rPr>
              <w:tab/>
            </w:r>
            <w:r>
              <w:rPr>
                <w:rStyle w:val="IndexLink"/>
              </w:rPr>
              <w:t>49</w:t>
            </w:r>
          </w:hyperlink>
        </w:p>
        <w:p>
          <w:pPr>
            <w:pStyle w:val="Contents5"/>
            <w:tabs>
              <w:tab w:val="clear" w:pos="7892"/>
              <w:tab w:val="right" w:pos="9026" w:leader="dot"/>
            </w:tabs>
            <w:rPr/>
          </w:pPr>
          <w:hyperlink w:anchor="__RefHeading___Toc13372166_1280447820">
            <w:r>
              <w:rPr>
                <w:webHidden/>
                <w:rStyle w:val="IndexLink"/>
                <w:rtl w:val="true"/>
              </w:rPr>
              <w:t>الحادي والعشرون</w:t>
            </w:r>
            <w:r>
              <w:rPr>
                <w:rStyle w:val="IndexLink"/>
                <w:rtl w:val="true"/>
              </w:rPr>
              <w:t xml:space="preserve">: </w:t>
            </w:r>
            <w:r>
              <w:rPr>
                <w:rStyle w:val="IndexLink"/>
                <w:rtl w:val="true"/>
              </w:rPr>
              <w:t>في أنّ النهي المتعلّق بالكل متعلّق بالأجزاء التزاماً عرفياً</w:t>
            </w:r>
            <w:r>
              <w:rPr>
                <w:rStyle w:val="IndexLink"/>
                <w:rtl w:val="true"/>
              </w:rPr>
              <w:tab/>
            </w:r>
            <w:r>
              <w:rPr>
                <w:rStyle w:val="IndexLink"/>
              </w:rPr>
              <w:t>49</w:t>
            </w:r>
          </w:hyperlink>
        </w:p>
        <w:p>
          <w:pPr>
            <w:pStyle w:val="Contents5"/>
            <w:tabs>
              <w:tab w:val="clear" w:pos="7892"/>
              <w:tab w:val="right" w:pos="9026" w:leader="dot"/>
            </w:tabs>
            <w:rPr/>
          </w:pPr>
          <w:hyperlink w:anchor="__RefHeading___Toc13372168_1280447820">
            <w:r>
              <w:rPr>
                <w:webHidden/>
                <w:rStyle w:val="IndexLink"/>
                <w:rtl w:val="true"/>
              </w:rPr>
              <w:t>الثاني والعشرون</w:t>
            </w:r>
            <w:r>
              <w:rPr>
                <w:rStyle w:val="IndexLink"/>
                <w:rtl w:val="true"/>
              </w:rPr>
              <w:t xml:space="preserve">: </w:t>
            </w:r>
            <w:r>
              <w:rPr>
                <w:rStyle w:val="IndexLink"/>
                <w:rtl w:val="true"/>
              </w:rPr>
              <w:t>في جواز ملك ما ينتفع به من ميتة غير ذي النفس السائلة وكذا بيعه وشراؤه</w:t>
            </w:r>
            <w:r>
              <w:rPr>
                <w:rStyle w:val="IndexLink"/>
                <w:rtl w:val="true"/>
              </w:rPr>
              <w:tab/>
            </w:r>
            <w:r>
              <w:rPr>
                <w:rStyle w:val="IndexLink"/>
              </w:rPr>
              <w:t>49</w:t>
            </w:r>
          </w:hyperlink>
        </w:p>
        <w:p>
          <w:pPr>
            <w:pStyle w:val="Contents5"/>
            <w:tabs>
              <w:tab w:val="clear" w:pos="7892"/>
              <w:tab w:val="right" w:pos="9026" w:leader="dot"/>
            </w:tabs>
            <w:rPr/>
          </w:pPr>
          <w:hyperlink w:anchor="__RefHeading___Toc13372170_1280447820">
            <w:r>
              <w:rPr>
                <w:webHidden/>
                <w:rStyle w:val="IndexLink"/>
                <w:rtl w:val="true"/>
              </w:rPr>
              <w:t>الثالث والعشرون</w:t>
            </w:r>
            <w:r>
              <w:rPr>
                <w:rStyle w:val="IndexLink"/>
                <w:rtl w:val="true"/>
              </w:rPr>
              <w:t xml:space="preserve">: </w:t>
            </w:r>
            <w:r>
              <w:rPr>
                <w:rStyle w:val="IndexLink"/>
                <w:rtl w:val="true"/>
              </w:rPr>
              <w:t>في حرمة اللهو واقتناء الآلات المعدة له واستعمالها ونقلها وانتقالها بعوض وبدونه</w:t>
            </w:r>
            <w:r>
              <w:rPr>
                <w:rStyle w:val="IndexLink"/>
                <w:rtl w:val="true"/>
              </w:rPr>
              <w:tab/>
            </w:r>
            <w:r>
              <w:rPr>
                <w:rStyle w:val="IndexLink"/>
              </w:rPr>
              <w:t>49</w:t>
            </w:r>
          </w:hyperlink>
        </w:p>
        <w:p>
          <w:pPr>
            <w:pStyle w:val="Contents5"/>
            <w:tabs>
              <w:tab w:val="clear" w:pos="7892"/>
              <w:tab w:val="right" w:pos="9026" w:leader="dot"/>
            </w:tabs>
            <w:rPr/>
          </w:pPr>
          <w:hyperlink w:anchor="__RefHeading___Toc13372172_1280447820">
            <w:r>
              <w:rPr>
                <w:webHidden/>
                <w:rStyle w:val="IndexLink"/>
                <w:rtl w:val="true"/>
              </w:rPr>
              <w:t>الرابع والعشرون</w:t>
            </w:r>
            <w:r>
              <w:rPr>
                <w:rStyle w:val="IndexLink"/>
                <w:rtl w:val="true"/>
              </w:rPr>
              <w:t xml:space="preserve">: </w:t>
            </w:r>
            <w:r>
              <w:rPr>
                <w:rStyle w:val="IndexLink"/>
                <w:rtl w:val="true"/>
              </w:rPr>
              <w:t>حكم كلّ ما يمكن الاكتساب به في جهتين محلّلة ومحرّمة</w:t>
            </w:r>
            <w:r>
              <w:rPr>
                <w:rStyle w:val="IndexLink"/>
                <w:rtl w:val="true"/>
              </w:rPr>
              <w:tab/>
            </w:r>
            <w:r>
              <w:rPr>
                <w:rStyle w:val="IndexLink"/>
              </w:rPr>
              <w:t>51</w:t>
            </w:r>
          </w:hyperlink>
        </w:p>
        <w:p>
          <w:pPr>
            <w:pStyle w:val="Contents5"/>
            <w:tabs>
              <w:tab w:val="clear" w:pos="7892"/>
              <w:tab w:val="right" w:pos="9026" w:leader="dot"/>
            </w:tabs>
            <w:rPr/>
          </w:pPr>
          <w:hyperlink w:anchor="__RefHeading___Toc13372174_1280447820">
            <w:r>
              <w:rPr>
                <w:webHidden/>
                <w:rStyle w:val="IndexLink"/>
                <w:rtl w:val="true"/>
              </w:rPr>
              <w:t>الخامس والعشرون</w:t>
            </w:r>
            <w:r>
              <w:rPr>
                <w:rStyle w:val="IndexLink"/>
                <w:rtl w:val="true"/>
              </w:rPr>
              <w:t xml:space="preserve">: </w:t>
            </w:r>
            <w:r>
              <w:rPr>
                <w:rStyle w:val="IndexLink"/>
                <w:rtl w:val="true"/>
              </w:rPr>
              <w:t>في حرمة بيع السلاح لأعداء الدين</w:t>
            </w:r>
            <w:r>
              <w:rPr>
                <w:rStyle w:val="IndexLink"/>
                <w:rtl w:val="true"/>
              </w:rPr>
              <w:tab/>
            </w:r>
            <w:r>
              <w:rPr>
                <w:rStyle w:val="IndexLink"/>
              </w:rPr>
              <w:t>53</w:t>
            </w:r>
          </w:hyperlink>
        </w:p>
        <w:p>
          <w:pPr>
            <w:pStyle w:val="Contents5"/>
            <w:tabs>
              <w:tab w:val="clear" w:pos="7892"/>
              <w:tab w:val="right" w:pos="9026" w:leader="dot"/>
            </w:tabs>
            <w:rPr/>
          </w:pPr>
          <w:hyperlink w:anchor="__RefHeading___Toc13372176_1280447820">
            <w:r>
              <w:rPr>
                <w:webHidden/>
                <w:rStyle w:val="IndexLink"/>
                <w:rtl w:val="true"/>
              </w:rPr>
              <w:t>السادس والعشرون</w:t>
            </w:r>
            <w:r>
              <w:rPr>
                <w:rStyle w:val="IndexLink"/>
                <w:rtl w:val="true"/>
              </w:rPr>
              <w:t xml:space="preserve">: </w:t>
            </w:r>
            <w:r>
              <w:rPr>
                <w:rStyle w:val="IndexLink"/>
                <w:rtl w:val="true"/>
              </w:rPr>
              <w:t>في عدم صحة المعاوضة فيما لا نفع له يعتد به</w:t>
            </w:r>
            <w:r>
              <w:rPr>
                <w:rStyle w:val="IndexLink"/>
                <w:rtl w:val="true"/>
              </w:rPr>
              <w:tab/>
            </w:r>
            <w:r>
              <w:rPr>
                <w:rStyle w:val="IndexLink"/>
              </w:rPr>
              <w:t>54</w:t>
            </w:r>
          </w:hyperlink>
        </w:p>
        <w:p>
          <w:pPr>
            <w:pStyle w:val="Contents5"/>
            <w:tabs>
              <w:tab w:val="clear" w:pos="7892"/>
              <w:tab w:val="right" w:pos="9026" w:leader="dot"/>
            </w:tabs>
            <w:rPr/>
          </w:pPr>
          <w:hyperlink w:anchor="__RefHeading___Toc13372178_1280447820">
            <w:r>
              <w:rPr>
                <w:webHidden/>
                <w:rStyle w:val="IndexLink"/>
                <w:rtl w:val="true"/>
              </w:rPr>
              <w:t>السابع والعشرون</w:t>
            </w:r>
            <w:r>
              <w:rPr>
                <w:rStyle w:val="IndexLink"/>
                <w:rtl w:val="true"/>
              </w:rPr>
              <w:t xml:space="preserve">: </w:t>
            </w:r>
            <w:r>
              <w:rPr>
                <w:rStyle w:val="IndexLink"/>
                <w:rtl w:val="true"/>
              </w:rPr>
              <w:t>في حرمة الاكتساب بعمل الصور المجسمة</w:t>
            </w:r>
            <w:r>
              <w:rPr>
                <w:rStyle w:val="IndexLink"/>
                <w:rtl w:val="true"/>
              </w:rPr>
              <w:tab/>
            </w:r>
            <w:r>
              <w:rPr>
                <w:rStyle w:val="IndexLink"/>
              </w:rPr>
              <w:t>58</w:t>
            </w:r>
          </w:hyperlink>
        </w:p>
        <w:p>
          <w:pPr>
            <w:pStyle w:val="Contents5"/>
            <w:tabs>
              <w:tab w:val="clear" w:pos="7892"/>
              <w:tab w:val="right" w:pos="9026" w:leader="dot"/>
            </w:tabs>
            <w:rPr/>
          </w:pPr>
          <w:hyperlink w:anchor="__RefHeading___Toc13372180_1280447820">
            <w:r>
              <w:rPr>
                <w:webHidden/>
                <w:rStyle w:val="IndexLink"/>
                <w:rtl w:val="true"/>
              </w:rPr>
              <w:t>الثامن والعشرون</w:t>
            </w:r>
            <w:r>
              <w:rPr>
                <w:rStyle w:val="IndexLink"/>
                <w:rtl w:val="true"/>
              </w:rPr>
              <w:t xml:space="preserve">: </w:t>
            </w:r>
            <w:r>
              <w:rPr>
                <w:rStyle w:val="IndexLink"/>
                <w:rtl w:val="true"/>
              </w:rPr>
              <w:t>في حرمة الغناء والاكتساب به</w:t>
            </w:r>
            <w:r>
              <w:rPr>
                <w:rStyle w:val="IndexLink"/>
                <w:rtl w:val="true"/>
              </w:rPr>
              <w:tab/>
            </w:r>
            <w:r>
              <w:rPr>
                <w:rStyle w:val="IndexLink"/>
              </w:rPr>
              <w:t>60</w:t>
            </w:r>
          </w:hyperlink>
        </w:p>
        <w:p>
          <w:pPr>
            <w:pStyle w:val="Contents5"/>
            <w:tabs>
              <w:tab w:val="clear" w:pos="7892"/>
              <w:tab w:val="right" w:pos="9026" w:leader="dot"/>
            </w:tabs>
            <w:rPr/>
          </w:pPr>
          <w:hyperlink w:anchor="__RefHeading___Toc13372182_1280447820">
            <w:r>
              <w:rPr>
                <w:webHidden/>
                <w:rStyle w:val="IndexLink"/>
                <w:rtl w:val="true"/>
              </w:rPr>
              <w:t>التاسع والعشرون</w:t>
            </w:r>
            <w:r>
              <w:rPr>
                <w:rStyle w:val="IndexLink"/>
                <w:rtl w:val="true"/>
              </w:rPr>
              <w:t xml:space="preserve">: </w:t>
            </w:r>
            <w:r>
              <w:rPr>
                <w:rStyle w:val="IndexLink"/>
                <w:rtl w:val="true"/>
              </w:rPr>
              <w:t>فيما استثنى بعضهم من حرمة الغناء ما يقع في الا الأعراس</w:t>
            </w:r>
            <w:r>
              <w:rPr>
                <w:rStyle w:val="IndexLink"/>
                <w:rtl w:val="true"/>
              </w:rPr>
              <w:tab/>
            </w:r>
            <w:r>
              <w:rPr>
                <w:rStyle w:val="IndexLink"/>
              </w:rPr>
              <w:t>66</w:t>
            </w:r>
          </w:hyperlink>
        </w:p>
        <w:p>
          <w:pPr>
            <w:pStyle w:val="Contents5"/>
            <w:tabs>
              <w:tab w:val="clear" w:pos="7892"/>
              <w:tab w:val="right" w:pos="9026" w:leader="dot"/>
            </w:tabs>
            <w:rPr/>
          </w:pPr>
          <w:hyperlink w:anchor="__RefHeading___Toc13372184_1280447820">
            <w:r>
              <w:rPr>
                <w:webHidden/>
                <w:rStyle w:val="IndexLink"/>
                <w:rtl w:val="true"/>
              </w:rPr>
              <w:t>الثلاثون</w:t>
            </w:r>
            <w:r>
              <w:rPr>
                <w:rStyle w:val="IndexLink"/>
                <w:rtl w:val="true"/>
              </w:rPr>
              <w:t xml:space="preserve">: </w:t>
            </w:r>
            <w:r>
              <w:rPr>
                <w:rStyle w:val="IndexLink"/>
                <w:rtl w:val="true"/>
              </w:rPr>
              <w:t>في حرمة الاكتساب بالنوح بالباطل وعلى الباطل</w:t>
            </w:r>
            <w:r>
              <w:rPr>
                <w:rStyle w:val="IndexLink"/>
                <w:rtl w:val="true"/>
              </w:rPr>
              <w:tab/>
            </w:r>
            <w:r>
              <w:rPr>
                <w:rStyle w:val="IndexLink"/>
              </w:rPr>
              <w:t>68</w:t>
            </w:r>
          </w:hyperlink>
        </w:p>
        <w:p>
          <w:pPr>
            <w:pStyle w:val="Contents5"/>
            <w:tabs>
              <w:tab w:val="clear" w:pos="7892"/>
              <w:tab w:val="right" w:pos="9026" w:leader="dot"/>
            </w:tabs>
            <w:rPr/>
          </w:pPr>
          <w:hyperlink w:anchor="__RefHeading___Toc13372186_1280447820">
            <w:r>
              <w:rPr>
                <w:webHidden/>
                <w:rStyle w:val="IndexLink"/>
                <w:rtl w:val="true"/>
              </w:rPr>
              <w:t>الواحد والثلاثون</w:t>
            </w:r>
            <w:r>
              <w:rPr>
                <w:rStyle w:val="IndexLink"/>
                <w:rtl w:val="true"/>
              </w:rPr>
              <w:t xml:space="preserve">: </w:t>
            </w:r>
            <w:r>
              <w:rPr>
                <w:rStyle w:val="IndexLink"/>
                <w:rtl w:val="true"/>
              </w:rPr>
              <w:t>في حرمة التكسّب بمعونة الظالمين وحرمة إعانة الظالم</w:t>
            </w:r>
            <w:r>
              <w:rPr>
                <w:rStyle w:val="IndexLink"/>
                <w:rtl w:val="true"/>
              </w:rPr>
              <w:tab/>
            </w:r>
            <w:r>
              <w:rPr>
                <w:rStyle w:val="IndexLink"/>
              </w:rPr>
              <w:t>70</w:t>
            </w:r>
          </w:hyperlink>
        </w:p>
        <w:p>
          <w:pPr>
            <w:pStyle w:val="Contents5"/>
            <w:tabs>
              <w:tab w:val="clear" w:pos="7892"/>
              <w:tab w:val="right" w:pos="9026" w:leader="dot"/>
            </w:tabs>
            <w:rPr/>
          </w:pPr>
          <w:hyperlink w:anchor="__RefHeading___Toc13372188_1280447820">
            <w:r>
              <w:rPr>
                <w:webHidden/>
                <w:rStyle w:val="IndexLink"/>
                <w:rtl w:val="true"/>
              </w:rPr>
              <w:t>الثاني والثلاثون</w:t>
            </w:r>
            <w:r>
              <w:rPr>
                <w:rStyle w:val="IndexLink"/>
                <w:rtl w:val="true"/>
              </w:rPr>
              <w:t xml:space="preserve">: </w:t>
            </w:r>
            <w:r>
              <w:rPr>
                <w:rStyle w:val="IndexLink"/>
                <w:rtl w:val="true"/>
              </w:rPr>
              <w:t>في حرمة التكسّب بكتب الضلال مطلقاً</w:t>
            </w:r>
            <w:r>
              <w:rPr>
                <w:rStyle w:val="IndexLink"/>
                <w:rtl w:val="true"/>
              </w:rPr>
              <w:tab/>
            </w:r>
            <w:r>
              <w:rPr>
                <w:rStyle w:val="IndexLink"/>
              </w:rPr>
              <w:t>72</w:t>
            </w:r>
          </w:hyperlink>
        </w:p>
        <w:p>
          <w:pPr>
            <w:pStyle w:val="Contents5"/>
            <w:tabs>
              <w:tab w:val="clear" w:pos="7892"/>
              <w:tab w:val="right" w:pos="9026" w:leader="dot"/>
            </w:tabs>
            <w:rPr/>
          </w:pPr>
          <w:hyperlink w:anchor="__RefHeading___Toc13372190_1280447820">
            <w:r>
              <w:rPr>
                <w:webHidden/>
                <w:rStyle w:val="IndexLink"/>
                <w:rtl w:val="true"/>
              </w:rPr>
              <w:t>الثالث والثلاثون</w:t>
            </w:r>
            <w:r>
              <w:rPr>
                <w:rStyle w:val="IndexLink"/>
                <w:rtl w:val="true"/>
              </w:rPr>
              <w:t xml:space="preserve">: </w:t>
            </w:r>
            <w:r>
              <w:rPr>
                <w:rStyle w:val="IndexLink"/>
                <w:rtl w:val="true"/>
              </w:rPr>
              <w:t>في حرمة التكسّب بهجاء المؤمنين وأخذ الجعالة عليه وقبول العطايا لأجله</w:t>
            </w:r>
            <w:r>
              <w:rPr>
                <w:rStyle w:val="IndexLink"/>
                <w:rtl w:val="true"/>
              </w:rPr>
              <w:tab/>
            </w:r>
            <w:r>
              <w:rPr>
                <w:rStyle w:val="IndexLink"/>
              </w:rPr>
              <w:t>76</w:t>
            </w:r>
          </w:hyperlink>
        </w:p>
        <w:p>
          <w:pPr>
            <w:pStyle w:val="Contents5"/>
            <w:tabs>
              <w:tab w:val="clear" w:pos="7892"/>
              <w:tab w:val="right" w:pos="9026" w:leader="dot"/>
            </w:tabs>
            <w:rPr/>
          </w:pPr>
          <w:hyperlink w:anchor="__RefHeading___Toc13372192_1280447820">
            <w:r>
              <w:rPr>
                <w:webHidden/>
                <w:rStyle w:val="IndexLink"/>
                <w:rtl w:val="true"/>
              </w:rPr>
              <w:t>الرابع والثلاثون</w:t>
            </w:r>
            <w:r>
              <w:rPr>
                <w:rStyle w:val="IndexLink"/>
                <w:rtl w:val="true"/>
              </w:rPr>
              <w:t xml:space="preserve">: </w:t>
            </w:r>
            <w:r>
              <w:rPr>
                <w:rStyle w:val="IndexLink"/>
                <w:rtl w:val="true"/>
              </w:rPr>
              <w:t>في بيان ما استثني من حرمة الهجاء</w:t>
            </w:r>
            <w:r>
              <w:rPr>
                <w:rStyle w:val="IndexLink"/>
                <w:rtl w:val="true"/>
              </w:rPr>
              <w:tab/>
            </w:r>
            <w:r>
              <w:rPr>
                <w:rStyle w:val="IndexLink"/>
              </w:rPr>
              <w:t>77</w:t>
            </w:r>
          </w:hyperlink>
        </w:p>
        <w:p>
          <w:pPr>
            <w:pStyle w:val="Contents5"/>
            <w:tabs>
              <w:tab w:val="clear" w:pos="7892"/>
              <w:tab w:val="right" w:pos="9026" w:leader="dot"/>
            </w:tabs>
            <w:rPr/>
          </w:pPr>
          <w:hyperlink w:anchor="__RefHeading___Toc13372194_1280447820">
            <w:r>
              <w:rPr>
                <w:webHidden/>
                <w:rStyle w:val="IndexLink"/>
                <w:rtl w:val="true"/>
              </w:rPr>
              <w:t>الخامس والثلاثون</w:t>
            </w:r>
            <w:r>
              <w:rPr>
                <w:rStyle w:val="IndexLink"/>
                <w:rtl w:val="true"/>
              </w:rPr>
              <w:t xml:space="preserve">: </w:t>
            </w:r>
            <w:r>
              <w:rPr>
                <w:rStyle w:val="IndexLink"/>
                <w:rtl w:val="true"/>
              </w:rPr>
              <w:t>في حرمة التكسّب بالكذب</w:t>
            </w:r>
            <w:r>
              <w:rPr>
                <w:rStyle w:val="IndexLink"/>
                <w:rtl w:val="true"/>
              </w:rPr>
              <w:tab/>
            </w:r>
            <w:r>
              <w:rPr>
                <w:rStyle w:val="IndexLink"/>
              </w:rPr>
              <w:t>78</w:t>
            </w:r>
          </w:hyperlink>
        </w:p>
        <w:p>
          <w:pPr>
            <w:pStyle w:val="Contents5"/>
            <w:tabs>
              <w:tab w:val="clear" w:pos="7892"/>
              <w:tab w:val="right" w:pos="9026" w:leader="dot"/>
            </w:tabs>
            <w:rPr/>
          </w:pPr>
          <w:hyperlink w:anchor="__RefHeading___Toc13372196_1280447820">
            <w:r>
              <w:rPr>
                <w:webHidden/>
                <w:rStyle w:val="IndexLink"/>
                <w:rtl w:val="true"/>
              </w:rPr>
              <w:t>السادس والثلاثون</w:t>
            </w:r>
            <w:r>
              <w:rPr>
                <w:rStyle w:val="IndexLink"/>
                <w:rtl w:val="true"/>
              </w:rPr>
              <w:t xml:space="preserve">: </w:t>
            </w:r>
            <w:r>
              <w:rPr>
                <w:rStyle w:val="IndexLink"/>
                <w:rtl w:val="true"/>
              </w:rPr>
              <w:t>في حرمة التكسّب بسب المؤمنين وبيان ما استثني من حرمة سبّهم</w:t>
            </w:r>
            <w:r>
              <w:rPr>
                <w:rStyle w:val="IndexLink"/>
                <w:rtl w:val="true"/>
              </w:rPr>
              <w:tab/>
            </w:r>
            <w:r>
              <w:rPr>
                <w:rStyle w:val="IndexLink"/>
              </w:rPr>
              <w:t>80</w:t>
            </w:r>
          </w:hyperlink>
        </w:p>
        <w:p>
          <w:pPr>
            <w:pStyle w:val="Contents5"/>
            <w:tabs>
              <w:tab w:val="clear" w:pos="7892"/>
              <w:tab w:val="right" w:pos="9026" w:leader="dot"/>
            </w:tabs>
            <w:rPr/>
          </w:pPr>
          <w:hyperlink w:anchor="__RefHeading___Toc13372198_1280447820">
            <w:r>
              <w:rPr>
                <w:webHidden/>
                <w:rStyle w:val="IndexLink"/>
                <w:rtl w:val="true"/>
              </w:rPr>
              <w:t>السابع والثلاثون</w:t>
            </w:r>
            <w:r>
              <w:rPr>
                <w:rStyle w:val="IndexLink"/>
                <w:rtl w:val="true"/>
              </w:rPr>
              <w:t xml:space="preserve">: </w:t>
            </w:r>
            <w:r>
              <w:rPr>
                <w:rStyle w:val="IndexLink"/>
                <w:rtl w:val="true"/>
              </w:rPr>
              <w:t>في حرمة التكسّب بالنميمة وبيان ما استثني منها</w:t>
            </w:r>
            <w:r>
              <w:rPr>
                <w:rStyle w:val="IndexLink"/>
                <w:rtl w:val="true"/>
              </w:rPr>
              <w:tab/>
            </w:r>
            <w:r>
              <w:rPr>
                <w:rStyle w:val="IndexLink"/>
              </w:rPr>
              <w:t>81</w:t>
            </w:r>
          </w:hyperlink>
        </w:p>
        <w:p>
          <w:pPr>
            <w:pStyle w:val="Contents5"/>
            <w:tabs>
              <w:tab w:val="clear" w:pos="7892"/>
              <w:tab w:val="right" w:pos="9026" w:leader="dot"/>
            </w:tabs>
            <w:rPr/>
          </w:pPr>
          <w:hyperlink w:anchor="__RefHeading___Toc13372200_1280447820">
            <w:r>
              <w:rPr>
                <w:webHidden/>
                <w:rStyle w:val="IndexLink"/>
                <w:rtl w:val="true"/>
              </w:rPr>
              <w:t>الثامن والثلاثون</w:t>
            </w:r>
            <w:r>
              <w:rPr>
                <w:rStyle w:val="IndexLink"/>
                <w:rtl w:val="true"/>
              </w:rPr>
              <w:t xml:space="preserve">: </w:t>
            </w:r>
            <w:r>
              <w:rPr>
                <w:rStyle w:val="IndexLink"/>
                <w:rtl w:val="true"/>
              </w:rPr>
              <w:t>في حرمة التكسّب بالنفاق</w:t>
            </w:r>
            <w:r>
              <w:rPr>
                <w:rStyle w:val="IndexLink"/>
                <w:rtl w:val="true"/>
              </w:rPr>
              <w:tab/>
            </w:r>
            <w:r>
              <w:rPr>
                <w:rStyle w:val="IndexLink"/>
              </w:rPr>
              <w:t>83</w:t>
            </w:r>
          </w:hyperlink>
        </w:p>
        <w:p>
          <w:pPr>
            <w:pStyle w:val="Contents5"/>
            <w:tabs>
              <w:tab w:val="clear" w:pos="7892"/>
              <w:tab w:val="right" w:pos="9026" w:leader="dot"/>
            </w:tabs>
            <w:rPr/>
          </w:pPr>
          <w:hyperlink w:anchor="__RefHeading___Toc13372202_1280447820">
            <w:r>
              <w:rPr>
                <w:webHidden/>
                <w:rStyle w:val="IndexLink"/>
                <w:rtl w:val="true"/>
              </w:rPr>
              <w:t>التاسع والثلاثون في حرمة التكسّب بمدح المذموم وذمّ الممدوح</w:t>
            </w:r>
            <w:r>
              <w:rPr>
                <w:rStyle w:val="IndexLink"/>
                <w:rtl w:val="true"/>
              </w:rPr>
              <w:tab/>
            </w:r>
            <w:r>
              <w:rPr>
                <w:rStyle w:val="IndexLink"/>
              </w:rPr>
              <w:t>83</w:t>
            </w:r>
          </w:hyperlink>
        </w:p>
        <w:p>
          <w:pPr>
            <w:pStyle w:val="Contents5"/>
            <w:tabs>
              <w:tab w:val="clear" w:pos="7892"/>
              <w:tab w:val="right" w:pos="9026" w:leader="dot"/>
            </w:tabs>
            <w:rPr/>
          </w:pPr>
          <w:hyperlink w:anchor="__RefHeading___Toc13372204_1280447820">
            <w:r>
              <w:rPr>
                <w:webHidden/>
                <w:rStyle w:val="IndexLink"/>
                <w:rtl w:val="true"/>
              </w:rPr>
              <w:t>الأربعون</w:t>
            </w:r>
            <w:r>
              <w:rPr>
                <w:rStyle w:val="IndexLink"/>
                <w:rtl w:val="true"/>
              </w:rPr>
              <w:t xml:space="preserve">: </w:t>
            </w:r>
            <w:r>
              <w:rPr>
                <w:rStyle w:val="IndexLink"/>
                <w:rtl w:val="true"/>
              </w:rPr>
              <w:t>في حرمة التكسّب بالاستهزاء وسخرية المؤمن</w:t>
            </w:r>
            <w:r>
              <w:rPr>
                <w:rStyle w:val="IndexLink"/>
                <w:rtl w:val="true"/>
              </w:rPr>
              <w:tab/>
            </w:r>
            <w:r>
              <w:rPr>
                <w:rStyle w:val="IndexLink"/>
              </w:rPr>
              <w:t>83</w:t>
            </w:r>
          </w:hyperlink>
        </w:p>
        <w:p>
          <w:pPr>
            <w:pStyle w:val="Contents5"/>
            <w:tabs>
              <w:tab w:val="clear" w:pos="7892"/>
              <w:tab w:val="right" w:pos="9026" w:leader="dot"/>
            </w:tabs>
            <w:rPr/>
          </w:pPr>
          <w:hyperlink w:anchor="__RefHeading___Toc13372206_1280447820">
            <w:r>
              <w:rPr>
                <w:webHidden/>
                <w:rStyle w:val="IndexLink"/>
                <w:rtl w:val="true"/>
              </w:rPr>
              <w:t>الواحد والأربعون</w:t>
            </w:r>
            <w:r>
              <w:rPr>
                <w:rStyle w:val="IndexLink"/>
                <w:rtl w:val="true"/>
              </w:rPr>
              <w:t xml:space="preserve">: </w:t>
            </w:r>
            <w:r>
              <w:rPr>
                <w:rStyle w:val="IndexLink"/>
                <w:rtl w:val="true"/>
              </w:rPr>
              <w:t>في حرمة التكسّب بالدعاء على المؤمنين كلاً أو بعضاً</w:t>
            </w:r>
            <w:r>
              <w:rPr>
                <w:rStyle w:val="IndexLink"/>
                <w:rtl w:val="true"/>
              </w:rPr>
              <w:tab/>
            </w:r>
            <w:r>
              <w:rPr>
                <w:rStyle w:val="IndexLink"/>
              </w:rPr>
              <w:t>84</w:t>
            </w:r>
          </w:hyperlink>
        </w:p>
        <w:p>
          <w:pPr>
            <w:pStyle w:val="Contents5"/>
            <w:tabs>
              <w:tab w:val="clear" w:pos="7892"/>
              <w:tab w:val="right" w:pos="9026" w:leader="dot"/>
            </w:tabs>
            <w:rPr/>
          </w:pPr>
          <w:hyperlink w:anchor="__RefHeading___Toc13372208_1280447820">
            <w:r>
              <w:rPr>
                <w:webHidden/>
                <w:rStyle w:val="IndexLink"/>
                <w:rtl w:val="true"/>
              </w:rPr>
              <w:t>الثاني والأربعون</w:t>
            </w:r>
            <w:r>
              <w:rPr>
                <w:rStyle w:val="IndexLink"/>
                <w:rtl w:val="true"/>
              </w:rPr>
              <w:t xml:space="preserve">: </w:t>
            </w:r>
            <w:r>
              <w:rPr>
                <w:rStyle w:val="IndexLink"/>
                <w:rtl w:val="true"/>
              </w:rPr>
              <w:t>في حرمة التكسّب بالمكر والخديعة والحيلة</w:t>
            </w:r>
            <w:r>
              <w:rPr>
                <w:rStyle w:val="IndexLink"/>
                <w:rtl w:val="true"/>
              </w:rPr>
              <w:tab/>
            </w:r>
            <w:r>
              <w:rPr>
                <w:rStyle w:val="IndexLink"/>
              </w:rPr>
              <w:t>85</w:t>
            </w:r>
          </w:hyperlink>
        </w:p>
        <w:p>
          <w:pPr>
            <w:pStyle w:val="Contents5"/>
            <w:tabs>
              <w:tab w:val="clear" w:pos="7892"/>
              <w:tab w:val="right" w:pos="9026" w:leader="dot"/>
            </w:tabs>
            <w:rPr/>
          </w:pPr>
          <w:hyperlink w:anchor="__RefHeading___Toc13372210_1280447820">
            <w:r>
              <w:rPr>
                <w:webHidden/>
                <w:rStyle w:val="IndexLink"/>
                <w:rtl w:val="true"/>
              </w:rPr>
              <w:t>الثالث والأربعون في حرمة التكسّب بفعل المنافي للمروءة</w:t>
            </w:r>
            <w:r>
              <w:rPr>
                <w:rStyle w:val="IndexLink"/>
                <w:rtl w:val="true"/>
              </w:rPr>
              <w:tab/>
            </w:r>
            <w:r>
              <w:rPr>
                <w:rStyle w:val="IndexLink"/>
              </w:rPr>
              <w:t>85</w:t>
            </w:r>
          </w:hyperlink>
        </w:p>
        <w:p>
          <w:pPr>
            <w:pStyle w:val="Contents5"/>
            <w:tabs>
              <w:tab w:val="clear" w:pos="7892"/>
              <w:tab w:val="right" w:pos="9026" w:leader="dot"/>
            </w:tabs>
            <w:rPr/>
          </w:pPr>
          <w:hyperlink w:anchor="__RefHeading___Toc13372212_1280447820">
            <w:r>
              <w:rPr>
                <w:webHidden/>
                <w:rStyle w:val="IndexLink"/>
                <w:rtl w:val="true"/>
              </w:rPr>
              <w:t>الرابع والأربعون</w:t>
            </w:r>
            <w:r>
              <w:rPr>
                <w:rStyle w:val="IndexLink"/>
                <w:rtl w:val="true"/>
              </w:rPr>
              <w:t xml:space="preserve">: </w:t>
            </w:r>
            <w:r>
              <w:rPr>
                <w:rStyle w:val="IndexLink"/>
                <w:rtl w:val="true"/>
              </w:rPr>
              <w:t>في حرمة التكسّب بالغيبة</w:t>
            </w:r>
            <w:r>
              <w:rPr>
                <w:rStyle w:val="IndexLink"/>
                <w:rtl w:val="true"/>
              </w:rPr>
              <w:tab/>
            </w:r>
            <w:r>
              <w:rPr>
                <w:rStyle w:val="IndexLink"/>
              </w:rPr>
              <w:t>86</w:t>
            </w:r>
          </w:hyperlink>
        </w:p>
        <w:p>
          <w:pPr>
            <w:pStyle w:val="Contents6"/>
            <w:tabs>
              <w:tab w:val="clear" w:pos="7609"/>
              <w:tab w:val="right" w:pos="9026" w:leader="dot"/>
            </w:tabs>
            <w:rPr/>
          </w:pPr>
          <w:hyperlink w:anchor="__RefHeading___Toc13372214_1280447820">
            <w:r>
              <w:rPr>
                <w:webHidden/>
                <w:rStyle w:val="IndexLink"/>
                <w:rtl w:val="true"/>
              </w:rPr>
              <w:t>إشارة</w:t>
            </w:r>
            <w:r>
              <w:rPr>
                <w:rStyle w:val="IndexLink"/>
                <w:rtl w:val="true"/>
              </w:rPr>
              <w:t>:</w:t>
              <w:tab/>
            </w:r>
            <w:r>
              <w:rPr>
                <w:rStyle w:val="IndexLink"/>
              </w:rPr>
              <w:t>86</w:t>
            </w:r>
          </w:hyperlink>
        </w:p>
        <w:p>
          <w:pPr>
            <w:pStyle w:val="Contents6"/>
            <w:tabs>
              <w:tab w:val="clear" w:pos="7609"/>
              <w:tab w:val="right" w:pos="9026" w:leader="dot"/>
            </w:tabs>
            <w:rPr/>
          </w:pPr>
          <w:hyperlink w:anchor="__RefHeading___Toc13372216_1280447820">
            <w:r>
              <w:rPr>
                <w:webHidden/>
                <w:rStyle w:val="IndexLink"/>
                <w:rtl w:val="true"/>
              </w:rPr>
              <w:t>بیان ما استثني من حرمة الغيبة</w:t>
            </w:r>
            <w:r>
              <w:rPr>
                <w:rStyle w:val="IndexLink"/>
                <w:rtl w:val="true"/>
              </w:rPr>
              <w:tab/>
            </w:r>
            <w:r>
              <w:rPr>
                <w:rStyle w:val="IndexLink"/>
              </w:rPr>
              <w:t>89</w:t>
            </w:r>
          </w:hyperlink>
        </w:p>
        <w:p>
          <w:pPr>
            <w:pStyle w:val="Contents5"/>
            <w:tabs>
              <w:tab w:val="clear" w:pos="7892"/>
              <w:tab w:val="right" w:pos="9026" w:leader="dot"/>
            </w:tabs>
            <w:rPr/>
          </w:pPr>
          <w:hyperlink w:anchor="__RefHeading___Toc13372218_1280447820">
            <w:r>
              <w:rPr>
                <w:webHidden/>
                <w:rStyle w:val="IndexLink"/>
                <w:rtl w:val="true"/>
              </w:rPr>
              <w:t>الخامس والأربعون</w:t>
            </w:r>
            <w:r>
              <w:rPr>
                <w:rStyle w:val="IndexLink"/>
                <w:rtl w:val="true"/>
              </w:rPr>
              <w:t xml:space="preserve">: </w:t>
            </w:r>
            <w:r>
              <w:rPr>
                <w:rStyle w:val="IndexLink"/>
                <w:rtl w:val="true"/>
              </w:rPr>
              <w:t>في حرمة التكسّب بعمل السحر</w:t>
            </w:r>
            <w:r>
              <w:rPr>
                <w:rStyle w:val="IndexLink"/>
                <w:rtl w:val="true"/>
              </w:rPr>
              <w:tab/>
            </w:r>
            <w:r>
              <w:rPr>
                <w:rStyle w:val="IndexLink"/>
              </w:rPr>
              <w:t>94</w:t>
            </w:r>
          </w:hyperlink>
        </w:p>
        <w:p>
          <w:pPr>
            <w:pStyle w:val="Contents5"/>
            <w:tabs>
              <w:tab w:val="clear" w:pos="7892"/>
              <w:tab w:val="right" w:pos="9026" w:leader="dot"/>
            </w:tabs>
            <w:rPr/>
          </w:pPr>
          <w:hyperlink w:anchor="__RefHeading___Toc13372220_1280447820">
            <w:r>
              <w:rPr>
                <w:webHidden/>
                <w:rStyle w:val="IndexLink"/>
                <w:rtl w:val="true"/>
              </w:rPr>
              <w:t>السادس والأربعون</w:t>
            </w:r>
            <w:r>
              <w:rPr>
                <w:rStyle w:val="IndexLink"/>
                <w:rtl w:val="true"/>
              </w:rPr>
              <w:t xml:space="preserve">: </w:t>
            </w:r>
            <w:r>
              <w:rPr>
                <w:rStyle w:val="IndexLink"/>
                <w:rtl w:val="true"/>
              </w:rPr>
              <w:t>في بيان موضوع السحر</w:t>
            </w:r>
            <w:r>
              <w:rPr>
                <w:rStyle w:val="IndexLink"/>
                <w:rtl w:val="true"/>
              </w:rPr>
              <w:tab/>
            </w:r>
            <w:r>
              <w:rPr>
                <w:rStyle w:val="IndexLink"/>
              </w:rPr>
              <w:t>95</w:t>
            </w:r>
          </w:hyperlink>
        </w:p>
        <w:p>
          <w:pPr>
            <w:pStyle w:val="Contents5"/>
            <w:tabs>
              <w:tab w:val="clear" w:pos="7892"/>
              <w:tab w:val="right" w:pos="9026" w:leader="dot"/>
            </w:tabs>
            <w:rPr/>
          </w:pPr>
          <w:hyperlink w:anchor="__RefHeading___Toc13372222_1280447820">
            <w:r>
              <w:rPr>
                <w:webHidden/>
                <w:rStyle w:val="IndexLink"/>
                <w:rtl w:val="true"/>
              </w:rPr>
              <w:t xml:space="preserve">القاعدة الرابعة عشر </w:t>
            </w:r>
            <w:r>
              <w:rPr>
                <w:rStyle w:val="IndexLink"/>
                <w:rtl w:val="true"/>
              </w:rPr>
              <w:t xml:space="preserve">: </w:t>
            </w:r>
            <w:r>
              <w:rPr>
                <w:rStyle w:val="IndexLink"/>
                <w:rtl w:val="true"/>
              </w:rPr>
              <w:t>بيان الفرق بين قاعدة العدوان وقاعدة المحرمات</w:t>
            </w:r>
            <w:r>
              <w:rPr>
                <w:rStyle w:val="IndexLink"/>
                <w:rtl w:val="true"/>
              </w:rPr>
              <w:tab/>
            </w:r>
            <w:r>
              <w:rPr>
                <w:rStyle w:val="IndexLink"/>
              </w:rPr>
              <w:t>202</w:t>
            </w:r>
          </w:hyperlink>
        </w:p>
        <w:p>
          <w:pPr>
            <w:pStyle w:val="Contents5"/>
            <w:tabs>
              <w:tab w:val="clear" w:pos="7892"/>
              <w:tab w:val="right" w:pos="9026" w:leader="dot"/>
            </w:tabs>
            <w:rPr/>
          </w:pPr>
          <w:hyperlink w:anchor="__RefHeading___Toc13372224_1280447820">
            <w:r>
              <w:rPr>
                <w:webHidden/>
                <w:rStyle w:val="IndexLink"/>
                <w:rtl w:val="true"/>
              </w:rPr>
              <w:t xml:space="preserve">القاعدة الخامسة عشر </w:t>
            </w:r>
            <w:r>
              <w:rPr>
                <w:rStyle w:val="IndexLink"/>
                <w:rtl w:val="true"/>
              </w:rPr>
              <w:t xml:space="preserve">: </w:t>
            </w:r>
            <w:r>
              <w:rPr>
                <w:rStyle w:val="IndexLink"/>
                <w:rtl w:val="true"/>
              </w:rPr>
              <w:t>لزوم جزاء فاعل الإحسان إن لم ينو التبرع</w:t>
            </w:r>
            <w:r>
              <w:rPr>
                <w:rStyle w:val="IndexLink"/>
                <w:rtl w:val="true"/>
              </w:rPr>
              <w:tab/>
            </w:r>
            <w:r>
              <w:rPr>
                <w:rStyle w:val="IndexLink"/>
              </w:rPr>
              <w:t>203</w:t>
            </w:r>
          </w:hyperlink>
        </w:p>
        <w:p>
          <w:pPr>
            <w:pStyle w:val="Contents5"/>
            <w:tabs>
              <w:tab w:val="clear" w:pos="7892"/>
              <w:tab w:val="right" w:pos="9026" w:leader="dot"/>
            </w:tabs>
            <w:rPr/>
          </w:pPr>
          <w:hyperlink w:anchor="__RefHeading___Toc13372226_1280447820">
            <w:r>
              <w:rPr>
                <w:webHidden/>
                <w:rStyle w:val="IndexLink"/>
                <w:rtl w:val="true"/>
              </w:rPr>
              <w:t xml:space="preserve">القاعدة السادسة عشر </w:t>
            </w:r>
            <w:r>
              <w:rPr>
                <w:rStyle w:val="IndexLink"/>
                <w:rtl w:val="true"/>
              </w:rPr>
              <w:t xml:space="preserve">: </w:t>
            </w:r>
            <w:r>
              <w:rPr>
                <w:rStyle w:val="IndexLink"/>
                <w:rtl w:val="true"/>
              </w:rPr>
              <w:t>الأصل في العقود التنجيز</w:t>
            </w:r>
            <w:r>
              <w:rPr>
                <w:rStyle w:val="IndexLink"/>
                <w:rtl w:val="true"/>
              </w:rPr>
              <w:tab/>
            </w:r>
            <w:r>
              <w:rPr>
                <w:rStyle w:val="IndexLink"/>
              </w:rPr>
              <w:t>204</w:t>
            </w:r>
          </w:hyperlink>
        </w:p>
        <w:p>
          <w:pPr>
            <w:pStyle w:val="Contents5"/>
            <w:tabs>
              <w:tab w:val="clear" w:pos="7892"/>
              <w:tab w:val="right" w:pos="9026" w:leader="dot"/>
            </w:tabs>
            <w:rPr/>
          </w:pPr>
          <w:hyperlink w:anchor="__RefHeading___Toc13372228_1280447820">
            <w:r>
              <w:rPr>
                <w:webHidden/>
                <w:rStyle w:val="IndexLink"/>
                <w:rtl w:val="true"/>
              </w:rPr>
              <w:t xml:space="preserve">القاعدة السابعة عشر </w:t>
            </w:r>
            <w:r>
              <w:rPr>
                <w:rStyle w:val="IndexLink"/>
                <w:rtl w:val="true"/>
              </w:rPr>
              <w:t xml:space="preserve">: </w:t>
            </w:r>
            <w:r>
              <w:rPr>
                <w:rStyle w:val="IndexLink"/>
                <w:rtl w:val="true"/>
              </w:rPr>
              <w:t>الأصل في العقود الحلول</w:t>
            </w:r>
            <w:r>
              <w:rPr>
                <w:rStyle w:val="IndexLink"/>
                <w:rtl w:val="true"/>
              </w:rPr>
              <w:tab/>
            </w:r>
            <w:r>
              <w:rPr>
                <w:rStyle w:val="IndexLink"/>
              </w:rPr>
              <w:t>204</w:t>
            </w:r>
          </w:hyperlink>
        </w:p>
        <w:p>
          <w:pPr>
            <w:pStyle w:val="Contents5"/>
            <w:tabs>
              <w:tab w:val="clear" w:pos="7892"/>
              <w:tab w:val="right" w:pos="9026" w:leader="dot"/>
            </w:tabs>
            <w:rPr/>
          </w:pPr>
          <w:hyperlink w:anchor="__RefHeading___Toc13372230_1280447820">
            <w:r>
              <w:rPr>
                <w:webHidden/>
                <w:rStyle w:val="IndexLink"/>
                <w:rtl w:val="true"/>
              </w:rPr>
              <w:t>القاعدة الثامنة عشر</w:t>
            </w:r>
            <w:r>
              <w:rPr>
                <w:rStyle w:val="IndexLink"/>
                <w:rtl w:val="true"/>
              </w:rPr>
              <w:t xml:space="preserve">: </w:t>
            </w:r>
            <w:r>
              <w:rPr>
                <w:rStyle w:val="IndexLink"/>
                <w:rtl w:val="true"/>
              </w:rPr>
              <w:t>الأصل في العقود حلول تسليم متعلّق الملك</w:t>
            </w:r>
            <w:r>
              <w:rPr>
                <w:rStyle w:val="IndexLink"/>
                <w:rtl w:val="true"/>
              </w:rPr>
              <w:tab/>
            </w:r>
            <w:r>
              <w:rPr>
                <w:rStyle w:val="IndexLink"/>
              </w:rPr>
              <w:t>204</w:t>
            </w:r>
          </w:hyperlink>
        </w:p>
        <w:p>
          <w:pPr>
            <w:pStyle w:val="Contents5"/>
            <w:tabs>
              <w:tab w:val="clear" w:pos="7892"/>
              <w:tab w:val="right" w:pos="9026" w:leader="dot"/>
            </w:tabs>
            <w:rPr/>
          </w:pPr>
          <w:hyperlink w:anchor="__RefHeading___Toc13372232_1280447820">
            <w:r>
              <w:rPr>
                <w:webHidden/>
                <w:rStyle w:val="IndexLink"/>
                <w:rtl w:val="true"/>
              </w:rPr>
              <w:t xml:space="preserve">القاعدة التاسعة عشر </w:t>
            </w:r>
            <w:r>
              <w:rPr>
                <w:rStyle w:val="IndexLink"/>
                <w:rtl w:val="true"/>
              </w:rPr>
              <w:t xml:space="preserve">: </w:t>
            </w:r>
            <w:r>
              <w:rPr>
                <w:rStyle w:val="IndexLink"/>
                <w:rtl w:val="true"/>
              </w:rPr>
              <w:t>الأصل وجود المملوك في العقود إلّا ما خرج بالدليل</w:t>
            </w:r>
            <w:r>
              <w:rPr>
                <w:rStyle w:val="IndexLink"/>
                <w:rtl w:val="true"/>
              </w:rPr>
              <w:tab/>
            </w:r>
            <w:r>
              <w:rPr>
                <w:rStyle w:val="IndexLink"/>
              </w:rPr>
              <w:t>204</w:t>
            </w:r>
          </w:hyperlink>
        </w:p>
        <w:p>
          <w:pPr>
            <w:pStyle w:val="Contents5"/>
            <w:tabs>
              <w:tab w:val="clear" w:pos="7892"/>
              <w:tab w:val="right" w:pos="9026" w:leader="dot"/>
            </w:tabs>
            <w:rPr/>
          </w:pPr>
          <w:hyperlink w:anchor="__RefHeading___Toc13372234_1280447820">
            <w:r>
              <w:rPr>
                <w:webHidden/>
                <w:rStyle w:val="IndexLink"/>
                <w:rtl w:val="true"/>
              </w:rPr>
              <w:t>القاعدة العشرون</w:t>
            </w:r>
            <w:r>
              <w:rPr>
                <w:rStyle w:val="IndexLink"/>
                <w:rtl w:val="true"/>
              </w:rPr>
              <w:t xml:space="preserve">: </w:t>
            </w:r>
            <w:r>
              <w:rPr>
                <w:rStyle w:val="IndexLink"/>
                <w:rtl w:val="true"/>
              </w:rPr>
              <w:t>الأصل في العقود قبولها للشروط</w:t>
            </w:r>
            <w:r>
              <w:rPr>
                <w:rStyle w:val="IndexLink"/>
                <w:rtl w:val="true"/>
              </w:rPr>
              <w:tab/>
            </w:r>
            <w:r>
              <w:rPr>
                <w:rStyle w:val="IndexLink"/>
              </w:rPr>
              <w:t>205</w:t>
            </w:r>
          </w:hyperlink>
        </w:p>
        <w:p>
          <w:pPr>
            <w:pStyle w:val="Contents5"/>
            <w:tabs>
              <w:tab w:val="clear" w:pos="7892"/>
              <w:tab w:val="right" w:pos="9026" w:leader="dot"/>
            </w:tabs>
            <w:rPr/>
          </w:pPr>
          <w:hyperlink w:anchor="__RefHeading___Toc13372236_1280447820">
            <w:r>
              <w:rPr>
                <w:webHidden/>
                <w:rStyle w:val="IndexLink"/>
                <w:rtl w:val="true"/>
              </w:rPr>
              <w:t>القاعدة الإحدى والعشرون</w:t>
            </w:r>
            <w:r>
              <w:rPr>
                <w:rStyle w:val="IndexLink"/>
                <w:rtl w:val="true"/>
              </w:rPr>
              <w:t xml:space="preserve">: </w:t>
            </w:r>
            <w:r>
              <w:rPr>
                <w:rStyle w:val="IndexLink"/>
                <w:rtl w:val="true"/>
              </w:rPr>
              <w:t>الأصل في العقود الجزم</w:t>
            </w:r>
            <w:r>
              <w:rPr>
                <w:rStyle w:val="IndexLink"/>
                <w:rtl w:val="true"/>
              </w:rPr>
              <w:tab/>
            </w:r>
            <w:r>
              <w:rPr>
                <w:rStyle w:val="IndexLink"/>
              </w:rPr>
              <w:t>205</w:t>
            </w:r>
          </w:hyperlink>
        </w:p>
        <w:p>
          <w:pPr>
            <w:pStyle w:val="Contents5"/>
            <w:tabs>
              <w:tab w:val="clear" w:pos="7892"/>
              <w:tab w:val="right" w:pos="9026" w:leader="dot"/>
            </w:tabs>
            <w:rPr/>
          </w:pPr>
          <w:hyperlink w:anchor="__RefHeading___Toc13372238_1280447820">
            <w:r>
              <w:rPr>
                <w:webHidden/>
                <w:rStyle w:val="IndexLink"/>
                <w:rtl w:val="true"/>
              </w:rPr>
              <w:t>القاعدة الثانية والعشرون</w:t>
            </w:r>
            <w:r>
              <w:rPr>
                <w:rStyle w:val="IndexLink"/>
                <w:rtl w:val="true"/>
              </w:rPr>
              <w:t xml:space="preserve">: </w:t>
            </w:r>
            <w:r>
              <w:rPr>
                <w:rStyle w:val="IndexLink"/>
                <w:rtl w:val="true"/>
              </w:rPr>
              <w:t xml:space="preserve">قاعدة </w:t>
            </w:r>
            <w:r>
              <w:rPr>
                <w:rStyle w:val="IndexLink"/>
                <w:rtl w:val="true"/>
              </w:rPr>
              <w:t>«</w:t>
            </w:r>
            <w:r>
              <w:rPr>
                <w:rStyle w:val="IndexLink"/>
                <w:rtl w:val="true"/>
              </w:rPr>
              <w:t>ما يضمن بصحيحه يضمن بفاسده</w:t>
            </w:r>
            <w:r>
              <w:rPr>
                <w:rStyle w:val="IndexLink"/>
                <w:rtl w:val="true"/>
              </w:rPr>
              <w:t xml:space="preserve">» </w:t>
            </w:r>
            <w:r>
              <w:rPr>
                <w:rStyle w:val="IndexLink"/>
                <w:rtl w:val="true"/>
              </w:rPr>
              <w:t>وعكسها وبيان المراد من الضمان فيها</w:t>
            </w:r>
            <w:r>
              <w:rPr>
                <w:rStyle w:val="IndexLink"/>
                <w:rtl w:val="true"/>
              </w:rPr>
              <w:tab/>
            </w:r>
            <w:r>
              <w:rPr>
                <w:rStyle w:val="IndexLink"/>
              </w:rPr>
              <w:t>205</w:t>
            </w:r>
          </w:hyperlink>
        </w:p>
        <w:p>
          <w:pPr>
            <w:pStyle w:val="Contents5"/>
            <w:tabs>
              <w:tab w:val="clear" w:pos="7892"/>
              <w:tab w:val="right" w:pos="9026" w:leader="dot"/>
            </w:tabs>
            <w:rPr/>
          </w:pPr>
          <w:hyperlink w:anchor="__RefHeading___Toc13372240_1280447820">
            <w:r>
              <w:rPr>
                <w:webHidden/>
                <w:rStyle w:val="IndexLink"/>
                <w:rtl w:val="true"/>
              </w:rPr>
              <w:t>القاعدة الثالثة والعشرون</w:t>
            </w:r>
            <w:r>
              <w:rPr>
                <w:rStyle w:val="IndexLink"/>
                <w:rtl w:val="true"/>
              </w:rPr>
              <w:t xml:space="preserve">: </w:t>
            </w:r>
            <w:r>
              <w:rPr>
                <w:rStyle w:val="IndexLink"/>
                <w:rtl w:val="true"/>
              </w:rPr>
              <w:t xml:space="preserve">قاعدة </w:t>
            </w:r>
            <w:r>
              <w:rPr>
                <w:rStyle w:val="IndexLink"/>
                <w:rtl w:val="true"/>
              </w:rPr>
              <w:t>«</w:t>
            </w:r>
            <w:r>
              <w:rPr>
                <w:rStyle w:val="IndexLink"/>
                <w:rtl w:val="true"/>
              </w:rPr>
              <w:t>المغرور يرجع على من غرّه</w:t>
            </w:r>
            <w:r>
              <w:rPr>
                <w:rStyle w:val="IndexLink"/>
                <w:rtl w:val="true"/>
              </w:rPr>
              <w:t>»</w:t>
              <w:tab/>
            </w:r>
            <w:r>
              <w:rPr>
                <w:rStyle w:val="IndexLink"/>
              </w:rPr>
              <w:t>206</w:t>
            </w:r>
          </w:hyperlink>
        </w:p>
        <w:p>
          <w:pPr>
            <w:pStyle w:val="Contents5"/>
            <w:tabs>
              <w:tab w:val="clear" w:pos="7892"/>
              <w:tab w:val="right" w:pos="9026" w:leader="dot"/>
            </w:tabs>
            <w:rPr/>
          </w:pPr>
          <w:hyperlink w:anchor="__RefHeading___Toc13372242_1280447820">
            <w:r>
              <w:rPr>
                <w:webHidden/>
                <w:rStyle w:val="IndexLink"/>
                <w:rtl w:val="true"/>
              </w:rPr>
              <w:t>القاعدة الرابعة والعشرون</w:t>
            </w:r>
            <w:r>
              <w:rPr>
                <w:rStyle w:val="IndexLink"/>
                <w:rtl w:val="true"/>
              </w:rPr>
              <w:t xml:space="preserve">: </w:t>
            </w:r>
            <w:r>
              <w:rPr>
                <w:rStyle w:val="IndexLink"/>
                <w:rtl w:val="true"/>
              </w:rPr>
              <w:t xml:space="preserve">عموم </w:t>
            </w:r>
            <w:r>
              <w:rPr>
                <w:rStyle w:val="IndexLink"/>
                <w:rtl w:val="true"/>
              </w:rPr>
              <w:t>«</w:t>
            </w:r>
            <w:r>
              <w:rPr>
                <w:rStyle w:val="IndexLink"/>
                <w:rtl w:val="true"/>
              </w:rPr>
              <w:t>على اليد ما أخذت حتى تؤدّي</w:t>
            </w:r>
            <w:r>
              <w:rPr>
                <w:rStyle w:val="IndexLink"/>
                <w:rtl w:val="true"/>
              </w:rPr>
              <w:t>»</w:t>
              <w:tab/>
            </w:r>
            <w:r>
              <w:rPr>
                <w:rStyle w:val="IndexLink"/>
              </w:rPr>
              <w:t>207</w:t>
            </w:r>
          </w:hyperlink>
        </w:p>
        <w:p>
          <w:pPr>
            <w:pStyle w:val="Contents5"/>
            <w:tabs>
              <w:tab w:val="clear" w:pos="7892"/>
              <w:tab w:val="right" w:pos="9026" w:leader="dot"/>
            </w:tabs>
            <w:rPr/>
          </w:pPr>
          <w:hyperlink w:anchor="__RefHeading___Toc13372244_1280447820">
            <w:r>
              <w:rPr>
                <w:webHidden/>
                <w:rStyle w:val="IndexLink"/>
                <w:rtl w:val="true"/>
              </w:rPr>
              <w:t>القاعدة الخامسة والعشرون</w:t>
            </w:r>
            <w:r>
              <w:rPr>
                <w:rStyle w:val="IndexLink"/>
                <w:rtl w:val="true"/>
              </w:rPr>
              <w:t xml:space="preserve">: </w:t>
            </w:r>
            <w:r>
              <w:rPr>
                <w:rStyle w:val="IndexLink"/>
                <w:rtl w:val="true"/>
              </w:rPr>
              <w:t>حديث لا ضرر ولا ضرار</w:t>
            </w:r>
            <w:r>
              <w:rPr>
                <w:rStyle w:val="IndexLink"/>
                <w:rtl w:val="true"/>
              </w:rPr>
              <w:tab/>
            </w:r>
            <w:r>
              <w:rPr>
                <w:rStyle w:val="IndexLink"/>
              </w:rPr>
              <w:t>207</w:t>
            </w:r>
          </w:hyperlink>
        </w:p>
        <w:p>
          <w:pPr>
            <w:pStyle w:val="Contents5"/>
            <w:tabs>
              <w:tab w:val="clear" w:pos="7892"/>
              <w:tab w:val="right" w:pos="9026" w:leader="dot"/>
            </w:tabs>
            <w:rPr/>
          </w:pPr>
          <w:hyperlink w:anchor="__RefHeading___Toc13372246_1280447820">
            <w:r>
              <w:rPr>
                <w:webHidden/>
                <w:rStyle w:val="IndexLink"/>
                <w:rtl w:val="true"/>
              </w:rPr>
              <w:t xml:space="preserve">القاعدة السادسة والعشرون </w:t>
            </w:r>
            <w:r>
              <w:rPr>
                <w:rStyle w:val="IndexLink"/>
                <w:rtl w:val="true"/>
              </w:rPr>
              <w:t xml:space="preserve">: </w:t>
            </w:r>
            <w:r>
              <w:rPr>
                <w:rStyle w:val="IndexLink"/>
                <w:rtl w:val="true"/>
              </w:rPr>
              <w:t xml:space="preserve">قاعدة </w:t>
            </w:r>
            <w:r>
              <w:rPr>
                <w:rStyle w:val="IndexLink"/>
                <w:rtl w:val="true"/>
              </w:rPr>
              <w:t>«</w:t>
            </w:r>
            <w:r>
              <w:rPr>
                <w:rStyle w:val="IndexLink"/>
                <w:rtl w:val="true"/>
              </w:rPr>
              <w:t>التعاون على البرّ</w:t>
            </w:r>
            <w:r>
              <w:rPr>
                <w:rStyle w:val="IndexLink"/>
                <w:rtl w:val="true"/>
              </w:rPr>
              <w:t>»</w:t>
              <w:tab/>
            </w:r>
            <w:r>
              <w:rPr>
                <w:rStyle w:val="IndexLink"/>
              </w:rPr>
              <w:t>208</w:t>
            </w:r>
          </w:hyperlink>
        </w:p>
        <w:p>
          <w:pPr>
            <w:pStyle w:val="Contents5"/>
            <w:tabs>
              <w:tab w:val="clear" w:pos="7892"/>
              <w:tab w:val="right" w:pos="9026" w:leader="dot"/>
            </w:tabs>
            <w:rPr/>
          </w:pPr>
          <w:hyperlink w:anchor="__RefHeading___Toc13372248_1280447820">
            <w:r>
              <w:rPr>
                <w:webHidden/>
                <w:rStyle w:val="IndexLink"/>
                <w:rtl w:val="true"/>
              </w:rPr>
              <w:t>القاعدة السابعة والعشرون</w:t>
            </w:r>
            <w:r>
              <w:rPr>
                <w:rStyle w:val="IndexLink"/>
                <w:rtl w:val="true"/>
              </w:rPr>
              <w:t xml:space="preserve">: </w:t>
            </w:r>
            <w:r>
              <w:rPr>
                <w:rStyle w:val="IndexLink"/>
                <w:rtl w:val="true"/>
              </w:rPr>
              <w:t>الأصل في العقود الصحة عند وقوعها والشك في أنّها صحيحة أو فاسدة</w:t>
            </w:r>
            <w:r>
              <w:rPr>
                <w:rStyle w:val="IndexLink"/>
                <w:rtl w:val="true"/>
              </w:rPr>
              <w:tab/>
            </w:r>
            <w:r>
              <w:rPr>
                <w:rStyle w:val="IndexLink"/>
              </w:rPr>
              <w:t>209</w:t>
            </w:r>
          </w:hyperlink>
        </w:p>
        <w:p>
          <w:pPr>
            <w:pStyle w:val="Contents5"/>
            <w:tabs>
              <w:tab w:val="clear" w:pos="7892"/>
              <w:tab w:val="right" w:pos="9026" w:leader="dot"/>
            </w:tabs>
            <w:rPr/>
          </w:pPr>
          <w:hyperlink w:anchor="__RefHeading___Toc13372250_1280447820">
            <w:r>
              <w:rPr>
                <w:webHidden/>
                <w:rStyle w:val="IndexLink"/>
                <w:rtl w:val="true"/>
              </w:rPr>
              <w:t>القاعدة الثامنة والعشرون الأصل في العقود اللزوم</w:t>
            </w:r>
            <w:r>
              <w:rPr>
                <w:rStyle w:val="IndexLink"/>
                <w:rtl w:val="true"/>
              </w:rPr>
              <w:tab/>
            </w:r>
            <w:r>
              <w:rPr>
                <w:rStyle w:val="IndexLink"/>
              </w:rPr>
              <w:t>210</w:t>
            </w:r>
          </w:hyperlink>
        </w:p>
        <w:p>
          <w:pPr>
            <w:pStyle w:val="Contents5"/>
            <w:tabs>
              <w:tab w:val="clear" w:pos="7892"/>
              <w:tab w:val="right" w:pos="9026" w:leader="dot"/>
            </w:tabs>
            <w:rPr/>
          </w:pPr>
          <w:hyperlink w:anchor="__RefHeading___Toc13372252_1280447820">
            <w:r>
              <w:rPr>
                <w:webHidden/>
                <w:rStyle w:val="IndexLink"/>
                <w:rtl w:val="true"/>
              </w:rPr>
              <w:t>القاعدة التاسعة والعشرون</w:t>
            </w:r>
            <w:r>
              <w:rPr>
                <w:rStyle w:val="IndexLink"/>
                <w:rtl w:val="true"/>
              </w:rPr>
              <w:t xml:space="preserve">: </w:t>
            </w:r>
            <w:r>
              <w:rPr>
                <w:rStyle w:val="IndexLink"/>
                <w:rtl w:val="true"/>
              </w:rPr>
              <w:t>عدم سلطنة الكافرين على المؤمنين وبيان ما يترتب عليها</w:t>
            </w:r>
            <w:r>
              <w:rPr>
                <w:rStyle w:val="IndexLink"/>
                <w:rtl w:val="true"/>
              </w:rPr>
              <w:tab/>
            </w:r>
            <w:r>
              <w:rPr>
                <w:rStyle w:val="IndexLink"/>
              </w:rPr>
              <w:t>211</w:t>
            </w:r>
          </w:hyperlink>
        </w:p>
        <w:p>
          <w:pPr>
            <w:pStyle w:val="Contents5"/>
            <w:tabs>
              <w:tab w:val="clear" w:pos="7892"/>
              <w:tab w:val="right" w:pos="9026" w:leader="dot"/>
            </w:tabs>
            <w:rPr/>
          </w:pPr>
          <w:hyperlink w:anchor="__RefHeading___Toc13372254_1280447820">
            <w:r>
              <w:rPr>
                <w:webHidden/>
                <w:rStyle w:val="IndexLink"/>
                <w:rtl w:val="true"/>
              </w:rPr>
              <w:t>القاعدة الثلاثون</w:t>
            </w:r>
            <w:r>
              <w:rPr>
                <w:rStyle w:val="IndexLink"/>
                <w:rtl w:val="true"/>
              </w:rPr>
              <w:t xml:space="preserve">: </w:t>
            </w:r>
            <w:r>
              <w:rPr>
                <w:rStyle w:val="IndexLink"/>
                <w:rtl w:val="true"/>
              </w:rPr>
              <w:t>العقد يتولاه المالك أو وكيله أو وليه الإجباري</w:t>
            </w:r>
            <w:r>
              <w:rPr>
                <w:rStyle w:val="IndexLink"/>
                <w:rtl w:val="true"/>
              </w:rPr>
              <w:tab/>
            </w:r>
            <w:r>
              <w:rPr>
                <w:rStyle w:val="IndexLink"/>
              </w:rPr>
              <w:t>211</w:t>
            </w:r>
          </w:hyperlink>
        </w:p>
        <w:p>
          <w:pPr>
            <w:pStyle w:val="Contents5"/>
            <w:tabs>
              <w:tab w:val="clear" w:pos="7892"/>
              <w:tab w:val="right" w:pos="9026" w:leader="dot"/>
            </w:tabs>
            <w:rPr/>
          </w:pPr>
          <w:hyperlink w:anchor="__RefHeading___Toc13372256_1280447820">
            <w:r>
              <w:rPr>
                <w:webHidden/>
                <w:rStyle w:val="IndexLink"/>
                <w:rtl w:val="true"/>
              </w:rPr>
              <w:t>القاعدة الإحدى والثلاثون</w:t>
            </w:r>
            <w:r>
              <w:rPr>
                <w:rStyle w:val="IndexLink"/>
                <w:rtl w:val="true"/>
              </w:rPr>
              <w:t xml:space="preserve">: </w:t>
            </w:r>
            <w:r>
              <w:rPr>
                <w:rStyle w:val="IndexLink"/>
                <w:rtl w:val="true"/>
              </w:rPr>
              <w:t>الأصل في نواقل الأعيان البيع</w:t>
            </w:r>
            <w:r>
              <w:rPr>
                <w:rStyle w:val="IndexLink"/>
                <w:rtl w:val="true"/>
              </w:rPr>
              <w:tab/>
            </w:r>
            <w:r>
              <w:rPr>
                <w:rStyle w:val="IndexLink"/>
              </w:rPr>
              <w:t>213</w:t>
            </w:r>
          </w:hyperlink>
        </w:p>
        <w:p>
          <w:pPr>
            <w:pStyle w:val="Contents5"/>
            <w:tabs>
              <w:tab w:val="clear" w:pos="7892"/>
              <w:tab w:val="right" w:pos="9026" w:leader="dot"/>
            </w:tabs>
            <w:rPr/>
          </w:pPr>
          <w:hyperlink w:anchor="__RefHeading___Toc13372258_1280447820">
            <w:r>
              <w:rPr>
                <w:webHidden/>
                <w:rStyle w:val="IndexLink"/>
                <w:rtl w:val="true"/>
              </w:rPr>
              <w:t>القاعدة الثانية والثلاثون</w:t>
            </w:r>
            <w:r>
              <w:rPr>
                <w:rStyle w:val="IndexLink"/>
                <w:rtl w:val="true"/>
              </w:rPr>
              <w:t xml:space="preserve">: </w:t>
            </w:r>
            <w:r>
              <w:rPr>
                <w:rStyle w:val="IndexLink"/>
                <w:rtl w:val="true"/>
              </w:rPr>
              <w:t>الأصل في الأسباب الشرعيَّة تغاير تأثيرها</w:t>
            </w:r>
            <w:r>
              <w:rPr>
                <w:rStyle w:val="IndexLink"/>
                <w:rtl w:val="true"/>
              </w:rPr>
              <w:tab/>
            </w:r>
            <w:r>
              <w:rPr>
                <w:rStyle w:val="IndexLink"/>
              </w:rPr>
              <w:t>213</w:t>
            </w:r>
          </w:hyperlink>
        </w:p>
        <w:p>
          <w:pPr>
            <w:pStyle w:val="Contents5"/>
            <w:tabs>
              <w:tab w:val="clear" w:pos="7892"/>
              <w:tab w:val="right" w:pos="9026" w:leader="dot"/>
            </w:tabs>
            <w:rPr/>
          </w:pPr>
          <w:hyperlink w:anchor="__RefHeading___Toc13372260_1280447820">
            <w:r>
              <w:rPr>
                <w:webHidden/>
                <w:rStyle w:val="IndexLink"/>
                <w:rtl w:val="true"/>
              </w:rPr>
              <w:t>القاعدة الثالثة والثلاثون</w:t>
            </w:r>
            <w:r>
              <w:rPr>
                <w:rStyle w:val="IndexLink"/>
                <w:rtl w:val="true"/>
              </w:rPr>
              <w:t xml:space="preserve">: </w:t>
            </w:r>
            <w:r>
              <w:rPr>
                <w:rStyle w:val="IndexLink"/>
                <w:rtl w:val="true"/>
              </w:rPr>
              <w:t>الأصل مساواة الكلّي للفرد في النقل والانتقال</w:t>
            </w:r>
            <w:r>
              <w:rPr>
                <w:rStyle w:val="IndexLink"/>
                <w:rtl w:val="true"/>
              </w:rPr>
              <w:tab/>
            </w:r>
            <w:r>
              <w:rPr>
                <w:rStyle w:val="IndexLink"/>
              </w:rPr>
              <w:t>214</w:t>
            </w:r>
          </w:hyperlink>
        </w:p>
        <w:p>
          <w:pPr>
            <w:pStyle w:val="Contents5"/>
            <w:tabs>
              <w:tab w:val="clear" w:pos="7892"/>
              <w:tab w:val="right" w:pos="9026" w:leader="dot"/>
            </w:tabs>
            <w:rPr/>
          </w:pPr>
          <w:hyperlink w:anchor="__RefHeading___Toc13372262_1280447820">
            <w:r>
              <w:rPr>
                <w:webHidden/>
                <w:rStyle w:val="IndexLink"/>
                <w:rtl w:val="true"/>
              </w:rPr>
              <w:t>القاعدة الرابعة والثلاثون</w:t>
            </w:r>
            <w:r>
              <w:rPr>
                <w:rStyle w:val="IndexLink"/>
                <w:rtl w:val="true"/>
              </w:rPr>
              <w:t xml:space="preserve">: </w:t>
            </w:r>
            <w:r>
              <w:rPr>
                <w:rStyle w:val="IndexLink"/>
                <w:rtl w:val="true"/>
              </w:rPr>
              <w:t>الأصل في نواقل الأعيان والمنافع أنّه لو وقع العقد على القابل وغير القابل صح في القابل وبطل في غيره</w:t>
            </w:r>
            <w:r>
              <w:rPr>
                <w:rStyle w:val="IndexLink"/>
                <w:rtl w:val="true"/>
              </w:rPr>
              <w:tab/>
            </w:r>
            <w:r>
              <w:rPr>
                <w:rStyle w:val="IndexLink"/>
              </w:rPr>
              <w:t>215</w:t>
            </w:r>
          </w:hyperlink>
        </w:p>
        <w:p>
          <w:pPr>
            <w:pStyle w:val="Contents5"/>
            <w:tabs>
              <w:tab w:val="clear" w:pos="7892"/>
              <w:tab w:val="right" w:pos="9026" w:leader="dot"/>
            </w:tabs>
            <w:rPr/>
          </w:pPr>
          <w:hyperlink w:anchor="__RefHeading___Toc13372264_1280447820">
            <w:r>
              <w:rPr>
                <w:webHidden/>
                <w:rStyle w:val="IndexLink"/>
                <w:rtl w:val="true"/>
              </w:rPr>
              <w:t>القاعدة الخامسة والثلاثون</w:t>
            </w:r>
            <w:r>
              <w:rPr>
                <w:rStyle w:val="IndexLink"/>
                <w:rtl w:val="true"/>
              </w:rPr>
              <w:t xml:space="preserve">: </w:t>
            </w:r>
            <w:r>
              <w:rPr>
                <w:rStyle w:val="IndexLink"/>
                <w:rtl w:val="true"/>
              </w:rPr>
              <w:t>الأصل في كل عقد جائز تابع للإذن أن ينتفي بانتفائه</w:t>
            </w:r>
            <w:r>
              <w:rPr>
                <w:rStyle w:val="IndexLink"/>
                <w:rtl w:val="true"/>
              </w:rPr>
              <w:tab/>
            </w:r>
            <w:r>
              <w:rPr>
                <w:rStyle w:val="IndexLink"/>
              </w:rPr>
              <w:t>215</w:t>
            </w:r>
          </w:hyperlink>
        </w:p>
        <w:p>
          <w:pPr>
            <w:pStyle w:val="Contents5"/>
            <w:tabs>
              <w:tab w:val="clear" w:pos="7892"/>
              <w:tab w:val="right" w:pos="9026" w:leader="dot"/>
            </w:tabs>
            <w:rPr/>
          </w:pPr>
          <w:hyperlink w:anchor="__RefHeading___Toc13372266_1280447820">
            <w:r>
              <w:rPr>
                <w:webHidden/>
                <w:rStyle w:val="IndexLink"/>
                <w:rtl w:val="true"/>
              </w:rPr>
              <w:t>القاعدة السادسة والثلاثون</w:t>
            </w:r>
            <w:r>
              <w:rPr>
                <w:rStyle w:val="IndexLink"/>
                <w:rtl w:val="true"/>
              </w:rPr>
              <w:t xml:space="preserve">: </w:t>
            </w:r>
            <w:r>
              <w:rPr>
                <w:rStyle w:val="IndexLink"/>
                <w:rtl w:val="true"/>
              </w:rPr>
              <w:t>الأصل في شرائط العقود أن تكون واقعية</w:t>
            </w:r>
            <w:r>
              <w:rPr>
                <w:rStyle w:val="IndexLink"/>
                <w:rtl w:val="true"/>
              </w:rPr>
              <w:tab/>
            </w:r>
            <w:r>
              <w:rPr>
                <w:rStyle w:val="IndexLink"/>
              </w:rPr>
              <w:t>216</w:t>
            </w:r>
          </w:hyperlink>
        </w:p>
        <w:p>
          <w:pPr>
            <w:pStyle w:val="Contents5"/>
            <w:tabs>
              <w:tab w:val="clear" w:pos="7892"/>
              <w:tab w:val="right" w:pos="9026" w:leader="dot"/>
            </w:tabs>
            <w:rPr/>
          </w:pPr>
          <w:hyperlink w:anchor="__RefHeading___Toc13372268_1280447820">
            <w:r>
              <w:rPr>
                <w:webHidden/>
                <w:rStyle w:val="IndexLink"/>
                <w:rtl w:val="true"/>
              </w:rPr>
              <w:t>القاعدة السابعة والثلاثون</w:t>
            </w:r>
            <w:r>
              <w:rPr>
                <w:rStyle w:val="IndexLink"/>
                <w:rtl w:val="true"/>
              </w:rPr>
              <w:t xml:space="preserve">: </w:t>
            </w:r>
            <w:r>
              <w:rPr>
                <w:rStyle w:val="IndexLink"/>
                <w:rtl w:val="true"/>
              </w:rPr>
              <w:t>الأصل في العقد أن لا يصح من جانب ويفسد من جانب آخر</w:t>
            </w:r>
            <w:r>
              <w:rPr>
                <w:rStyle w:val="IndexLink"/>
                <w:rtl w:val="true"/>
              </w:rPr>
              <w:tab/>
            </w:r>
            <w:r>
              <w:rPr>
                <w:rStyle w:val="IndexLink"/>
              </w:rPr>
              <w:t>216</w:t>
            </w:r>
          </w:hyperlink>
        </w:p>
        <w:p>
          <w:pPr>
            <w:pStyle w:val="Contents5"/>
            <w:tabs>
              <w:tab w:val="clear" w:pos="7892"/>
              <w:tab w:val="right" w:pos="9026" w:leader="dot"/>
            </w:tabs>
            <w:rPr/>
          </w:pPr>
          <w:hyperlink w:anchor="__RefHeading___Toc13372270_1280447820">
            <w:r>
              <w:rPr>
                <w:webHidden/>
                <w:rStyle w:val="IndexLink"/>
                <w:rtl w:val="true"/>
              </w:rPr>
              <w:t>القاعدة الثامنة والثلاثون</w:t>
            </w:r>
            <w:r>
              <w:rPr>
                <w:rStyle w:val="IndexLink"/>
                <w:rtl w:val="true"/>
              </w:rPr>
              <w:t xml:space="preserve">: </w:t>
            </w:r>
            <w:r>
              <w:rPr>
                <w:rStyle w:val="IndexLink"/>
                <w:rtl w:val="true"/>
              </w:rPr>
              <w:t>الأصل في العقود مغايرة أركانها الستة من حيث الذات</w:t>
            </w:r>
            <w:r>
              <w:rPr>
                <w:rStyle w:val="IndexLink"/>
                <w:rtl w:val="true"/>
              </w:rPr>
              <w:tab/>
            </w:r>
            <w:r>
              <w:rPr>
                <w:rStyle w:val="IndexLink"/>
              </w:rPr>
              <w:t>217</w:t>
            </w:r>
          </w:hyperlink>
        </w:p>
        <w:p>
          <w:pPr>
            <w:pStyle w:val="Contents5"/>
            <w:tabs>
              <w:tab w:val="clear" w:pos="7892"/>
              <w:tab w:val="right" w:pos="9026" w:leader="dot"/>
            </w:tabs>
            <w:rPr/>
          </w:pPr>
          <w:hyperlink w:anchor="__RefHeading___Toc13372272_1280447820">
            <w:r>
              <w:rPr>
                <w:webHidden/>
                <w:rStyle w:val="IndexLink"/>
                <w:rtl w:val="true"/>
              </w:rPr>
              <w:t>القاعدة التاسعة والثلاثون</w:t>
            </w:r>
            <w:r>
              <w:rPr>
                <w:rStyle w:val="IndexLink"/>
                <w:rtl w:val="true"/>
              </w:rPr>
              <w:t xml:space="preserve">: </w:t>
            </w:r>
            <w:r>
              <w:rPr>
                <w:rStyle w:val="IndexLink"/>
                <w:rtl w:val="true"/>
              </w:rPr>
              <w:t>الأصل في البيع أن يتعلّق مبيعه بالأعيان وفي الإجارة بالمنافع</w:t>
            </w:r>
            <w:r>
              <w:rPr>
                <w:rStyle w:val="IndexLink"/>
                <w:rtl w:val="true"/>
              </w:rPr>
              <w:tab/>
            </w:r>
            <w:r>
              <w:rPr>
                <w:rStyle w:val="IndexLink"/>
              </w:rPr>
              <w:t>218</w:t>
            </w:r>
          </w:hyperlink>
        </w:p>
        <w:p>
          <w:pPr>
            <w:pStyle w:val="Contents5"/>
            <w:tabs>
              <w:tab w:val="clear" w:pos="7892"/>
              <w:tab w:val="right" w:pos="9026" w:leader="dot"/>
            </w:tabs>
            <w:rPr/>
          </w:pPr>
          <w:hyperlink w:anchor="__RefHeading___Toc13372274_1280447820">
            <w:r>
              <w:rPr>
                <w:webHidden/>
                <w:rStyle w:val="IndexLink"/>
                <w:rtl w:val="true"/>
              </w:rPr>
              <w:t>القاعدة الأربعون</w:t>
            </w:r>
            <w:r>
              <w:rPr>
                <w:rStyle w:val="IndexLink"/>
                <w:rtl w:val="true"/>
              </w:rPr>
              <w:t xml:space="preserve">: </w:t>
            </w:r>
            <w:r>
              <w:rPr>
                <w:rStyle w:val="IndexLink"/>
                <w:rtl w:val="true"/>
              </w:rPr>
              <w:t>الأصل جواز جعل الثمن في المبيع وكذا الأجرة عيناً ومنفعةً وحقاً</w:t>
            </w:r>
            <w:r>
              <w:rPr>
                <w:rStyle w:val="IndexLink"/>
                <w:rtl w:val="true"/>
              </w:rPr>
              <w:tab/>
            </w:r>
            <w:r>
              <w:rPr>
                <w:rStyle w:val="IndexLink"/>
              </w:rPr>
              <w:t>219</w:t>
            </w:r>
          </w:hyperlink>
        </w:p>
        <w:p>
          <w:pPr>
            <w:pStyle w:val="Contents5"/>
            <w:tabs>
              <w:tab w:val="clear" w:pos="7892"/>
              <w:tab w:val="right" w:pos="9026" w:leader="dot"/>
            </w:tabs>
            <w:rPr/>
          </w:pPr>
          <w:hyperlink w:anchor="__RefHeading___Toc13372276_1280447820">
            <w:r>
              <w:rPr>
                <w:webHidden/>
                <w:rStyle w:val="IndexLink"/>
                <w:rtl w:val="true"/>
              </w:rPr>
              <w:t>القاعدة الإحدى والأربعون</w:t>
            </w:r>
            <w:r>
              <w:rPr>
                <w:rStyle w:val="IndexLink"/>
                <w:rtl w:val="true"/>
              </w:rPr>
              <w:t xml:space="preserve">: </w:t>
            </w:r>
            <w:r>
              <w:rPr>
                <w:rStyle w:val="IndexLink"/>
                <w:rtl w:val="true"/>
              </w:rPr>
              <w:t>جواز استعمال الحيل الشرعيَّة في العقود</w:t>
            </w:r>
            <w:r>
              <w:rPr>
                <w:rStyle w:val="IndexLink"/>
                <w:rtl w:val="true"/>
              </w:rPr>
              <w:tab/>
            </w:r>
            <w:r>
              <w:rPr>
                <w:rStyle w:val="IndexLink"/>
              </w:rPr>
              <w:t>219</w:t>
            </w:r>
          </w:hyperlink>
        </w:p>
        <w:p>
          <w:pPr>
            <w:pStyle w:val="Contents5"/>
            <w:tabs>
              <w:tab w:val="clear" w:pos="7892"/>
              <w:tab w:val="right" w:pos="9026" w:leader="dot"/>
            </w:tabs>
            <w:rPr/>
          </w:pPr>
          <w:hyperlink w:anchor="__RefHeading___Toc13372278_1280447820">
            <w:r>
              <w:rPr>
                <w:webHidden/>
                <w:rStyle w:val="IndexLink"/>
                <w:rtl w:val="true"/>
              </w:rPr>
              <w:t>القاعدة الثانية والأربعون</w:t>
            </w:r>
            <w:r>
              <w:rPr>
                <w:rStyle w:val="IndexLink"/>
                <w:rtl w:val="true"/>
              </w:rPr>
              <w:t xml:space="preserve">: </w:t>
            </w:r>
            <w:r>
              <w:rPr>
                <w:rStyle w:val="IndexLink"/>
                <w:rtl w:val="true"/>
              </w:rPr>
              <w:t>الأصل بطلان العقود الواقعة على غير النهج الشرعي</w:t>
            </w:r>
            <w:r>
              <w:rPr>
                <w:rStyle w:val="IndexLink"/>
                <w:rtl w:val="true"/>
              </w:rPr>
              <w:tab/>
            </w:r>
            <w:r>
              <w:rPr>
                <w:rStyle w:val="IndexLink"/>
              </w:rPr>
              <w:t>220</w:t>
            </w:r>
          </w:hyperlink>
        </w:p>
        <w:p>
          <w:pPr>
            <w:pStyle w:val="Contents5"/>
            <w:tabs>
              <w:tab w:val="clear" w:pos="7892"/>
              <w:tab w:val="right" w:pos="9026" w:leader="dot"/>
            </w:tabs>
            <w:rPr/>
          </w:pPr>
          <w:hyperlink w:anchor="__RefHeading___Toc13372280_1280447820">
            <w:r>
              <w:rPr>
                <w:webHidden/>
                <w:rStyle w:val="IndexLink"/>
                <w:rtl w:val="true"/>
              </w:rPr>
              <w:t>القاعدة الثالثة والأربعون</w:t>
            </w:r>
            <w:r>
              <w:rPr>
                <w:rStyle w:val="IndexLink"/>
                <w:rtl w:val="true"/>
              </w:rPr>
              <w:t xml:space="preserve">: </w:t>
            </w:r>
            <w:r>
              <w:rPr>
                <w:rStyle w:val="IndexLink"/>
                <w:rtl w:val="true"/>
              </w:rPr>
              <w:t>الأصل عدم تأثير العقد إلا أن يقع باللفظ</w:t>
            </w:r>
            <w:r>
              <w:rPr>
                <w:rStyle w:val="IndexLink"/>
                <w:rtl w:val="true"/>
              </w:rPr>
              <w:tab/>
            </w:r>
            <w:r>
              <w:rPr>
                <w:rStyle w:val="IndexLink"/>
              </w:rPr>
              <w:t>221</w:t>
            </w:r>
          </w:hyperlink>
        </w:p>
        <w:p>
          <w:pPr>
            <w:pStyle w:val="Contents5"/>
            <w:tabs>
              <w:tab w:val="clear" w:pos="7892"/>
              <w:tab w:val="right" w:pos="9026" w:leader="dot"/>
            </w:tabs>
            <w:rPr/>
          </w:pPr>
          <w:hyperlink w:anchor="__RefHeading___Toc13372282_1280447820">
            <w:r>
              <w:rPr>
                <w:webHidden/>
                <w:rStyle w:val="IndexLink"/>
                <w:rtl w:val="true"/>
              </w:rPr>
              <w:t>القاعدة الرابعة والأربعون</w:t>
            </w:r>
            <w:r>
              <w:rPr>
                <w:rStyle w:val="IndexLink"/>
                <w:rtl w:val="true"/>
              </w:rPr>
              <w:t xml:space="preserve">: </w:t>
            </w:r>
            <w:r>
              <w:rPr>
                <w:rStyle w:val="IndexLink"/>
                <w:rtl w:val="true"/>
              </w:rPr>
              <w:t>الاجتهاد والتقليد ليسا شرطاً في صحة العقد</w:t>
            </w:r>
            <w:r>
              <w:rPr>
                <w:rStyle w:val="IndexLink"/>
                <w:rtl w:val="true"/>
              </w:rPr>
              <w:tab/>
            </w:r>
            <w:r>
              <w:rPr>
                <w:rStyle w:val="IndexLink"/>
              </w:rPr>
              <w:t>222</w:t>
            </w:r>
          </w:hyperlink>
        </w:p>
        <w:p>
          <w:pPr>
            <w:pStyle w:val="Contents5"/>
            <w:tabs>
              <w:tab w:val="clear" w:pos="7892"/>
              <w:tab w:val="right" w:pos="9026" w:leader="dot"/>
            </w:tabs>
            <w:rPr/>
          </w:pPr>
          <w:hyperlink w:anchor="__RefHeading___Toc13372284_1280447820">
            <w:r>
              <w:rPr>
                <w:webHidden/>
                <w:rStyle w:val="IndexLink"/>
                <w:rtl w:val="true"/>
              </w:rPr>
              <w:t>القاعدة الخامسة والأربعون</w:t>
            </w:r>
            <w:r>
              <w:rPr>
                <w:rStyle w:val="IndexLink"/>
                <w:rtl w:val="true"/>
              </w:rPr>
              <w:t xml:space="preserve">: </w:t>
            </w:r>
            <w:r>
              <w:rPr>
                <w:rStyle w:val="IndexLink"/>
                <w:rtl w:val="true"/>
              </w:rPr>
              <w:t>قيام الحاكم مقام الممتنع في قبض حقه</w:t>
            </w:r>
            <w:r>
              <w:rPr>
                <w:rStyle w:val="IndexLink"/>
                <w:rtl w:val="true"/>
              </w:rPr>
              <w:tab/>
            </w:r>
            <w:r>
              <w:rPr>
                <w:rStyle w:val="IndexLink"/>
              </w:rPr>
              <w:t>222</w:t>
            </w:r>
          </w:hyperlink>
        </w:p>
        <w:p>
          <w:pPr>
            <w:pStyle w:val="Contents5"/>
            <w:tabs>
              <w:tab w:val="clear" w:pos="7892"/>
              <w:tab w:val="right" w:pos="9026" w:leader="dot"/>
            </w:tabs>
            <w:rPr/>
          </w:pPr>
          <w:hyperlink w:anchor="__RefHeading___Toc13372286_1280447820">
            <w:r>
              <w:rPr>
                <w:webHidden/>
                <w:rStyle w:val="IndexLink"/>
                <w:rtl w:val="true"/>
              </w:rPr>
              <w:t>القاعدة السادسة والأربعون</w:t>
            </w:r>
            <w:r>
              <w:rPr>
                <w:rStyle w:val="IndexLink"/>
                <w:rtl w:val="true"/>
              </w:rPr>
              <w:t xml:space="preserve">: </w:t>
            </w:r>
            <w:r>
              <w:rPr>
                <w:rStyle w:val="IndexLink"/>
                <w:rtl w:val="true"/>
              </w:rPr>
              <w:t>الأصل شمول الربا لجميع عقود المعاوضة</w:t>
            </w:r>
            <w:r>
              <w:rPr>
                <w:rStyle w:val="IndexLink"/>
                <w:rtl w:val="true"/>
              </w:rPr>
              <w:tab/>
            </w:r>
            <w:r>
              <w:rPr>
                <w:rStyle w:val="IndexLink"/>
              </w:rPr>
              <w:t>222</w:t>
            </w:r>
          </w:hyperlink>
        </w:p>
        <w:p>
          <w:pPr>
            <w:pStyle w:val="Contents5"/>
            <w:tabs>
              <w:tab w:val="clear" w:pos="7892"/>
              <w:tab w:val="right" w:pos="9026" w:leader="dot"/>
            </w:tabs>
            <w:rPr/>
          </w:pPr>
          <w:hyperlink w:anchor="__RefHeading___Toc13372288_1280447820">
            <w:r>
              <w:rPr>
                <w:webHidden/>
                <w:rStyle w:val="IndexLink"/>
                <w:rtl w:val="true"/>
              </w:rPr>
              <w:t>القاعدة السابعة والأربعون</w:t>
            </w:r>
            <w:r>
              <w:rPr>
                <w:rStyle w:val="IndexLink"/>
                <w:rtl w:val="true"/>
              </w:rPr>
              <w:t xml:space="preserve">: </w:t>
            </w:r>
            <w:r>
              <w:rPr>
                <w:rStyle w:val="IndexLink"/>
                <w:rtl w:val="true"/>
              </w:rPr>
              <w:t>الأصل في العقود عدم الإلتفات بالشك اللاحق لها</w:t>
            </w:r>
            <w:r>
              <w:rPr>
                <w:rStyle w:val="IndexLink"/>
                <w:rtl w:val="true"/>
              </w:rPr>
              <w:tab/>
            </w:r>
            <w:r>
              <w:rPr>
                <w:rStyle w:val="IndexLink"/>
              </w:rPr>
              <w:t>223</w:t>
            </w:r>
          </w:hyperlink>
        </w:p>
        <w:p>
          <w:pPr>
            <w:pStyle w:val="Contents5"/>
            <w:tabs>
              <w:tab w:val="clear" w:pos="7892"/>
              <w:tab w:val="right" w:pos="9026" w:leader="dot"/>
            </w:tabs>
            <w:rPr/>
          </w:pPr>
          <w:hyperlink w:anchor="__RefHeading___Toc13372290_1280447820">
            <w:r>
              <w:rPr>
                <w:webHidden/>
                <w:rStyle w:val="IndexLink"/>
                <w:rtl w:val="true"/>
              </w:rPr>
              <w:t>القاعدة الثامنة والأربعون</w:t>
            </w:r>
            <w:r>
              <w:rPr>
                <w:rStyle w:val="IndexLink"/>
                <w:rtl w:val="true"/>
              </w:rPr>
              <w:t xml:space="preserve">: </w:t>
            </w:r>
            <w:r>
              <w:rPr>
                <w:rStyle w:val="IndexLink"/>
                <w:rtl w:val="true"/>
              </w:rPr>
              <w:t>الأصل في كثير الشكّ عدم الالتفات إلى شكه في جميع أنواع العقود</w:t>
            </w:r>
            <w:r>
              <w:rPr>
                <w:rStyle w:val="IndexLink"/>
                <w:rtl w:val="true"/>
              </w:rPr>
              <w:tab/>
            </w:r>
            <w:r>
              <w:rPr>
                <w:rStyle w:val="IndexLink"/>
              </w:rPr>
              <w:t>223</w:t>
            </w:r>
          </w:hyperlink>
        </w:p>
        <w:p>
          <w:pPr>
            <w:pStyle w:val="Contents5"/>
            <w:tabs>
              <w:tab w:val="clear" w:pos="7892"/>
              <w:tab w:val="right" w:pos="9026" w:leader="dot"/>
            </w:tabs>
            <w:rPr/>
          </w:pPr>
          <w:hyperlink w:anchor="__RefHeading___Toc13372292_1280447820">
            <w:r>
              <w:rPr>
                <w:webHidden/>
                <w:rStyle w:val="IndexLink"/>
                <w:rtl w:val="true"/>
              </w:rPr>
              <w:t>القاعدة التاسعة والأربعون</w:t>
            </w:r>
            <w:r>
              <w:rPr>
                <w:rStyle w:val="IndexLink"/>
                <w:rtl w:val="true"/>
              </w:rPr>
              <w:t xml:space="preserve">: </w:t>
            </w:r>
            <w:r>
              <w:rPr>
                <w:rStyle w:val="IndexLink"/>
                <w:rtl w:val="true"/>
              </w:rPr>
              <w:t>الأصل في مَنْ ادّعى مالاً تصديق قوله</w:t>
            </w:r>
            <w:r>
              <w:rPr>
                <w:rStyle w:val="IndexLink"/>
                <w:rtl w:val="true"/>
              </w:rPr>
              <w:tab/>
            </w:r>
            <w:r>
              <w:rPr>
                <w:rStyle w:val="IndexLink"/>
              </w:rPr>
              <w:t>224</w:t>
            </w:r>
          </w:hyperlink>
        </w:p>
        <w:p>
          <w:pPr>
            <w:pStyle w:val="Contents5"/>
            <w:tabs>
              <w:tab w:val="clear" w:pos="7892"/>
              <w:tab w:val="right" w:pos="9026" w:leader="dot"/>
            </w:tabs>
            <w:rPr/>
          </w:pPr>
          <w:hyperlink w:anchor="__RefHeading___Toc13372294_1280447820">
            <w:r>
              <w:rPr>
                <w:webHidden/>
                <w:rStyle w:val="IndexLink"/>
                <w:rtl w:val="true"/>
              </w:rPr>
              <w:t>القاعدة الخمسون</w:t>
            </w:r>
            <w:r>
              <w:rPr>
                <w:rStyle w:val="IndexLink"/>
                <w:rtl w:val="true"/>
              </w:rPr>
              <w:t xml:space="preserve">: </w:t>
            </w:r>
            <w:r>
              <w:rPr>
                <w:rStyle w:val="IndexLink"/>
                <w:rtl w:val="true"/>
              </w:rPr>
              <w:t>جواز اختراع العقود لِمَنْ بَعُدَ عن ديار الشرع</w:t>
            </w:r>
            <w:r>
              <w:rPr>
                <w:rStyle w:val="IndexLink"/>
                <w:rtl w:val="true"/>
              </w:rPr>
              <w:tab/>
            </w:r>
            <w:r>
              <w:rPr>
                <w:rStyle w:val="IndexLink"/>
              </w:rPr>
              <w:t>224</w:t>
            </w:r>
          </w:hyperlink>
        </w:p>
        <w:p>
          <w:pPr>
            <w:pStyle w:val="Contents5"/>
            <w:tabs>
              <w:tab w:val="clear" w:pos="7892"/>
              <w:tab w:val="right" w:pos="9026" w:leader="dot"/>
            </w:tabs>
            <w:rPr/>
          </w:pPr>
          <w:hyperlink w:anchor="__RefHeading___Toc13372296_1280447820">
            <w:r>
              <w:rPr>
                <w:webHidden/>
                <w:rStyle w:val="IndexLink"/>
                <w:rtl w:val="true"/>
              </w:rPr>
              <w:t>القاعدة الإحدى والخمسون</w:t>
            </w:r>
            <w:r>
              <w:rPr>
                <w:rStyle w:val="IndexLink"/>
                <w:rtl w:val="true"/>
              </w:rPr>
              <w:t xml:space="preserve">: </w:t>
            </w:r>
            <w:r>
              <w:rPr>
                <w:rStyle w:val="IndexLink"/>
                <w:rtl w:val="true"/>
              </w:rPr>
              <w:t>الأصل في العقود التطابق صورةً</w:t>
            </w:r>
            <w:r>
              <w:rPr>
                <w:rStyle w:val="IndexLink"/>
                <w:rtl w:val="true"/>
              </w:rPr>
              <w:tab/>
            </w:r>
            <w:r>
              <w:rPr>
                <w:rStyle w:val="IndexLink"/>
              </w:rPr>
              <w:t>224</w:t>
            </w:r>
          </w:hyperlink>
        </w:p>
        <w:p>
          <w:pPr>
            <w:pStyle w:val="Contents5"/>
            <w:tabs>
              <w:tab w:val="clear" w:pos="7892"/>
              <w:tab w:val="right" w:pos="9026" w:leader="dot"/>
            </w:tabs>
            <w:rPr/>
          </w:pPr>
          <w:hyperlink w:anchor="__RefHeading___Toc13372298_1280447820">
            <w:r>
              <w:rPr>
                <w:webHidden/>
                <w:rStyle w:val="IndexLink"/>
                <w:rtl w:val="true"/>
              </w:rPr>
              <w:t>القاعدة الثانية والخمسون</w:t>
            </w:r>
            <w:r>
              <w:rPr>
                <w:rStyle w:val="IndexLink"/>
                <w:rtl w:val="true"/>
              </w:rPr>
              <w:t xml:space="preserve">: </w:t>
            </w:r>
            <w:r>
              <w:rPr>
                <w:rStyle w:val="IndexLink"/>
                <w:rtl w:val="true"/>
              </w:rPr>
              <w:t>للحاكم الشرعي التصرّف بمال الفقراء مع الغبطة</w:t>
            </w:r>
            <w:r>
              <w:rPr>
                <w:rStyle w:val="IndexLink"/>
                <w:rtl w:val="true"/>
              </w:rPr>
              <w:tab/>
            </w:r>
            <w:r>
              <w:rPr>
                <w:rStyle w:val="IndexLink"/>
              </w:rPr>
              <w:t>225</w:t>
            </w:r>
          </w:hyperlink>
        </w:p>
        <w:p>
          <w:pPr>
            <w:pStyle w:val="Contents5"/>
            <w:tabs>
              <w:tab w:val="clear" w:pos="7892"/>
              <w:tab w:val="right" w:pos="9026" w:leader="dot"/>
            </w:tabs>
            <w:rPr/>
          </w:pPr>
          <w:hyperlink w:anchor="__RefHeading___Toc13372300_1280447820">
            <w:r>
              <w:rPr>
                <w:webHidden/>
                <w:rStyle w:val="IndexLink"/>
                <w:rtl w:val="true"/>
              </w:rPr>
              <w:t>القاعدة الثالثة والخمسون</w:t>
            </w:r>
            <w:r>
              <w:rPr>
                <w:rStyle w:val="IndexLink"/>
                <w:rtl w:val="true"/>
              </w:rPr>
              <w:t xml:space="preserve">: </w:t>
            </w:r>
            <w:r>
              <w:rPr>
                <w:rStyle w:val="IndexLink"/>
                <w:rtl w:val="true"/>
              </w:rPr>
              <w:t>الأصل في ألفاظ العقود أن يكون التلفظ بها مملوكاً للافظ بها</w:t>
            </w:r>
            <w:r>
              <w:rPr>
                <w:rStyle w:val="IndexLink"/>
                <w:rtl w:val="true"/>
              </w:rPr>
              <w:tab/>
            </w:r>
            <w:r>
              <w:rPr>
                <w:rStyle w:val="IndexLink"/>
              </w:rPr>
              <w:t>225</w:t>
            </w:r>
          </w:hyperlink>
        </w:p>
        <w:p>
          <w:pPr>
            <w:pStyle w:val="Contents4"/>
            <w:tabs>
              <w:tab w:val="clear" w:pos="8176"/>
              <w:tab w:val="right" w:pos="9026" w:leader="dot"/>
            </w:tabs>
            <w:rPr/>
          </w:pPr>
          <w:hyperlink w:anchor="__RefHeading___Toc13372302_1280447820">
            <w:r>
              <w:rPr>
                <w:webHidden/>
                <w:rStyle w:val="IndexLink"/>
                <w:rtl w:val="true"/>
              </w:rPr>
              <w:t>المطلب الثالث في الآداب</w:t>
            </w:r>
            <w:r>
              <w:rPr>
                <w:rStyle w:val="IndexLink"/>
                <w:rtl w:val="true"/>
              </w:rPr>
              <w:tab/>
            </w:r>
            <w:r>
              <w:rPr>
                <w:rStyle w:val="IndexLink"/>
              </w:rPr>
              <w:t>227</w:t>
            </w:r>
          </w:hyperlink>
        </w:p>
        <w:p>
          <w:pPr>
            <w:pStyle w:val="Contents5"/>
            <w:tabs>
              <w:tab w:val="clear" w:pos="7892"/>
              <w:tab w:val="right" w:pos="9026" w:leader="dot"/>
            </w:tabs>
            <w:rPr/>
          </w:pPr>
          <w:hyperlink w:anchor="__RefHeading___Toc13372304_1280447820">
            <w:r>
              <w:rPr>
                <w:webHidden/>
                <w:rStyle w:val="IndexLink"/>
                <w:rtl w:val="true"/>
              </w:rPr>
              <w:t>وفيه أُمور</w:t>
            </w:r>
            <w:r>
              <w:rPr>
                <w:rStyle w:val="IndexLink"/>
                <w:rtl w:val="true"/>
              </w:rPr>
              <w:t>:</w:t>
              <w:tab/>
            </w:r>
            <w:r>
              <w:rPr>
                <w:rStyle w:val="IndexLink"/>
              </w:rPr>
              <w:t>227</w:t>
            </w:r>
          </w:hyperlink>
        </w:p>
        <w:p>
          <w:pPr>
            <w:pStyle w:val="Contents6"/>
            <w:tabs>
              <w:tab w:val="clear" w:pos="7609"/>
              <w:tab w:val="right" w:pos="9026" w:leader="dot"/>
            </w:tabs>
            <w:rPr/>
          </w:pPr>
          <w:hyperlink w:anchor="__RefHeading___Toc13372306_1280447820">
            <w:r>
              <w:rPr>
                <w:webHidden/>
                <w:rStyle w:val="IndexLink"/>
                <w:rtl w:val="true"/>
              </w:rPr>
              <w:t>الأمر الأوّل</w:t>
            </w:r>
            <w:r>
              <w:rPr>
                <w:rStyle w:val="IndexLink"/>
                <w:rtl w:val="true"/>
              </w:rPr>
              <w:t xml:space="preserve">: </w:t>
            </w:r>
            <w:r>
              <w:rPr>
                <w:rStyle w:val="IndexLink"/>
                <w:rtl w:val="true"/>
              </w:rPr>
              <w:t>في مندوبات التجارة</w:t>
            </w:r>
            <w:r>
              <w:rPr>
                <w:rStyle w:val="IndexLink"/>
                <w:rtl w:val="true"/>
              </w:rPr>
              <w:tab/>
            </w:r>
            <w:r>
              <w:rPr>
                <w:rStyle w:val="IndexLink"/>
              </w:rPr>
              <w:t>227</w:t>
            </w:r>
          </w:hyperlink>
        </w:p>
        <w:p>
          <w:pPr>
            <w:pStyle w:val="Contents5"/>
            <w:tabs>
              <w:tab w:val="clear" w:pos="7892"/>
              <w:tab w:val="right" w:pos="9026" w:leader="dot"/>
            </w:tabs>
            <w:rPr/>
          </w:pPr>
          <w:hyperlink w:anchor="__RefHeading___Toc13372308_1280447820">
            <w:r>
              <w:rPr>
                <w:webHidden/>
                <w:rStyle w:val="IndexLink"/>
                <w:rtl w:val="true"/>
              </w:rPr>
              <w:t xml:space="preserve">الأمر الثاني </w:t>
            </w:r>
            <w:r>
              <w:rPr>
                <w:rStyle w:val="IndexLink"/>
                <w:rtl w:val="true"/>
              </w:rPr>
              <w:t xml:space="preserve">: </w:t>
            </w:r>
            <w:r>
              <w:rPr>
                <w:rStyle w:val="IndexLink"/>
                <w:rtl w:val="true"/>
              </w:rPr>
              <w:t>في بيان مكروهات التجارة</w:t>
            </w:r>
            <w:r>
              <w:rPr>
                <w:rStyle w:val="IndexLink"/>
                <w:rtl w:val="true"/>
              </w:rPr>
              <w:tab/>
            </w:r>
            <w:r>
              <w:rPr>
                <w:rStyle w:val="IndexLink"/>
              </w:rPr>
              <w:t>229</w:t>
            </w:r>
          </w:hyperlink>
        </w:p>
        <w:p>
          <w:pPr>
            <w:pStyle w:val="Contents5"/>
            <w:tabs>
              <w:tab w:val="clear" w:pos="7892"/>
              <w:tab w:val="right" w:pos="9026" w:leader="dot"/>
            </w:tabs>
            <w:rPr/>
          </w:pPr>
          <w:hyperlink w:anchor="__RefHeading___Toc13372310_1280447820">
            <w:r>
              <w:rPr>
                <w:webHidden/>
                <w:rStyle w:val="IndexLink"/>
                <w:rtl w:val="true"/>
              </w:rPr>
              <w:t>الأمر الثالث</w:t>
            </w:r>
            <w:r>
              <w:rPr>
                <w:rStyle w:val="IndexLink"/>
                <w:rtl w:val="true"/>
              </w:rPr>
              <w:t xml:space="preserve">: </w:t>
            </w:r>
            <w:r>
              <w:rPr>
                <w:rStyle w:val="IndexLink"/>
                <w:rtl w:val="true"/>
              </w:rPr>
              <w:t>في الاحتكار وتلقي الركبان</w:t>
            </w:r>
            <w:r>
              <w:rPr>
                <w:rStyle w:val="IndexLink"/>
                <w:rtl w:val="true"/>
              </w:rPr>
              <w:tab/>
            </w:r>
            <w:r>
              <w:rPr>
                <w:rStyle w:val="IndexLink"/>
              </w:rPr>
              <w:t>232</w:t>
            </w:r>
          </w:hyperlink>
        </w:p>
        <w:p>
          <w:pPr>
            <w:pStyle w:val="Contents2"/>
            <w:tabs>
              <w:tab w:val="clear" w:pos="8743"/>
              <w:tab w:val="right" w:pos="9026" w:leader="dot"/>
            </w:tabs>
            <w:rPr/>
          </w:pPr>
          <w:hyperlink w:anchor="__RefHeading___Toc13372312_1280447820">
            <w:r>
              <w:rPr>
                <w:webHidden/>
                <w:rStyle w:val="IndexLink"/>
                <w:rtl w:val="true"/>
              </w:rPr>
              <w:t>كتاب البيع</w:t>
            </w:r>
            <w:r>
              <w:rPr>
                <w:rStyle w:val="IndexLink"/>
                <w:rtl w:val="true"/>
              </w:rPr>
              <w:tab/>
            </w:r>
            <w:r>
              <w:rPr>
                <w:rStyle w:val="IndexLink"/>
              </w:rPr>
              <w:t>239</w:t>
            </w:r>
          </w:hyperlink>
        </w:p>
        <w:p>
          <w:pPr>
            <w:pStyle w:val="Contents3"/>
            <w:tabs>
              <w:tab w:val="clear" w:pos="8459"/>
              <w:tab w:val="right" w:pos="9026" w:leader="dot"/>
            </w:tabs>
            <w:rPr/>
          </w:pPr>
          <w:hyperlink w:anchor="__RefHeading___Toc13372314_1280447820">
            <w:r>
              <w:rPr>
                <w:webHidden/>
                <w:rStyle w:val="IndexLink"/>
                <w:rtl w:val="true"/>
              </w:rPr>
              <w:t>إشارة</w:t>
            </w:r>
            <w:r>
              <w:rPr>
                <w:rStyle w:val="IndexLink"/>
                <w:rtl w:val="true"/>
              </w:rPr>
              <w:t>:</w:t>
              <w:tab/>
            </w:r>
            <w:r>
              <w:rPr>
                <w:rStyle w:val="IndexLink"/>
              </w:rPr>
              <w:t>239</w:t>
            </w:r>
          </w:hyperlink>
        </w:p>
        <w:p>
          <w:pPr>
            <w:pStyle w:val="Contents3"/>
            <w:tabs>
              <w:tab w:val="clear" w:pos="8459"/>
              <w:tab w:val="right" w:pos="9026" w:leader="dot"/>
            </w:tabs>
            <w:rPr/>
          </w:pPr>
          <w:hyperlink w:anchor="__RefHeading___Toc13372316_1280447820">
            <w:r>
              <w:rPr>
                <w:webHidden/>
                <w:rStyle w:val="IndexLink"/>
                <w:rtl w:val="true"/>
              </w:rPr>
              <w:t>[</w:t>
            </w:r>
            <w:r>
              <w:rPr>
                <w:rStyle w:val="IndexLink"/>
                <w:rtl w:val="true"/>
              </w:rPr>
              <w:t>المطلب</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الصيغة وما يتعلق بها</w:t>
            </w:r>
            <w:r>
              <w:rPr>
                <w:rStyle w:val="IndexLink"/>
                <w:rtl w:val="true"/>
              </w:rPr>
              <w:tab/>
            </w:r>
            <w:r>
              <w:rPr>
                <w:rStyle w:val="IndexLink"/>
              </w:rPr>
              <w:t>239</w:t>
            </w:r>
          </w:hyperlink>
        </w:p>
        <w:p>
          <w:pPr>
            <w:pStyle w:val="Contents4"/>
            <w:tabs>
              <w:tab w:val="clear" w:pos="8176"/>
              <w:tab w:val="right" w:pos="9026" w:leader="dot"/>
            </w:tabs>
            <w:rPr/>
          </w:pPr>
          <w:hyperlink w:anchor="__RefHeading___Toc13372318_1280447820">
            <w:r>
              <w:rPr>
                <w:webHidden/>
                <w:rStyle w:val="IndexLink"/>
                <w:rtl w:val="true"/>
              </w:rPr>
              <w:t>وفيه أمور</w:t>
            </w:r>
            <w:r>
              <w:rPr>
                <w:rStyle w:val="IndexLink"/>
                <w:rtl w:val="true"/>
              </w:rPr>
              <w:t>:</w:t>
              <w:tab/>
            </w:r>
            <w:r>
              <w:rPr>
                <w:rStyle w:val="IndexLink"/>
              </w:rPr>
              <w:t>239</w:t>
            </w:r>
          </w:hyperlink>
        </w:p>
        <w:p>
          <w:pPr>
            <w:pStyle w:val="Contents5"/>
            <w:tabs>
              <w:tab w:val="clear" w:pos="7892"/>
              <w:tab w:val="right" w:pos="9026" w:leader="dot"/>
            </w:tabs>
            <w:rPr/>
          </w:pPr>
          <w:hyperlink w:anchor="__RefHeading___Toc13372320_1280447820">
            <w:r>
              <w:rPr>
                <w:webHidden/>
                <w:rStyle w:val="IndexLink"/>
                <w:rtl w:val="true"/>
              </w:rPr>
              <w:t>أحدها</w:t>
            </w:r>
            <w:r>
              <w:rPr>
                <w:rStyle w:val="IndexLink"/>
                <w:rtl w:val="true"/>
              </w:rPr>
              <w:t xml:space="preserve">: </w:t>
            </w:r>
            <w:r>
              <w:rPr>
                <w:rStyle w:val="IndexLink"/>
                <w:rtl w:val="true"/>
              </w:rPr>
              <w:t>الأصل في كلّ صيغة من صيغ العقود أخذها من مبدئها المسمّى به</w:t>
            </w:r>
            <w:r>
              <w:rPr>
                <w:rStyle w:val="IndexLink"/>
                <w:rtl w:val="true"/>
              </w:rPr>
              <w:tab/>
            </w:r>
            <w:r>
              <w:rPr>
                <w:rStyle w:val="IndexLink"/>
              </w:rPr>
              <w:t>239</w:t>
            </w:r>
          </w:hyperlink>
        </w:p>
        <w:p>
          <w:pPr>
            <w:pStyle w:val="Contents5"/>
            <w:tabs>
              <w:tab w:val="clear" w:pos="7892"/>
              <w:tab w:val="right" w:pos="9026" w:leader="dot"/>
            </w:tabs>
            <w:rPr/>
          </w:pPr>
          <w:hyperlink w:anchor="__RefHeading___Toc13372322_1280447820">
            <w:r>
              <w:rPr>
                <w:webHidden/>
                <w:rStyle w:val="IndexLink"/>
                <w:rtl w:val="true"/>
              </w:rPr>
              <w:t>ثانيها</w:t>
            </w:r>
            <w:r>
              <w:rPr>
                <w:rStyle w:val="IndexLink"/>
                <w:rtl w:val="true"/>
              </w:rPr>
              <w:t xml:space="preserve">: </w:t>
            </w:r>
            <w:r>
              <w:rPr>
                <w:rStyle w:val="IndexLink"/>
                <w:rtl w:val="true"/>
              </w:rPr>
              <w:t xml:space="preserve">هل لفظ </w:t>
            </w:r>
            <w:r>
              <w:rPr>
                <w:rStyle w:val="IndexLink"/>
                <w:rtl w:val="true"/>
              </w:rPr>
              <w:t>«</w:t>
            </w:r>
            <w:r>
              <w:rPr>
                <w:rStyle w:val="IndexLink"/>
                <w:rtl w:val="true"/>
              </w:rPr>
              <w:t>البيع</w:t>
            </w:r>
            <w:r>
              <w:rPr>
                <w:rStyle w:val="IndexLink"/>
                <w:rtl w:val="true"/>
              </w:rPr>
              <w:t xml:space="preserve">» </w:t>
            </w:r>
            <w:r>
              <w:rPr>
                <w:rStyle w:val="IndexLink"/>
                <w:rtl w:val="true"/>
              </w:rPr>
              <w:t>يقال على نقل الأعيان فقط أم لا ؟</w:t>
            </w:r>
            <w:r>
              <w:rPr>
                <w:rStyle w:val="IndexLink"/>
                <w:rtl w:val="true"/>
              </w:rPr>
              <w:tab/>
            </w:r>
            <w:r>
              <w:rPr>
                <w:rStyle w:val="IndexLink"/>
              </w:rPr>
              <w:t>240</w:t>
            </w:r>
          </w:hyperlink>
        </w:p>
        <w:p>
          <w:pPr>
            <w:pStyle w:val="Contents5"/>
            <w:tabs>
              <w:tab w:val="clear" w:pos="7892"/>
              <w:tab w:val="right" w:pos="9026" w:leader="dot"/>
            </w:tabs>
            <w:rPr/>
          </w:pPr>
          <w:hyperlink w:anchor="__RefHeading___Toc13372324_1280447820">
            <w:r>
              <w:rPr>
                <w:webHidden/>
                <w:rStyle w:val="IndexLink"/>
                <w:rtl w:val="true"/>
              </w:rPr>
              <w:t>ثالثها</w:t>
            </w:r>
            <w:r>
              <w:rPr>
                <w:rStyle w:val="IndexLink"/>
                <w:rtl w:val="true"/>
              </w:rPr>
              <w:t xml:space="preserve">: </w:t>
            </w:r>
            <w:r>
              <w:rPr>
                <w:rStyle w:val="IndexLink"/>
                <w:rtl w:val="true"/>
              </w:rPr>
              <w:t>في أن اختلاف الفقهاء في الحدود ليس للاختلاف في المحدود</w:t>
            </w:r>
            <w:r>
              <w:rPr>
                <w:rStyle w:val="IndexLink"/>
                <w:rtl w:val="true"/>
              </w:rPr>
              <w:tab/>
            </w:r>
            <w:r>
              <w:rPr>
                <w:rStyle w:val="IndexLink"/>
              </w:rPr>
              <w:t>240</w:t>
            </w:r>
          </w:hyperlink>
        </w:p>
        <w:p>
          <w:pPr>
            <w:pStyle w:val="Contents5"/>
            <w:tabs>
              <w:tab w:val="clear" w:pos="7892"/>
              <w:tab w:val="right" w:pos="9026" w:leader="dot"/>
            </w:tabs>
            <w:rPr/>
          </w:pPr>
          <w:hyperlink w:anchor="__RefHeading___Toc13372326_1280447820">
            <w:r>
              <w:rPr>
                <w:webHidden/>
                <w:rStyle w:val="IndexLink"/>
                <w:rtl w:val="true"/>
              </w:rPr>
              <w:t>رابعها</w:t>
            </w:r>
            <w:r>
              <w:rPr>
                <w:rStyle w:val="IndexLink"/>
                <w:rtl w:val="true"/>
              </w:rPr>
              <w:t xml:space="preserve">: </w:t>
            </w:r>
            <w:r>
              <w:rPr>
                <w:rStyle w:val="IndexLink"/>
                <w:rtl w:val="true"/>
              </w:rPr>
              <w:t>في أنّه قد يكون للبيع صيغة خاصة ولا يكفي كلّ صيغة</w:t>
            </w:r>
            <w:r>
              <w:rPr>
                <w:rStyle w:val="IndexLink"/>
                <w:rtl w:val="true"/>
              </w:rPr>
              <w:tab/>
            </w:r>
            <w:r>
              <w:rPr>
                <w:rStyle w:val="IndexLink"/>
              </w:rPr>
              <w:t>241</w:t>
            </w:r>
          </w:hyperlink>
        </w:p>
        <w:p>
          <w:pPr>
            <w:pStyle w:val="Contents5"/>
            <w:tabs>
              <w:tab w:val="clear" w:pos="7892"/>
              <w:tab w:val="right" w:pos="9026" w:leader="dot"/>
            </w:tabs>
            <w:rPr/>
          </w:pPr>
          <w:hyperlink w:anchor="__RefHeading___Toc13372328_1280447820">
            <w:r>
              <w:rPr>
                <w:webHidden/>
                <w:rStyle w:val="IndexLink"/>
                <w:rtl w:val="true"/>
              </w:rPr>
              <w:t>خامسها</w:t>
            </w:r>
            <w:r>
              <w:rPr>
                <w:rStyle w:val="IndexLink"/>
                <w:rtl w:val="true"/>
              </w:rPr>
              <w:t xml:space="preserve">: </w:t>
            </w:r>
            <w:r>
              <w:rPr>
                <w:rStyle w:val="IndexLink"/>
                <w:rtl w:val="true"/>
              </w:rPr>
              <w:t>في أنّه قد يقع البيع بالفعل لا بالقول</w:t>
            </w:r>
            <w:r>
              <w:rPr>
                <w:rStyle w:val="IndexLink"/>
                <w:rtl w:val="true"/>
              </w:rPr>
              <w:tab/>
            </w:r>
            <w:r>
              <w:rPr>
                <w:rStyle w:val="IndexLink"/>
              </w:rPr>
              <w:t>242</w:t>
            </w:r>
          </w:hyperlink>
        </w:p>
        <w:p>
          <w:pPr>
            <w:pStyle w:val="Contents5"/>
            <w:tabs>
              <w:tab w:val="clear" w:pos="7892"/>
              <w:tab w:val="right" w:pos="9026" w:leader="dot"/>
            </w:tabs>
            <w:rPr/>
          </w:pPr>
          <w:hyperlink w:anchor="__RefHeading___Toc13372330_1280447820">
            <w:r>
              <w:rPr>
                <w:webHidden/>
                <w:rStyle w:val="IndexLink"/>
                <w:rtl w:val="true"/>
              </w:rPr>
              <w:t>سادسها</w:t>
            </w:r>
            <w:r>
              <w:rPr>
                <w:rStyle w:val="IndexLink"/>
                <w:rtl w:val="true"/>
              </w:rPr>
              <w:t xml:space="preserve">: </w:t>
            </w:r>
            <w:r>
              <w:rPr>
                <w:rStyle w:val="IndexLink"/>
                <w:rtl w:val="true"/>
              </w:rPr>
              <w:t>في أنّ إفادة المعاطاة للنقل وأنها بيع هو الأظهر من الدليل</w:t>
            </w:r>
            <w:r>
              <w:rPr>
                <w:rStyle w:val="IndexLink"/>
                <w:rtl w:val="true"/>
              </w:rPr>
              <w:tab/>
            </w:r>
            <w:r>
              <w:rPr>
                <w:rStyle w:val="IndexLink"/>
              </w:rPr>
              <w:t>243</w:t>
            </w:r>
          </w:hyperlink>
        </w:p>
        <w:p>
          <w:pPr>
            <w:pStyle w:val="Contents5"/>
            <w:tabs>
              <w:tab w:val="clear" w:pos="7892"/>
              <w:tab w:val="right" w:pos="9026" w:leader="dot"/>
            </w:tabs>
            <w:rPr/>
          </w:pPr>
          <w:hyperlink w:anchor="__RefHeading___Toc13372332_1280447820">
            <w:r>
              <w:rPr>
                <w:webHidden/>
                <w:rStyle w:val="IndexLink"/>
                <w:rtl w:val="true"/>
              </w:rPr>
              <w:t>سابعها</w:t>
            </w:r>
            <w:r>
              <w:rPr>
                <w:rStyle w:val="IndexLink"/>
                <w:rtl w:val="true"/>
              </w:rPr>
              <w:t xml:space="preserve">: </w:t>
            </w:r>
            <w:r>
              <w:rPr>
                <w:rStyle w:val="IndexLink"/>
                <w:rtl w:val="true"/>
              </w:rPr>
              <w:t>فساد العقد فيما لو حصل النقل بغير الصيغة الخاصة أو المعاطاة أو غيرهما مع عدم إمكانهما</w:t>
            </w:r>
            <w:r>
              <w:rPr>
                <w:rStyle w:val="IndexLink"/>
                <w:rtl w:val="true"/>
              </w:rPr>
              <w:tab/>
            </w:r>
            <w:r>
              <w:rPr>
                <w:rStyle w:val="IndexLink"/>
              </w:rPr>
              <w:t>247</w:t>
            </w:r>
          </w:hyperlink>
        </w:p>
        <w:p>
          <w:pPr>
            <w:pStyle w:val="Contents3"/>
            <w:tabs>
              <w:tab w:val="clear" w:pos="8459"/>
              <w:tab w:val="right" w:pos="9026" w:leader="dot"/>
            </w:tabs>
            <w:rPr/>
          </w:pPr>
          <w:hyperlink w:anchor="__RefHeading___Toc13372334_1280447820">
            <w:r>
              <w:rPr>
                <w:webHidden/>
                <w:rStyle w:val="IndexLink"/>
                <w:rtl w:val="true"/>
              </w:rPr>
              <w:t xml:space="preserve">المطلب الثاني </w:t>
            </w:r>
            <w:r>
              <w:rPr>
                <w:rStyle w:val="IndexLink"/>
                <w:rtl w:val="true"/>
              </w:rPr>
              <w:t xml:space="preserve">: </w:t>
            </w:r>
            <w:r>
              <w:rPr>
                <w:rStyle w:val="IndexLink"/>
                <w:rtl w:val="true"/>
              </w:rPr>
              <w:t>في المتعاقدين</w:t>
            </w:r>
            <w:r>
              <w:rPr>
                <w:rStyle w:val="IndexLink"/>
                <w:rtl w:val="true"/>
              </w:rPr>
              <w:tab/>
            </w:r>
            <w:r>
              <w:rPr>
                <w:rStyle w:val="IndexLink"/>
              </w:rPr>
              <w:t>251</w:t>
            </w:r>
          </w:hyperlink>
        </w:p>
        <w:p>
          <w:pPr>
            <w:pStyle w:val="Contents4"/>
            <w:tabs>
              <w:tab w:val="clear" w:pos="8176"/>
              <w:tab w:val="right" w:pos="9026" w:leader="dot"/>
            </w:tabs>
            <w:rPr/>
          </w:pPr>
          <w:hyperlink w:anchor="__RefHeading___Toc13372336_1280447820">
            <w:r>
              <w:rPr>
                <w:webHidden/>
                <w:rStyle w:val="IndexLink"/>
                <w:rtl w:val="true"/>
              </w:rPr>
              <w:t>وفيه أُمور</w:t>
            </w:r>
            <w:r>
              <w:rPr>
                <w:rStyle w:val="IndexLink"/>
                <w:rtl w:val="true"/>
              </w:rPr>
              <w:t>:</w:t>
              <w:tab/>
            </w:r>
            <w:r>
              <w:rPr>
                <w:rStyle w:val="IndexLink"/>
              </w:rPr>
              <w:t>251</w:t>
            </w:r>
          </w:hyperlink>
        </w:p>
        <w:p>
          <w:pPr>
            <w:pStyle w:val="Contents5"/>
            <w:tabs>
              <w:tab w:val="clear" w:pos="7892"/>
              <w:tab w:val="right" w:pos="9026" w:leader="dot"/>
            </w:tabs>
            <w:rPr/>
          </w:pPr>
          <w:hyperlink w:anchor="__RefHeading___Toc13372338_1280447820">
            <w:r>
              <w:rPr>
                <w:webHidden/>
                <w:rStyle w:val="IndexLink"/>
                <w:rtl w:val="true"/>
              </w:rPr>
              <w:t>أحدها</w:t>
            </w:r>
            <w:r>
              <w:rPr>
                <w:rStyle w:val="IndexLink"/>
                <w:rtl w:val="true"/>
              </w:rPr>
              <w:t xml:space="preserve">: </w:t>
            </w:r>
            <w:r>
              <w:rPr>
                <w:rStyle w:val="IndexLink"/>
                <w:rtl w:val="true"/>
              </w:rPr>
              <w:t>اشتراط التغاير ولو حكماً بين المتعاقدين</w:t>
            </w:r>
            <w:r>
              <w:rPr>
                <w:rStyle w:val="IndexLink"/>
                <w:rtl w:val="true"/>
              </w:rPr>
              <w:tab/>
            </w:r>
            <w:r>
              <w:rPr>
                <w:rStyle w:val="IndexLink"/>
              </w:rPr>
              <w:t>251</w:t>
            </w:r>
          </w:hyperlink>
        </w:p>
        <w:p>
          <w:pPr>
            <w:pStyle w:val="Contents5"/>
            <w:tabs>
              <w:tab w:val="clear" w:pos="7892"/>
              <w:tab w:val="right" w:pos="9026" w:leader="dot"/>
            </w:tabs>
            <w:rPr/>
          </w:pPr>
          <w:hyperlink w:anchor="__RefHeading___Toc13372340_1280447820">
            <w:r>
              <w:rPr>
                <w:webHidden/>
                <w:rStyle w:val="IndexLink"/>
                <w:rtl w:val="true"/>
              </w:rPr>
              <w:t>ثانيها</w:t>
            </w:r>
            <w:r>
              <w:rPr>
                <w:rStyle w:val="IndexLink"/>
                <w:rtl w:val="true"/>
              </w:rPr>
              <w:t xml:space="preserve">: </w:t>
            </w:r>
            <w:r>
              <w:rPr>
                <w:rStyle w:val="IndexLink"/>
                <w:rtl w:val="true"/>
              </w:rPr>
              <w:t>عدم اشتراط الإسلام ولا الإيمان في المتعاقدين</w:t>
            </w:r>
            <w:r>
              <w:rPr>
                <w:rStyle w:val="IndexLink"/>
                <w:rtl w:val="true"/>
              </w:rPr>
              <w:tab/>
            </w:r>
            <w:r>
              <w:rPr>
                <w:rStyle w:val="IndexLink"/>
              </w:rPr>
              <w:t>254</w:t>
            </w:r>
          </w:hyperlink>
        </w:p>
        <w:p>
          <w:pPr>
            <w:pStyle w:val="Contents5"/>
            <w:tabs>
              <w:tab w:val="clear" w:pos="7892"/>
              <w:tab w:val="right" w:pos="9026" w:leader="dot"/>
            </w:tabs>
            <w:rPr/>
          </w:pPr>
          <w:hyperlink w:anchor="__RefHeading___Toc13372342_1280447820">
            <w:r>
              <w:rPr>
                <w:webHidden/>
                <w:rStyle w:val="IndexLink"/>
                <w:rtl w:val="true"/>
              </w:rPr>
              <w:t>ثالثها</w:t>
            </w:r>
            <w:r>
              <w:rPr>
                <w:rStyle w:val="IndexLink"/>
                <w:rtl w:val="true"/>
              </w:rPr>
              <w:t xml:space="preserve">: </w:t>
            </w:r>
            <w:r>
              <w:rPr>
                <w:rStyle w:val="IndexLink"/>
                <w:rtl w:val="true"/>
              </w:rPr>
              <w:t>اشتراط كون العاقد مالكاً</w:t>
            </w:r>
            <w:r>
              <w:rPr>
                <w:rStyle w:val="IndexLink"/>
                <w:rtl w:val="true"/>
              </w:rPr>
              <w:tab/>
            </w:r>
            <w:r>
              <w:rPr>
                <w:rStyle w:val="IndexLink"/>
              </w:rPr>
              <w:t>260</w:t>
            </w:r>
          </w:hyperlink>
        </w:p>
        <w:p>
          <w:pPr>
            <w:pStyle w:val="Contents5"/>
            <w:tabs>
              <w:tab w:val="clear" w:pos="7892"/>
              <w:tab w:val="right" w:pos="9026" w:leader="dot"/>
            </w:tabs>
            <w:rPr/>
          </w:pPr>
          <w:hyperlink w:anchor="__RefHeading___Toc13372344_1280447820">
            <w:r>
              <w:rPr>
                <w:webHidden/>
                <w:rStyle w:val="IndexLink"/>
                <w:rtl w:val="true"/>
              </w:rPr>
              <w:t>رابعها</w:t>
            </w:r>
            <w:r>
              <w:rPr>
                <w:rStyle w:val="IndexLink"/>
                <w:rtl w:val="true"/>
              </w:rPr>
              <w:t xml:space="preserve">: </w:t>
            </w:r>
            <w:r>
              <w:rPr>
                <w:rStyle w:val="IndexLink"/>
                <w:rtl w:val="true"/>
              </w:rPr>
              <w:t>في قيام الفضولي مقام الملك في نفوذ عقده إذا أجاز المالك</w:t>
            </w:r>
            <w:r>
              <w:rPr>
                <w:rStyle w:val="IndexLink"/>
                <w:rtl w:val="true"/>
              </w:rPr>
              <w:tab/>
            </w:r>
            <w:r>
              <w:rPr>
                <w:rStyle w:val="IndexLink"/>
              </w:rPr>
              <w:t>265</w:t>
            </w:r>
          </w:hyperlink>
        </w:p>
        <w:p>
          <w:pPr>
            <w:pStyle w:val="Contents5"/>
            <w:tabs>
              <w:tab w:val="clear" w:pos="7892"/>
              <w:tab w:val="right" w:pos="9026" w:leader="dot"/>
            </w:tabs>
            <w:rPr/>
          </w:pPr>
          <w:hyperlink w:anchor="__RefHeading___Toc13372346_1280447820">
            <w:r>
              <w:rPr>
                <w:webHidden/>
                <w:rStyle w:val="IndexLink"/>
                <w:rtl w:val="true"/>
              </w:rPr>
              <w:t>خامسها</w:t>
            </w:r>
            <w:r>
              <w:rPr>
                <w:rStyle w:val="IndexLink"/>
                <w:rtl w:val="true"/>
              </w:rPr>
              <w:t xml:space="preserve">: </w:t>
            </w:r>
            <w:r>
              <w:rPr>
                <w:rStyle w:val="IndexLink"/>
                <w:rtl w:val="true"/>
              </w:rPr>
              <w:t>في بيان أمور تتعلق بعقد الفضولي والإجازة اللاحقة له</w:t>
            </w:r>
            <w:r>
              <w:rPr>
                <w:rStyle w:val="IndexLink"/>
                <w:rtl w:val="true"/>
              </w:rPr>
              <w:tab/>
            </w:r>
            <w:r>
              <w:rPr>
                <w:rStyle w:val="IndexLink"/>
              </w:rPr>
              <w:t>271</w:t>
            </w:r>
          </w:hyperlink>
        </w:p>
        <w:p>
          <w:pPr>
            <w:pStyle w:val="Contents5"/>
            <w:tabs>
              <w:tab w:val="clear" w:pos="7892"/>
              <w:tab w:val="right" w:pos="9026" w:leader="dot"/>
            </w:tabs>
            <w:rPr/>
          </w:pPr>
          <w:hyperlink w:anchor="__RefHeading___Toc13372348_1280447820">
            <w:r>
              <w:rPr>
                <w:webHidden/>
                <w:rStyle w:val="IndexLink"/>
                <w:rtl w:val="true"/>
              </w:rPr>
              <w:t xml:space="preserve">سادسها </w:t>
            </w:r>
            <w:r>
              <w:rPr>
                <w:rStyle w:val="IndexLink"/>
                <w:rtl w:val="true"/>
              </w:rPr>
              <w:t xml:space="preserve">: </w:t>
            </w:r>
            <w:r>
              <w:rPr>
                <w:rStyle w:val="IndexLink"/>
                <w:rtl w:val="true"/>
              </w:rPr>
              <w:t>في حكم ما لو باع المالك ما يملكه وما لا يملكه</w:t>
            </w:r>
            <w:r>
              <w:rPr>
                <w:rStyle w:val="IndexLink"/>
                <w:rtl w:val="true"/>
              </w:rPr>
              <w:tab/>
            </w:r>
            <w:r>
              <w:rPr>
                <w:rStyle w:val="IndexLink"/>
              </w:rPr>
              <w:t>284</w:t>
            </w:r>
          </w:hyperlink>
        </w:p>
        <w:p>
          <w:pPr>
            <w:pStyle w:val="Contents3"/>
            <w:tabs>
              <w:tab w:val="clear" w:pos="8459"/>
              <w:tab w:val="right" w:pos="9026" w:leader="dot"/>
            </w:tabs>
            <w:rPr/>
          </w:pPr>
          <w:hyperlink w:anchor="__RefHeading___Toc13372350_1280447820">
            <w:r>
              <w:rPr>
                <w:webHidden/>
                <w:rStyle w:val="IndexLink"/>
                <w:rtl w:val="true"/>
              </w:rPr>
              <w:t>القول في شرائط المعقود عليه من العوضين</w:t>
            </w:r>
            <w:r>
              <w:rPr>
                <w:rStyle w:val="IndexLink"/>
                <w:rtl w:val="true"/>
              </w:rPr>
              <w:tab/>
            </w:r>
            <w:r>
              <w:rPr>
                <w:rStyle w:val="IndexLink"/>
              </w:rPr>
              <w:t>287</w:t>
            </w:r>
          </w:hyperlink>
        </w:p>
        <w:p>
          <w:pPr>
            <w:pStyle w:val="Contents4"/>
            <w:tabs>
              <w:tab w:val="clear" w:pos="8176"/>
              <w:tab w:val="right" w:pos="9026" w:leader="dot"/>
            </w:tabs>
            <w:rPr/>
          </w:pPr>
          <w:hyperlink w:anchor="__RefHeading___Toc13372352_1280447820">
            <w:r>
              <w:rPr>
                <w:webHidden/>
                <w:rStyle w:val="IndexLink"/>
                <w:rtl w:val="true"/>
              </w:rPr>
              <w:t>وفيه أمور</w:t>
            </w:r>
            <w:r>
              <w:rPr>
                <w:rStyle w:val="IndexLink"/>
                <w:rtl w:val="true"/>
              </w:rPr>
              <w:t>:</w:t>
              <w:tab/>
            </w:r>
            <w:r>
              <w:rPr>
                <w:rStyle w:val="IndexLink"/>
              </w:rPr>
              <w:t>287</w:t>
            </w:r>
          </w:hyperlink>
        </w:p>
        <w:p>
          <w:pPr>
            <w:pStyle w:val="Contents5"/>
            <w:tabs>
              <w:tab w:val="clear" w:pos="7892"/>
              <w:tab w:val="right" w:pos="9026" w:leader="dot"/>
            </w:tabs>
            <w:rPr/>
          </w:pPr>
          <w:hyperlink w:anchor="__RefHeading___Toc13372354_1280447820">
            <w:r>
              <w:rPr>
                <w:webHidden/>
                <w:rStyle w:val="IndexLink"/>
                <w:rtl w:val="true"/>
              </w:rPr>
              <w:t>أحدها</w:t>
            </w:r>
            <w:r>
              <w:rPr>
                <w:rStyle w:val="IndexLink"/>
                <w:rtl w:val="true"/>
              </w:rPr>
              <w:t xml:space="preserve">: </w:t>
            </w:r>
            <w:r>
              <w:rPr>
                <w:rStyle w:val="IndexLink"/>
                <w:rtl w:val="true"/>
              </w:rPr>
              <w:t>اشتراط مغايرة العوضين للمتعاقدين</w:t>
            </w:r>
            <w:r>
              <w:rPr>
                <w:rStyle w:val="IndexLink"/>
                <w:rtl w:val="true"/>
              </w:rPr>
              <w:tab/>
            </w:r>
            <w:r>
              <w:rPr>
                <w:rStyle w:val="IndexLink"/>
              </w:rPr>
              <w:t>287</w:t>
            </w:r>
          </w:hyperlink>
        </w:p>
        <w:p>
          <w:pPr>
            <w:pStyle w:val="Contents5"/>
            <w:tabs>
              <w:tab w:val="clear" w:pos="7892"/>
              <w:tab w:val="right" w:pos="9026" w:leader="dot"/>
            </w:tabs>
            <w:rPr/>
          </w:pPr>
          <w:hyperlink w:anchor="__RefHeading___Toc13372356_1280447820">
            <w:r>
              <w:rPr>
                <w:webHidden/>
                <w:rStyle w:val="IndexLink"/>
                <w:rtl w:val="true"/>
              </w:rPr>
              <w:t>ثانيهما</w:t>
            </w:r>
            <w:r>
              <w:rPr>
                <w:rStyle w:val="IndexLink"/>
                <w:rtl w:val="true"/>
              </w:rPr>
              <w:t xml:space="preserve">: </w:t>
            </w:r>
            <w:r>
              <w:rPr>
                <w:rStyle w:val="IndexLink"/>
                <w:rtl w:val="true"/>
              </w:rPr>
              <w:t>اشتراط كون العوضين ممّا يمكن الانتفاع بهما</w:t>
            </w:r>
            <w:r>
              <w:rPr>
                <w:rStyle w:val="IndexLink"/>
                <w:rtl w:val="true"/>
              </w:rPr>
              <w:tab/>
            </w:r>
            <w:r>
              <w:rPr>
                <w:rStyle w:val="IndexLink"/>
              </w:rPr>
              <w:t>287</w:t>
            </w:r>
          </w:hyperlink>
        </w:p>
        <w:p>
          <w:pPr>
            <w:pStyle w:val="Contents5"/>
            <w:tabs>
              <w:tab w:val="clear" w:pos="7892"/>
              <w:tab w:val="right" w:pos="9026" w:leader="dot"/>
            </w:tabs>
            <w:rPr/>
          </w:pPr>
          <w:hyperlink w:anchor="__RefHeading___Toc13372358_1280447820">
            <w:r>
              <w:rPr>
                <w:webHidden/>
                <w:rStyle w:val="IndexLink"/>
                <w:rtl w:val="true"/>
              </w:rPr>
              <w:t>ثالثها</w:t>
            </w:r>
            <w:r>
              <w:rPr>
                <w:rStyle w:val="IndexLink"/>
                <w:rtl w:val="true"/>
              </w:rPr>
              <w:t xml:space="preserve">: </w:t>
            </w:r>
            <w:r>
              <w:rPr>
                <w:rStyle w:val="IndexLink"/>
                <w:rtl w:val="true"/>
              </w:rPr>
              <w:t>اشتراط القدرة عقلاً وعرفاً وعادةً على تسليم العوضين</w:t>
            </w:r>
            <w:r>
              <w:rPr>
                <w:rStyle w:val="IndexLink"/>
                <w:rtl w:val="true"/>
              </w:rPr>
              <w:tab/>
            </w:r>
            <w:r>
              <w:rPr>
                <w:rStyle w:val="IndexLink"/>
              </w:rPr>
              <w:t>289</w:t>
            </w:r>
          </w:hyperlink>
        </w:p>
        <w:p>
          <w:pPr>
            <w:pStyle w:val="Contents5"/>
            <w:tabs>
              <w:tab w:val="clear" w:pos="7892"/>
              <w:tab w:val="right" w:pos="9026" w:leader="dot"/>
            </w:tabs>
            <w:rPr/>
          </w:pPr>
          <w:hyperlink w:anchor="__RefHeading___Toc13372360_1280447820">
            <w:r>
              <w:rPr>
                <w:webHidden/>
                <w:rStyle w:val="IndexLink"/>
                <w:rtl w:val="true"/>
              </w:rPr>
              <w:t>رابعها</w:t>
            </w:r>
            <w:r>
              <w:rPr>
                <w:rStyle w:val="IndexLink"/>
                <w:rtl w:val="true"/>
              </w:rPr>
              <w:t xml:space="preserve">: </w:t>
            </w:r>
            <w:r>
              <w:rPr>
                <w:rStyle w:val="IndexLink"/>
                <w:rtl w:val="true"/>
              </w:rPr>
              <w:t>اشتراط عدم كون أحد العوضين أُمّ ولد لمالكها قد علقت منه</w:t>
            </w:r>
            <w:r>
              <w:rPr>
                <w:rStyle w:val="IndexLink"/>
                <w:rtl w:val="true"/>
              </w:rPr>
              <w:tab/>
            </w:r>
            <w:r>
              <w:rPr>
                <w:rStyle w:val="IndexLink"/>
              </w:rPr>
              <w:t>293</w:t>
            </w:r>
          </w:hyperlink>
        </w:p>
        <w:p>
          <w:pPr>
            <w:pStyle w:val="Contents5"/>
            <w:tabs>
              <w:tab w:val="clear" w:pos="7892"/>
              <w:tab w:val="right" w:pos="9026" w:leader="dot"/>
            </w:tabs>
            <w:rPr/>
          </w:pPr>
          <w:hyperlink w:anchor="__RefHeading___Toc13372362_1280447820">
            <w:r>
              <w:rPr>
                <w:webHidden/>
                <w:rStyle w:val="IndexLink"/>
                <w:rtl w:val="true"/>
              </w:rPr>
              <w:t>خامسها</w:t>
            </w:r>
            <w:r>
              <w:rPr>
                <w:rStyle w:val="IndexLink"/>
                <w:rtl w:val="true"/>
              </w:rPr>
              <w:t xml:space="preserve">: </w:t>
            </w:r>
            <w:r>
              <w:rPr>
                <w:rStyle w:val="IndexLink"/>
                <w:rtl w:val="true"/>
              </w:rPr>
              <w:t>اشتراط استقلال الملكية في العوضين</w:t>
            </w:r>
            <w:r>
              <w:rPr>
                <w:rStyle w:val="IndexLink"/>
                <w:rtl w:val="true"/>
              </w:rPr>
              <w:tab/>
            </w:r>
            <w:r>
              <w:rPr>
                <w:rStyle w:val="IndexLink"/>
              </w:rPr>
              <w:t>296</w:t>
            </w:r>
          </w:hyperlink>
        </w:p>
        <w:p>
          <w:pPr>
            <w:pStyle w:val="Contents5"/>
            <w:tabs>
              <w:tab w:val="clear" w:pos="7892"/>
              <w:tab w:val="right" w:pos="9026" w:leader="dot"/>
            </w:tabs>
            <w:rPr/>
          </w:pPr>
          <w:hyperlink w:anchor="__RefHeading___Toc13372364_1280447820">
            <w:r>
              <w:rPr>
                <w:webHidden/>
                <w:rStyle w:val="IndexLink"/>
                <w:rtl w:val="true"/>
              </w:rPr>
              <w:t>سادسها</w:t>
            </w:r>
            <w:r>
              <w:rPr>
                <w:rStyle w:val="IndexLink"/>
                <w:rtl w:val="true"/>
              </w:rPr>
              <w:t xml:space="preserve">: </w:t>
            </w:r>
            <w:r>
              <w:rPr>
                <w:rStyle w:val="IndexLink"/>
                <w:rtl w:val="true"/>
              </w:rPr>
              <w:t>اشتراط عدم كون العوضين أو أحدهما مباحاً لم يدخل في ملك أحدٍ</w:t>
            </w:r>
            <w:r>
              <w:rPr>
                <w:rStyle w:val="IndexLink"/>
                <w:rtl w:val="true"/>
              </w:rPr>
              <w:tab/>
            </w:r>
            <w:r>
              <w:rPr>
                <w:rStyle w:val="IndexLink"/>
              </w:rPr>
              <w:t>302</w:t>
            </w:r>
          </w:hyperlink>
        </w:p>
        <w:p>
          <w:pPr>
            <w:pStyle w:val="Contents5"/>
            <w:tabs>
              <w:tab w:val="clear" w:pos="7892"/>
              <w:tab w:val="right" w:pos="9026" w:leader="dot"/>
            </w:tabs>
            <w:rPr/>
          </w:pPr>
          <w:hyperlink w:anchor="__RefHeading___Toc13372366_1280447820">
            <w:r>
              <w:rPr>
                <w:webHidden/>
                <w:rStyle w:val="IndexLink"/>
                <w:rtl w:val="true"/>
              </w:rPr>
              <w:t>سابعها</w:t>
            </w:r>
            <w:r>
              <w:rPr>
                <w:rStyle w:val="IndexLink"/>
                <w:rtl w:val="true"/>
              </w:rPr>
              <w:t xml:space="preserve">: </w:t>
            </w:r>
            <w:r>
              <w:rPr>
                <w:rStyle w:val="IndexLink"/>
                <w:rtl w:val="true"/>
              </w:rPr>
              <w:t>اشتراط عدم كون العوضين أو أحدهما مملوكاً لكافة المسلمين</w:t>
            </w:r>
            <w:r>
              <w:rPr>
                <w:rStyle w:val="IndexLink"/>
                <w:rtl w:val="true"/>
              </w:rPr>
              <w:tab/>
            </w:r>
            <w:r>
              <w:rPr>
                <w:rStyle w:val="IndexLink"/>
              </w:rPr>
              <w:t>303</w:t>
            </w:r>
          </w:hyperlink>
        </w:p>
        <w:p>
          <w:pPr>
            <w:pStyle w:val="Contents5"/>
            <w:tabs>
              <w:tab w:val="clear" w:pos="7892"/>
              <w:tab w:val="right" w:pos="9026" w:leader="dot"/>
            </w:tabs>
            <w:rPr/>
          </w:pPr>
          <w:hyperlink w:anchor="__RefHeading___Toc13372368_1280447820">
            <w:r>
              <w:rPr>
                <w:webHidden/>
                <w:rStyle w:val="IndexLink"/>
                <w:rtl w:val="true"/>
              </w:rPr>
              <w:t>أحكام الأراضي المفتوحة عنوةً وخراجها وبيعها ومصارف عوائدها</w:t>
            </w:r>
            <w:r>
              <w:rPr>
                <w:rStyle w:val="IndexLink"/>
                <w:rtl w:val="true"/>
              </w:rPr>
              <w:tab/>
            </w:r>
            <w:r>
              <w:rPr>
                <w:rStyle w:val="IndexLink"/>
              </w:rPr>
              <w:t>304</w:t>
            </w:r>
          </w:hyperlink>
        </w:p>
        <w:p>
          <w:pPr>
            <w:pStyle w:val="Contents5"/>
            <w:tabs>
              <w:tab w:val="clear" w:pos="7892"/>
              <w:tab w:val="right" w:pos="9026" w:leader="dot"/>
            </w:tabs>
            <w:rPr/>
          </w:pPr>
          <w:hyperlink w:anchor="__RefHeading___Toc13372370_1280447820">
            <w:r>
              <w:rPr>
                <w:webHidden/>
                <w:rStyle w:val="IndexLink"/>
                <w:rtl w:val="true"/>
              </w:rPr>
              <w:t>ثامنها</w:t>
            </w:r>
            <w:r>
              <w:rPr>
                <w:rStyle w:val="IndexLink"/>
                <w:rtl w:val="true"/>
              </w:rPr>
              <w:t xml:space="preserve">: </w:t>
            </w:r>
            <w:r>
              <w:rPr>
                <w:rStyle w:val="IndexLink"/>
                <w:rtl w:val="true"/>
              </w:rPr>
              <w:t>اشتراط عدم كون العوضين مجهولاً</w:t>
            </w:r>
            <w:r>
              <w:rPr>
                <w:rStyle w:val="IndexLink"/>
                <w:rtl w:val="true"/>
              </w:rPr>
              <w:tab/>
            </w:r>
            <w:r>
              <w:rPr>
                <w:rStyle w:val="IndexLink"/>
              </w:rPr>
              <w:t>317</w:t>
            </w:r>
          </w:hyperlink>
        </w:p>
        <w:p>
          <w:pPr>
            <w:pStyle w:val="Contents5"/>
            <w:tabs>
              <w:tab w:val="clear" w:pos="7892"/>
              <w:tab w:val="right" w:pos="9026" w:leader="dot"/>
            </w:tabs>
            <w:rPr/>
          </w:pPr>
          <w:hyperlink w:anchor="__RefHeading___Toc13372372_1280447820">
            <w:r>
              <w:rPr>
                <w:webHidden/>
                <w:rStyle w:val="IndexLink"/>
                <w:rtl w:val="true"/>
              </w:rPr>
              <w:t>بيان أحكام بيع المجهول والجزاف والمكيل والموزون واجتماع بعضها مع بعض</w:t>
            </w:r>
            <w:r>
              <w:rPr>
                <w:rStyle w:val="IndexLink"/>
                <w:rtl w:val="true"/>
              </w:rPr>
              <w:tab/>
            </w:r>
            <w:r>
              <w:rPr>
                <w:rStyle w:val="IndexLink"/>
              </w:rPr>
              <w:t>318</w:t>
            </w:r>
          </w:hyperlink>
        </w:p>
        <w:p>
          <w:pPr>
            <w:pStyle w:val="Contents3"/>
            <w:tabs>
              <w:tab w:val="clear" w:pos="8459"/>
              <w:tab w:val="right" w:pos="9026" w:leader="dot"/>
            </w:tabs>
            <w:rPr/>
          </w:pPr>
          <w:hyperlink w:anchor="__RefHeading___Toc13372374_1280447820">
            <w:r>
              <w:rPr>
                <w:webHidden/>
                <w:rStyle w:val="IndexLink"/>
                <w:rtl w:val="true"/>
              </w:rPr>
              <w:t>القول في الخيارات</w:t>
            </w:r>
            <w:r>
              <w:rPr>
                <w:rStyle w:val="IndexLink"/>
                <w:rtl w:val="true"/>
              </w:rPr>
              <w:tab/>
            </w:r>
            <w:r>
              <w:rPr>
                <w:rStyle w:val="IndexLink"/>
              </w:rPr>
              <w:t>335</w:t>
            </w:r>
          </w:hyperlink>
        </w:p>
        <w:p>
          <w:pPr>
            <w:pStyle w:val="Contents4"/>
            <w:tabs>
              <w:tab w:val="clear" w:pos="8176"/>
              <w:tab w:val="right" w:pos="9026" w:leader="dot"/>
            </w:tabs>
            <w:rPr/>
          </w:pPr>
          <w:hyperlink w:anchor="__RefHeading___Toc13372376_1280447820">
            <w:r>
              <w:rPr>
                <w:webHidden/>
                <w:rStyle w:val="IndexLink"/>
                <w:rtl w:val="true"/>
              </w:rPr>
              <w:t>إشارة</w:t>
            </w:r>
            <w:r>
              <w:rPr>
                <w:rStyle w:val="IndexLink"/>
                <w:rtl w:val="true"/>
              </w:rPr>
              <w:t>:</w:t>
              <w:tab/>
            </w:r>
            <w:r>
              <w:rPr>
                <w:rStyle w:val="IndexLink"/>
              </w:rPr>
              <w:t>335</w:t>
            </w:r>
          </w:hyperlink>
        </w:p>
        <w:p>
          <w:pPr>
            <w:pStyle w:val="Contents4"/>
            <w:tabs>
              <w:tab w:val="clear" w:pos="8176"/>
              <w:tab w:val="right" w:pos="9026" w:leader="dot"/>
            </w:tabs>
            <w:rPr/>
          </w:pPr>
          <w:hyperlink w:anchor="__RefHeading___Toc13372378_1280447820">
            <w:r>
              <w:rPr>
                <w:webHidden/>
                <w:rStyle w:val="IndexLink"/>
                <w:rtl w:val="true"/>
              </w:rPr>
              <w:t>وفي الخيارات مباحث</w:t>
            </w:r>
            <w:r>
              <w:rPr>
                <w:rStyle w:val="IndexLink"/>
                <w:rtl w:val="true"/>
              </w:rPr>
              <w:t>:</w:t>
              <w:tab/>
            </w:r>
            <w:r>
              <w:rPr>
                <w:rStyle w:val="IndexLink"/>
              </w:rPr>
              <w:t>336</w:t>
            </w:r>
          </w:hyperlink>
        </w:p>
        <w:p>
          <w:pPr>
            <w:pStyle w:val="Contents5"/>
            <w:tabs>
              <w:tab w:val="clear" w:pos="7892"/>
              <w:tab w:val="right" w:pos="9026" w:leader="dot"/>
            </w:tabs>
            <w:rPr/>
          </w:pPr>
          <w:hyperlink w:anchor="__RefHeading___Toc13372380_1280447820">
            <w:r>
              <w:rPr>
                <w:webHidden/>
                <w:rStyle w:val="IndexLink"/>
                <w:rtl w:val="true"/>
              </w:rPr>
              <w:t>أحدها</w:t>
            </w:r>
            <w:r>
              <w:rPr>
                <w:rStyle w:val="IndexLink"/>
                <w:rtl w:val="true"/>
              </w:rPr>
              <w:t xml:space="preserve">: </w:t>
            </w:r>
            <w:r>
              <w:rPr>
                <w:rStyle w:val="IndexLink"/>
                <w:rtl w:val="true"/>
              </w:rPr>
              <w:t>خيار المجلس وما يتعلّق به</w:t>
            </w:r>
            <w:r>
              <w:rPr>
                <w:rStyle w:val="IndexLink"/>
                <w:rtl w:val="true"/>
              </w:rPr>
              <w:tab/>
            </w:r>
            <w:r>
              <w:rPr>
                <w:rStyle w:val="IndexLink"/>
              </w:rPr>
              <w:t>336</w:t>
            </w:r>
          </w:hyperlink>
        </w:p>
        <w:p>
          <w:pPr>
            <w:pStyle w:val="Contents5"/>
            <w:tabs>
              <w:tab w:val="clear" w:pos="7892"/>
              <w:tab w:val="right" w:pos="9026" w:leader="dot"/>
            </w:tabs>
            <w:rPr/>
          </w:pPr>
          <w:hyperlink w:anchor="__RefHeading___Toc13372382_1280447820">
            <w:r>
              <w:rPr>
                <w:webHidden/>
                <w:rStyle w:val="IndexLink"/>
                <w:rtl w:val="true"/>
              </w:rPr>
              <w:t>ثانيها</w:t>
            </w:r>
            <w:r>
              <w:rPr>
                <w:rStyle w:val="IndexLink"/>
                <w:rtl w:val="true"/>
              </w:rPr>
              <w:t xml:space="preserve">: </w:t>
            </w:r>
            <w:r>
              <w:rPr>
                <w:rStyle w:val="IndexLink"/>
                <w:rtl w:val="true"/>
              </w:rPr>
              <w:t>خيار الحيوان وما يتعلق به</w:t>
            </w:r>
            <w:r>
              <w:rPr>
                <w:rStyle w:val="IndexLink"/>
                <w:rtl w:val="true"/>
              </w:rPr>
              <w:tab/>
            </w:r>
            <w:r>
              <w:rPr>
                <w:rStyle w:val="IndexLink"/>
              </w:rPr>
              <w:t>341</w:t>
            </w:r>
          </w:hyperlink>
        </w:p>
        <w:p>
          <w:pPr>
            <w:pStyle w:val="Contents5"/>
            <w:tabs>
              <w:tab w:val="clear" w:pos="7892"/>
              <w:tab w:val="right" w:pos="9026" w:leader="dot"/>
            </w:tabs>
            <w:rPr/>
          </w:pPr>
          <w:hyperlink w:anchor="__RefHeading___Toc13372384_1280447820">
            <w:r>
              <w:rPr>
                <w:webHidden/>
                <w:rStyle w:val="IndexLink"/>
                <w:rtl w:val="true"/>
              </w:rPr>
              <w:t>ثالثها</w:t>
            </w:r>
            <w:r>
              <w:rPr>
                <w:rStyle w:val="IndexLink"/>
                <w:rtl w:val="true"/>
              </w:rPr>
              <w:t xml:space="preserve">: </w:t>
            </w:r>
            <w:r>
              <w:rPr>
                <w:rStyle w:val="IndexLink"/>
                <w:rtl w:val="true"/>
              </w:rPr>
              <w:t>خيار الشرط وما يتعلق به</w:t>
            </w:r>
            <w:r>
              <w:rPr>
                <w:rStyle w:val="IndexLink"/>
                <w:rtl w:val="true"/>
              </w:rPr>
              <w:tab/>
            </w:r>
            <w:r>
              <w:rPr>
                <w:rStyle w:val="IndexLink"/>
              </w:rPr>
              <w:t>343</w:t>
            </w:r>
          </w:hyperlink>
        </w:p>
        <w:p>
          <w:pPr>
            <w:pStyle w:val="Contents5"/>
            <w:tabs>
              <w:tab w:val="clear" w:pos="7892"/>
              <w:tab w:val="right" w:pos="9026" w:leader="dot"/>
            </w:tabs>
            <w:rPr/>
          </w:pPr>
          <w:hyperlink w:anchor="__RefHeading___Toc13372386_1280447820">
            <w:r>
              <w:rPr>
                <w:webHidden/>
                <w:rStyle w:val="IndexLink"/>
                <w:rtl w:val="true"/>
              </w:rPr>
              <w:t>رابعها</w:t>
            </w:r>
            <w:r>
              <w:rPr>
                <w:rStyle w:val="IndexLink"/>
                <w:rtl w:val="true"/>
              </w:rPr>
              <w:t xml:space="preserve">: </w:t>
            </w:r>
            <w:r>
              <w:rPr>
                <w:rStyle w:val="IndexLink"/>
                <w:rtl w:val="true"/>
              </w:rPr>
              <w:t>خيار الغبن وما يتعلّق به</w:t>
            </w:r>
            <w:r>
              <w:rPr>
                <w:rStyle w:val="IndexLink"/>
                <w:rtl w:val="true"/>
              </w:rPr>
              <w:tab/>
            </w:r>
            <w:r>
              <w:rPr>
                <w:rStyle w:val="IndexLink"/>
              </w:rPr>
              <w:t>348</w:t>
            </w:r>
          </w:hyperlink>
        </w:p>
        <w:p>
          <w:pPr>
            <w:pStyle w:val="Contents5"/>
            <w:tabs>
              <w:tab w:val="clear" w:pos="7892"/>
              <w:tab w:val="right" w:pos="9026" w:leader="dot"/>
            </w:tabs>
            <w:rPr/>
          </w:pPr>
          <w:hyperlink w:anchor="__RefHeading___Toc13372388_1280447820">
            <w:r>
              <w:rPr>
                <w:webHidden/>
                <w:rStyle w:val="IndexLink"/>
                <w:rtl w:val="true"/>
              </w:rPr>
              <w:t>خامسها</w:t>
            </w:r>
            <w:r>
              <w:rPr>
                <w:rStyle w:val="IndexLink"/>
                <w:rtl w:val="true"/>
              </w:rPr>
              <w:t xml:space="preserve">: </w:t>
            </w:r>
            <w:r>
              <w:rPr>
                <w:rStyle w:val="IndexLink"/>
                <w:rtl w:val="true"/>
              </w:rPr>
              <w:t>خيار التأخير وما يتعلّق به</w:t>
            </w:r>
            <w:r>
              <w:rPr>
                <w:rStyle w:val="IndexLink"/>
                <w:rtl w:val="true"/>
              </w:rPr>
              <w:tab/>
            </w:r>
            <w:r>
              <w:rPr>
                <w:rStyle w:val="IndexLink"/>
              </w:rPr>
              <w:t>353</w:t>
            </w:r>
          </w:hyperlink>
        </w:p>
        <w:p>
          <w:pPr>
            <w:pStyle w:val="Contents5"/>
            <w:tabs>
              <w:tab w:val="clear" w:pos="7892"/>
              <w:tab w:val="right" w:pos="9026" w:leader="dot"/>
            </w:tabs>
            <w:rPr/>
          </w:pPr>
          <w:hyperlink w:anchor="__RefHeading___Toc13372390_1280447820">
            <w:r>
              <w:rPr>
                <w:webHidden/>
                <w:rStyle w:val="IndexLink"/>
                <w:rtl w:val="true"/>
              </w:rPr>
              <w:t>سادسها</w:t>
            </w:r>
            <w:r>
              <w:rPr>
                <w:rStyle w:val="IndexLink"/>
                <w:rtl w:val="true"/>
              </w:rPr>
              <w:t xml:space="preserve">: </w:t>
            </w:r>
            <w:r>
              <w:rPr>
                <w:rStyle w:val="IndexLink"/>
                <w:rtl w:val="true"/>
              </w:rPr>
              <w:t>خيار ما يفسد من يومه وما يتعلّق به</w:t>
            </w:r>
            <w:r>
              <w:rPr>
                <w:rStyle w:val="IndexLink"/>
                <w:rtl w:val="true"/>
              </w:rPr>
              <w:tab/>
            </w:r>
            <w:r>
              <w:rPr>
                <w:rStyle w:val="IndexLink"/>
              </w:rPr>
              <w:t>356</w:t>
            </w:r>
          </w:hyperlink>
        </w:p>
        <w:p>
          <w:pPr>
            <w:pStyle w:val="Contents5"/>
            <w:tabs>
              <w:tab w:val="clear" w:pos="7892"/>
              <w:tab w:val="right" w:pos="9026" w:leader="dot"/>
            </w:tabs>
            <w:rPr/>
          </w:pPr>
          <w:hyperlink w:anchor="__RefHeading___Toc13372392_1280447820">
            <w:r>
              <w:rPr>
                <w:webHidden/>
                <w:rStyle w:val="IndexLink"/>
                <w:rtl w:val="true"/>
              </w:rPr>
              <w:t>سابعها</w:t>
            </w:r>
            <w:r>
              <w:rPr>
                <w:rStyle w:val="IndexLink"/>
                <w:rtl w:val="true"/>
              </w:rPr>
              <w:t xml:space="preserve">: </w:t>
            </w:r>
            <w:r>
              <w:rPr>
                <w:rStyle w:val="IndexLink"/>
                <w:rtl w:val="true"/>
              </w:rPr>
              <w:t>خيار كذب الوصف حين العقد أو خلاف الرؤية المتقدمة على العقد</w:t>
            </w:r>
            <w:r>
              <w:rPr>
                <w:rStyle w:val="IndexLink"/>
                <w:rtl w:val="true"/>
              </w:rPr>
              <w:tab/>
            </w:r>
            <w:r>
              <w:rPr>
                <w:rStyle w:val="IndexLink"/>
              </w:rPr>
              <w:t>357</w:t>
            </w:r>
          </w:hyperlink>
        </w:p>
        <w:p>
          <w:pPr>
            <w:pStyle w:val="Contents5"/>
            <w:tabs>
              <w:tab w:val="clear" w:pos="7892"/>
              <w:tab w:val="right" w:pos="9026" w:leader="dot"/>
            </w:tabs>
            <w:rPr/>
          </w:pPr>
          <w:hyperlink w:anchor="__RefHeading___Toc13372394_1280447820">
            <w:r>
              <w:rPr>
                <w:webHidden/>
                <w:rStyle w:val="IndexLink"/>
                <w:rtl w:val="true"/>
              </w:rPr>
              <w:t>ثامنها</w:t>
            </w:r>
            <w:r>
              <w:rPr>
                <w:rStyle w:val="IndexLink"/>
                <w:rtl w:val="true"/>
              </w:rPr>
              <w:t xml:space="preserve">: </w:t>
            </w:r>
            <w:r>
              <w:rPr>
                <w:rStyle w:val="IndexLink"/>
                <w:rtl w:val="true"/>
              </w:rPr>
              <w:t>في أن الخيار يورث</w:t>
            </w:r>
            <w:r>
              <w:rPr>
                <w:rStyle w:val="IndexLink"/>
                <w:rtl w:val="true"/>
              </w:rPr>
              <w:tab/>
            </w:r>
            <w:r>
              <w:rPr>
                <w:rStyle w:val="IndexLink"/>
              </w:rPr>
              <w:t>359</w:t>
            </w:r>
          </w:hyperlink>
        </w:p>
        <w:p>
          <w:pPr>
            <w:pStyle w:val="Contents5"/>
            <w:tabs>
              <w:tab w:val="clear" w:pos="7892"/>
              <w:tab w:val="right" w:pos="9026" w:leader="dot"/>
            </w:tabs>
            <w:rPr/>
          </w:pPr>
          <w:hyperlink w:anchor="__RefHeading___Toc13372396_1280447820">
            <w:r>
              <w:rPr>
                <w:webHidden/>
                <w:rStyle w:val="IndexLink"/>
                <w:rtl w:val="true"/>
              </w:rPr>
              <w:t>تاسعها</w:t>
            </w:r>
            <w:r>
              <w:rPr>
                <w:rStyle w:val="IndexLink"/>
                <w:rtl w:val="true"/>
              </w:rPr>
              <w:t xml:space="preserve">: </w:t>
            </w:r>
            <w:r>
              <w:rPr>
                <w:rStyle w:val="IndexLink"/>
                <w:rtl w:val="true"/>
              </w:rPr>
              <w:t>في أن التصرف مسقط لخيار الحيوان والشرط</w:t>
            </w:r>
            <w:r>
              <w:rPr>
                <w:rStyle w:val="IndexLink"/>
                <w:rtl w:val="true"/>
              </w:rPr>
              <w:tab/>
            </w:r>
            <w:r>
              <w:rPr>
                <w:rStyle w:val="IndexLink"/>
              </w:rPr>
              <w:t>360</w:t>
            </w:r>
          </w:hyperlink>
        </w:p>
        <w:p>
          <w:pPr>
            <w:pStyle w:val="Contents5"/>
            <w:tabs>
              <w:tab w:val="clear" w:pos="7892"/>
              <w:tab w:val="right" w:pos="9026" w:leader="dot"/>
            </w:tabs>
            <w:rPr/>
          </w:pPr>
          <w:hyperlink w:anchor="__RefHeading___Toc13372398_1280447820">
            <w:r>
              <w:rPr>
                <w:webHidden/>
                <w:rStyle w:val="IndexLink"/>
                <w:rtl w:val="true"/>
              </w:rPr>
              <w:t>عاشرها</w:t>
            </w:r>
            <w:r>
              <w:rPr>
                <w:rStyle w:val="IndexLink"/>
                <w:rtl w:val="true"/>
              </w:rPr>
              <w:t xml:space="preserve">: </w:t>
            </w:r>
            <w:r>
              <w:rPr>
                <w:rStyle w:val="IndexLink"/>
                <w:rtl w:val="true"/>
              </w:rPr>
              <w:t>في أنّه يملك المبيع للمشتري والثمن للبائع بنفس العقد</w:t>
            </w:r>
            <w:r>
              <w:rPr>
                <w:rStyle w:val="IndexLink"/>
                <w:rtl w:val="true"/>
              </w:rPr>
              <w:tab/>
            </w:r>
            <w:r>
              <w:rPr>
                <w:rStyle w:val="IndexLink"/>
              </w:rPr>
              <w:t>361</w:t>
            </w:r>
          </w:hyperlink>
        </w:p>
        <w:p>
          <w:pPr>
            <w:pStyle w:val="Contents5"/>
            <w:tabs>
              <w:tab w:val="clear" w:pos="7892"/>
              <w:tab w:val="right" w:pos="9026" w:leader="dot"/>
            </w:tabs>
            <w:rPr/>
          </w:pPr>
          <w:hyperlink w:anchor="__RefHeading___Toc13372400_1280447820">
            <w:r>
              <w:rPr>
                <w:webHidden/>
                <w:rStyle w:val="IndexLink"/>
                <w:rtl w:val="true"/>
              </w:rPr>
              <w:t>حادي عشرها</w:t>
            </w:r>
            <w:r>
              <w:rPr>
                <w:rStyle w:val="IndexLink"/>
                <w:rtl w:val="true"/>
              </w:rPr>
              <w:t xml:space="preserve">: </w:t>
            </w:r>
            <w:r>
              <w:rPr>
                <w:rStyle w:val="IndexLink"/>
                <w:rtl w:val="true"/>
              </w:rPr>
              <w:t>حكم ما لو تلف المبيع في البيع قبل قبضه بآفةٍ سماوية أو أرضية أو بقصاص</w:t>
            </w:r>
            <w:r>
              <w:rPr>
                <w:rStyle w:val="IndexLink"/>
                <w:rtl w:val="true"/>
              </w:rPr>
              <w:tab/>
            </w:r>
            <w:r>
              <w:rPr>
                <w:rStyle w:val="IndexLink"/>
              </w:rPr>
              <w:t>363</w:t>
            </w:r>
          </w:hyperlink>
        </w:p>
        <w:p>
          <w:pPr>
            <w:pStyle w:val="Contents5"/>
            <w:tabs>
              <w:tab w:val="clear" w:pos="7892"/>
              <w:tab w:val="right" w:pos="9026" w:leader="dot"/>
            </w:tabs>
            <w:rPr/>
          </w:pPr>
          <w:hyperlink w:anchor="__RefHeading___Toc13372402_1280447820">
            <w:r>
              <w:rPr>
                <w:webHidden/>
                <w:rStyle w:val="IndexLink"/>
                <w:rtl w:val="true"/>
              </w:rPr>
              <w:t>ثاني عشرها</w:t>
            </w:r>
            <w:r>
              <w:rPr>
                <w:rStyle w:val="IndexLink"/>
                <w:rtl w:val="true"/>
              </w:rPr>
              <w:t xml:space="preserve">: </w:t>
            </w:r>
            <w:r>
              <w:rPr>
                <w:rStyle w:val="IndexLink"/>
                <w:rtl w:val="true"/>
              </w:rPr>
              <w:t>حكم ما لو تلف المبيع بآفةٍ سماوية ونحوها بعد قبضه في زمن الخيار المختص</w:t>
            </w:r>
            <w:r>
              <w:rPr>
                <w:rStyle w:val="IndexLink"/>
                <w:rtl w:val="true"/>
              </w:rPr>
              <w:tab/>
            </w:r>
            <w:r>
              <w:rPr>
                <w:rStyle w:val="IndexLink"/>
              </w:rPr>
              <w:t>365</w:t>
            </w:r>
          </w:hyperlink>
        </w:p>
        <w:p>
          <w:pPr>
            <w:pStyle w:val="Contents5"/>
            <w:tabs>
              <w:tab w:val="clear" w:pos="7892"/>
              <w:tab w:val="right" w:pos="9026" w:leader="dot"/>
            </w:tabs>
            <w:rPr/>
          </w:pPr>
          <w:hyperlink w:anchor="__RefHeading___Toc13372404_1280447820">
            <w:r>
              <w:rPr>
                <w:webHidden/>
                <w:rStyle w:val="IndexLink"/>
                <w:rtl w:val="true"/>
              </w:rPr>
              <w:t>ثالث عشرها</w:t>
            </w:r>
            <w:r>
              <w:rPr>
                <w:rStyle w:val="IndexLink"/>
                <w:rtl w:val="true"/>
              </w:rPr>
              <w:t xml:space="preserve">: </w:t>
            </w:r>
            <w:r>
              <w:rPr>
                <w:rStyle w:val="IndexLink"/>
                <w:rtl w:val="true"/>
              </w:rPr>
              <w:t>حصول الفسخ من ذي الخيار بالقول والفعل</w:t>
            </w:r>
            <w:r>
              <w:rPr>
                <w:rStyle w:val="IndexLink"/>
                <w:rtl w:val="true"/>
              </w:rPr>
              <w:tab/>
            </w:r>
            <w:r>
              <w:rPr>
                <w:rStyle w:val="IndexLink"/>
              </w:rPr>
              <w:t>366</w:t>
            </w:r>
          </w:hyperlink>
        </w:p>
        <w:p>
          <w:pPr>
            <w:pStyle w:val="Contents3"/>
            <w:tabs>
              <w:tab w:val="clear" w:pos="8459"/>
              <w:tab w:val="right" w:pos="9026" w:leader="dot"/>
            </w:tabs>
            <w:rPr/>
          </w:pPr>
          <w:hyperlink w:anchor="__RefHeading___Toc13372406_1280447820">
            <w:r>
              <w:rPr>
                <w:webHidden/>
                <w:rStyle w:val="IndexLink"/>
                <w:rtl w:val="true"/>
              </w:rPr>
              <w:t>القول في النقد والنسيئة</w:t>
            </w:r>
            <w:r>
              <w:rPr>
                <w:rStyle w:val="IndexLink"/>
                <w:rtl w:val="true"/>
              </w:rPr>
              <w:tab/>
            </w:r>
            <w:r>
              <w:rPr>
                <w:rStyle w:val="IndexLink"/>
              </w:rPr>
              <w:t>368</w:t>
            </w:r>
          </w:hyperlink>
        </w:p>
        <w:p>
          <w:pPr>
            <w:pStyle w:val="Contents4"/>
            <w:tabs>
              <w:tab w:val="clear" w:pos="8176"/>
              <w:tab w:val="right" w:pos="9026" w:leader="dot"/>
            </w:tabs>
            <w:rPr/>
          </w:pPr>
          <w:hyperlink w:anchor="__RefHeading___Toc13372408_1280447820">
            <w:r>
              <w:rPr>
                <w:webHidden/>
                <w:rStyle w:val="IndexLink"/>
                <w:rtl w:val="true"/>
              </w:rPr>
              <w:t>إشارة</w:t>
            </w:r>
            <w:r>
              <w:rPr>
                <w:rStyle w:val="IndexLink"/>
                <w:rtl w:val="true"/>
              </w:rPr>
              <w:t>:</w:t>
              <w:tab/>
            </w:r>
            <w:r>
              <w:rPr>
                <w:rStyle w:val="IndexLink"/>
              </w:rPr>
              <w:t>368</w:t>
            </w:r>
          </w:hyperlink>
        </w:p>
        <w:p>
          <w:pPr>
            <w:pStyle w:val="Contents4"/>
            <w:tabs>
              <w:tab w:val="clear" w:pos="8176"/>
              <w:tab w:val="right" w:pos="9026" w:leader="dot"/>
            </w:tabs>
            <w:rPr/>
          </w:pPr>
          <w:hyperlink w:anchor="__RefHeading___Toc13372410_1280447820">
            <w:r>
              <w:rPr>
                <w:webHidden/>
                <w:rStyle w:val="IndexLink"/>
                <w:rtl w:val="true"/>
              </w:rPr>
              <w:t>وفيهما أُمور</w:t>
            </w:r>
            <w:r>
              <w:rPr>
                <w:rStyle w:val="IndexLink"/>
                <w:rtl w:val="true"/>
              </w:rPr>
              <w:t>:</w:t>
              <w:tab/>
            </w:r>
            <w:r>
              <w:rPr>
                <w:rStyle w:val="IndexLink"/>
              </w:rPr>
              <w:t>368</w:t>
            </w:r>
          </w:hyperlink>
        </w:p>
        <w:p>
          <w:pPr>
            <w:pStyle w:val="Contents5"/>
            <w:tabs>
              <w:tab w:val="clear" w:pos="7892"/>
              <w:tab w:val="right" w:pos="9026" w:leader="dot"/>
            </w:tabs>
            <w:rPr/>
          </w:pPr>
          <w:hyperlink w:anchor="__RefHeading___Toc13372412_1280447820">
            <w:r>
              <w:rPr>
                <w:webHidden/>
                <w:rStyle w:val="IndexLink"/>
                <w:rtl w:val="true"/>
              </w:rPr>
              <w:t>أحدها</w:t>
            </w:r>
            <w:r>
              <w:rPr>
                <w:rStyle w:val="IndexLink"/>
                <w:rtl w:val="true"/>
              </w:rPr>
              <w:t xml:space="preserve">: </w:t>
            </w:r>
            <w:r>
              <w:rPr>
                <w:rStyle w:val="IndexLink"/>
                <w:rtl w:val="true"/>
              </w:rPr>
              <w:t>حكم بيع الثمن والمثمن كلّ منهما بالآخر إن كانا شخصيين أو كليين أو دينين في ذمتين قبل العقد أو</w:t>
            </w:r>
            <w:r>
              <w:rPr>
                <w:rStyle w:val="IndexLink"/>
                <w:rtl w:val="true"/>
              </w:rPr>
              <w:tab/>
            </w:r>
            <w:r>
              <w:rPr>
                <w:rStyle w:val="IndexLink"/>
              </w:rPr>
              <w:t>368</w:t>
            </w:r>
          </w:hyperlink>
        </w:p>
        <w:p>
          <w:pPr>
            <w:pStyle w:val="Contents5"/>
            <w:tabs>
              <w:tab w:val="clear" w:pos="7892"/>
              <w:tab w:val="right" w:pos="9026" w:leader="dot"/>
            </w:tabs>
            <w:rPr/>
          </w:pPr>
          <w:hyperlink w:anchor="__RefHeading___Toc13372414_1280447820">
            <w:r>
              <w:rPr>
                <w:webHidden/>
                <w:rStyle w:val="IndexLink"/>
                <w:rtl w:val="true"/>
              </w:rPr>
              <w:t>ثانيها</w:t>
            </w:r>
            <w:r>
              <w:rPr>
                <w:rStyle w:val="IndexLink"/>
                <w:rtl w:val="true"/>
              </w:rPr>
              <w:t xml:space="preserve">: </w:t>
            </w:r>
            <w:r>
              <w:rPr>
                <w:rStyle w:val="IndexLink"/>
                <w:rtl w:val="true"/>
              </w:rPr>
              <w:t>في أن إطلاق العقد يقضي بالتعجيل</w:t>
            </w:r>
            <w:r>
              <w:rPr>
                <w:rStyle w:val="IndexLink"/>
                <w:rtl w:val="true"/>
              </w:rPr>
              <w:tab/>
            </w:r>
            <w:r>
              <w:rPr>
                <w:rStyle w:val="IndexLink"/>
              </w:rPr>
              <w:t>369</w:t>
            </w:r>
          </w:hyperlink>
        </w:p>
        <w:p>
          <w:pPr>
            <w:pStyle w:val="Contents5"/>
            <w:tabs>
              <w:tab w:val="clear" w:pos="7892"/>
              <w:tab w:val="right" w:pos="9026" w:leader="dot"/>
            </w:tabs>
            <w:rPr/>
          </w:pPr>
          <w:hyperlink w:anchor="__RefHeading___Toc13372416_1280447820">
            <w:r>
              <w:rPr>
                <w:webHidden/>
                <w:rStyle w:val="IndexLink"/>
                <w:rtl w:val="true"/>
              </w:rPr>
              <w:t>ثالثها</w:t>
            </w:r>
            <w:r>
              <w:rPr>
                <w:rStyle w:val="IndexLink"/>
                <w:rtl w:val="true"/>
              </w:rPr>
              <w:t xml:space="preserve">: </w:t>
            </w:r>
            <w:r>
              <w:rPr>
                <w:rStyle w:val="IndexLink"/>
                <w:rtl w:val="true"/>
              </w:rPr>
              <w:t>اشتراط تعيين الثمن والمثمن والجزم في البيع</w:t>
            </w:r>
            <w:r>
              <w:rPr>
                <w:rStyle w:val="IndexLink"/>
                <w:rtl w:val="true"/>
              </w:rPr>
              <w:tab/>
            </w:r>
            <w:r>
              <w:rPr>
                <w:rStyle w:val="IndexLink"/>
              </w:rPr>
              <w:t>369</w:t>
            </w:r>
          </w:hyperlink>
        </w:p>
        <w:p>
          <w:pPr>
            <w:pStyle w:val="Contents5"/>
            <w:tabs>
              <w:tab w:val="clear" w:pos="7892"/>
              <w:tab w:val="right" w:pos="9026" w:leader="dot"/>
            </w:tabs>
            <w:rPr/>
          </w:pPr>
          <w:hyperlink w:anchor="__RefHeading___Toc13372418_1280447820">
            <w:r>
              <w:rPr>
                <w:webHidden/>
                <w:rStyle w:val="IndexLink"/>
                <w:rtl w:val="true"/>
              </w:rPr>
              <w:t>رابعها</w:t>
            </w:r>
            <w:r>
              <w:rPr>
                <w:rStyle w:val="IndexLink"/>
                <w:rtl w:val="true"/>
              </w:rPr>
              <w:t xml:space="preserve">: </w:t>
            </w:r>
            <w:r>
              <w:rPr>
                <w:rStyle w:val="IndexLink"/>
                <w:rtl w:val="true"/>
              </w:rPr>
              <w:t>حكم شراء ماباعه نسيئةً قبل حلول الأجل نسيئةً ونقداً</w:t>
            </w:r>
            <w:r>
              <w:rPr>
                <w:rStyle w:val="IndexLink"/>
                <w:rtl w:val="true"/>
              </w:rPr>
              <w:tab/>
            </w:r>
            <w:r>
              <w:rPr>
                <w:rStyle w:val="IndexLink"/>
              </w:rPr>
              <w:t>371</w:t>
            </w:r>
          </w:hyperlink>
        </w:p>
        <w:p>
          <w:pPr>
            <w:pStyle w:val="Contents5"/>
            <w:tabs>
              <w:tab w:val="clear" w:pos="7892"/>
              <w:tab w:val="right" w:pos="9026" w:leader="dot"/>
            </w:tabs>
            <w:rPr/>
          </w:pPr>
          <w:hyperlink w:anchor="__RefHeading___Toc13372420_1280447820">
            <w:r>
              <w:rPr>
                <w:webHidden/>
                <w:rStyle w:val="IndexLink"/>
                <w:rtl w:val="true"/>
              </w:rPr>
              <w:t>خامسها</w:t>
            </w:r>
            <w:r>
              <w:rPr>
                <w:rStyle w:val="IndexLink"/>
                <w:rtl w:val="true"/>
              </w:rPr>
              <w:t xml:space="preserve">: </w:t>
            </w:r>
            <w:r>
              <w:rPr>
                <w:rStyle w:val="IndexLink"/>
                <w:rtl w:val="true"/>
              </w:rPr>
              <w:t>عدم وجوب دفع الثمن والمبيع قبل الأجل إن كان مؤجلاً</w:t>
            </w:r>
            <w:r>
              <w:rPr>
                <w:rStyle w:val="IndexLink"/>
                <w:rtl w:val="true"/>
              </w:rPr>
              <w:tab/>
            </w:r>
            <w:r>
              <w:rPr>
                <w:rStyle w:val="IndexLink"/>
              </w:rPr>
              <w:t>373</w:t>
            </w:r>
          </w:hyperlink>
        </w:p>
        <w:p>
          <w:pPr>
            <w:pStyle w:val="Contents3"/>
            <w:tabs>
              <w:tab w:val="clear" w:pos="8459"/>
              <w:tab w:val="right" w:pos="9026" w:leader="dot"/>
            </w:tabs>
            <w:rPr/>
          </w:pPr>
          <w:hyperlink w:anchor="__RefHeading___Toc13372422_1280447820">
            <w:r>
              <w:rPr>
                <w:webHidden/>
                <w:rStyle w:val="IndexLink"/>
                <w:rtl w:val="true"/>
              </w:rPr>
              <w:t>القول فيما يدخل في المبيع وفي كلّ منقول بعقد معاوضةٍ أو مجاني كالهبة والوقف والوصية</w:t>
            </w:r>
            <w:r>
              <w:rPr>
                <w:rStyle w:val="IndexLink"/>
                <w:rtl w:val="true"/>
              </w:rPr>
              <w:tab/>
            </w:r>
            <w:r>
              <w:rPr>
                <w:rStyle w:val="IndexLink"/>
              </w:rPr>
              <w:t>376</w:t>
            </w:r>
          </w:hyperlink>
        </w:p>
        <w:p>
          <w:pPr>
            <w:pStyle w:val="Contents4"/>
            <w:tabs>
              <w:tab w:val="clear" w:pos="8176"/>
              <w:tab w:val="right" w:pos="9026" w:leader="dot"/>
            </w:tabs>
            <w:rPr/>
          </w:pPr>
          <w:hyperlink w:anchor="__RefHeading___Toc13372424_1280447820">
            <w:r>
              <w:rPr>
                <w:webHidden/>
                <w:rStyle w:val="IndexLink"/>
                <w:rtl w:val="true"/>
              </w:rPr>
              <w:t>في أنّ ما يدخل في المبيع إما أن يكون بحكم الشرع أو بحكم العرف واللغة</w:t>
            </w:r>
            <w:r>
              <w:rPr>
                <w:rStyle w:val="IndexLink"/>
                <w:rtl w:val="true"/>
              </w:rPr>
              <w:tab/>
            </w:r>
            <w:r>
              <w:rPr>
                <w:rStyle w:val="IndexLink"/>
              </w:rPr>
              <w:t>376</w:t>
            </w:r>
          </w:hyperlink>
        </w:p>
        <w:p>
          <w:pPr>
            <w:pStyle w:val="Contents4"/>
            <w:tabs>
              <w:tab w:val="clear" w:pos="8176"/>
              <w:tab w:val="right" w:pos="9026" w:leader="dot"/>
            </w:tabs>
            <w:rPr/>
          </w:pPr>
          <w:hyperlink w:anchor="__RefHeading___Toc13372426_1280447820">
            <w:r>
              <w:rPr>
                <w:webHidden/>
                <w:rStyle w:val="IndexLink"/>
                <w:rtl w:val="true"/>
              </w:rPr>
              <w:t>وهنا أُمور</w:t>
            </w:r>
            <w:r>
              <w:rPr>
                <w:rStyle w:val="IndexLink"/>
                <w:rtl w:val="true"/>
              </w:rPr>
              <w:t>:</w:t>
              <w:tab/>
            </w:r>
            <w:r>
              <w:rPr>
                <w:rStyle w:val="IndexLink"/>
              </w:rPr>
              <w:t>378</w:t>
            </w:r>
          </w:hyperlink>
        </w:p>
        <w:p>
          <w:pPr>
            <w:pStyle w:val="Contents5"/>
            <w:tabs>
              <w:tab w:val="clear" w:pos="7892"/>
              <w:tab w:val="right" w:pos="9026" w:leader="dot"/>
            </w:tabs>
            <w:rPr/>
          </w:pPr>
          <w:hyperlink w:anchor="__RefHeading___Toc13372428_1280447820">
            <w:r>
              <w:rPr>
                <w:webHidden/>
                <w:rStyle w:val="IndexLink"/>
                <w:rtl w:val="true"/>
              </w:rPr>
              <w:t>أحدها</w:t>
            </w:r>
            <w:r>
              <w:rPr>
                <w:rStyle w:val="IndexLink"/>
                <w:rtl w:val="true"/>
              </w:rPr>
              <w:t xml:space="preserve">: </w:t>
            </w:r>
            <w:r>
              <w:rPr>
                <w:rStyle w:val="IndexLink"/>
                <w:rtl w:val="true"/>
              </w:rPr>
              <w:t>في أنّه لا يدخل في بيع الأرض وما في معناها ما كان مثبتاً فيها</w:t>
            </w:r>
            <w:r>
              <w:rPr>
                <w:rStyle w:val="IndexLink"/>
                <w:rtl w:val="true"/>
              </w:rPr>
              <w:tab/>
            </w:r>
            <w:r>
              <w:rPr>
                <w:rStyle w:val="IndexLink"/>
              </w:rPr>
              <w:t>378</w:t>
            </w:r>
          </w:hyperlink>
        </w:p>
        <w:p>
          <w:pPr>
            <w:pStyle w:val="Contents5"/>
            <w:tabs>
              <w:tab w:val="clear" w:pos="7892"/>
              <w:tab w:val="right" w:pos="9026" w:leader="dot"/>
            </w:tabs>
            <w:rPr/>
          </w:pPr>
          <w:hyperlink w:anchor="__RefHeading___Toc13372430_1280447820">
            <w:r>
              <w:rPr>
                <w:webHidden/>
                <w:rStyle w:val="IndexLink"/>
                <w:rtl w:val="true"/>
              </w:rPr>
              <w:t>ثانيها</w:t>
            </w:r>
            <w:r>
              <w:rPr>
                <w:rStyle w:val="IndexLink"/>
                <w:rtl w:val="true"/>
              </w:rPr>
              <w:t xml:space="preserve">: </w:t>
            </w:r>
            <w:r>
              <w:rPr>
                <w:rStyle w:val="IndexLink"/>
                <w:rtl w:val="true"/>
              </w:rPr>
              <w:t>عدم دخول الثمر في بيع الشجر والنخل وكذا الورد قبل تفتحه</w:t>
            </w:r>
            <w:r>
              <w:rPr>
                <w:rStyle w:val="IndexLink"/>
                <w:rtl w:val="true"/>
              </w:rPr>
              <w:tab/>
            </w:r>
            <w:r>
              <w:rPr>
                <w:rStyle w:val="IndexLink"/>
              </w:rPr>
              <w:t>379</w:t>
            </w:r>
          </w:hyperlink>
        </w:p>
        <w:p>
          <w:pPr>
            <w:pStyle w:val="Contents5"/>
            <w:tabs>
              <w:tab w:val="clear" w:pos="7892"/>
              <w:tab w:val="right" w:pos="9026" w:leader="dot"/>
            </w:tabs>
            <w:rPr/>
          </w:pPr>
          <w:hyperlink w:anchor="__RefHeading___Toc13372432_1280447820">
            <w:r>
              <w:rPr>
                <w:webHidden/>
                <w:rStyle w:val="IndexLink"/>
                <w:rtl w:val="true"/>
              </w:rPr>
              <w:t>ثالثها</w:t>
            </w:r>
            <w:r>
              <w:rPr>
                <w:rStyle w:val="IndexLink"/>
                <w:rtl w:val="true"/>
              </w:rPr>
              <w:t xml:space="preserve">: </w:t>
            </w:r>
            <w:r>
              <w:rPr>
                <w:rStyle w:val="IndexLink"/>
                <w:rtl w:val="true"/>
              </w:rPr>
              <w:t>في أنّه لا تدخل في بيع الأرض الأحجار الموضوعة فيها ولا الكنوز والخبايا</w:t>
            </w:r>
            <w:r>
              <w:rPr>
                <w:rStyle w:val="IndexLink"/>
                <w:rtl w:val="true"/>
              </w:rPr>
              <w:tab/>
            </w:r>
            <w:r>
              <w:rPr>
                <w:rStyle w:val="IndexLink"/>
              </w:rPr>
              <w:t>380</w:t>
            </w:r>
          </w:hyperlink>
        </w:p>
        <w:p>
          <w:pPr>
            <w:pStyle w:val="Contents5"/>
            <w:tabs>
              <w:tab w:val="clear" w:pos="7892"/>
              <w:tab w:val="right" w:pos="9026" w:leader="dot"/>
            </w:tabs>
            <w:rPr/>
          </w:pPr>
          <w:hyperlink w:anchor="__RefHeading___Toc13372434_1280447820">
            <w:r>
              <w:rPr>
                <w:webHidden/>
                <w:rStyle w:val="IndexLink"/>
                <w:rtl w:val="true"/>
              </w:rPr>
              <w:t>رابعها</w:t>
            </w:r>
            <w:r>
              <w:rPr>
                <w:rStyle w:val="IndexLink"/>
                <w:rtl w:val="true"/>
              </w:rPr>
              <w:t xml:space="preserve">: </w:t>
            </w:r>
            <w:r>
              <w:rPr>
                <w:rStyle w:val="IndexLink"/>
                <w:rtl w:val="true"/>
              </w:rPr>
              <w:t>في أنّه يجوز لصاحب الأصل ولصاحب الثمرة سقي النخل لمصلحته إذا لم يتضرّر الآخر بالسقي</w:t>
            </w:r>
            <w:r>
              <w:rPr>
                <w:rStyle w:val="IndexLink"/>
                <w:rtl w:val="true"/>
              </w:rPr>
              <w:tab/>
            </w:r>
            <w:r>
              <w:rPr>
                <w:rStyle w:val="IndexLink"/>
              </w:rPr>
              <w:t>381</w:t>
            </w:r>
          </w:hyperlink>
        </w:p>
        <w:p>
          <w:pPr>
            <w:pStyle w:val="Contents3"/>
            <w:tabs>
              <w:tab w:val="clear" w:pos="8459"/>
              <w:tab w:val="right" w:pos="9026" w:leader="dot"/>
            </w:tabs>
            <w:rPr/>
          </w:pPr>
          <w:hyperlink w:anchor="__RefHeading___Toc13372436_1280447820">
            <w:r>
              <w:rPr>
                <w:webHidden/>
                <w:rStyle w:val="IndexLink"/>
                <w:rtl w:val="true"/>
              </w:rPr>
              <w:t>القول في التسليم</w:t>
            </w:r>
            <w:r>
              <w:rPr>
                <w:rStyle w:val="IndexLink"/>
                <w:rtl w:val="true"/>
              </w:rPr>
              <w:tab/>
            </w:r>
            <w:r>
              <w:rPr>
                <w:rStyle w:val="IndexLink"/>
              </w:rPr>
              <w:t>383</w:t>
            </w:r>
          </w:hyperlink>
        </w:p>
        <w:p>
          <w:pPr>
            <w:pStyle w:val="Contents4"/>
            <w:tabs>
              <w:tab w:val="clear" w:pos="8176"/>
              <w:tab w:val="right" w:pos="9026" w:leader="dot"/>
            </w:tabs>
            <w:rPr/>
          </w:pPr>
          <w:hyperlink w:anchor="__RefHeading___Toc13372438_1280447820">
            <w:r>
              <w:rPr>
                <w:webHidden/>
                <w:rStyle w:val="IndexLink"/>
                <w:rtl w:val="true"/>
              </w:rPr>
              <w:t>اشتراك التسليم بين معان متعدّدة</w:t>
            </w:r>
            <w:r>
              <w:rPr>
                <w:rStyle w:val="IndexLink"/>
                <w:rtl w:val="true"/>
              </w:rPr>
              <w:tab/>
            </w:r>
            <w:r>
              <w:rPr>
                <w:rStyle w:val="IndexLink"/>
              </w:rPr>
              <w:t>383</w:t>
            </w:r>
          </w:hyperlink>
        </w:p>
        <w:p>
          <w:pPr>
            <w:pStyle w:val="Contents4"/>
            <w:tabs>
              <w:tab w:val="clear" w:pos="8176"/>
              <w:tab w:val="right" w:pos="9026" w:leader="dot"/>
            </w:tabs>
            <w:rPr/>
          </w:pPr>
          <w:hyperlink w:anchor="__RefHeading___Toc13372440_1280447820">
            <w:r>
              <w:rPr>
                <w:webHidden/>
                <w:rStyle w:val="IndexLink"/>
                <w:rtl w:val="true"/>
              </w:rPr>
              <w:t>وهنا أمور</w:t>
            </w:r>
            <w:r>
              <w:rPr>
                <w:rStyle w:val="IndexLink"/>
                <w:rtl w:val="true"/>
              </w:rPr>
              <w:t>:</w:t>
              <w:tab/>
            </w:r>
            <w:r>
              <w:rPr>
                <w:rStyle w:val="IndexLink"/>
              </w:rPr>
              <w:t>384</w:t>
            </w:r>
          </w:hyperlink>
        </w:p>
        <w:p>
          <w:pPr>
            <w:pStyle w:val="Contents5"/>
            <w:tabs>
              <w:tab w:val="clear" w:pos="7892"/>
              <w:tab w:val="right" w:pos="9026" w:leader="dot"/>
            </w:tabs>
            <w:rPr/>
          </w:pPr>
          <w:hyperlink w:anchor="__RefHeading___Toc13372442_1280447820">
            <w:r>
              <w:rPr>
                <w:webHidden/>
                <w:rStyle w:val="IndexLink"/>
                <w:rtl w:val="true"/>
              </w:rPr>
              <w:t>أحدها</w:t>
            </w:r>
            <w:r>
              <w:rPr>
                <w:rStyle w:val="IndexLink"/>
                <w:rtl w:val="true"/>
              </w:rPr>
              <w:t xml:space="preserve">: </w:t>
            </w:r>
            <w:r>
              <w:rPr>
                <w:rStyle w:val="IndexLink"/>
                <w:rtl w:val="true"/>
              </w:rPr>
              <w:t>التقبيض فيما لا يُنقل هو التخلية</w:t>
            </w:r>
            <w:r>
              <w:rPr>
                <w:rStyle w:val="IndexLink"/>
                <w:rtl w:val="true"/>
              </w:rPr>
              <w:tab/>
            </w:r>
            <w:r>
              <w:rPr>
                <w:rStyle w:val="IndexLink"/>
              </w:rPr>
              <w:t>384</w:t>
            </w:r>
          </w:hyperlink>
        </w:p>
        <w:p>
          <w:pPr>
            <w:pStyle w:val="Contents5"/>
            <w:tabs>
              <w:tab w:val="clear" w:pos="7892"/>
              <w:tab w:val="right" w:pos="9026" w:leader="dot"/>
            </w:tabs>
            <w:rPr/>
          </w:pPr>
          <w:hyperlink w:anchor="__RefHeading___Toc13372444_1280447820">
            <w:r>
              <w:rPr>
                <w:webHidden/>
                <w:rStyle w:val="IndexLink"/>
                <w:rtl w:val="true"/>
              </w:rPr>
              <w:t>ثانيها</w:t>
            </w:r>
            <w:r>
              <w:rPr>
                <w:rStyle w:val="IndexLink"/>
                <w:rtl w:val="true"/>
              </w:rPr>
              <w:t xml:space="preserve">: </w:t>
            </w:r>
            <w:r>
              <w:rPr>
                <w:rStyle w:val="IndexLink"/>
                <w:rtl w:val="true"/>
              </w:rPr>
              <w:t>في أنّه يجب على كل من المتعاقدين تسليم الآخر ما ملكه إياه</w:t>
            </w:r>
            <w:r>
              <w:rPr>
                <w:rStyle w:val="IndexLink"/>
                <w:rtl w:val="true"/>
              </w:rPr>
              <w:tab/>
            </w:r>
            <w:r>
              <w:rPr>
                <w:rStyle w:val="IndexLink"/>
              </w:rPr>
              <w:t>387</w:t>
            </w:r>
          </w:hyperlink>
        </w:p>
        <w:p>
          <w:pPr>
            <w:pStyle w:val="Contents5"/>
            <w:tabs>
              <w:tab w:val="clear" w:pos="7892"/>
              <w:tab w:val="right" w:pos="9026" w:leader="dot"/>
            </w:tabs>
            <w:rPr/>
          </w:pPr>
          <w:hyperlink w:anchor="__RefHeading___Toc13372446_1280447820">
            <w:r>
              <w:rPr>
                <w:webHidden/>
                <w:rStyle w:val="IndexLink"/>
                <w:rtl w:val="true"/>
              </w:rPr>
              <w:t>ثالثها</w:t>
            </w:r>
            <w:r>
              <w:rPr>
                <w:rStyle w:val="IndexLink"/>
                <w:rtl w:val="true"/>
              </w:rPr>
              <w:t xml:space="preserve">: </w:t>
            </w:r>
            <w:r>
              <w:rPr>
                <w:rStyle w:val="IndexLink"/>
                <w:rtl w:val="true"/>
              </w:rPr>
              <w:t>فيما يتعلّق بما لو حدث في المبيع عيب قبل القبض</w:t>
            </w:r>
            <w:r>
              <w:rPr>
                <w:rStyle w:val="IndexLink"/>
                <w:rtl w:val="true"/>
              </w:rPr>
              <w:tab/>
            </w:r>
            <w:r>
              <w:rPr>
                <w:rStyle w:val="IndexLink"/>
              </w:rPr>
              <w:t>388</w:t>
            </w:r>
          </w:hyperlink>
        </w:p>
        <w:p>
          <w:pPr>
            <w:pStyle w:val="Contents5"/>
            <w:tabs>
              <w:tab w:val="clear" w:pos="7892"/>
              <w:tab w:val="right" w:pos="9026" w:leader="dot"/>
            </w:tabs>
            <w:rPr/>
          </w:pPr>
          <w:hyperlink w:anchor="__RefHeading___Toc13372448_1280447820">
            <w:r>
              <w:rPr>
                <w:webHidden/>
                <w:rStyle w:val="IndexLink"/>
                <w:rtl w:val="true"/>
              </w:rPr>
              <w:t>رابعها</w:t>
            </w:r>
            <w:r>
              <w:rPr>
                <w:rStyle w:val="IndexLink"/>
                <w:rtl w:val="true"/>
              </w:rPr>
              <w:t xml:space="preserve">: </w:t>
            </w:r>
            <w:r>
              <w:rPr>
                <w:rStyle w:val="IndexLink"/>
                <w:rtl w:val="true"/>
              </w:rPr>
              <w:t>هل يكفي قبض المشتري بدون تقبيض البائع أو إذنه في قبضه في رفع الضمان عن البائع ؟</w:t>
            </w:r>
            <w:r>
              <w:rPr>
                <w:rStyle w:val="IndexLink"/>
                <w:rtl w:val="true"/>
              </w:rPr>
              <w:tab/>
            </w:r>
            <w:r>
              <w:rPr>
                <w:rStyle w:val="IndexLink"/>
              </w:rPr>
              <w:t>388</w:t>
            </w:r>
          </w:hyperlink>
        </w:p>
        <w:p>
          <w:pPr>
            <w:pStyle w:val="Contents5"/>
            <w:tabs>
              <w:tab w:val="clear" w:pos="7892"/>
              <w:tab w:val="right" w:pos="9026" w:leader="dot"/>
            </w:tabs>
            <w:rPr/>
          </w:pPr>
          <w:hyperlink w:anchor="__RefHeading___Toc13372450_1280447820">
            <w:r>
              <w:rPr>
                <w:webHidden/>
                <w:rStyle w:val="IndexLink"/>
                <w:rtl w:val="true"/>
              </w:rPr>
              <w:t>خامسها</w:t>
            </w:r>
            <w:r>
              <w:rPr>
                <w:rStyle w:val="IndexLink"/>
                <w:rtl w:val="true"/>
              </w:rPr>
              <w:t xml:space="preserve">: </w:t>
            </w:r>
            <w:r>
              <w:rPr>
                <w:rStyle w:val="IndexLink"/>
                <w:rtl w:val="true"/>
              </w:rPr>
              <w:t>حكم ما إذا اختلط المبيع بغيره اختلاطاً لا يمكن تميزه أو يمكن ولكن لا يمكن فصله قبل القبض أو بعده</w:t>
            </w:r>
            <w:r>
              <w:rPr>
                <w:rStyle w:val="IndexLink"/>
                <w:rtl w:val="true"/>
              </w:rPr>
              <w:tab/>
            </w:r>
            <w:r>
              <w:rPr>
                <w:rStyle w:val="IndexLink"/>
              </w:rPr>
              <w:t>389</w:t>
            </w:r>
          </w:hyperlink>
        </w:p>
        <w:p>
          <w:pPr>
            <w:pStyle w:val="Contents5"/>
            <w:tabs>
              <w:tab w:val="clear" w:pos="7892"/>
              <w:tab w:val="right" w:pos="9026" w:leader="dot"/>
            </w:tabs>
            <w:rPr/>
          </w:pPr>
          <w:hyperlink w:anchor="__RefHeading___Toc13372452_1280447820">
            <w:r>
              <w:rPr>
                <w:webHidden/>
                <w:rStyle w:val="IndexLink"/>
                <w:rtl w:val="true"/>
              </w:rPr>
              <w:t>سادسها</w:t>
            </w:r>
            <w:r>
              <w:rPr>
                <w:rStyle w:val="IndexLink"/>
                <w:rtl w:val="true"/>
              </w:rPr>
              <w:t xml:space="preserve">: </w:t>
            </w:r>
            <w:r>
              <w:rPr>
                <w:rStyle w:val="IndexLink"/>
                <w:rtl w:val="true"/>
              </w:rPr>
              <w:t>وجوب تفريغ المبيع عن مال البائع</w:t>
            </w:r>
            <w:r>
              <w:rPr>
                <w:rStyle w:val="IndexLink"/>
                <w:rtl w:val="true"/>
              </w:rPr>
              <w:tab/>
            </w:r>
            <w:r>
              <w:rPr>
                <w:rStyle w:val="IndexLink"/>
              </w:rPr>
              <w:t>390</w:t>
            </w:r>
          </w:hyperlink>
        </w:p>
        <w:p>
          <w:pPr>
            <w:pStyle w:val="Contents5"/>
            <w:tabs>
              <w:tab w:val="clear" w:pos="7892"/>
              <w:tab w:val="right" w:pos="9026" w:leader="dot"/>
            </w:tabs>
            <w:rPr/>
          </w:pPr>
          <w:hyperlink w:anchor="__RefHeading___Toc13372454_1280447820">
            <w:r>
              <w:rPr>
                <w:webHidden/>
                <w:rStyle w:val="IndexLink"/>
                <w:rtl w:val="true"/>
              </w:rPr>
              <w:t>سابعها</w:t>
            </w:r>
            <w:r>
              <w:rPr>
                <w:rStyle w:val="IndexLink"/>
                <w:rtl w:val="true"/>
              </w:rPr>
              <w:t xml:space="preserve">: </w:t>
            </w:r>
            <w:r>
              <w:rPr>
                <w:rStyle w:val="IndexLink"/>
                <w:rtl w:val="true"/>
              </w:rPr>
              <w:t>عدم فسخ البيع بتعذر التسليم ما بين العقد و القبض</w:t>
            </w:r>
            <w:r>
              <w:rPr>
                <w:rStyle w:val="IndexLink"/>
                <w:rtl w:val="true"/>
              </w:rPr>
              <w:tab/>
            </w:r>
            <w:r>
              <w:rPr>
                <w:rStyle w:val="IndexLink"/>
              </w:rPr>
              <w:t>390</w:t>
            </w:r>
          </w:hyperlink>
        </w:p>
        <w:p>
          <w:pPr>
            <w:pStyle w:val="Contents5"/>
            <w:tabs>
              <w:tab w:val="clear" w:pos="7892"/>
              <w:tab w:val="right" w:pos="9026" w:leader="dot"/>
            </w:tabs>
            <w:rPr/>
          </w:pPr>
          <w:hyperlink w:anchor="__RefHeading___Toc13372456_1280447820">
            <w:r>
              <w:rPr>
                <w:webHidden/>
                <w:rStyle w:val="IndexLink"/>
                <w:rtl w:val="true"/>
              </w:rPr>
              <w:t>ثامنها</w:t>
            </w:r>
            <w:r>
              <w:rPr>
                <w:rStyle w:val="IndexLink"/>
                <w:rtl w:val="true"/>
              </w:rPr>
              <w:t xml:space="preserve">: </w:t>
            </w:r>
            <w:r>
              <w:rPr>
                <w:rStyle w:val="IndexLink"/>
                <w:rtl w:val="true"/>
              </w:rPr>
              <w:t>تلف المبيع قبل قبضه من مال بائعه إذا كان التلف من غير البائع أو أجنبي</w:t>
            </w:r>
            <w:r>
              <w:rPr>
                <w:rStyle w:val="IndexLink"/>
                <w:rtl w:val="true"/>
              </w:rPr>
              <w:tab/>
            </w:r>
            <w:r>
              <w:rPr>
                <w:rStyle w:val="IndexLink"/>
              </w:rPr>
              <w:t>391</w:t>
            </w:r>
          </w:hyperlink>
        </w:p>
        <w:p>
          <w:pPr>
            <w:pStyle w:val="Contents5"/>
            <w:tabs>
              <w:tab w:val="clear" w:pos="7892"/>
              <w:tab w:val="right" w:pos="9026" w:leader="dot"/>
            </w:tabs>
            <w:rPr/>
          </w:pPr>
          <w:hyperlink w:anchor="__RefHeading___Toc13372458_1280447820">
            <w:r>
              <w:rPr>
                <w:webHidden/>
                <w:rStyle w:val="IndexLink"/>
                <w:rtl w:val="true"/>
              </w:rPr>
              <w:t>تاسعها</w:t>
            </w:r>
            <w:r>
              <w:rPr>
                <w:rStyle w:val="IndexLink"/>
                <w:rtl w:val="true"/>
              </w:rPr>
              <w:t xml:space="preserve">: </w:t>
            </w:r>
            <w:r>
              <w:rPr>
                <w:rStyle w:val="IndexLink"/>
                <w:rtl w:val="true"/>
              </w:rPr>
              <w:t>عدم حرمة بيع ما لم يقبض من ثمن أو مثمن</w:t>
            </w:r>
            <w:r>
              <w:rPr>
                <w:rStyle w:val="IndexLink"/>
                <w:rtl w:val="true"/>
              </w:rPr>
              <w:tab/>
            </w:r>
            <w:r>
              <w:rPr>
                <w:rStyle w:val="IndexLink"/>
              </w:rPr>
              <w:t>392</w:t>
            </w:r>
          </w:hyperlink>
        </w:p>
        <w:p>
          <w:pPr>
            <w:pStyle w:val="Contents5"/>
            <w:tabs>
              <w:tab w:val="clear" w:pos="7892"/>
              <w:tab w:val="right" w:pos="9026" w:leader="dot"/>
            </w:tabs>
            <w:rPr/>
          </w:pPr>
          <w:hyperlink w:anchor="__RefHeading___Toc13372460_1280447820">
            <w:r>
              <w:rPr>
                <w:webHidden/>
                <w:rStyle w:val="IndexLink"/>
                <w:rtl w:val="true"/>
              </w:rPr>
              <w:t>عاشرها</w:t>
            </w:r>
            <w:r>
              <w:rPr>
                <w:rStyle w:val="IndexLink"/>
                <w:rtl w:val="true"/>
              </w:rPr>
              <w:t xml:space="preserve">: </w:t>
            </w:r>
            <w:r>
              <w:rPr>
                <w:rStyle w:val="IndexLink"/>
                <w:rtl w:val="true"/>
              </w:rPr>
              <w:t>حكم ما لو أنكر المشتري وصول المبيع إليه كلّاً أو بعضاً</w:t>
            </w:r>
            <w:r>
              <w:rPr>
                <w:rStyle w:val="IndexLink"/>
                <w:rtl w:val="true"/>
              </w:rPr>
              <w:tab/>
            </w:r>
            <w:r>
              <w:rPr>
                <w:rStyle w:val="IndexLink"/>
              </w:rPr>
              <w:t>396</w:t>
            </w:r>
          </w:hyperlink>
        </w:p>
        <w:p>
          <w:pPr>
            <w:pStyle w:val="Contents5"/>
            <w:tabs>
              <w:tab w:val="clear" w:pos="7892"/>
              <w:tab w:val="right" w:pos="9026" w:leader="dot"/>
            </w:tabs>
            <w:rPr/>
          </w:pPr>
          <w:hyperlink w:anchor="__RefHeading___Toc13372462_1280447820">
            <w:r>
              <w:rPr>
                <w:webHidden/>
                <w:rStyle w:val="IndexLink"/>
                <w:rtl w:val="true"/>
              </w:rPr>
              <w:t>حادي عشرها</w:t>
            </w:r>
            <w:r>
              <w:rPr>
                <w:rStyle w:val="IndexLink"/>
                <w:rtl w:val="true"/>
              </w:rPr>
              <w:t xml:space="preserve">: </w:t>
            </w:r>
            <w:r>
              <w:rPr>
                <w:rStyle w:val="IndexLink"/>
                <w:rtl w:val="true"/>
              </w:rPr>
              <w:t>حكم ما لو أسلفه طعاماً في بلد خاص وكان موافقاً لبلد أحدهما</w:t>
            </w:r>
            <w:r>
              <w:rPr>
                <w:rStyle w:val="IndexLink"/>
                <w:rtl w:val="true"/>
              </w:rPr>
              <w:tab/>
            </w:r>
            <w:r>
              <w:rPr>
                <w:rStyle w:val="IndexLink"/>
              </w:rPr>
              <w:t>397</w:t>
            </w:r>
          </w:hyperlink>
        </w:p>
        <w:p>
          <w:pPr>
            <w:pStyle w:val="Contents3"/>
            <w:tabs>
              <w:tab w:val="clear" w:pos="8459"/>
              <w:tab w:val="right" w:pos="9026" w:leader="dot"/>
            </w:tabs>
            <w:rPr/>
          </w:pPr>
          <w:hyperlink w:anchor="__RefHeading___Toc13372464_1280447820">
            <w:r>
              <w:rPr>
                <w:webHidden/>
                <w:rStyle w:val="IndexLink"/>
                <w:rtl w:val="true"/>
              </w:rPr>
              <w:t>القول في اختلاف المتبايعين</w:t>
            </w:r>
            <w:r>
              <w:rPr>
                <w:rStyle w:val="IndexLink"/>
                <w:rtl w:val="true"/>
              </w:rPr>
              <w:tab/>
            </w:r>
            <w:r>
              <w:rPr>
                <w:rStyle w:val="IndexLink"/>
              </w:rPr>
              <w:t>400</w:t>
            </w:r>
          </w:hyperlink>
        </w:p>
        <w:p>
          <w:pPr>
            <w:pStyle w:val="Contents4"/>
            <w:tabs>
              <w:tab w:val="clear" w:pos="8176"/>
              <w:tab w:val="right" w:pos="9026" w:leader="dot"/>
            </w:tabs>
            <w:rPr/>
          </w:pPr>
          <w:hyperlink w:anchor="__RefHeading___Toc13372466_1280447820">
            <w:r>
              <w:rPr>
                <w:webHidden/>
                <w:rStyle w:val="IndexLink"/>
                <w:rtl w:val="true"/>
              </w:rPr>
              <w:t>وفيه أُمور</w:t>
            </w:r>
            <w:r>
              <w:rPr>
                <w:rStyle w:val="IndexLink"/>
                <w:rtl w:val="true"/>
              </w:rPr>
              <w:t>:</w:t>
              <w:tab/>
            </w:r>
            <w:r>
              <w:rPr>
                <w:rStyle w:val="IndexLink"/>
              </w:rPr>
              <w:t>400</w:t>
            </w:r>
          </w:hyperlink>
        </w:p>
        <w:p>
          <w:pPr>
            <w:pStyle w:val="Contents5"/>
            <w:tabs>
              <w:tab w:val="clear" w:pos="7892"/>
              <w:tab w:val="right" w:pos="9026" w:leader="dot"/>
            </w:tabs>
            <w:rPr/>
          </w:pPr>
          <w:hyperlink w:anchor="__RefHeading___Toc13372468_1280447820">
            <w:r>
              <w:rPr>
                <w:webHidden/>
                <w:rStyle w:val="IndexLink"/>
                <w:rtl w:val="true"/>
              </w:rPr>
              <w:t>أولها</w:t>
            </w:r>
            <w:r>
              <w:rPr>
                <w:rStyle w:val="IndexLink"/>
                <w:rtl w:val="true"/>
              </w:rPr>
              <w:t xml:space="preserve">: </w:t>
            </w:r>
            <w:r>
              <w:rPr>
                <w:rStyle w:val="IndexLink"/>
                <w:rtl w:val="true"/>
              </w:rPr>
              <w:t>انصراف لفظ النقد والكيل والوزن إلى المتعارف المعهود في بلد المتعاقدين</w:t>
            </w:r>
            <w:r>
              <w:rPr>
                <w:rStyle w:val="IndexLink"/>
                <w:rtl w:val="true"/>
              </w:rPr>
              <w:tab/>
            </w:r>
            <w:r>
              <w:rPr>
                <w:rStyle w:val="IndexLink"/>
              </w:rPr>
              <w:t>400</w:t>
            </w:r>
          </w:hyperlink>
        </w:p>
        <w:p>
          <w:pPr>
            <w:pStyle w:val="Contents5"/>
            <w:tabs>
              <w:tab w:val="clear" w:pos="7892"/>
              <w:tab w:val="right" w:pos="9026" w:leader="dot"/>
            </w:tabs>
            <w:rPr/>
          </w:pPr>
          <w:hyperlink w:anchor="__RefHeading___Toc13372470_1280447820">
            <w:r>
              <w:rPr>
                <w:webHidden/>
                <w:rStyle w:val="IndexLink"/>
                <w:rtl w:val="true"/>
              </w:rPr>
              <w:t>ثانيها</w:t>
            </w:r>
            <w:r>
              <w:rPr>
                <w:rStyle w:val="IndexLink"/>
                <w:rtl w:val="true"/>
              </w:rPr>
              <w:t xml:space="preserve">: </w:t>
            </w:r>
            <w:r>
              <w:rPr>
                <w:rStyle w:val="IndexLink"/>
                <w:rtl w:val="true"/>
              </w:rPr>
              <w:t>حكم ما لو اختلف المتبايعان في قدر الثمن أو قدر المثمن أو قدر الأجل أو قدر المشروط</w:t>
            </w:r>
            <w:r>
              <w:rPr>
                <w:rStyle w:val="IndexLink"/>
                <w:rtl w:val="true"/>
              </w:rPr>
              <w:tab/>
            </w:r>
            <w:r>
              <w:rPr>
                <w:rStyle w:val="IndexLink"/>
              </w:rPr>
              <w:t>400</w:t>
            </w:r>
          </w:hyperlink>
        </w:p>
        <w:p>
          <w:pPr>
            <w:pStyle w:val="Contents5"/>
            <w:tabs>
              <w:tab w:val="clear" w:pos="7892"/>
              <w:tab w:val="right" w:pos="9026" w:leader="dot"/>
            </w:tabs>
            <w:rPr/>
          </w:pPr>
          <w:hyperlink w:anchor="__RefHeading___Toc13372472_1280447820">
            <w:r>
              <w:rPr>
                <w:webHidden/>
                <w:rStyle w:val="IndexLink"/>
                <w:rtl w:val="true"/>
              </w:rPr>
              <w:t>ثالثها</w:t>
            </w:r>
            <w:r>
              <w:rPr>
                <w:rStyle w:val="IndexLink"/>
                <w:rtl w:val="true"/>
              </w:rPr>
              <w:t xml:space="preserve">: </w:t>
            </w:r>
            <w:r>
              <w:rPr>
                <w:rStyle w:val="IndexLink"/>
                <w:rtl w:val="true"/>
              </w:rPr>
              <w:t>حكم ما لو تلف أحد العوضين قبل التحالف</w:t>
            </w:r>
            <w:r>
              <w:rPr>
                <w:rStyle w:val="IndexLink"/>
                <w:rtl w:val="true"/>
              </w:rPr>
              <w:tab/>
            </w:r>
            <w:r>
              <w:rPr>
                <w:rStyle w:val="IndexLink"/>
              </w:rPr>
              <w:t>404</w:t>
            </w:r>
          </w:hyperlink>
        </w:p>
        <w:p>
          <w:pPr>
            <w:pStyle w:val="Contents3"/>
            <w:tabs>
              <w:tab w:val="clear" w:pos="8459"/>
              <w:tab w:val="right" w:pos="9026" w:leader="dot"/>
            </w:tabs>
            <w:rPr/>
          </w:pPr>
          <w:hyperlink w:anchor="__RefHeading___Toc13372474_1280447820">
            <w:r>
              <w:rPr>
                <w:webHidden/>
                <w:rStyle w:val="IndexLink"/>
                <w:rtl w:val="true"/>
              </w:rPr>
              <w:t>القول في الشرائط</w:t>
            </w:r>
            <w:r>
              <w:rPr>
                <w:rStyle w:val="IndexLink"/>
                <w:rtl w:val="true"/>
              </w:rPr>
              <w:tab/>
            </w:r>
            <w:r>
              <w:rPr>
                <w:rStyle w:val="IndexLink"/>
              </w:rPr>
              <w:t>406</w:t>
            </w:r>
          </w:hyperlink>
        </w:p>
        <w:p>
          <w:pPr>
            <w:pStyle w:val="Contents4"/>
            <w:tabs>
              <w:tab w:val="clear" w:pos="8176"/>
              <w:tab w:val="right" w:pos="9026" w:leader="dot"/>
            </w:tabs>
            <w:rPr/>
          </w:pPr>
          <w:hyperlink w:anchor="__RefHeading___Toc13372476_1280447820">
            <w:r>
              <w:rPr>
                <w:webHidden/>
                <w:rStyle w:val="IndexLink"/>
                <w:rtl w:val="true"/>
              </w:rPr>
              <w:t>وفيه أمور</w:t>
            </w:r>
            <w:r>
              <w:rPr>
                <w:rStyle w:val="IndexLink"/>
                <w:rtl w:val="true"/>
              </w:rPr>
              <w:t>:</w:t>
              <w:tab/>
            </w:r>
            <w:r>
              <w:rPr>
                <w:rStyle w:val="IndexLink"/>
              </w:rPr>
              <w:t>406</w:t>
            </w:r>
          </w:hyperlink>
        </w:p>
        <w:p>
          <w:pPr>
            <w:pStyle w:val="Contents5"/>
            <w:tabs>
              <w:tab w:val="clear" w:pos="7892"/>
              <w:tab w:val="right" w:pos="9026" w:leader="dot"/>
            </w:tabs>
            <w:rPr/>
          </w:pPr>
          <w:hyperlink w:anchor="__RefHeading___Toc13372478_1280447820">
            <w:r>
              <w:rPr>
                <w:webHidden/>
                <w:rStyle w:val="IndexLink"/>
                <w:rtl w:val="true"/>
              </w:rPr>
              <w:t>أحدها</w:t>
            </w:r>
            <w:r>
              <w:rPr>
                <w:rStyle w:val="IndexLink"/>
                <w:rtl w:val="true"/>
              </w:rPr>
              <w:t xml:space="preserve">: </w:t>
            </w:r>
            <w:r>
              <w:rPr>
                <w:rStyle w:val="IndexLink"/>
                <w:rtl w:val="true"/>
              </w:rPr>
              <w:t>في أن الشرط المقصود به التعليق مفسد للعقد</w:t>
            </w:r>
            <w:r>
              <w:rPr>
                <w:rStyle w:val="IndexLink"/>
                <w:rtl w:val="true"/>
              </w:rPr>
              <w:tab/>
            </w:r>
            <w:r>
              <w:rPr>
                <w:rStyle w:val="IndexLink"/>
              </w:rPr>
              <w:t>406</w:t>
            </w:r>
          </w:hyperlink>
        </w:p>
        <w:p>
          <w:pPr>
            <w:pStyle w:val="Contents5"/>
            <w:tabs>
              <w:tab w:val="clear" w:pos="7892"/>
              <w:tab w:val="right" w:pos="9026" w:leader="dot"/>
            </w:tabs>
            <w:rPr/>
          </w:pPr>
          <w:hyperlink w:anchor="__RefHeading___Toc13372480_1280447820">
            <w:r>
              <w:rPr>
                <w:webHidden/>
                <w:rStyle w:val="IndexLink"/>
                <w:rtl w:val="true"/>
              </w:rPr>
              <w:t>ثانيها</w:t>
            </w:r>
            <w:r>
              <w:rPr>
                <w:rStyle w:val="IndexLink"/>
                <w:rtl w:val="true"/>
              </w:rPr>
              <w:t xml:space="preserve">: </w:t>
            </w:r>
            <w:r>
              <w:rPr>
                <w:rStyle w:val="IndexLink"/>
                <w:rtl w:val="true"/>
              </w:rPr>
              <w:t>وجوب الوفاء بمقتضى الشرط</w:t>
            </w:r>
            <w:r>
              <w:rPr>
                <w:rStyle w:val="IndexLink"/>
                <w:rtl w:val="true"/>
              </w:rPr>
              <w:tab/>
            </w:r>
            <w:r>
              <w:rPr>
                <w:rStyle w:val="IndexLink"/>
              </w:rPr>
              <w:t>407</w:t>
            </w:r>
          </w:hyperlink>
        </w:p>
        <w:p>
          <w:pPr>
            <w:pStyle w:val="Contents5"/>
            <w:tabs>
              <w:tab w:val="clear" w:pos="7892"/>
              <w:tab w:val="right" w:pos="9026" w:leader="dot"/>
            </w:tabs>
            <w:rPr/>
          </w:pPr>
          <w:hyperlink w:anchor="__RefHeading___Toc13372482_1280447820">
            <w:r>
              <w:rPr>
                <w:webHidden/>
                <w:rStyle w:val="IndexLink"/>
                <w:rtl w:val="true"/>
              </w:rPr>
              <w:t>ثالثها</w:t>
            </w:r>
            <w:r>
              <w:rPr>
                <w:rStyle w:val="IndexLink"/>
                <w:rtl w:val="true"/>
              </w:rPr>
              <w:t xml:space="preserve">: </w:t>
            </w:r>
            <w:r>
              <w:rPr>
                <w:rStyle w:val="IndexLink"/>
                <w:rtl w:val="true"/>
              </w:rPr>
              <w:t>عدم جواز التمسك بعموم أدلّة الشروط كالمجملات</w:t>
            </w:r>
            <w:r>
              <w:rPr>
                <w:rStyle w:val="IndexLink"/>
                <w:rtl w:val="true"/>
              </w:rPr>
              <w:tab/>
            </w:r>
            <w:r>
              <w:rPr>
                <w:rStyle w:val="IndexLink"/>
              </w:rPr>
              <w:t>407</w:t>
            </w:r>
          </w:hyperlink>
        </w:p>
        <w:p>
          <w:pPr>
            <w:pStyle w:val="Contents5"/>
            <w:tabs>
              <w:tab w:val="clear" w:pos="7892"/>
              <w:tab w:val="right" w:pos="9026" w:leader="dot"/>
            </w:tabs>
            <w:rPr/>
          </w:pPr>
          <w:hyperlink w:anchor="__RefHeading___Toc13372484_1280447820">
            <w:r>
              <w:rPr>
                <w:webHidden/>
                <w:rStyle w:val="IndexLink"/>
                <w:rtl w:val="true"/>
              </w:rPr>
              <w:t xml:space="preserve">رابعها </w:t>
            </w:r>
            <w:r>
              <w:rPr>
                <w:rStyle w:val="IndexLink"/>
                <w:rtl w:val="true"/>
              </w:rPr>
              <w:t xml:space="preserve">: </w:t>
            </w:r>
            <w:r>
              <w:rPr>
                <w:rStyle w:val="IndexLink"/>
                <w:rtl w:val="true"/>
              </w:rPr>
              <w:t>هل يفسد العقد لو وقع فيه شرط فاسد؟</w:t>
            </w:r>
            <w:r>
              <w:rPr>
                <w:rStyle w:val="IndexLink"/>
                <w:rtl w:val="true"/>
              </w:rPr>
              <w:tab/>
            </w:r>
            <w:r>
              <w:rPr>
                <w:rStyle w:val="IndexLink"/>
              </w:rPr>
              <w:t>408</w:t>
            </w:r>
          </w:hyperlink>
        </w:p>
        <w:p>
          <w:pPr>
            <w:pStyle w:val="Contents5"/>
            <w:tabs>
              <w:tab w:val="clear" w:pos="7892"/>
              <w:tab w:val="right" w:pos="9026" w:leader="dot"/>
            </w:tabs>
            <w:rPr/>
          </w:pPr>
          <w:hyperlink w:anchor="__RefHeading___Toc13372486_1280447820">
            <w:r>
              <w:rPr>
                <w:webHidden/>
                <w:rStyle w:val="IndexLink"/>
                <w:rtl w:val="true"/>
              </w:rPr>
              <w:t>خامسها</w:t>
            </w:r>
            <w:r>
              <w:rPr>
                <w:rStyle w:val="IndexLink"/>
                <w:rtl w:val="true"/>
              </w:rPr>
              <w:t xml:space="preserve">: </w:t>
            </w:r>
            <w:r>
              <w:rPr>
                <w:rStyle w:val="IndexLink"/>
                <w:rtl w:val="true"/>
              </w:rPr>
              <w:t>فيما ورد أن الشرط المخالف للكتاب والسنّة باطل</w:t>
            </w:r>
            <w:r>
              <w:rPr>
                <w:rStyle w:val="IndexLink"/>
                <w:rtl w:val="true"/>
              </w:rPr>
              <w:tab/>
            </w:r>
            <w:r>
              <w:rPr>
                <w:rStyle w:val="IndexLink"/>
              </w:rPr>
              <w:t>409</w:t>
            </w:r>
          </w:hyperlink>
        </w:p>
        <w:p>
          <w:pPr>
            <w:pStyle w:val="Contents6"/>
            <w:tabs>
              <w:tab w:val="clear" w:pos="7609"/>
              <w:tab w:val="right" w:pos="9026" w:leader="dot"/>
            </w:tabs>
            <w:rPr/>
          </w:pPr>
          <w:hyperlink w:anchor="__RefHeading___Toc13372488_1280447820">
            <w:r>
              <w:rPr>
                <w:webHidden/>
                <w:rStyle w:val="IndexLink"/>
                <w:rtl w:val="true"/>
              </w:rPr>
              <w:t>إشارة</w:t>
            </w:r>
            <w:r>
              <w:rPr>
                <w:rStyle w:val="IndexLink"/>
                <w:rtl w:val="true"/>
              </w:rPr>
              <w:t>:</w:t>
              <w:tab/>
            </w:r>
            <w:r>
              <w:rPr>
                <w:rStyle w:val="IndexLink"/>
              </w:rPr>
              <w:t>409</w:t>
            </w:r>
          </w:hyperlink>
        </w:p>
        <w:p>
          <w:pPr>
            <w:pStyle w:val="Contents6"/>
            <w:tabs>
              <w:tab w:val="clear" w:pos="7609"/>
              <w:tab w:val="right" w:pos="9026" w:leader="dot"/>
            </w:tabs>
            <w:rPr/>
          </w:pPr>
          <w:hyperlink w:anchor="__RefHeading___Toc13372490_1280447820">
            <w:r>
              <w:rPr>
                <w:webHidden/>
                <w:rStyle w:val="IndexLink"/>
                <w:rtl w:val="true"/>
              </w:rPr>
              <w:t>بيان أنواع الشرائط وأحكامها</w:t>
            </w:r>
            <w:r>
              <w:rPr>
                <w:rStyle w:val="IndexLink"/>
                <w:rtl w:val="true"/>
              </w:rPr>
              <w:tab/>
            </w:r>
            <w:r>
              <w:rPr>
                <w:rStyle w:val="IndexLink"/>
              </w:rPr>
              <w:t>410</w:t>
            </w:r>
          </w:hyperlink>
        </w:p>
        <w:p>
          <w:pPr>
            <w:pStyle w:val="Contents5"/>
            <w:tabs>
              <w:tab w:val="clear" w:pos="7892"/>
              <w:tab w:val="right" w:pos="9026" w:leader="dot"/>
            </w:tabs>
            <w:rPr/>
          </w:pPr>
          <w:hyperlink w:anchor="__RefHeading___Toc13372492_1280447820">
            <w:r>
              <w:rPr>
                <w:webHidden/>
                <w:rStyle w:val="IndexLink"/>
                <w:rtl w:val="true"/>
              </w:rPr>
              <w:t>سادسها</w:t>
            </w:r>
            <w:r>
              <w:rPr>
                <w:rStyle w:val="IndexLink"/>
                <w:rtl w:val="true"/>
              </w:rPr>
              <w:t xml:space="preserve">: </w:t>
            </w:r>
            <w:r>
              <w:rPr>
                <w:rStyle w:val="IndexLink"/>
                <w:rtl w:val="true"/>
              </w:rPr>
              <w:t>في أنّه يجوز في عقد البيع اشتراط أن يرهن عنده رهناً على دين سابق أو على ثمن المبيع الواقع في ذلك العقد</w:t>
            </w:r>
            <w:r>
              <w:rPr>
                <w:rStyle w:val="IndexLink"/>
                <w:rtl w:val="true"/>
              </w:rPr>
              <w:tab/>
            </w:r>
            <w:r>
              <w:rPr>
                <w:rStyle w:val="IndexLink"/>
              </w:rPr>
              <w:t>413</w:t>
            </w:r>
          </w:hyperlink>
        </w:p>
        <w:p>
          <w:pPr>
            <w:pStyle w:val="Contents5"/>
            <w:tabs>
              <w:tab w:val="clear" w:pos="7892"/>
              <w:tab w:val="right" w:pos="9026" w:leader="dot"/>
            </w:tabs>
            <w:rPr/>
          </w:pPr>
          <w:hyperlink w:anchor="__RefHeading___Toc13372494_1280447820">
            <w:r>
              <w:rPr>
                <w:webHidden/>
                <w:rStyle w:val="IndexLink"/>
                <w:rtl w:val="true"/>
              </w:rPr>
              <w:t xml:space="preserve">سابعها </w:t>
            </w:r>
            <w:r>
              <w:rPr>
                <w:rStyle w:val="IndexLink"/>
                <w:rtl w:val="true"/>
              </w:rPr>
              <w:t>:</w:t>
            </w:r>
            <w:r>
              <w:rPr>
                <w:rStyle w:val="IndexLink"/>
                <w:rtl w:val="true"/>
              </w:rPr>
              <w:t>جواز اشتراط عدم الانتفاع بأحد العوضين مدّةً معيّنةً</w:t>
            </w:r>
            <w:r>
              <w:rPr>
                <w:rStyle w:val="IndexLink"/>
                <w:rtl w:val="true"/>
              </w:rPr>
              <w:tab/>
            </w:r>
            <w:r>
              <w:rPr>
                <w:rStyle w:val="IndexLink"/>
              </w:rPr>
              <w:t>415</w:t>
            </w:r>
          </w:hyperlink>
        </w:p>
        <w:p>
          <w:pPr>
            <w:pStyle w:val="Contents5"/>
            <w:tabs>
              <w:tab w:val="clear" w:pos="7892"/>
              <w:tab w:val="right" w:pos="9026" w:leader="dot"/>
            </w:tabs>
            <w:rPr/>
          </w:pPr>
          <w:hyperlink w:anchor="__RefHeading___Toc13372496_1280447820">
            <w:r>
              <w:rPr>
                <w:webHidden/>
                <w:rStyle w:val="IndexLink"/>
                <w:rtl w:val="true"/>
              </w:rPr>
              <w:t>ثامنها</w:t>
            </w:r>
            <w:r>
              <w:rPr>
                <w:rStyle w:val="IndexLink"/>
                <w:rtl w:val="true"/>
              </w:rPr>
              <w:t xml:space="preserve">: </w:t>
            </w:r>
            <w:r>
              <w:rPr>
                <w:rStyle w:val="IndexLink"/>
                <w:rtl w:val="true"/>
              </w:rPr>
              <w:t>جواز اشتراط البائع على المشتري قصر انتفاعه على جهة مخصوصة</w:t>
            </w:r>
            <w:r>
              <w:rPr>
                <w:rStyle w:val="IndexLink"/>
                <w:rtl w:val="true"/>
              </w:rPr>
              <w:tab/>
            </w:r>
            <w:r>
              <w:rPr>
                <w:rStyle w:val="IndexLink"/>
              </w:rPr>
              <w:t>416</w:t>
            </w:r>
          </w:hyperlink>
        </w:p>
        <w:p>
          <w:pPr>
            <w:pStyle w:val="Contents5"/>
            <w:tabs>
              <w:tab w:val="clear" w:pos="7892"/>
              <w:tab w:val="right" w:pos="9026" w:leader="dot"/>
            </w:tabs>
            <w:rPr/>
          </w:pPr>
          <w:hyperlink w:anchor="__RefHeading___Toc13372498_1280447820">
            <w:r>
              <w:rPr>
                <w:webHidden/>
                <w:rStyle w:val="IndexLink"/>
                <w:rtl w:val="true"/>
              </w:rPr>
              <w:t>تاسعها</w:t>
            </w:r>
            <w:r>
              <w:rPr>
                <w:rStyle w:val="IndexLink"/>
                <w:rtl w:val="true"/>
              </w:rPr>
              <w:t xml:space="preserve">: </w:t>
            </w:r>
            <w:r>
              <w:rPr>
                <w:rStyle w:val="IndexLink"/>
                <w:rtl w:val="true"/>
              </w:rPr>
              <w:t>في أنّ العبد المشروط عتقه أو المال المشروط وقفه إذا كان ثمناً أو مثمناً ولم يف المشروط عليه بالشرط كان للمشترط الخيار</w:t>
            </w:r>
            <w:r>
              <w:rPr>
                <w:rStyle w:val="IndexLink"/>
                <w:rtl w:val="true"/>
              </w:rPr>
              <w:tab/>
            </w:r>
            <w:r>
              <w:rPr>
                <w:rStyle w:val="IndexLink"/>
              </w:rPr>
              <w:t>418</w:t>
            </w:r>
          </w:hyperlink>
        </w:p>
        <w:p>
          <w:pPr>
            <w:pStyle w:val="Contents5"/>
            <w:tabs>
              <w:tab w:val="clear" w:pos="7892"/>
              <w:tab w:val="right" w:pos="9026" w:leader="dot"/>
            </w:tabs>
            <w:rPr/>
          </w:pPr>
          <w:hyperlink w:anchor="__RefHeading___Toc13372500_1280447820">
            <w:r>
              <w:rPr>
                <w:webHidden/>
                <w:rStyle w:val="IndexLink"/>
                <w:rtl w:val="true"/>
              </w:rPr>
              <w:t>عاشرها</w:t>
            </w:r>
            <w:r>
              <w:rPr>
                <w:rStyle w:val="IndexLink"/>
                <w:rtl w:val="true"/>
              </w:rPr>
              <w:t xml:space="preserve">: </w:t>
            </w:r>
            <w:r>
              <w:rPr>
                <w:rStyle w:val="IndexLink"/>
                <w:rtl w:val="true"/>
              </w:rPr>
              <w:t>هل يجوز تصرّف المشروط عليه في المال المتعلّق به شرط؟</w:t>
            </w:r>
            <w:r>
              <w:rPr>
                <w:rStyle w:val="IndexLink"/>
                <w:rtl w:val="true"/>
              </w:rPr>
              <w:tab/>
            </w:r>
            <w:r>
              <w:rPr>
                <w:rStyle w:val="IndexLink"/>
              </w:rPr>
              <w:t>418</w:t>
            </w:r>
          </w:hyperlink>
        </w:p>
        <w:p>
          <w:pPr>
            <w:pStyle w:val="Contents5"/>
            <w:tabs>
              <w:tab w:val="clear" w:pos="7892"/>
              <w:tab w:val="right" w:pos="9026" w:leader="dot"/>
            </w:tabs>
            <w:rPr/>
          </w:pPr>
          <w:hyperlink w:anchor="__RefHeading___Toc13372502_1280447820">
            <w:r>
              <w:rPr>
                <w:webHidden/>
                <w:rStyle w:val="IndexLink"/>
                <w:rtl w:val="true"/>
              </w:rPr>
              <w:t>حادي عشرها فيما لو امتنع المشروط عليه من القيام بالشرط كان للمشترط الفسخ</w:t>
            </w:r>
            <w:r>
              <w:rPr>
                <w:rStyle w:val="IndexLink"/>
                <w:rtl w:val="true"/>
              </w:rPr>
              <w:tab/>
            </w:r>
            <w:r>
              <w:rPr>
                <w:rStyle w:val="IndexLink"/>
              </w:rPr>
              <w:t>419</w:t>
            </w:r>
          </w:hyperlink>
        </w:p>
        <w:p>
          <w:pPr>
            <w:pStyle w:val="Contents5"/>
            <w:tabs>
              <w:tab w:val="clear" w:pos="7892"/>
              <w:tab w:val="right" w:pos="9026" w:leader="dot"/>
            </w:tabs>
            <w:rPr/>
          </w:pPr>
          <w:hyperlink w:anchor="__RefHeading___Toc13372504_1280447820">
            <w:r>
              <w:rPr>
                <w:webHidden/>
                <w:rStyle w:val="IndexLink"/>
                <w:rtl w:val="true"/>
              </w:rPr>
              <w:t>ثاني عشرها</w:t>
            </w:r>
            <w:r>
              <w:rPr>
                <w:rStyle w:val="IndexLink"/>
                <w:rtl w:val="true"/>
              </w:rPr>
              <w:t xml:space="preserve">: </w:t>
            </w:r>
            <w:r>
              <w:rPr>
                <w:rStyle w:val="IndexLink"/>
                <w:rtl w:val="true"/>
              </w:rPr>
              <w:t>هل اشتراط العقد الجائز في العقد اللازم يصيّره لازماً أم لا؟</w:t>
            </w:r>
            <w:r>
              <w:rPr>
                <w:rStyle w:val="IndexLink"/>
                <w:rtl w:val="true"/>
              </w:rPr>
              <w:tab/>
            </w:r>
            <w:r>
              <w:rPr>
                <w:rStyle w:val="IndexLink"/>
              </w:rPr>
              <w:t>420</w:t>
            </w:r>
          </w:hyperlink>
        </w:p>
        <w:p>
          <w:pPr>
            <w:pStyle w:val="Contents3"/>
            <w:tabs>
              <w:tab w:val="clear" w:pos="8459"/>
              <w:tab w:val="right" w:pos="9026" w:leader="dot"/>
            </w:tabs>
            <w:rPr/>
          </w:pPr>
          <w:hyperlink w:anchor="__RefHeading___Toc13372506_1280447820">
            <w:r>
              <w:rPr>
                <w:webHidden/>
                <w:rStyle w:val="IndexLink"/>
                <w:rtl w:val="true"/>
              </w:rPr>
              <w:t>القول في أحكام العيوب</w:t>
            </w:r>
            <w:r>
              <w:rPr>
                <w:rStyle w:val="IndexLink"/>
                <w:rtl w:val="true"/>
              </w:rPr>
              <w:tab/>
            </w:r>
            <w:r>
              <w:rPr>
                <w:rStyle w:val="IndexLink"/>
              </w:rPr>
              <w:t>422</w:t>
            </w:r>
          </w:hyperlink>
        </w:p>
        <w:p>
          <w:pPr>
            <w:pStyle w:val="Contents4"/>
            <w:tabs>
              <w:tab w:val="clear" w:pos="8176"/>
              <w:tab w:val="right" w:pos="9026" w:leader="dot"/>
            </w:tabs>
            <w:rPr/>
          </w:pPr>
          <w:hyperlink w:anchor="__RefHeading___Toc13372508_1280447820">
            <w:r>
              <w:rPr>
                <w:webHidden/>
                <w:rStyle w:val="IndexLink"/>
                <w:rtl w:val="true"/>
              </w:rPr>
              <w:t>وفيه أمور</w:t>
            </w:r>
            <w:r>
              <w:rPr>
                <w:rStyle w:val="IndexLink"/>
                <w:rtl w:val="true"/>
              </w:rPr>
              <w:t>:</w:t>
              <w:tab/>
            </w:r>
            <w:r>
              <w:rPr>
                <w:rStyle w:val="IndexLink"/>
              </w:rPr>
              <w:t>422</w:t>
            </w:r>
          </w:hyperlink>
        </w:p>
        <w:p>
          <w:pPr>
            <w:pStyle w:val="Contents5"/>
            <w:tabs>
              <w:tab w:val="clear" w:pos="7892"/>
              <w:tab w:val="right" w:pos="9026" w:leader="dot"/>
            </w:tabs>
            <w:rPr/>
          </w:pPr>
          <w:hyperlink w:anchor="__RefHeading___Toc13372510_1280447820">
            <w:r>
              <w:rPr>
                <w:webHidden/>
                <w:rStyle w:val="IndexLink"/>
                <w:rtl w:val="true"/>
              </w:rPr>
              <w:t>أحدها</w:t>
            </w:r>
            <w:r>
              <w:rPr>
                <w:rStyle w:val="IndexLink"/>
                <w:rtl w:val="true"/>
              </w:rPr>
              <w:t xml:space="preserve">: </w:t>
            </w:r>
            <w:r>
              <w:rPr>
                <w:rStyle w:val="IndexLink"/>
                <w:rtl w:val="true"/>
              </w:rPr>
              <w:t>في أن الأصل في الأعيان السلامة من العيوب</w:t>
            </w:r>
            <w:r>
              <w:rPr>
                <w:rStyle w:val="IndexLink"/>
                <w:rtl w:val="true"/>
              </w:rPr>
              <w:tab/>
            </w:r>
            <w:r>
              <w:rPr>
                <w:rStyle w:val="IndexLink"/>
              </w:rPr>
              <w:t>422</w:t>
            </w:r>
          </w:hyperlink>
        </w:p>
        <w:p>
          <w:pPr>
            <w:pStyle w:val="Contents5"/>
            <w:tabs>
              <w:tab w:val="clear" w:pos="7892"/>
              <w:tab w:val="right" w:pos="9026" w:leader="dot"/>
            </w:tabs>
            <w:rPr/>
          </w:pPr>
          <w:hyperlink w:anchor="__RefHeading___Toc13372512_1280447820">
            <w:r>
              <w:rPr>
                <w:webHidden/>
                <w:rStyle w:val="IndexLink"/>
                <w:rtl w:val="true"/>
              </w:rPr>
              <w:t xml:space="preserve">ثانيها </w:t>
            </w:r>
            <w:r>
              <w:rPr>
                <w:rStyle w:val="IndexLink"/>
                <w:rtl w:val="true"/>
              </w:rPr>
              <w:t xml:space="preserve">: </w:t>
            </w:r>
            <w:r>
              <w:rPr>
                <w:rStyle w:val="IndexLink"/>
                <w:rtl w:val="true"/>
              </w:rPr>
              <w:t>حكم ما لو خرج المبيع معيباً حال العقد قبل تمامه</w:t>
            </w:r>
            <w:r>
              <w:rPr>
                <w:rStyle w:val="IndexLink"/>
                <w:rtl w:val="true"/>
              </w:rPr>
              <w:tab/>
            </w:r>
            <w:r>
              <w:rPr>
                <w:rStyle w:val="IndexLink"/>
              </w:rPr>
              <w:t>423</w:t>
            </w:r>
          </w:hyperlink>
        </w:p>
        <w:p>
          <w:pPr>
            <w:pStyle w:val="Contents5"/>
            <w:tabs>
              <w:tab w:val="clear" w:pos="7892"/>
              <w:tab w:val="right" w:pos="9026" w:leader="dot"/>
            </w:tabs>
            <w:rPr/>
          </w:pPr>
          <w:hyperlink w:anchor="__RefHeading___Toc13372514_1280447820">
            <w:r>
              <w:rPr>
                <w:webHidden/>
                <w:rStyle w:val="IndexLink"/>
                <w:rtl w:val="true"/>
              </w:rPr>
              <w:t>ثالثها</w:t>
            </w:r>
            <w:r>
              <w:rPr>
                <w:rStyle w:val="IndexLink"/>
                <w:rtl w:val="true"/>
              </w:rPr>
              <w:t xml:space="preserve">: </w:t>
            </w:r>
            <w:r>
              <w:rPr>
                <w:rStyle w:val="IndexLink"/>
                <w:rtl w:val="true"/>
              </w:rPr>
              <w:t>سقوط خيار العيب ردّاً وأرشاً باشتراط سقوطهما وباشتراط سقوط خيار العيب</w:t>
            </w:r>
            <w:r>
              <w:rPr>
                <w:rStyle w:val="IndexLink"/>
                <w:rtl w:val="true"/>
              </w:rPr>
              <w:tab/>
            </w:r>
            <w:r>
              <w:rPr>
                <w:rStyle w:val="IndexLink"/>
              </w:rPr>
              <w:t>425</w:t>
            </w:r>
          </w:hyperlink>
        </w:p>
        <w:p>
          <w:pPr>
            <w:pStyle w:val="Contents5"/>
            <w:tabs>
              <w:tab w:val="clear" w:pos="7892"/>
              <w:tab w:val="right" w:pos="9026" w:leader="dot"/>
            </w:tabs>
            <w:rPr/>
          </w:pPr>
          <w:hyperlink w:anchor="__RefHeading___Toc13372516_1280447820">
            <w:r>
              <w:rPr>
                <w:webHidden/>
                <w:rStyle w:val="IndexLink"/>
                <w:rtl w:val="true"/>
              </w:rPr>
              <w:t>رابعها</w:t>
            </w:r>
            <w:r>
              <w:rPr>
                <w:rStyle w:val="IndexLink"/>
                <w:rtl w:val="true"/>
              </w:rPr>
              <w:t xml:space="preserve">: </w:t>
            </w:r>
            <w:r>
              <w:rPr>
                <w:rStyle w:val="IndexLink"/>
                <w:rtl w:val="true"/>
              </w:rPr>
              <w:t>حكم ما إذا أحدث من انتقل إليه أحد العوضين به حدثاً أثر فيه تغييراً</w:t>
            </w:r>
            <w:r>
              <w:rPr>
                <w:rStyle w:val="IndexLink"/>
                <w:rtl w:val="true"/>
              </w:rPr>
              <w:tab/>
            </w:r>
            <w:r>
              <w:rPr>
                <w:rStyle w:val="IndexLink"/>
              </w:rPr>
              <w:t>428</w:t>
            </w:r>
          </w:hyperlink>
        </w:p>
        <w:p>
          <w:pPr>
            <w:pStyle w:val="Contents5"/>
            <w:tabs>
              <w:tab w:val="clear" w:pos="7892"/>
              <w:tab w:val="right" w:pos="9026" w:leader="dot"/>
            </w:tabs>
            <w:rPr/>
          </w:pPr>
          <w:hyperlink w:anchor="__RefHeading___Toc13372518_1280447820">
            <w:r>
              <w:rPr>
                <w:webHidden/>
                <w:rStyle w:val="IndexLink"/>
                <w:rtl w:val="true"/>
              </w:rPr>
              <w:t>خامسها</w:t>
            </w:r>
            <w:r>
              <w:rPr>
                <w:rStyle w:val="IndexLink"/>
                <w:rtl w:val="true"/>
              </w:rPr>
              <w:t xml:space="preserve">: </w:t>
            </w:r>
            <w:r>
              <w:rPr>
                <w:rStyle w:val="IndexLink"/>
                <w:rtl w:val="true"/>
              </w:rPr>
              <w:t>سقوط الردّ بحدوث العيب فيما انتقل لأحد المتعاقدين إذا كان ذلك العيب مضموناً على المنتقل إليه</w:t>
            </w:r>
            <w:r>
              <w:rPr>
                <w:rStyle w:val="IndexLink"/>
                <w:rtl w:val="true"/>
              </w:rPr>
              <w:tab/>
            </w:r>
            <w:r>
              <w:rPr>
                <w:rStyle w:val="IndexLink"/>
              </w:rPr>
              <w:t>431</w:t>
            </w:r>
          </w:hyperlink>
        </w:p>
        <w:p>
          <w:pPr>
            <w:pStyle w:val="Contents5"/>
            <w:tabs>
              <w:tab w:val="clear" w:pos="7892"/>
              <w:tab w:val="right" w:pos="9026" w:leader="dot"/>
            </w:tabs>
            <w:rPr/>
          </w:pPr>
          <w:hyperlink w:anchor="__RefHeading___Toc13372520_1280447820">
            <w:r>
              <w:rPr>
                <w:webHidden/>
                <w:rStyle w:val="IndexLink"/>
                <w:rtl w:val="true"/>
              </w:rPr>
              <w:t>سادسها</w:t>
            </w:r>
            <w:r>
              <w:rPr>
                <w:rStyle w:val="IndexLink"/>
                <w:rtl w:val="true"/>
              </w:rPr>
              <w:t xml:space="preserve">: </w:t>
            </w:r>
            <w:r>
              <w:rPr>
                <w:rStyle w:val="IndexLink"/>
                <w:rtl w:val="true"/>
              </w:rPr>
              <w:t>عدم حرمة نقل المعيب مع علم الناقل بعيبه وعدم علم المنتقل إليه به</w:t>
            </w:r>
            <w:r>
              <w:rPr>
                <w:rStyle w:val="IndexLink"/>
                <w:rtl w:val="true"/>
              </w:rPr>
              <w:tab/>
            </w:r>
            <w:r>
              <w:rPr>
                <w:rStyle w:val="IndexLink"/>
              </w:rPr>
              <w:t>432</w:t>
            </w:r>
          </w:hyperlink>
        </w:p>
        <w:p>
          <w:pPr>
            <w:pStyle w:val="Contents5"/>
            <w:tabs>
              <w:tab w:val="clear" w:pos="7892"/>
              <w:tab w:val="right" w:pos="9026" w:leader="dot"/>
            </w:tabs>
            <w:rPr/>
          </w:pPr>
          <w:hyperlink w:anchor="__RefHeading___Toc13372522_1280447820">
            <w:r>
              <w:rPr>
                <w:webHidden/>
                <w:rStyle w:val="IndexLink"/>
                <w:rtl w:val="true"/>
              </w:rPr>
              <w:t>سابعها</w:t>
            </w:r>
            <w:r>
              <w:rPr>
                <w:rStyle w:val="IndexLink"/>
                <w:rtl w:val="true"/>
              </w:rPr>
              <w:t xml:space="preserve">: </w:t>
            </w:r>
            <w:r>
              <w:rPr>
                <w:rStyle w:val="IndexLink"/>
                <w:rtl w:val="true"/>
              </w:rPr>
              <w:t>جواز نقل شيئين متغايرين بإيجاب واحد إن أمكن جمعهما به مع اتحاد ثمنهما</w:t>
            </w:r>
            <w:r>
              <w:rPr>
                <w:rStyle w:val="IndexLink"/>
                <w:rtl w:val="true"/>
              </w:rPr>
              <w:tab/>
            </w:r>
            <w:r>
              <w:rPr>
                <w:rStyle w:val="IndexLink"/>
              </w:rPr>
              <w:t>432</w:t>
            </w:r>
          </w:hyperlink>
        </w:p>
        <w:p>
          <w:pPr>
            <w:pStyle w:val="Contents5"/>
            <w:tabs>
              <w:tab w:val="clear" w:pos="7892"/>
              <w:tab w:val="right" w:pos="9026" w:leader="dot"/>
            </w:tabs>
            <w:rPr/>
          </w:pPr>
          <w:hyperlink w:anchor="__RefHeading___Toc13372524_1280447820">
            <w:r>
              <w:rPr>
                <w:webHidden/>
                <w:rStyle w:val="IndexLink"/>
                <w:rtl w:val="true"/>
              </w:rPr>
              <w:t>ثامنها</w:t>
            </w:r>
            <w:r>
              <w:rPr>
                <w:rStyle w:val="IndexLink"/>
                <w:rtl w:val="true"/>
              </w:rPr>
              <w:t xml:space="preserve">: </w:t>
            </w:r>
            <w:r>
              <w:rPr>
                <w:rStyle w:val="IndexLink"/>
                <w:rtl w:val="true"/>
              </w:rPr>
              <w:t>جواز نقل متمایزين مع اتحاد الناقل وتعدّده والمنقول إليه كذلك</w:t>
            </w:r>
            <w:r>
              <w:rPr>
                <w:rStyle w:val="IndexLink"/>
                <w:rtl w:val="true"/>
              </w:rPr>
              <w:tab/>
            </w:r>
            <w:r>
              <w:rPr>
                <w:rStyle w:val="IndexLink"/>
              </w:rPr>
              <w:t>433</w:t>
            </w:r>
          </w:hyperlink>
        </w:p>
        <w:p>
          <w:pPr>
            <w:pStyle w:val="Contents5"/>
            <w:tabs>
              <w:tab w:val="clear" w:pos="7892"/>
              <w:tab w:val="right" w:pos="9026" w:leader="dot"/>
            </w:tabs>
            <w:rPr/>
          </w:pPr>
          <w:hyperlink w:anchor="__RefHeading___Toc13372526_1280447820">
            <w:r>
              <w:rPr>
                <w:webHidden/>
                <w:rStyle w:val="IndexLink"/>
                <w:rtl w:val="true"/>
              </w:rPr>
              <w:t>تاسعها</w:t>
            </w:r>
            <w:r>
              <w:rPr>
                <w:rStyle w:val="IndexLink"/>
                <w:rtl w:val="true"/>
              </w:rPr>
              <w:t xml:space="preserve">: </w:t>
            </w:r>
            <w:r>
              <w:rPr>
                <w:rStyle w:val="IndexLink"/>
                <w:rtl w:val="true"/>
              </w:rPr>
              <w:t>في أنّ كلّ عيب مضمون يوجب الخيار</w:t>
            </w:r>
            <w:r>
              <w:rPr>
                <w:rStyle w:val="IndexLink"/>
                <w:rtl w:val="true"/>
              </w:rPr>
              <w:tab/>
            </w:r>
            <w:r>
              <w:rPr>
                <w:rStyle w:val="IndexLink"/>
              </w:rPr>
              <w:t>435</w:t>
            </w:r>
          </w:hyperlink>
        </w:p>
        <w:p>
          <w:pPr>
            <w:pStyle w:val="Contents5"/>
            <w:tabs>
              <w:tab w:val="clear" w:pos="7892"/>
              <w:tab w:val="right" w:pos="9026" w:leader="dot"/>
            </w:tabs>
            <w:rPr/>
          </w:pPr>
          <w:hyperlink w:anchor="__RefHeading___Toc13372528_1280447820">
            <w:r>
              <w:rPr>
                <w:webHidden/>
                <w:rStyle w:val="IndexLink"/>
                <w:rtl w:val="true"/>
              </w:rPr>
              <w:t>عاشرها</w:t>
            </w:r>
            <w:r>
              <w:rPr>
                <w:rStyle w:val="IndexLink"/>
                <w:rtl w:val="true"/>
              </w:rPr>
              <w:t xml:space="preserve">: </w:t>
            </w:r>
            <w:r>
              <w:rPr>
                <w:rStyle w:val="IndexLink"/>
                <w:rtl w:val="true"/>
              </w:rPr>
              <w:t>حكم ما لو تصرّف مشتري الجارية بها بعد العقد بغير الوطء فظهر بها عيب حمل</w:t>
            </w:r>
            <w:r>
              <w:rPr>
                <w:rStyle w:val="IndexLink"/>
                <w:rtl w:val="true"/>
              </w:rPr>
              <w:tab/>
            </w:r>
            <w:r>
              <w:rPr>
                <w:rStyle w:val="IndexLink"/>
              </w:rPr>
              <w:t>436</w:t>
            </w:r>
          </w:hyperlink>
        </w:p>
        <w:p>
          <w:pPr>
            <w:pStyle w:val="Contents5"/>
            <w:tabs>
              <w:tab w:val="clear" w:pos="7892"/>
              <w:tab w:val="right" w:pos="9026" w:leader="dot"/>
            </w:tabs>
            <w:rPr/>
          </w:pPr>
          <w:hyperlink w:anchor="__RefHeading___Toc13372530_1280447820">
            <w:r>
              <w:rPr>
                <w:webHidden/>
                <w:rStyle w:val="IndexLink"/>
                <w:rtl w:val="true"/>
              </w:rPr>
              <w:t>حادي عشرها</w:t>
            </w:r>
            <w:r>
              <w:rPr>
                <w:rStyle w:val="IndexLink"/>
                <w:rtl w:val="true"/>
              </w:rPr>
              <w:t xml:space="preserve">: </w:t>
            </w:r>
            <w:r>
              <w:rPr>
                <w:rStyle w:val="IndexLink"/>
                <w:rtl w:val="true"/>
              </w:rPr>
              <w:t>في تعريف العيب لغةً وعرفاً عاماً وشرعاً</w:t>
            </w:r>
            <w:r>
              <w:rPr>
                <w:rStyle w:val="IndexLink"/>
                <w:rtl w:val="true"/>
              </w:rPr>
              <w:tab/>
            </w:r>
            <w:r>
              <w:rPr>
                <w:rStyle w:val="IndexLink"/>
              </w:rPr>
              <w:t>439</w:t>
            </w:r>
          </w:hyperlink>
        </w:p>
        <w:p>
          <w:pPr>
            <w:pStyle w:val="Contents5"/>
            <w:tabs>
              <w:tab w:val="clear" w:pos="7892"/>
              <w:tab w:val="right" w:pos="9026" w:leader="dot"/>
            </w:tabs>
            <w:rPr/>
          </w:pPr>
          <w:hyperlink w:anchor="__RefHeading___Toc13372532_1280447820">
            <w:r>
              <w:rPr>
                <w:webHidden/>
                <w:rStyle w:val="IndexLink"/>
                <w:rtl w:val="true"/>
              </w:rPr>
              <w:t>ثاني عشرها</w:t>
            </w:r>
            <w:r>
              <w:rPr>
                <w:rStyle w:val="IndexLink"/>
                <w:rtl w:val="true"/>
              </w:rPr>
              <w:t xml:space="preserve">: </w:t>
            </w:r>
            <w:r>
              <w:rPr>
                <w:rStyle w:val="IndexLink"/>
                <w:rtl w:val="true"/>
              </w:rPr>
              <w:t>في تعريف الأرش وما يتعلق به من الأحكام</w:t>
            </w:r>
            <w:r>
              <w:rPr>
                <w:rStyle w:val="IndexLink"/>
                <w:rtl w:val="true"/>
              </w:rPr>
              <w:tab/>
            </w:r>
            <w:r>
              <w:rPr>
                <w:rStyle w:val="IndexLink"/>
              </w:rPr>
              <w:t>442</w:t>
            </w:r>
          </w:hyperlink>
        </w:p>
        <w:p>
          <w:pPr>
            <w:pStyle w:val="Contents3"/>
            <w:tabs>
              <w:tab w:val="clear" w:pos="8459"/>
              <w:tab w:val="right" w:pos="9026" w:leader="dot"/>
            </w:tabs>
            <w:rPr/>
          </w:pPr>
          <w:hyperlink w:anchor="__RefHeading___Toc13372534_1280447820">
            <w:r>
              <w:rPr>
                <w:webHidden/>
                <w:rStyle w:val="IndexLink"/>
                <w:rtl w:val="true"/>
              </w:rPr>
              <w:t>القول في التدليس والتصرية وبعض أحكام العيوب</w:t>
            </w:r>
            <w:r>
              <w:rPr>
                <w:rStyle w:val="IndexLink"/>
                <w:rtl w:val="true"/>
              </w:rPr>
              <w:tab/>
            </w:r>
            <w:r>
              <w:rPr>
                <w:rStyle w:val="IndexLink"/>
              </w:rPr>
              <w:t>446</w:t>
            </w:r>
          </w:hyperlink>
        </w:p>
        <w:p>
          <w:pPr>
            <w:pStyle w:val="Contents4"/>
            <w:tabs>
              <w:tab w:val="clear" w:pos="8176"/>
              <w:tab w:val="right" w:pos="9026" w:leader="dot"/>
            </w:tabs>
            <w:rPr/>
          </w:pPr>
          <w:hyperlink w:anchor="__RefHeading___Toc13372536_1280447820">
            <w:r>
              <w:rPr>
                <w:webHidden/>
                <w:rStyle w:val="IndexLink"/>
                <w:rtl w:val="true"/>
              </w:rPr>
              <w:t>وفيه أمور</w:t>
            </w:r>
            <w:r>
              <w:rPr>
                <w:rStyle w:val="IndexLink"/>
                <w:rtl w:val="true"/>
              </w:rPr>
              <w:t>:</w:t>
              <w:tab/>
            </w:r>
            <w:r>
              <w:rPr>
                <w:rStyle w:val="IndexLink"/>
              </w:rPr>
              <w:t>446</w:t>
            </w:r>
          </w:hyperlink>
        </w:p>
        <w:p>
          <w:pPr>
            <w:pStyle w:val="Contents5"/>
            <w:tabs>
              <w:tab w:val="clear" w:pos="7892"/>
              <w:tab w:val="right" w:pos="9026" w:leader="dot"/>
            </w:tabs>
            <w:rPr/>
          </w:pPr>
          <w:hyperlink w:anchor="__RefHeading___Toc13372538_1280447820">
            <w:r>
              <w:rPr>
                <w:webHidden/>
                <w:rStyle w:val="IndexLink"/>
                <w:rtl w:val="true"/>
              </w:rPr>
              <w:t>أحدها</w:t>
            </w:r>
            <w:r>
              <w:rPr>
                <w:rStyle w:val="IndexLink"/>
                <w:rtl w:val="true"/>
              </w:rPr>
              <w:t xml:space="preserve">: </w:t>
            </w:r>
            <w:r>
              <w:rPr>
                <w:rStyle w:val="IndexLink"/>
                <w:rtl w:val="true"/>
              </w:rPr>
              <w:t>في تعريف التدليس لغةً وعرفاً وشرعاً وبيان ما يتعلق به من الأحكام</w:t>
            </w:r>
            <w:r>
              <w:rPr>
                <w:rStyle w:val="IndexLink"/>
                <w:rtl w:val="true"/>
              </w:rPr>
              <w:tab/>
            </w:r>
            <w:r>
              <w:rPr>
                <w:rStyle w:val="IndexLink"/>
              </w:rPr>
              <w:t>446</w:t>
            </w:r>
          </w:hyperlink>
        </w:p>
        <w:p>
          <w:pPr>
            <w:pStyle w:val="Contents5"/>
            <w:tabs>
              <w:tab w:val="clear" w:pos="7892"/>
              <w:tab w:val="right" w:pos="9026" w:leader="dot"/>
            </w:tabs>
            <w:rPr/>
          </w:pPr>
          <w:hyperlink w:anchor="__RefHeading___Toc13372540_1280447820">
            <w:r>
              <w:rPr>
                <w:webHidden/>
                <w:rStyle w:val="IndexLink"/>
                <w:rtl w:val="true"/>
              </w:rPr>
              <w:t>ثانيها</w:t>
            </w:r>
            <w:r>
              <w:rPr>
                <w:rStyle w:val="IndexLink"/>
                <w:rtl w:val="true"/>
              </w:rPr>
              <w:t xml:space="preserve">: </w:t>
            </w:r>
            <w:r>
              <w:rPr>
                <w:rStyle w:val="IndexLink"/>
                <w:rtl w:val="true"/>
              </w:rPr>
              <w:t>في تعريف التصرية وبيان ما يتعلّق بها من الأحكام</w:t>
            </w:r>
            <w:r>
              <w:rPr>
                <w:rStyle w:val="IndexLink"/>
                <w:rtl w:val="true"/>
              </w:rPr>
              <w:tab/>
            </w:r>
            <w:r>
              <w:rPr>
                <w:rStyle w:val="IndexLink"/>
              </w:rPr>
              <w:t>447</w:t>
            </w:r>
          </w:hyperlink>
        </w:p>
        <w:p>
          <w:pPr>
            <w:pStyle w:val="Contents5"/>
            <w:tabs>
              <w:tab w:val="clear" w:pos="7892"/>
              <w:tab w:val="right" w:pos="9026" w:leader="dot"/>
            </w:tabs>
            <w:rPr/>
          </w:pPr>
          <w:hyperlink w:anchor="__RefHeading___Toc13372542_1280447820">
            <w:r>
              <w:rPr>
                <w:webHidden/>
                <w:rStyle w:val="IndexLink"/>
                <w:rtl w:val="true"/>
              </w:rPr>
              <w:t>ثالثها</w:t>
            </w:r>
            <w:r>
              <w:rPr>
                <w:rStyle w:val="IndexLink"/>
                <w:rtl w:val="true"/>
              </w:rPr>
              <w:t xml:space="preserve">: </w:t>
            </w:r>
            <w:r>
              <w:rPr>
                <w:rStyle w:val="IndexLink"/>
                <w:rtl w:val="true"/>
              </w:rPr>
              <w:t>في بيان العيوب الموجبة لرد الأمة والعبد في البيع وغيره</w:t>
            </w:r>
            <w:r>
              <w:rPr>
                <w:rStyle w:val="IndexLink"/>
                <w:rtl w:val="true"/>
              </w:rPr>
              <w:tab/>
            </w:r>
            <w:r>
              <w:rPr>
                <w:rStyle w:val="IndexLink"/>
              </w:rPr>
              <w:t>454</w:t>
            </w:r>
          </w:hyperlink>
        </w:p>
        <w:p>
          <w:pPr>
            <w:pStyle w:val="Contents5"/>
            <w:tabs>
              <w:tab w:val="clear" w:pos="7892"/>
              <w:tab w:val="right" w:pos="9026" w:leader="dot"/>
            </w:tabs>
            <w:rPr/>
          </w:pPr>
          <w:hyperlink w:anchor="__RefHeading___Toc13372544_1280447820">
            <w:r>
              <w:rPr>
                <w:webHidden/>
                <w:rStyle w:val="IndexLink"/>
                <w:rtl w:val="true"/>
              </w:rPr>
              <w:t>رابعها</w:t>
            </w:r>
            <w:r>
              <w:rPr>
                <w:rStyle w:val="IndexLink"/>
                <w:rtl w:val="true"/>
              </w:rPr>
              <w:t xml:space="preserve">: </w:t>
            </w:r>
            <w:r>
              <w:rPr>
                <w:rStyle w:val="IndexLink"/>
                <w:rtl w:val="true"/>
              </w:rPr>
              <w:t>في أن الانعتاق على المشتري ليس بعيب ولا يوجب ردّاً ولا أرشاً</w:t>
            </w:r>
            <w:r>
              <w:rPr>
                <w:rStyle w:val="IndexLink"/>
                <w:rtl w:val="true"/>
              </w:rPr>
              <w:tab/>
            </w:r>
            <w:r>
              <w:rPr>
                <w:rStyle w:val="IndexLink"/>
              </w:rPr>
              <w:t>455</w:t>
            </w:r>
          </w:hyperlink>
        </w:p>
        <w:p>
          <w:pPr>
            <w:pStyle w:val="Contents5"/>
            <w:tabs>
              <w:tab w:val="clear" w:pos="7892"/>
              <w:tab w:val="right" w:pos="9026" w:leader="dot"/>
            </w:tabs>
            <w:rPr/>
          </w:pPr>
          <w:hyperlink w:anchor="__RefHeading___Toc13372546_1280447820">
            <w:r>
              <w:rPr>
                <w:webHidden/>
                <w:rStyle w:val="IndexLink"/>
                <w:rtl w:val="true"/>
              </w:rPr>
              <w:t>خامسها</w:t>
            </w:r>
            <w:r>
              <w:rPr>
                <w:rStyle w:val="IndexLink"/>
                <w:rtl w:val="true"/>
              </w:rPr>
              <w:t xml:space="preserve">: </w:t>
            </w:r>
            <w:r>
              <w:rPr>
                <w:rStyle w:val="IndexLink"/>
                <w:rtl w:val="true"/>
              </w:rPr>
              <w:t>في أن تكرّر الجناية من العبد عيب</w:t>
            </w:r>
            <w:r>
              <w:rPr>
                <w:rStyle w:val="IndexLink"/>
                <w:rtl w:val="true"/>
              </w:rPr>
              <w:tab/>
            </w:r>
            <w:r>
              <w:rPr>
                <w:rStyle w:val="IndexLink"/>
              </w:rPr>
              <w:t>456</w:t>
            </w:r>
          </w:hyperlink>
        </w:p>
        <w:p>
          <w:pPr>
            <w:pStyle w:val="Contents5"/>
            <w:tabs>
              <w:tab w:val="clear" w:pos="7892"/>
              <w:tab w:val="right" w:pos="9026" w:leader="dot"/>
            </w:tabs>
            <w:rPr/>
          </w:pPr>
          <w:hyperlink w:anchor="__RefHeading___Toc13372548_1280447820">
            <w:r>
              <w:rPr>
                <w:webHidden/>
                <w:rStyle w:val="IndexLink"/>
                <w:rtl w:val="true"/>
              </w:rPr>
              <w:t>سادسها</w:t>
            </w:r>
            <w:r>
              <w:rPr>
                <w:rStyle w:val="IndexLink"/>
                <w:rtl w:val="true"/>
              </w:rPr>
              <w:t xml:space="preserve">: </w:t>
            </w:r>
            <w:r>
              <w:rPr>
                <w:rStyle w:val="IndexLink"/>
                <w:rtl w:val="true"/>
              </w:rPr>
              <w:t>في أن الحمل عيب في الإماء يردّ به ويبطل الرد به عند حدوثه عند المشتري ما لم يكن في زمان الخيار المختص</w:t>
            </w:r>
            <w:r>
              <w:rPr>
                <w:rStyle w:val="IndexLink"/>
                <w:rtl w:val="true"/>
              </w:rPr>
              <w:tab/>
            </w:r>
            <w:r>
              <w:rPr>
                <w:rStyle w:val="IndexLink"/>
              </w:rPr>
              <w:t>457</w:t>
            </w:r>
          </w:hyperlink>
        </w:p>
        <w:p>
          <w:pPr>
            <w:pStyle w:val="Contents5"/>
            <w:tabs>
              <w:tab w:val="clear" w:pos="7892"/>
              <w:tab w:val="right" w:pos="9026" w:leader="dot"/>
            </w:tabs>
            <w:rPr/>
          </w:pPr>
          <w:hyperlink w:anchor="__RefHeading___Toc13372550_1280447820">
            <w:r>
              <w:rPr>
                <w:webHidden/>
                <w:rStyle w:val="IndexLink"/>
                <w:rtl w:val="true"/>
              </w:rPr>
              <w:t>سابعها</w:t>
            </w:r>
            <w:r>
              <w:rPr>
                <w:rStyle w:val="IndexLink"/>
                <w:rtl w:val="true"/>
              </w:rPr>
              <w:t xml:space="preserve">: </w:t>
            </w:r>
            <w:r>
              <w:rPr>
                <w:rStyle w:val="IndexLink"/>
                <w:rtl w:val="true"/>
              </w:rPr>
              <w:t>حكم ما لو اشترى أحد النقدين بمثله فظهر فيه عيب قاض بجواز رده</w:t>
            </w:r>
            <w:r>
              <w:rPr>
                <w:rStyle w:val="IndexLink"/>
                <w:rtl w:val="true"/>
              </w:rPr>
              <w:tab/>
            </w:r>
            <w:r>
              <w:rPr>
                <w:rStyle w:val="IndexLink"/>
              </w:rPr>
              <w:t>457</w:t>
            </w:r>
          </w:hyperlink>
        </w:p>
        <w:p>
          <w:pPr>
            <w:pStyle w:val="Contents5"/>
            <w:tabs>
              <w:tab w:val="clear" w:pos="7892"/>
              <w:tab w:val="right" w:pos="9026" w:leader="dot"/>
            </w:tabs>
            <w:rPr/>
          </w:pPr>
          <w:hyperlink w:anchor="__RefHeading___Toc13372552_1280447820">
            <w:r>
              <w:rPr>
                <w:webHidden/>
                <w:rStyle w:val="IndexLink"/>
                <w:rtl w:val="true"/>
              </w:rPr>
              <w:t>ثامنها</w:t>
            </w:r>
            <w:r>
              <w:rPr>
                <w:rStyle w:val="IndexLink"/>
                <w:rtl w:val="true"/>
              </w:rPr>
              <w:t xml:space="preserve">: </w:t>
            </w:r>
            <w:r>
              <w:rPr>
                <w:rStyle w:val="IndexLink"/>
                <w:rtl w:val="true"/>
              </w:rPr>
              <w:t>حكم ما لو ادعى البائع التبرّي من العيوب بعد ما تصادقا عليه</w:t>
            </w:r>
            <w:r>
              <w:rPr>
                <w:rStyle w:val="IndexLink"/>
                <w:rtl w:val="true"/>
              </w:rPr>
              <w:tab/>
            </w:r>
            <w:r>
              <w:rPr>
                <w:rStyle w:val="IndexLink"/>
              </w:rPr>
              <w:t>458</w:t>
            </w:r>
          </w:hyperlink>
        </w:p>
        <w:p>
          <w:pPr>
            <w:pStyle w:val="Contents5"/>
            <w:tabs>
              <w:tab w:val="clear" w:pos="7892"/>
              <w:tab w:val="right" w:pos="9026" w:leader="dot"/>
            </w:tabs>
            <w:rPr/>
          </w:pPr>
          <w:hyperlink w:anchor="__RefHeading___Toc13372554_1280447820">
            <w:r>
              <w:rPr>
                <w:webHidden/>
                <w:rStyle w:val="IndexLink"/>
                <w:rtl w:val="true"/>
              </w:rPr>
              <w:t>تاسعها</w:t>
            </w:r>
            <w:r>
              <w:rPr>
                <w:rStyle w:val="IndexLink"/>
                <w:rtl w:val="true"/>
              </w:rPr>
              <w:t xml:space="preserve">: </w:t>
            </w:r>
            <w:r>
              <w:rPr>
                <w:rStyle w:val="IndexLink"/>
                <w:rtl w:val="true"/>
              </w:rPr>
              <w:t>حكم ما لو ادعى المشتري الثيبوبة بعد اشتراط البكارة</w:t>
            </w:r>
            <w:r>
              <w:rPr>
                <w:rStyle w:val="IndexLink"/>
                <w:rtl w:val="true"/>
              </w:rPr>
              <w:tab/>
            </w:r>
            <w:r>
              <w:rPr>
                <w:rStyle w:val="IndexLink"/>
              </w:rPr>
              <w:t>460</w:t>
            </w:r>
          </w:hyperlink>
        </w:p>
        <w:p>
          <w:pPr>
            <w:pStyle w:val="Contents5"/>
            <w:tabs>
              <w:tab w:val="clear" w:pos="7892"/>
              <w:tab w:val="right" w:pos="9026" w:leader="dot"/>
            </w:tabs>
            <w:rPr/>
          </w:pPr>
          <w:hyperlink w:anchor="__RefHeading___Toc13372556_1280447820">
            <w:r>
              <w:rPr>
                <w:webHidden/>
                <w:rStyle w:val="IndexLink"/>
                <w:rtl w:val="true"/>
              </w:rPr>
              <w:t>عاشرها</w:t>
            </w:r>
            <w:r>
              <w:rPr>
                <w:rStyle w:val="IndexLink"/>
                <w:rtl w:val="true"/>
              </w:rPr>
              <w:t xml:space="preserve">: </w:t>
            </w:r>
            <w:r>
              <w:rPr>
                <w:rStyle w:val="IndexLink"/>
                <w:rtl w:val="true"/>
              </w:rPr>
              <w:t>حكم ما لو باع الوكيل معيباً فظهر العيب وصدّقه المشتري في الوكالة</w:t>
            </w:r>
            <w:r>
              <w:rPr>
                <w:rStyle w:val="IndexLink"/>
                <w:rtl w:val="true"/>
              </w:rPr>
              <w:tab/>
            </w:r>
            <w:r>
              <w:rPr>
                <w:rStyle w:val="IndexLink"/>
              </w:rPr>
              <w:t>460</w:t>
            </w:r>
          </w:hyperlink>
        </w:p>
        <w:p>
          <w:pPr>
            <w:pStyle w:val="Contents3"/>
            <w:tabs>
              <w:tab w:val="clear" w:pos="8459"/>
              <w:tab w:val="right" w:pos="9026" w:leader="dot"/>
            </w:tabs>
            <w:rPr/>
          </w:pPr>
          <w:hyperlink w:anchor="__RefHeading___Toc13372558_1280447820">
            <w:r>
              <w:rPr>
                <w:webHidden/>
                <w:rStyle w:val="IndexLink"/>
                <w:rtl w:val="true"/>
              </w:rPr>
              <w:t>القول في المرابحة وتوابعها</w:t>
            </w:r>
            <w:r>
              <w:rPr>
                <w:rStyle w:val="IndexLink"/>
                <w:rtl w:val="true"/>
              </w:rPr>
              <w:tab/>
            </w:r>
            <w:r>
              <w:rPr>
                <w:rStyle w:val="IndexLink"/>
              </w:rPr>
              <w:t>462</w:t>
            </w:r>
          </w:hyperlink>
        </w:p>
        <w:p>
          <w:pPr>
            <w:pStyle w:val="Contents4"/>
            <w:tabs>
              <w:tab w:val="clear" w:pos="8176"/>
              <w:tab w:val="right" w:pos="9026" w:leader="dot"/>
            </w:tabs>
            <w:rPr/>
          </w:pPr>
          <w:hyperlink w:anchor="__RefHeading___Toc13372560_1280447820">
            <w:r>
              <w:rPr>
                <w:webHidden/>
                <w:rStyle w:val="IndexLink"/>
                <w:rtl w:val="true"/>
              </w:rPr>
              <w:t>وفيه أُمور</w:t>
            </w:r>
            <w:r>
              <w:rPr>
                <w:rStyle w:val="IndexLink"/>
                <w:rtl w:val="true"/>
              </w:rPr>
              <w:t>:</w:t>
              <w:tab/>
            </w:r>
            <w:r>
              <w:rPr>
                <w:rStyle w:val="IndexLink"/>
              </w:rPr>
              <w:t>462</w:t>
            </w:r>
          </w:hyperlink>
        </w:p>
        <w:p>
          <w:pPr>
            <w:pStyle w:val="Contents5"/>
            <w:tabs>
              <w:tab w:val="clear" w:pos="7892"/>
              <w:tab w:val="right" w:pos="9026" w:leader="dot"/>
            </w:tabs>
            <w:rPr/>
          </w:pPr>
          <w:hyperlink w:anchor="__RefHeading___Toc13372562_1280447820">
            <w:r>
              <w:rPr>
                <w:webHidden/>
                <w:rStyle w:val="IndexLink"/>
                <w:rtl w:val="true"/>
              </w:rPr>
              <w:t>أحدها</w:t>
            </w:r>
            <w:r>
              <w:rPr>
                <w:rStyle w:val="IndexLink"/>
                <w:rtl w:val="true"/>
              </w:rPr>
              <w:t xml:space="preserve">: </w:t>
            </w:r>
            <w:r>
              <w:rPr>
                <w:rStyle w:val="IndexLink"/>
                <w:rtl w:val="true"/>
              </w:rPr>
              <w:t>في تعريف المرابحة والمواضعة وما يتعلّق بهما من الأحكام</w:t>
            </w:r>
            <w:r>
              <w:rPr>
                <w:rStyle w:val="IndexLink"/>
                <w:rtl w:val="true"/>
              </w:rPr>
              <w:tab/>
            </w:r>
            <w:r>
              <w:rPr>
                <w:rStyle w:val="IndexLink"/>
              </w:rPr>
              <w:t>462</w:t>
            </w:r>
          </w:hyperlink>
        </w:p>
        <w:p>
          <w:pPr>
            <w:pStyle w:val="Contents5"/>
            <w:tabs>
              <w:tab w:val="clear" w:pos="7892"/>
              <w:tab w:val="right" w:pos="9026" w:leader="dot"/>
            </w:tabs>
            <w:rPr/>
          </w:pPr>
          <w:hyperlink w:anchor="__RefHeading___Toc13372564_1280447820">
            <w:r>
              <w:rPr>
                <w:webHidden/>
                <w:rStyle w:val="IndexLink"/>
                <w:rtl w:val="true"/>
              </w:rPr>
              <w:t>ثانيها</w:t>
            </w:r>
            <w:r>
              <w:rPr>
                <w:rStyle w:val="IndexLink"/>
                <w:rtl w:val="true"/>
              </w:rPr>
              <w:t xml:space="preserve">: </w:t>
            </w:r>
            <w:r>
              <w:rPr>
                <w:rStyle w:val="IndexLink"/>
                <w:rtl w:val="true"/>
              </w:rPr>
              <w:t>في تعريف المساومة</w:t>
            </w:r>
            <w:r>
              <w:rPr>
                <w:rStyle w:val="IndexLink"/>
                <w:rtl w:val="true"/>
              </w:rPr>
              <w:tab/>
            </w:r>
            <w:r>
              <w:rPr>
                <w:rStyle w:val="IndexLink"/>
              </w:rPr>
              <w:t>463</w:t>
            </w:r>
          </w:hyperlink>
        </w:p>
        <w:p>
          <w:pPr>
            <w:pStyle w:val="Contents5"/>
            <w:tabs>
              <w:tab w:val="clear" w:pos="7892"/>
              <w:tab w:val="right" w:pos="9026" w:leader="dot"/>
            </w:tabs>
            <w:rPr/>
          </w:pPr>
          <w:hyperlink w:anchor="__RefHeading___Toc13372566_1280447820">
            <w:r>
              <w:rPr>
                <w:webHidden/>
                <w:rStyle w:val="IndexLink"/>
                <w:rtl w:val="true"/>
              </w:rPr>
              <w:t>ثالثها</w:t>
            </w:r>
            <w:r>
              <w:rPr>
                <w:rStyle w:val="IndexLink"/>
                <w:rtl w:val="true"/>
              </w:rPr>
              <w:t xml:space="preserve">: </w:t>
            </w:r>
            <w:r>
              <w:rPr>
                <w:rStyle w:val="IndexLink"/>
                <w:rtl w:val="true"/>
              </w:rPr>
              <w:t>في تعريف التولية</w:t>
            </w:r>
            <w:r>
              <w:rPr>
                <w:rStyle w:val="IndexLink"/>
                <w:rtl w:val="true"/>
              </w:rPr>
              <w:tab/>
            </w:r>
            <w:r>
              <w:rPr>
                <w:rStyle w:val="IndexLink"/>
              </w:rPr>
              <w:t>463</w:t>
            </w:r>
          </w:hyperlink>
        </w:p>
        <w:p>
          <w:pPr>
            <w:pStyle w:val="Contents5"/>
            <w:tabs>
              <w:tab w:val="clear" w:pos="7892"/>
              <w:tab w:val="right" w:pos="9026" w:leader="dot"/>
            </w:tabs>
            <w:rPr/>
          </w:pPr>
          <w:hyperlink w:anchor="__RefHeading___Toc13372568_1280447820">
            <w:r>
              <w:rPr>
                <w:webHidden/>
                <w:rStyle w:val="IndexLink"/>
                <w:rtl w:val="true"/>
              </w:rPr>
              <w:t>رابعها</w:t>
            </w:r>
            <w:r>
              <w:rPr>
                <w:rStyle w:val="IndexLink"/>
                <w:rtl w:val="true"/>
              </w:rPr>
              <w:t xml:space="preserve">: </w:t>
            </w:r>
            <w:r>
              <w:rPr>
                <w:rStyle w:val="IndexLink"/>
                <w:rtl w:val="true"/>
              </w:rPr>
              <w:t>في تعريف التشريك</w:t>
            </w:r>
            <w:r>
              <w:rPr>
                <w:rStyle w:val="IndexLink"/>
                <w:rtl w:val="true"/>
              </w:rPr>
              <w:tab/>
            </w:r>
            <w:r>
              <w:rPr>
                <w:rStyle w:val="IndexLink"/>
              </w:rPr>
              <w:t>463</w:t>
            </w:r>
          </w:hyperlink>
        </w:p>
        <w:p>
          <w:pPr>
            <w:pStyle w:val="Contents5"/>
            <w:tabs>
              <w:tab w:val="clear" w:pos="7892"/>
              <w:tab w:val="right" w:pos="9026" w:leader="dot"/>
            </w:tabs>
            <w:rPr/>
          </w:pPr>
          <w:hyperlink w:anchor="__RefHeading___Toc13372570_1280447820">
            <w:r>
              <w:rPr>
                <w:webHidden/>
                <w:rStyle w:val="IndexLink"/>
                <w:rtl w:val="true"/>
              </w:rPr>
              <w:t xml:space="preserve">خامسها </w:t>
            </w:r>
            <w:r>
              <w:rPr>
                <w:rStyle w:val="IndexLink"/>
                <w:rtl w:val="true"/>
              </w:rPr>
              <w:t xml:space="preserve">: </w:t>
            </w:r>
            <w:r>
              <w:rPr>
                <w:rStyle w:val="IndexLink"/>
                <w:rtl w:val="true"/>
              </w:rPr>
              <w:t>اشتراط العلم برأس المال في جميع الأقسام المذكورة</w:t>
            </w:r>
            <w:r>
              <w:rPr>
                <w:rStyle w:val="IndexLink"/>
                <w:rtl w:val="true"/>
              </w:rPr>
              <w:tab/>
            </w:r>
            <w:r>
              <w:rPr>
                <w:rStyle w:val="IndexLink"/>
              </w:rPr>
              <w:t>464</w:t>
            </w:r>
          </w:hyperlink>
        </w:p>
        <w:p>
          <w:pPr>
            <w:pStyle w:val="Contents5"/>
            <w:tabs>
              <w:tab w:val="clear" w:pos="7892"/>
              <w:tab w:val="right" w:pos="9026" w:leader="dot"/>
            </w:tabs>
            <w:rPr/>
          </w:pPr>
          <w:hyperlink w:anchor="__RefHeading___Toc13372572_1280447820">
            <w:r>
              <w:rPr>
                <w:webHidden/>
                <w:rStyle w:val="IndexLink"/>
                <w:rtl w:val="true"/>
              </w:rPr>
              <w:t>سادسها</w:t>
            </w:r>
            <w:r>
              <w:rPr>
                <w:rStyle w:val="IndexLink"/>
                <w:rtl w:val="true"/>
              </w:rPr>
              <w:t xml:space="preserve">: </w:t>
            </w:r>
            <w:r>
              <w:rPr>
                <w:rStyle w:val="IndexLink"/>
                <w:rtl w:val="true"/>
              </w:rPr>
              <w:t>وجوب الصدق في الإخبار وعدم الكذب والتورية</w:t>
            </w:r>
            <w:r>
              <w:rPr>
                <w:rStyle w:val="IndexLink"/>
                <w:rtl w:val="true"/>
              </w:rPr>
              <w:tab/>
            </w:r>
            <w:r>
              <w:rPr>
                <w:rStyle w:val="IndexLink"/>
              </w:rPr>
              <w:t>465</w:t>
            </w:r>
          </w:hyperlink>
        </w:p>
        <w:p>
          <w:pPr>
            <w:pStyle w:val="Contents5"/>
            <w:tabs>
              <w:tab w:val="clear" w:pos="7892"/>
              <w:tab w:val="right" w:pos="9026" w:leader="dot"/>
            </w:tabs>
            <w:rPr/>
          </w:pPr>
          <w:hyperlink w:anchor="__RefHeading___Toc13372574_1280447820">
            <w:r>
              <w:rPr>
                <w:webHidden/>
                <w:rStyle w:val="IndexLink"/>
                <w:rtl w:val="true"/>
              </w:rPr>
              <w:t>سابعها</w:t>
            </w:r>
            <w:r>
              <w:rPr>
                <w:rStyle w:val="IndexLink"/>
                <w:rtl w:val="true"/>
              </w:rPr>
              <w:t xml:space="preserve">: </w:t>
            </w:r>
            <w:r>
              <w:rPr>
                <w:rStyle w:val="IndexLink"/>
                <w:rtl w:val="true"/>
              </w:rPr>
              <w:t>حكم ما لو ظهر كذب البائع في إخباره برأس المال</w:t>
            </w:r>
            <w:r>
              <w:rPr>
                <w:rStyle w:val="IndexLink"/>
                <w:rtl w:val="true"/>
              </w:rPr>
              <w:tab/>
            </w:r>
            <w:r>
              <w:rPr>
                <w:rStyle w:val="IndexLink"/>
              </w:rPr>
              <w:t>466</w:t>
            </w:r>
          </w:hyperlink>
        </w:p>
        <w:p>
          <w:pPr>
            <w:pStyle w:val="Contents5"/>
            <w:tabs>
              <w:tab w:val="clear" w:pos="7892"/>
              <w:tab w:val="right" w:pos="9026" w:leader="dot"/>
            </w:tabs>
            <w:rPr/>
          </w:pPr>
          <w:hyperlink w:anchor="__RefHeading___Toc13372576_1280447820">
            <w:r>
              <w:rPr>
                <w:webHidden/>
                <w:rStyle w:val="IndexLink"/>
                <w:rtl w:val="true"/>
              </w:rPr>
              <w:t>ثامنها</w:t>
            </w:r>
            <w:r>
              <w:rPr>
                <w:rStyle w:val="IndexLink"/>
                <w:rtl w:val="true"/>
              </w:rPr>
              <w:t xml:space="preserve">: </w:t>
            </w:r>
            <w:r>
              <w:rPr>
                <w:rStyle w:val="IndexLink"/>
                <w:rtl w:val="true"/>
              </w:rPr>
              <w:t>فيما لو اشترى البائع شيئاً أو أشياء بثمن واحد فليس له الإخبار بشراء الأبعاض بقسطها من الثمن</w:t>
            </w:r>
            <w:r>
              <w:rPr>
                <w:rStyle w:val="IndexLink"/>
                <w:rtl w:val="true"/>
              </w:rPr>
              <w:tab/>
            </w:r>
            <w:r>
              <w:rPr>
                <w:rStyle w:val="IndexLink"/>
              </w:rPr>
              <w:t>468</w:t>
            </w:r>
          </w:hyperlink>
        </w:p>
        <w:p>
          <w:pPr>
            <w:pStyle w:val="Contents5"/>
            <w:tabs>
              <w:tab w:val="clear" w:pos="7892"/>
              <w:tab w:val="right" w:pos="9026" w:leader="dot"/>
            </w:tabs>
            <w:rPr/>
          </w:pPr>
          <w:hyperlink w:anchor="__RefHeading___Toc13372578_1280447820">
            <w:r>
              <w:rPr>
                <w:webHidden/>
                <w:rStyle w:val="IndexLink"/>
                <w:rtl w:val="true"/>
              </w:rPr>
              <w:t>تاسعها</w:t>
            </w:r>
            <w:r>
              <w:rPr>
                <w:rStyle w:val="IndexLink"/>
                <w:rtl w:val="true"/>
              </w:rPr>
              <w:t xml:space="preserve">: </w:t>
            </w:r>
            <w:r>
              <w:rPr>
                <w:rStyle w:val="IndexLink"/>
                <w:rtl w:val="true"/>
              </w:rPr>
              <w:t>حكم ما لو ادعى البائع زيادة الثمن على ما أخبر به</w:t>
            </w:r>
            <w:r>
              <w:rPr>
                <w:rStyle w:val="IndexLink"/>
                <w:rtl w:val="true"/>
              </w:rPr>
              <w:tab/>
            </w:r>
            <w:r>
              <w:rPr>
                <w:rStyle w:val="IndexLink"/>
              </w:rPr>
              <w:t>469</w:t>
            </w:r>
          </w:hyperlink>
        </w:p>
        <w:p>
          <w:pPr>
            <w:pStyle w:val="Contents5"/>
            <w:tabs>
              <w:tab w:val="clear" w:pos="7892"/>
              <w:tab w:val="right" w:pos="9026" w:leader="dot"/>
            </w:tabs>
            <w:rPr/>
          </w:pPr>
          <w:hyperlink w:anchor="__RefHeading___Toc13372580_1280447820">
            <w:r>
              <w:rPr>
                <w:webHidden/>
                <w:rStyle w:val="IndexLink"/>
                <w:rtl w:val="true"/>
              </w:rPr>
              <w:t>عاشرها</w:t>
            </w:r>
            <w:r>
              <w:rPr>
                <w:rStyle w:val="IndexLink"/>
                <w:rtl w:val="true"/>
              </w:rPr>
              <w:t xml:space="preserve">: </w:t>
            </w:r>
            <w:r>
              <w:rPr>
                <w:rStyle w:val="IndexLink"/>
                <w:rtl w:val="true"/>
              </w:rPr>
              <w:t>جواز شراء المتاع البائعه من مشتريه منه ومن غيره حالاً ومؤجلاً بزيادة مرابحة أو غيرها أو بنقيصة مواضعة أو غيرها أو بمساومة أو بتولية</w:t>
            </w:r>
            <w:r>
              <w:rPr>
                <w:rStyle w:val="IndexLink"/>
                <w:rtl w:val="true"/>
              </w:rPr>
              <w:tab/>
            </w:r>
            <w:r>
              <w:rPr>
                <w:rStyle w:val="IndexLink"/>
              </w:rPr>
              <w:t>469</w:t>
            </w:r>
          </w:hyperlink>
        </w:p>
        <w:p>
          <w:pPr>
            <w:pStyle w:val="Contents5"/>
            <w:tabs>
              <w:tab w:val="clear" w:pos="7892"/>
              <w:tab w:val="right" w:pos="9026" w:leader="dot"/>
            </w:tabs>
            <w:rPr/>
          </w:pPr>
          <w:hyperlink w:anchor="__RefHeading___Toc13372582_1280447820">
            <w:r>
              <w:rPr>
                <w:webHidden/>
                <w:rStyle w:val="IndexLink"/>
                <w:rtl w:val="true"/>
              </w:rPr>
              <w:t>حادي عشرها</w:t>
            </w:r>
            <w:r>
              <w:rPr>
                <w:rStyle w:val="IndexLink"/>
                <w:rtl w:val="true"/>
              </w:rPr>
              <w:t xml:space="preserve">: </w:t>
            </w:r>
            <w:r>
              <w:rPr>
                <w:rStyle w:val="IndexLink"/>
                <w:rtl w:val="true"/>
              </w:rPr>
              <w:t>في أن أفضل الأنواع المتقدّمة</w:t>
            </w:r>
            <w:r>
              <w:rPr>
                <w:rStyle w:val="IndexLink"/>
                <w:rtl w:val="true"/>
              </w:rPr>
              <w:t xml:space="preserve">: </w:t>
            </w:r>
            <w:r>
              <w:rPr>
                <w:rStyle w:val="IndexLink"/>
                <w:rtl w:val="true"/>
              </w:rPr>
              <w:t>المساومة</w:t>
            </w:r>
            <w:r>
              <w:rPr>
                <w:rStyle w:val="IndexLink"/>
                <w:rtl w:val="true"/>
              </w:rPr>
              <w:tab/>
            </w:r>
            <w:r>
              <w:rPr>
                <w:rStyle w:val="IndexLink"/>
              </w:rPr>
              <w:t>470</w:t>
            </w:r>
          </w:hyperlink>
        </w:p>
        <w:p>
          <w:pPr>
            <w:pStyle w:val="Contents5"/>
            <w:tabs>
              <w:tab w:val="clear" w:pos="7892"/>
              <w:tab w:val="right" w:pos="9026" w:leader="dot"/>
            </w:tabs>
            <w:rPr/>
          </w:pPr>
          <w:hyperlink w:anchor="__RefHeading___Toc13372584_1280447820">
            <w:r>
              <w:rPr>
                <w:webHidden/>
                <w:rStyle w:val="IndexLink"/>
                <w:rtl w:val="true"/>
              </w:rPr>
              <w:t>ثاني عشرها</w:t>
            </w:r>
            <w:r>
              <w:rPr>
                <w:rStyle w:val="IndexLink"/>
                <w:rtl w:val="true"/>
              </w:rPr>
              <w:t xml:space="preserve">: </w:t>
            </w:r>
            <w:r>
              <w:rPr>
                <w:rStyle w:val="IndexLink"/>
                <w:rtl w:val="true"/>
              </w:rPr>
              <w:t>إضافة الربح والوضيعة إلى رأس المال يتبع الفهم العرفي في قدره المحصل بعد الضمّ أو الوضع</w:t>
            </w:r>
            <w:r>
              <w:rPr>
                <w:rStyle w:val="IndexLink"/>
                <w:rtl w:val="true"/>
              </w:rPr>
              <w:tab/>
            </w:r>
            <w:r>
              <w:rPr>
                <w:rStyle w:val="IndexLink"/>
              </w:rPr>
              <w:t>472</w:t>
            </w:r>
          </w:hyperlink>
        </w:p>
        <w:p>
          <w:pPr>
            <w:pStyle w:val="Contents3"/>
            <w:tabs>
              <w:tab w:val="clear" w:pos="8459"/>
              <w:tab w:val="right" w:pos="9026" w:leader="dot"/>
            </w:tabs>
            <w:rPr/>
          </w:pPr>
          <w:hyperlink w:anchor="__RefHeading___Toc13372586_1280447820">
            <w:r>
              <w:rPr>
                <w:webHidden/>
                <w:rStyle w:val="IndexLink"/>
                <w:rtl w:val="true"/>
              </w:rPr>
              <w:t>القول في الربا</w:t>
            </w:r>
            <w:r>
              <w:rPr>
                <w:rStyle w:val="IndexLink"/>
                <w:rtl w:val="true"/>
              </w:rPr>
              <w:tab/>
            </w:r>
            <w:r>
              <w:rPr>
                <w:rStyle w:val="IndexLink"/>
              </w:rPr>
              <w:t>474</w:t>
            </w:r>
          </w:hyperlink>
        </w:p>
        <w:p>
          <w:pPr>
            <w:pStyle w:val="Contents4"/>
            <w:tabs>
              <w:tab w:val="clear" w:pos="8176"/>
              <w:tab w:val="right" w:pos="9026" w:leader="dot"/>
            </w:tabs>
            <w:rPr/>
          </w:pPr>
          <w:hyperlink w:anchor="__RefHeading___Toc13372588_1280447820">
            <w:r>
              <w:rPr>
                <w:webHidden/>
                <w:rStyle w:val="IndexLink"/>
                <w:rtl w:val="true"/>
              </w:rPr>
              <w:t>تعريف الربا لغةً وشرعاً</w:t>
            </w:r>
            <w:r>
              <w:rPr>
                <w:rStyle w:val="IndexLink"/>
                <w:rtl w:val="true"/>
              </w:rPr>
              <w:tab/>
            </w:r>
            <w:r>
              <w:rPr>
                <w:rStyle w:val="IndexLink"/>
              </w:rPr>
              <w:t>474</w:t>
            </w:r>
          </w:hyperlink>
        </w:p>
        <w:p>
          <w:pPr>
            <w:pStyle w:val="Contents4"/>
            <w:tabs>
              <w:tab w:val="clear" w:pos="8176"/>
              <w:tab w:val="right" w:pos="9026" w:leader="dot"/>
            </w:tabs>
            <w:rPr/>
          </w:pPr>
          <w:hyperlink w:anchor="__RefHeading___Toc13372590_1280447820">
            <w:r>
              <w:rPr>
                <w:webHidden/>
                <w:rStyle w:val="IndexLink"/>
                <w:rtl w:val="true"/>
              </w:rPr>
              <w:t>والكلام في الربا يتم بأمور</w:t>
            </w:r>
            <w:r>
              <w:rPr>
                <w:rStyle w:val="IndexLink"/>
                <w:rtl w:val="true"/>
              </w:rPr>
              <w:t>:</w:t>
              <w:tab/>
            </w:r>
            <w:r>
              <w:rPr>
                <w:rStyle w:val="IndexLink"/>
              </w:rPr>
              <w:t>475</w:t>
            </w:r>
          </w:hyperlink>
        </w:p>
        <w:p>
          <w:pPr>
            <w:pStyle w:val="Contents5"/>
            <w:tabs>
              <w:tab w:val="clear" w:pos="7892"/>
              <w:tab w:val="right" w:pos="9026" w:leader="dot"/>
            </w:tabs>
            <w:rPr/>
          </w:pPr>
          <w:hyperlink w:anchor="__RefHeading___Toc13372592_1280447820">
            <w:r>
              <w:rPr>
                <w:webHidden/>
                <w:rStyle w:val="IndexLink"/>
                <w:rtl w:val="true"/>
              </w:rPr>
              <w:t>أحدها</w:t>
            </w:r>
            <w:r>
              <w:rPr>
                <w:rStyle w:val="IndexLink"/>
                <w:rtl w:val="true"/>
              </w:rPr>
              <w:t xml:space="preserve">: </w:t>
            </w:r>
            <w:r>
              <w:rPr>
                <w:rStyle w:val="IndexLink"/>
                <w:rtl w:val="true"/>
              </w:rPr>
              <w:t>شمول الربا لكلّ معاوضة</w:t>
            </w:r>
            <w:r>
              <w:rPr>
                <w:rStyle w:val="IndexLink"/>
                <w:rtl w:val="true"/>
              </w:rPr>
              <w:tab/>
            </w:r>
            <w:r>
              <w:rPr>
                <w:rStyle w:val="IndexLink"/>
              </w:rPr>
              <w:t>475</w:t>
            </w:r>
          </w:hyperlink>
        </w:p>
        <w:p>
          <w:pPr>
            <w:pStyle w:val="Contents5"/>
            <w:tabs>
              <w:tab w:val="clear" w:pos="7892"/>
              <w:tab w:val="right" w:pos="9026" w:leader="dot"/>
            </w:tabs>
            <w:rPr/>
          </w:pPr>
          <w:hyperlink w:anchor="__RefHeading___Toc13372594_1280447820">
            <w:r>
              <w:rPr>
                <w:webHidden/>
                <w:rStyle w:val="IndexLink"/>
                <w:rtl w:val="true"/>
              </w:rPr>
              <w:t>ثانيها</w:t>
            </w:r>
            <w:r>
              <w:rPr>
                <w:rStyle w:val="IndexLink"/>
                <w:rtl w:val="true"/>
              </w:rPr>
              <w:t xml:space="preserve">: </w:t>
            </w:r>
            <w:r>
              <w:rPr>
                <w:rStyle w:val="IndexLink"/>
                <w:rtl w:val="true"/>
              </w:rPr>
              <w:t>حرمة البيع المشتمل على الربا على العالم به</w:t>
            </w:r>
            <w:r>
              <w:rPr>
                <w:rStyle w:val="IndexLink"/>
                <w:rtl w:val="true"/>
              </w:rPr>
              <w:tab/>
            </w:r>
            <w:r>
              <w:rPr>
                <w:rStyle w:val="IndexLink"/>
              </w:rPr>
              <w:t>477</w:t>
            </w:r>
          </w:hyperlink>
        </w:p>
        <w:p>
          <w:pPr>
            <w:pStyle w:val="Contents5"/>
            <w:tabs>
              <w:tab w:val="clear" w:pos="7892"/>
              <w:tab w:val="right" w:pos="9026" w:leader="dot"/>
            </w:tabs>
            <w:rPr/>
          </w:pPr>
          <w:hyperlink w:anchor="__RefHeading___Toc13372596_1280447820">
            <w:r>
              <w:rPr>
                <w:webHidden/>
                <w:rStyle w:val="IndexLink"/>
                <w:rtl w:val="true"/>
              </w:rPr>
              <w:t>ثالثها</w:t>
            </w:r>
            <w:r>
              <w:rPr>
                <w:rStyle w:val="IndexLink"/>
                <w:rtl w:val="true"/>
              </w:rPr>
              <w:t xml:space="preserve">: </w:t>
            </w:r>
            <w:r>
              <w:rPr>
                <w:rStyle w:val="IndexLink"/>
                <w:rtl w:val="true"/>
              </w:rPr>
              <w:t>عدم حرمة الربا بين الوالد وولده والزوج وزوجته والمالك ومملوكه</w:t>
            </w:r>
            <w:r>
              <w:rPr>
                <w:rStyle w:val="IndexLink"/>
                <w:rtl w:val="true"/>
              </w:rPr>
              <w:tab/>
            </w:r>
            <w:r>
              <w:rPr>
                <w:rStyle w:val="IndexLink"/>
              </w:rPr>
              <w:t>481</w:t>
            </w:r>
          </w:hyperlink>
        </w:p>
        <w:p>
          <w:pPr>
            <w:pStyle w:val="Contents5"/>
            <w:tabs>
              <w:tab w:val="clear" w:pos="7892"/>
              <w:tab w:val="right" w:pos="9026" w:leader="dot"/>
            </w:tabs>
            <w:rPr/>
          </w:pPr>
          <w:hyperlink w:anchor="__RefHeading___Toc13372598_1280447820">
            <w:r>
              <w:rPr>
                <w:webHidden/>
                <w:rStyle w:val="IndexLink"/>
                <w:rtl w:val="true"/>
              </w:rPr>
              <w:t>رابعها</w:t>
            </w:r>
            <w:r>
              <w:rPr>
                <w:rStyle w:val="IndexLink"/>
                <w:rtl w:val="true"/>
              </w:rPr>
              <w:t xml:space="preserve">: </w:t>
            </w:r>
            <w:r>
              <w:rPr>
                <w:rStyle w:val="IndexLink"/>
                <w:rtl w:val="true"/>
              </w:rPr>
              <w:t>في أنّه لا ربا بين المسلم والحربي من فرق الكفّار</w:t>
            </w:r>
            <w:r>
              <w:rPr>
                <w:rStyle w:val="IndexLink"/>
                <w:rtl w:val="true"/>
              </w:rPr>
              <w:tab/>
            </w:r>
            <w:r>
              <w:rPr>
                <w:rStyle w:val="IndexLink"/>
              </w:rPr>
              <w:t>483</w:t>
            </w:r>
          </w:hyperlink>
        </w:p>
        <w:p>
          <w:pPr>
            <w:pStyle w:val="Contents5"/>
            <w:tabs>
              <w:tab w:val="clear" w:pos="7892"/>
              <w:tab w:val="right" w:pos="9026" w:leader="dot"/>
            </w:tabs>
            <w:rPr/>
          </w:pPr>
          <w:hyperlink w:anchor="__RefHeading___Toc13372600_1280447820">
            <w:r>
              <w:rPr>
                <w:webHidden/>
                <w:rStyle w:val="IndexLink"/>
                <w:rtl w:val="true"/>
              </w:rPr>
              <w:t>خامسها</w:t>
            </w:r>
            <w:r>
              <w:rPr>
                <w:rStyle w:val="IndexLink"/>
                <w:rtl w:val="true"/>
              </w:rPr>
              <w:t xml:space="preserve">: </w:t>
            </w:r>
            <w:r>
              <w:rPr>
                <w:rStyle w:val="IndexLink"/>
                <w:rtl w:val="true"/>
              </w:rPr>
              <w:t>في أنّه مما يدخل في مفهوم الربا اتحاد الجنس</w:t>
            </w:r>
            <w:r>
              <w:rPr>
                <w:rStyle w:val="IndexLink"/>
                <w:rtl w:val="true"/>
              </w:rPr>
              <w:tab/>
            </w:r>
            <w:r>
              <w:rPr>
                <w:rStyle w:val="IndexLink"/>
              </w:rPr>
              <w:t>484</w:t>
            </w:r>
          </w:hyperlink>
        </w:p>
        <w:p>
          <w:pPr>
            <w:pStyle w:val="Contents5"/>
            <w:tabs>
              <w:tab w:val="clear" w:pos="7892"/>
              <w:tab w:val="right" w:pos="9026" w:leader="dot"/>
            </w:tabs>
            <w:rPr/>
          </w:pPr>
          <w:hyperlink w:anchor="__RefHeading___Toc13372602_1280447820">
            <w:r>
              <w:rPr>
                <w:webHidden/>
                <w:rStyle w:val="IndexLink"/>
                <w:rtl w:val="true"/>
              </w:rPr>
              <w:t>سادسها</w:t>
            </w:r>
            <w:r>
              <w:rPr>
                <w:rStyle w:val="IndexLink"/>
                <w:rtl w:val="true"/>
              </w:rPr>
              <w:t xml:space="preserve">: </w:t>
            </w:r>
            <w:r>
              <w:rPr>
                <w:rStyle w:val="IndexLink"/>
                <w:rtl w:val="true"/>
              </w:rPr>
              <w:t>في أنّه من متفق الجنس في باب الربا حكماً، أصل الشيء وفرعه</w:t>
            </w:r>
            <w:r>
              <w:rPr>
                <w:rStyle w:val="IndexLink"/>
                <w:rtl w:val="true"/>
              </w:rPr>
              <w:tab/>
            </w:r>
            <w:r>
              <w:rPr>
                <w:rStyle w:val="IndexLink"/>
              </w:rPr>
              <w:t>486</w:t>
            </w:r>
          </w:hyperlink>
        </w:p>
        <w:p>
          <w:pPr>
            <w:pStyle w:val="Contents5"/>
            <w:tabs>
              <w:tab w:val="clear" w:pos="7892"/>
              <w:tab w:val="right" w:pos="9026" w:leader="dot"/>
            </w:tabs>
            <w:rPr/>
          </w:pPr>
          <w:hyperlink w:anchor="__RefHeading___Toc13372604_1280447820">
            <w:r>
              <w:rPr>
                <w:webHidden/>
                <w:rStyle w:val="IndexLink"/>
                <w:rtl w:val="true"/>
              </w:rPr>
              <w:t>سابعها</w:t>
            </w:r>
            <w:r>
              <w:rPr>
                <w:rStyle w:val="IndexLink"/>
                <w:rtl w:val="true"/>
              </w:rPr>
              <w:t xml:space="preserve">: </w:t>
            </w:r>
            <w:r>
              <w:rPr>
                <w:rStyle w:val="IndexLink"/>
                <w:rtl w:val="true"/>
              </w:rPr>
              <w:t>من شرائط تحقق الرباكون العوضين مقدّرين بالكيل أو الوزن</w:t>
            </w:r>
            <w:r>
              <w:rPr>
                <w:rStyle w:val="IndexLink"/>
                <w:rtl w:val="true"/>
              </w:rPr>
              <w:tab/>
            </w:r>
            <w:r>
              <w:rPr>
                <w:rStyle w:val="IndexLink"/>
              </w:rPr>
              <w:t>487</w:t>
            </w:r>
          </w:hyperlink>
        </w:p>
        <w:p>
          <w:pPr>
            <w:pStyle w:val="Contents5"/>
            <w:tabs>
              <w:tab w:val="clear" w:pos="7892"/>
              <w:tab w:val="right" w:pos="9026" w:leader="dot"/>
            </w:tabs>
            <w:rPr/>
          </w:pPr>
          <w:hyperlink w:anchor="__RefHeading___Toc13372606_1280447820">
            <w:r>
              <w:rPr>
                <w:webHidden/>
                <w:rStyle w:val="IndexLink"/>
                <w:rtl w:val="true"/>
              </w:rPr>
              <w:t xml:space="preserve">ثامنها </w:t>
            </w:r>
            <w:r>
              <w:rPr>
                <w:rStyle w:val="IndexLink"/>
                <w:rtl w:val="true"/>
              </w:rPr>
              <w:t xml:space="preserve">: </w:t>
            </w:r>
            <w:r>
              <w:rPr>
                <w:rStyle w:val="IndexLink"/>
                <w:rtl w:val="true"/>
              </w:rPr>
              <w:t>مدار حكم الربا في المكيل والموزون مدار العادة</w:t>
            </w:r>
            <w:r>
              <w:rPr>
                <w:rStyle w:val="IndexLink"/>
                <w:rtl w:val="true"/>
              </w:rPr>
              <w:tab/>
            </w:r>
            <w:r>
              <w:rPr>
                <w:rStyle w:val="IndexLink"/>
              </w:rPr>
              <w:t>488</w:t>
            </w:r>
          </w:hyperlink>
        </w:p>
        <w:p>
          <w:pPr>
            <w:pStyle w:val="Contents5"/>
            <w:tabs>
              <w:tab w:val="clear" w:pos="7892"/>
              <w:tab w:val="right" w:pos="9026" w:leader="dot"/>
            </w:tabs>
            <w:rPr/>
          </w:pPr>
          <w:hyperlink w:anchor="__RefHeading___Toc13372608_1280447820">
            <w:r>
              <w:rPr>
                <w:webHidden/>
                <w:rStyle w:val="IndexLink"/>
                <w:rtl w:val="true"/>
              </w:rPr>
              <w:t>تاسعها</w:t>
            </w:r>
            <w:r>
              <w:rPr>
                <w:rStyle w:val="IndexLink"/>
                <w:rtl w:val="true"/>
              </w:rPr>
              <w:t xml:space="preserve">: </w:t>
            </w:r>
            <w:r>
              <w:rPr>
                <w:rStyle w:val="IndexLink"/>
                <w:rtl w:val="true"/>
              </w:rPr>
              <w:t>شمول حرمة الربا للمبيع أصالة وللمبيع تبعاً</w:t>
            </w:r>
            <w:r>
              <w:rPr>
                <w:rStyle w:val="IndexLink"/>
                <w:rtl w:val="true"/>
              </w:rPr>
              <w:tab/>
            </w:r>
            <w:r>
              <w:rPr>
                <w:rStyle w:val="IndexLink"/>
              </w:rPr>
              <w:t>489</w:t>
            </w:r>
          </w:hyperlink>
        </w:p>
        <w:p>
          <w:pPr>
            <w:pStyle w:val="Contents5"/>
            <w:tabs>
              <w:tab w:val="clear" w:pos="7892"/>
              <w:tab w:val="right" w:pos="9026" w:leader="dot"/>
            </w:tabs>
            <w:rPr/>
          </w:pPr>
          <w:hyperlink w:anchor="__RefHeading___Toc13372610_1280447820">
            <w:r>
              <w:rPr>
                <w:webHidden/>
                <w:rStyle w:val="IndexLink"/>
                <w:rtl w:val="true"/>
              </w:rPr>
              <w:t>عاشرها</w:t>
            </w:r>
            <w:r>
              <w:rPr>
                <w:rStyle w:val="IndexLink"/>
                <w:rtl w:val="true"/>
              </w:rPr>
              <w:t xml:space="preserve">: </w:t>
            </w:r>
            <w:r>
              <w:rPr>
                <w:rStyle w:val="IndexLink"/>
                <w:rtl w:val="true"/>
              </w:rPr>
              <w:t>تحقق الربا بالزيادة العينية وبزيادة الأجل</w:t>
            </w:r>
            <w:r>
              <w:rPr>
                <w:rStyle w:val="IndexLink"/>
                <w:rtl w:val="true"/>
              </w:rPr>
              <w:tab/>
            </w:r>
            <w:r>
              <w:rPr>
                <w:rStyle w:val="IndexLink"/>
              </w:rPr>
              <w:t>489</w:t>
            </w:r>
          </w:hyperlink>
        </w:p>
        <w:p>
          <w:pPr>
            <w:pStyle w:val="Contents5"/>
            <w:tabs>
              <w:tab w:val="clear" w:pos="7892"/>
              <w:tab w:val="right" w:pos="9026" w:leader="dot"/>
            </w:tabs>
            <w:rPr/>
          </w:pPr>
          <w:hyperlink w:anchor="__RefHeading___Toc13372612_1280447820">
            <w:r>
              <w:rPr>
                <w:webHidden/>
                <w:rStyle w:val="IndexLink"/>
                <w:rtl w:val="true"/>
              </w:rPr>
              <w:t xml:space="preserve">حادي عشرها </w:t>
            </w:r>
            <w:r>
              <w:rPr>
                <w:rStyle w:val="IndexLink"/>
                <w:rtl w:val="true"/>
              </w:rPr>
              <w:t xml:space="preserve">: </w:t>
            </w:r>
            <w:r>
              <w:rPr>
                <w:rStyle w:val="IndexLink"/>
                <w:rtl w:val="true"/>
              </w:rPr>
              <w:t>حكم ما إذا اختلفت الأجناس في العوضين المقدرين</w:t>
            </w:r>
            <w:r>
              <w:rPr>
                <w:rStyle w:val="IndexLink"/>
                <w:rtl w:val="true"/>
              </w:rPr>
              <w:tab/>
            </w:r>
            <w:r>
              <w:rPr>
                <w:rStyle w:val="IndexLink"/>
              </w:rPr>
              <w:t>490</w:t>
            </w:r>
          </w:hyperlink>
        </w:p>
        <w:p>
          <w:pPr>
            <w:pStyle w:val="Contents5"/>
            <w:tabs>
              <w:tab w:val="clear" w:pos="7892"/>
              <w:tab w:val="right" w:pos="9026" w:leader="dot"/>
            </w:tabs>
            <w:rPr/>
          </w:pPr>
          <w:hyperlink w:anchor="__RefHeading___Toc13372614_1280447820">
            <w:r>
              <w:rPr>
                <w:webHidden/>
                <w:rStyle w:val="IndexLink"/>
                <w:rtl w:val="true"/>
              </w:rPr>
              <w:t>ثاني عشرها</w:t>
            </w:r>
            <w:r>
              <w:rPr>
                <w:rStyle w:val="IndexLink"/>
                <w:rtl w:val="true"/>
              </w:rPr>
              <w:t xml:space="preserve">: </w:t>
            </w:r>
            <w:r>
              <w:rPr>
                <w:rStyle w:val="IndexLink"/>
                <w:rtl w:val="true"/>
              </w:rPr>
              <w:t>فيما إذا انتفى التقدير بالكيل والوزن جاز التفاضل في متحد الجنس نقداً ونسيئة</w:t>
            </w:r>
            <w:r>
              <w:rPr>
                <w:rStyle w:val="IndexLink"/>
                <w:rtl w:val="true"/>
              </w:rPr>
              <w:tab/>
            </w:r>
            <w:r>
              <w:rPr>
                <w:rStyle w:val="IndexLink"/>
              </w:rPr>
              <w:t>491</w:t>
            </w:r>
          </w:hyperlink>
        </w:p>
        <w:p>
          <w:pPr>
            <w:pStyle w:val="Contents5"/>
            <w:tabs>
              <w:tab w:val="clear" w:pos="7892"/>
              <w:tab w:val="right" w:pos="9026" w:leader="dot"/>
            </w:tabs>
            <w:rPr/>
          </w:pPr>
          <w:hyperlink w:anchor="__RefHeading___Toc13372616_1280447820">
            <w:r>
              <w:rPr>
                <w:webHidden/>
                <w:rStyle w:val="IndexLink"/>
                <w:rtl w:val="true"/>
              </w:rPr>
              <w:t>ثالث عشرها</w:t>
            </w:r>
            <w:r>
              <w:rPr>
                <w:rStyle w:val="IndexLink"/>
                <w:rtl w:val="true"/>
              </w:rPr>
              <w:t xml:space="preserve">: </w:t>
            </w:r>
            <w:r>
              <w:rPr>
                <w:rStyle w:val="IndexLink"/>
                <w:rtl w:val="true"/>
              </w:rPr>
              <w:t>جواز بيع اليابس بمثله متساوياً وكذا الرطب</w:t>
            </w:r>
            <w:r>
              <w:rPr>
                <w:rStyle w:val="IndexLink"/>
                <w:rtl w:val="true"/>
              </w:rPr>
              <w:t xml:space="preserve">. </w:t>
            </w:r>
            <w:r>
              <w:rPr>
                <w:rStyle w:val="IndexLink"/>
                <w:rtl w:val="true"/>
              </w:rPr>
              <w:t>بالرطب</w:t>
            </w:r>
            <w:r>
              <w:rPr>
                <w:rStyle w:val="IndexLink"/>
                <w:rtl w:val="true"/>
              </w:rPr>
              <w:tab/>
            </w:r>
            <w:r>
              <w:rPr>
                <w:rStyle w:val="IndexLink"/>
              </w:rPr>
              <w:t>493</w:t>
            </w:r>
          </w:hyperlink>
        </w:p>
        <w:p>
          <w:pPr>
            <w:pStyle w:val="Contents5"/>
            <w:tabs>
              <w:tab w:val="clear" w:pos="7892"/>
              <w:tab w:val="right" w:pos="9026" w:leader="dot"/>
            </w:tabs>
            <w:rPr/>
          </w:pPr>
          <w:hyperlink w:anchor="__RefHeading___Toc13372618_1280447820">
            <w:r>
              <w:rPr>
                <w:webHidden/>
                <w:rStyle w:val="IndexLink"/>
                <w:rtl w:val="true"/>
              </w:rPr>
              <w:t xml:space="preserve">رابع عشرها </w:t>
            </w:r>
            <w:r>
              <w:rPr>
                <w:rStyle w:val="IndexLink"/>
                <w:rtl w:val="true"/>
              </w:rPr>
              <w:t xml:space="preserve">: </w:t>
            </w:r>
            <w:r>
              <w:rPr>
                <w:rStyle w:val="IndexLink"/>
                <w:rtl w:val="true"/>
              </w:rPr>
              <w:t>لا يجوز بيع اللحم بالحيوان المذبوح المماثل له</w:t>
            </w:r>
            <w:r>
              <w:rPr>
                <w:rStyle w:val="IndexLink"/>
                <w:rtl w:val="true"/>
              </w:rPr>
              <w:tab/>
            </w:r>
            <w:r>
              <w:rPr>
                <w:rStyle w:val="IndexLink"/>
              </w:rPr>
              <w:t>495</w:t>
            </w:r>
          </w:hyperlink>
        </w:p>
        <w:p>
          <w:pPr>
            <w:pStyle w:val="Contents5"/>
            <w:tabs>
              <w:tab w:val="clear" w:pos="7892"/>
              <w:tab w:val="right" w:pos="9026" w:leader="dot"/>
            </w:tabs>
            <w:rPr/>
          </w:pPr>
          <w:hyperlink w:anchor="__RefHeading___Toc13372620_1280447820">
            <w:r>
              <w:rPr>
                <w:webHidden/>
                <w:rStyle w:val="IndexLink"/>
                <w:rtl w:val="true"/>
              </w:rPr>
              <w:t>خامس عشرها</w:t>
            </w:r>
            <w:r>
              <w:rPr>
                <w:rStyle w:val="IndexLink"/>
                <w:rtl w:val="true"/>
              </w:rPr>
              <w:t xml:space="preserve">: </w:t>
            </w:r>
            <w:r>
              <w:rPr>
                <w:rStyle w:val="IndexLink"/>
                <w:rtl w:val="true"/>
              </w:rPr>
              <w:t>جواز الاحتيال في التخلّص من الربا</w:t>
            </w:r>
            <w:r>
              <w:rPr>
                <w:rStyle w:val="IndexLink"/>
                <w:rtl w:val="true"/>
              </w:rPr>
              <w:tab/>
            </w:r>
            <w:r>
              <w:rPr>
                <w:rStyle w:val="IndexLink"/>
              </w:rPr>
              <w:t>496</w:t>
            </w:r>
          </w:hyperlink>
        </w:p>
        <w:p>
          <w:pPr>
            <w:pStyle w:val="Contents3"/>
            <w:tabs>
              <w:tab w:val="clear" w:pos="8459"/>
              <w:tab w:val="right" w:pos="9026" w:leader="dot"/>
            </w:tabs>
            <w:rPr/>
          </w:pPr>
          <w:hyperlink w:anchor="__RefHeading___Toc13372622_1280447820">
            <w:r>
              <w:rPr>
                <w:webHidden/>
                <w:rStyle w:val="IndexLink"/>
                <w:rtl w:val="true"/>
              </w:rPr>
              <w:t>القول في الصرف</w:t>
            </w:r>
            <w:r>
              <w:rPr>
                <w:rStyle w:val="IndexLink"/>
                <w:rtl w:val="true"/>
              </w:rPr>
              <w:tab/>
            </w:r>
            <w:r>
              <w:rPr>
                <w:rStyle w:val="IndexLink"/>
              </w:rPr>
              <w:t>499</w:t>
            </w:r>
          </w:hyperlink>
        </w:p>
        <w:p>
          <w:pPr>
            <w:pStyle w:val="Contents4"/>
            <w:tabs>
              <w:tab w:val="clear" w:pos="8176"/>
              <w:tab w:val="right" w:pos="9026" w:leader="dot"/>
            </w:tabs>
            <w:rPr/>
          </w:pPr>
          <w:hyperlink w:anchor="__RefHeading___Toc13372624_1280447820">
            <w:r>
              <w:rPr>
                <w:webHidden/>
                <w:rStyle w:val="IndexLink"/>
                <w:rtl w:val="true"/>
              </w:rPr>
              <w:t>تعريف الصرف لغةً وشرعاً</w:t>
            </w:r>
            <w:r>
              <w:rPr>
                <w:rStyle w:val="IndexLink"/>
                <w:rtl w:val="true"/>
              </w:rPr>
              <w:tab/>
            </w:r>
            <w:r>
              <w:rPr>
                <w:rStyle w:val="IndexLink"/>
              </w:rPr>
              <w:t>499</w:t>
            </w:r>
          </w:hyperlink>
        </w:p>
        <w:p>
          <w:pPr>
            <w:pStyle w:val="Contents4"/>
            <w:tabs>
              <w:tab w:val="clear" w:pos="8176"/>
              <w:tab w:val="right" w:pos="9026" w:leader="dot"/>
            </w:tabs>
            <w:rPr/>
          </w:pPr>
          <w:hyperlink w:anchor="__RefHeading___Toc13372626_1280447820">
            <w:r>
              <w:rPr>
                <w:webHidden/>
                <w:rStyle w:val="IndexLink"/>
                <w:rtl w:val="true"/>
              </w:rPr>
              <w:t>والكلام في الصرف يقع في أُمور</w:t>
            </w:r>
            <w:r>
              <w:rPr>
                <w:rStyle w:val="IndexLink"/>
                <w:rtl w:val="true"/>
              </w:rPr>
              <w:t>:</w:t>
              <w:tab/>
            </w:r>
            <w:r>
              <w:rPr>
                <w:rStyle w:val="IndexLink"/>
              </w:rPr>
              <w:t>500</w:t>
            </w:r>
          </w:hyperlink>
        </w:p>
        <w:p>
          <w:pPr>
            <w:pStyle w:val="Contents5"/>
            <w:tabs>
              <w:tab w:val="clear" w:pos="7892"/>
              <w:tab w:val="right" w:pos="9026" w:leader="dot"/>
            </w:tabs>
            <w:rPr/>
          </w:pPr>
          <w:hyperlink w:anchor="__RefHeading___Toc13372628_1280447820">
            <w:r>
              <w:rPr>
                <w:webHidden/>
                <w:rStyle w:val="IndexLink"/>
                <w:rtl w:val="true"/>
              </w:rPr>
              <w:t>أحدها</w:t>
            </w:r>
            <w:r>
              <w:rPr>
                <w:rStyle w:val="IndexLink"/>
                <w:rtl w:val="true"/>
              </w:rPr>
              <w:t xml:space="preserve">: </w:t>
            </w:r>
            <w:r>
              <w:rPr>
                <w:rStyle w:val="IndexLink"/>
                <w:rtl w:val="true"/>
              </w:rPr>
              <w:t>في أنّه يشترط في صحة الصرف التقابض قبل التفرّق من المتعاقدين بأبدانهما</w:t>
            </w:r>
            <w:r>
              <w:rPr>
                <w:rStyle w:val="IndexLink"/>
                <w:rtl w:val="true"/>
              </w:rPr>
              <w:tab/>
            </w:r>
            <w:r>
              <w:rPr>
                <w:rStyle w:val="IndexLink"/>
              </w:rPr>
              <w:t>500</w:t>
            </w:r>
          </w:hyperlink>
        </w:p>
        <w:p>
          <w:pPr>
            <w:pStyle w:val="Contents5"/>
            <w:tabs>
              <w:tab w:val="clear" w:pos="7892"/>
              <w:tab w:val="right" w:pos="9026" w:leader="dot"/>
            </w:tabs>
            <w:rPr/>
          </w:pPr>
          <w:hyperlink w:anchor="__RefHeading___Toc13372630_1280447820">
            <w:r>
              <w:rPr>
                <w:webHidden/>
                <w:rStyle w:val="IndexLink"/>
                <w:rtl w:val="true"/>
              </w:rPr>
              <w:t>ثانيها</w:t>
            </w:r>
            <w:r>
              <w:rPr>
                <w:rStyle w:val="IndexLink"/>
                <w:rtl w:val="true"/>
              </w:rPr>
              <w:t xml:space="preserve">: </w:t>
            </w:r>
            <w:r>
              <w:rPr>
                <w:rStyle w:val="IndexLink"/>
                <w:rtl w:val="true"/>
              </w:rPr>
              <w:t>في بيان المراد باشتراط التقابض قبل التفرّق</w:t>
            </w:r>
            <w:r>
              <w:rPr>
                <w:rStyle w:val="IndexLink"/>
                <w:rtl w:val="true"/>
              </w:rPr>
              <w:tab/>
            </w:r>
            <w:r>
              <w:rPr>
                <w:rStyle w:val="IndexLink"/>
              </w:rPr>
              <w:t>501</w:t>
            </w:r>
          </w:hyperlink>
        </w:p>
        <w:p>
          <w:pPr>
            <w:pStyle w:val="Contents5"/>
            <w:tabs>
              <w:tab w:val="clear" w:pos="7892"/>
              <w:tab w:val="right" w:pos="9026" w:leader="dot"/>
            </w:tabs>
            <w:rPr/>
          </w:pPr>
          <w:hyperlink w:anchor="__RefHeading___Toc13372632_1280447820">
            <w:r>
              <w:rPr>
                <w:webHidden/>
                <w:rStyle w:val="IndexLink"/>
                <w:rtl w:val="true"/>
              </w:rPr>
              <w:t>ثالثها</w:t>
            </w:r>
            <w:r>
              <w:rPr>
                <w:rStyle w:val="IndexLink"/>
                <w:rtl w:val="true"/>
              </w:rPr>
              <w:t xml:space="preserve">: </w:t>
            </w:r>
            <w:r>
              <w:rPr>
                <w:rStyle w:val="IndexLink"/>
                <w:rtl w:val="true"/>
              </w:rPr>
              <w:t>حكم ما لو تقابضا في البعض خاصة</w:t>
            </w:r>
            <w:r>
              <w:rPr>
                <w:rStyle w:val="IndexLink"/>
                <w:rtl w:val="true"/>
              </w:rPr>
              <w:tab/>
            </w:r>
            <w:r>
              <w:rPr>
                <w:rStyle w:val="IndexLink"/>
              </w:rPr>
              <w:t>502</w:t>
            </w:r>
          </w:hyperlink>
        </w:p>
        <w:p>
          <w:pPr>
            <w:pStyle w:val="Contents5"/>
            <w:tabs>
              <w:tab w:val="clear" w:pos="7892"/>
              <w:tab w:val="right" w:pos="9026" w:leader="dot"/>
            </w:tabs>
            <w:rPr/>
          </w:pPr>
          <w:hyperlink w:anchor="__RefHeading___Toc13372634_1280447820">
            <w:r>
              <w:rPr>
                <w:webHidden/>
                <w:rStyle w:val="IndexLink"/>
                <w:rtl w:val="true"/>
              </w:rPr>
              <w:t>رابعها</w:t>
            </w:r>
            <w:r>
              <w:rPr>
                <w:rStyle w:val="IndexLink"/>
                <w:rtl w:val="true"/>
              </w:rPr>
              <w:t xml:space="preserve">: </w:t>
            </w:r>
            <w:r>
              <w:rPr>
                <w:rStyle w:val="IndexLink"/>
                <w:rtl w:val="true"/>
              </w:rPr>
              <w:t>في بيان المدار في التفرق المبطل للصرف</w:t>
            </w:r>
            <w:r>
              <w:rPr>
                <w:rStyle w:val="IndexLink"/>
                <w:rtl w:val="true"/>
              </w:rPr>
              <w:tab/>
            </w:r>
            <w:r>
              <w:rPr>
                <w:rStyle w:val="IndexLink"/>
              </w:rPr>
              <w:t>503</w:t>
            </w:r>
          </w:hyperlink>
        </w:p>
        <w:p>
          <w:pPr>
            <w:pStyle w:val="Contents5"/>
            <w:tabs>
              <w:tab w:val="clear" w:pos="7892"/>
              <w:tab w:val="right" w:pos="9026" w:leader="dot"/>
            </w:tabs>
            <w:rPr/>
          </w:pPr>
          <w:hyperlink w:anchor="__RefHeading___Toc13372636_1280447820">
            <w:r>
              <w:rPr>
                <w:webHidden/>
                <w:rStyle w:val="IndexLink"/>
                <w:rtl w:val="true"/>
              </w:rPr>
              <w:t>خامسها</w:t>
            </w:r>
            <w:r>
              <w:rPr>
                <w:rStyle w:val="IndexLink"/>
                <w:rtl w:val="true"/>
              </w:rPr>
              <w:t xml:space="preserve">: </w:t>
            </w:r>
            <w:r>
              <w:rPr>
                <w:rStyle w:val="IndexLink"/>
                <w:rtl w:val="true"/>
              </w:rPr>
              <w:t>حكم ما لو اشترى دراهم بدنانير أو بالعكس ثم اشترى بها جنساً آخر قبل القبض في الشراء الأوّل</w:t>
            </w:r>
            <w:r>
              <w:rPr>
                <w:rStyle w:val="IndexLink"/>
                <w:rtl w:val="true"/>
              </w:rPr>
              <w:tab/>
            </w:r>
            <w:r>
              <w:rPr>
                <w:rStyle w:val="IndexLink"/>
              </w:rPr>
              <w:t>503</w:t>
            </w:r>
          </w:hyperlink>
        </w:p>
        <w:p>
          <w:pPr>
            <w:pStyle w:val="Contents5"/>
            <w:tabs>
              <w:tab w:val="clear" w:pos="7892"/>
              <w:tab w:val="right" w:pos="9026" w:leader="dot"/>
            </w:tabs>
            <w:rPr/>
          </w:pPr>
          <w:hyperlink w:anchor="__RefHeading___Toc13372638_1280447820">
            <w:r>
              <w:rPr>
                <w:webHidden/>
                <w:rStyle w:val="IndexLink"/>
                <w:rtl w:val="true"/>
              </w:rPr>
              <w:t>سادسها</w:t>
            </w:r>
            <w:r>
              <w:rPr>
                <w:rStyle w:val="IndexLink"/>
                <w:rtl w:val="true"/>
              </w:rPr>
              <w:t xml:space="preserve">: </w:t>
            </w:r>
            <w:r>
              <w:rPr>
                <w:rStyle w:val="IndexLink"/>
                <w:rtl w:val="true"/>
              </w:rPr>
              <w:t>حكم ما لو كان لشخص على شخص آخر أحد النقدين وأراد تحويله إلى نقد آخر</w:t>
            </w:r>
            <w:r>
              <w:rPr>
                <w:rStyle w:val="IndexLink"/>
                <w:rtl w:val="true"/>
              </w:rPr>
              <w:tab/>
            </w:r>
            <w:r>
              <w:rPr>
                <w:rStyle w:val="IndexLink"/>
              </w:rPr>
              <w:t>504</w:t>
            </w:r>
          </w:hyperlink>
        </w:p>
        <w:p>
          <w:pPr>
            <w:pStyle w:val="Contents5"/>
            <w:tabs>
              <w:tab w:val="clear" w:pos="7892"/>
              <w:tab w:val="right" w:pos="9026" w:leader="dot"/>
            </w:tabs>
            <w:rPr/>
          </w:pPr>
          <w:hyperlink w:anchor="__RefHeading___Toc13372640_1280447820">
            <w:r>
              <w:rPr>
                <w:webHidden/>
                <w:rStyle w:val="IndexLink"/>
                <w:rtl w:val="true"/>
              </w:rPr>
              <w:t xml:space="preserve">سابعها </w:t>
            </w:r>
            <w:r>
              <w:rPr>
                <w:rStyle w:val="IndexLink"/>
                <w:rtl w:val="true"/>
              </w:rPr>
              <w:t xml:space="preserve">: </w:t>
            </w:r>
            <w:r>
              <w:rPr>
                <w:rStyle w:val="IndexLink"/>
                <w:rtl w:val="true"/>
              </w:rPr>
              <w:t>حكم ما لو كان في أحد النقدين غش متموّل غير مستهلك بحيث لا يصدق عليه اسم المغشوش</w:t>
            </w:r>
            <w:r>
              <w:rPr>
                <w:rStyle w:val="IndexLink"/>
                <w:rtl w:val="true"/>
              </w:rPr>
              <w:tab/>
            </w:r>
            <w:r>
              <w:rPr>
                <w:rStyle w:val="IndexLink"/>
              </w:rPr>
              <w:t>507</w:t>
            </w:r>
          </w:hyperlink>
        </w:p>
        <w:p>
          <w:pPr>
            <w:pStyle w:val="Contents5"/>
            <w:tabs>
              <w:tab w:val="clear" w:pos="7892"/>
              <w:tab w:val="right" w:pos="9026" w:leader="dot"/>
            </w:tabs>
            <w:rPr/>
          </w:pPr>
          <w:hyperlink w:anchor="__RefHeading___Toc13372642_1280447820">
            <w:r>
              <w:rPr>
                <w:webHidden/>
                <w:rStyle w:val="IndexLink"/>
                <w:rtl w:val="true"/>
              </w:rPr>
              <w:t>تاسعها</w:t>
            </w:r>
            <w:r>
              <w:rPr>
                <w:rStyle w:val="IndexLink"/>
                <w:rtl w:val="true"/>
              </w:rPr>
              <w:t xml:space="preserve">: </w:t>
            </w:r>
            <w:r>
              <w:rPr>
                <w:rStyle w:val="IndexLink"/>
                <w:rtl w:val="true"/>
              </w:rPr>
              <w:t>حرمة نقل المغشوش من النقدين وغيرهما</w:t>
            </w:r>
            <w:r>
              <w:rPr>
                <w:rStyle w:val="IndexLink"/>
                <w:rtl w:val="true"/>
              </w:rPr>
              <w:tab/>
            </w:r>
            <w:r>
              <w:rPr>
                <w:rStyle w:val="IndexLink"/>
              </w:rPr>
              <w:t>508</w:t>
            </w:r>
          </w:hyperlink>
        </w:p>
        <w:p>
          <w:pPr>
            <w:pStyle w:val="Contents5"/>
            <w:tabs>
              <w:tab w:val="clear" w:pos="7892"/>
              <w:tab w:val="right" w:pos="9026" w:leader="dot"/>
            </w:tabs>
            <w:rPr/>
          </w:pPr>
          <w:hyperlink w:anchor="__RefHeading___Toc13372644_1280447820">
            <w:r>
              <w:rPr>
                <w:webHidden/>
                <w:rStyle w:val="IndexLink"/>
                <w:rtl w:val="true"/>
              </w:rPr>
              <w:t>عاشرها</w:t>
            </w:r>
            <w:r>
              <w:rPr>
                <w:rStyle w:val="IndexLink"/>
                <w:rtl w:val="true"/>
              </w:rPr>
              <w:t xml:space="preserve">: </w:t>
            </w:r>
            <w:r>
              <w:rPr>
                <w:rStyle w:val="IndexLink"/>
                <w:rtl w:val="true"/>
              </w:rPr>
              <w:t>جواز بيع الأواني المصوغة من النقدين مع معرفة قدر الجملة</w:t>
            </w:r>
            <w:r>
              <w:rPr>
                <w:rStyle w:val="IndexLink"/>
                <w:rtl w:val="true"/>
              </w:rPr>
              <w:tab/>
            </w:r>
            <w:r>
              <w:rPr>
                <w:rStyle w:val="IndexLink"/>
              </w:rPr>
              <w:t>509</w:t>
            </w:r>
          </w:hyperlink>
        </w:p>
        <w:p>
          <w:pPr>
            <w:pStyle w:val="Contents5"/>
            <w:tabs>
              <w:tab w:val="clear" w:pos="7892"/>
              <w:tab w:val="right" w:pos="9026" w:leader="dot"/>
            </w:tabs>
            <w:rPr/>
          </w:pPr>
          <w:hyperlink w:anchor="__RefHeading___Toc13372646_1280447820">
            <w:r>
              <w:rPr>
                <w:webHidden/>
                <w:rStyle w:val="IndexLink"/>
                <w:rtl w:val="true"/>
              </w:rPr>
              <w:t>حادي عاشرها</w:t>
            </w:r>
            <w:r>
              <w:rPr>
                <w:rStyle w:val="IndexLink"/>
                <w:rtl w:val="true"/>
              </w:rPr>
              <w:t xml:space="preserve">: </w:t>
            </w:r>
            <w:r>
              <w:rPr>
                <w:rStyle w:val="IndexLink"/>
                <w:rtl w:val="true"/>
              </w:rPr>
              <w:t>في أنّ المحلّى بأحد النقدين تباع الحلّيّة تبعاً للمحلى</w:t>
            </w:r>
            <w:r>
              <w:rPr>
                <w:rStyle w:val="IndexLink"/>
                <w:rtl w:val="true"/>
              </w:rPr>
              <w:tab/>
            </w:r>
            <w:r>
              <w:rPr>
                <w:rStyle w:val="IndexLink"/>
              </w:rPr>
              <w:t>511</w:t>
            </w:r>
          </w:hyperlink>
        </w:p>
        <w:p>
          <w:pPr>
            <w:pStyle w:val="Contents5"/>
            <w:tabs>
              <w:tab w:val="clear" w:pos="7892"/>
              <w:tab w:val="right" w:pos="9026" w:leader="dot"/>
            </w:tabs>
            <w:rPr/>
          </w:pPr>
          <w:hyperlink w:anchor="__RefHeading___Toc13372648_1280447820">
            <w:r>
              <w:rPr>
                <w:webHidden/>
                <w:rStyle w:val="IndexLink"/>
                <w:rtl w:val="true"/>
              </w:rPr>
              <w:t>ثاني عشرها</w:t>
            </w:r>
            <w:r>
              <w:rPr>
                <w:rStyle w:val="IndexLink"/>
                <w:rtl w:val="true"/>
              </w:rPr>
              <w:t xml:space="preserve">: </w:t>
            </w:r>
            <w:r>
              <w:rPr>
                <w:rStyle w:val="IndexLink"/>
                <w:rtl w:val="true"/>
              </w:rPr>
              <w:t>عدم جواز إبدال نقد على جهة المعاوضة مطلقاً بنقد آخر مع تساوي الجنس</w:t>
            </w:r>
            <w:r>
              <w:rPr>
                <w:rStyle w:val="IndexLink"/>
                <w:rtl w:val="true"/>
              </w:rPr>
              <w:tab/>
            </w:r>
            <w:r>
              <w:rPr>
                <w:rStyle w:val="IndexLink"/>
              </w:rPr>
              <w:t>512</w:t>
            </w:r>
          </w:hyperlink>
        </w:p>
        <w:p>
          <w:pPr>
            <w:pStyle w:val="Contents5"/>
            <w:tabs>
              <w:tab w:val="clear" w:pos="7892"/>
              <w:tab w:val="right" w:pos="9026" w:leader="dot"/>
            </w:tabs>
            <w:rPr/>
          </w:pPr>
          <w:hyperlink w:anchor="__RefHeading___Toc13372650_1280447820">
            <w:r>
              <w:rPr>
                <w:webHidden/>
                <w:rStyle w:val="IndexLink"/>
                <w:rtl w:val="true"/>
              </w:rPr>
              <w:t>ثالث عشرها</w:t>
            </w:r>
            <w:r>
              <w:rPr>
                <w:rStyle w:val="IndexLink"/>
                <w:rtl w:val="true"/>
              </w:rPr>
              <w:t xml:space="preserve">: </w:t>
            </w:r>
            <w:r>
              <w:rPr>
                <w:rStyle w:val="IndexLink"/>
                <w:rtl w:val="true"/>
              </w:rPr>
              <w:t>تراب الصياغة المجتمع من النقدين يباع بهما وبغيرهما</w:t>
            </w:r>
            <w:r>
              <w:rPr>
                <w:rStyle w:val="IndexLink"/>
                <w:rtl w:val="true"/>
              </w:rPr>
              <w:tab/>
            </w:r>
            <w:r>
              <w:rPr>
                <w:rStyle w:val="IndexLink"/>
              </w:rPr>
              <w:t>514</w:t>
            </w:r>
          </w:hyperlink>
        </w:p>
        <w:p>
          <w:pPr>
            <w:pStyle w:val="Contents5"/>
            <w:tabs>
              <w:tab w:val="clear" w:pos="7892"/>
              <w:tab w:val="right" w:pos="9026" w:leader="dot"/>
            </w:tabs>
            <w:rPr/>
          </w:pPr>
          <w:hyperlink w:anchor="__RefHeading___Toc13372652_1280447820">
            <w:r>
              <w:rPr>
                <w:webHidden/>
                <w:rStyle w:val="IndexLink"/>
                <w:rtl w:val="true"/>
              </w:rPr>
              <w:t>رابع عشرها</w:t>
            </w:r>
            <w:r>
              <w:rPr>
                <w:rStyle w:val="IndexLink"/>
                <w:rtl w:val="true"/>
              </w:rPr>
              <w:t xml:space="preserve">: </w:t>
            </w:r>
            <w:r>
              <w:rPr>
                <w:rStyle w:val="IndexLink"/>
                <w:rtl w:val="true"/>
              </w:rPr>
              <w:t>عدم وجوب إعادة الزيادات المتعارفة في الموازين بالنسبة إلى النقود المبيعة بعضها ببعض</w:t>
            </w:r>
            <w:r>
              <w:rPr>
                <w:rStyle w:val="IndexLink"/>
                <w:rtl w:val="true"/>
              </w:rPr>
              <w:tab/>
            </w:r>
            <w:r>
              <w:rPr>
                <w:rStyle w:val="IndexLink"/>
              </w:rPr>
              <w:t>517</w:t>
            </w:r>
          </w:hyperlink>
        </w:p>
        <w:p>
          <w:pPr>
            <w:pStyle w:val="Contents5"/>
            <w:tabs>
              <w:tab w:val="clear" w:pos="7892"/>
              <w:tab w:val="right" w:pos="9026" w:leader="dot"/>
            </w:tabs>
            <w:rPr/>
          </w:pPr>
          <w:hyperlink w:anchor="__RefHeading___Toc13372654_1280447820">
            <w:r>
              <w:rPr>
                <w:webHidden/>
                <w:rStyle w:val="IndexLink"/>
                <w:rtl w:val="true"/>
              </w:rPr>
              <w:t>خامس عشرها</w:t>
            </w:r>
            <w:r>
              <w:rPr>
                <w:rStyle w:val="IndexLink"/>
                <w:rtl w:val="true"/>
              </w:rPr>
              <w:t xml:space="preserve">: </w:t>
            </w:r>
            <w:r>
              <w:rPr>
                <w:rStyle w:val="IndexLink"/>
                <w:rtl w:val="true"/>
              </w:rPr>
              <w:t>حكم ما لو ظهر في المبيع أو الثمن في الصرف وغيره من غير الجنس</w:t>
            </w:r>
            <w:r>
              <w:rPr>
                <w:rStyle w:val="IndexLink"/>
                <w:rtl w:val="true"/>
              </w:rPr>
              <w:tab/>
            </w:r>
            <w:r>
              <w:rPr>
                <w:rStyle w:val="IndexLink"/>
              </w:rPr>
              <w:t>519</w:t>
            </w:r>
          </w:hyperlink>
        </w:p>
        <w:p>
          <w:pPr>
            <w:pStyle w:val="Contents5"/>
            <w:tabs>
              <w:tab w:val="clear" w:pos="7892"/>
              <w:tab w:val="right" w:pos="9026" w:leader="dot"/>
            </w:tabs>
            <w:rPr/>
          </w:pPr>
          <w:hyperlink w:anchor="__RefHeading___Toc13372656_1280447820">
            <w:r>
              <w:rPr>
                <w:webHidden/>
                <w:rStyle w:val="IndexLink"/>
                <w:rtl w:val="true"/>
              </w:rPr>
              <w:t>سادس عشرها</w:t>
            </w:r>
            <w:r>
              <w:rPr>
                <w:rStyle w:val="IndexLink"/>
                <w:rtl w:val="true"/>
              </w:rPr>
              <w:t xml:space="preserve">: </w:t>
            </w:r>
            <w:r>
              <w:rPr>
                <w:rStyle w:val="IndexLink"/>
                <w:rtl w:val="true"/>
              </w:rPr>
              <w:t>حكم ما لو تلف أحد العوضين من النقدين أو كلّ منهما ثم ظهر من غير الجنس</w:t>
            </w:r>
            <w:r>
              <w:rPr>
                <w:rStyle w:val="IndexLink"/>
                <w:rtl w:val="true"/>
              </w:rPr>
              <w:tab/>
            </w:r>
            <w:r>
              <w:rPr>
                <w:rStyle w:val="IndexLink"/>
              </w:rPr>
              <w:t>523</w:t>
            </w:r>
          </w:hyperlink>
        </w:p>
        <w:p>
          <w:pPr>
            <w:pStyle w:val="Contents5"/>
            <w:tabs>
              <w:tab w:val="clear" w:pos="7892"/>
              <w:tab w:val="right" w:pos="9026" w:leader="dot"/>
            </w:tabs>
            <w:rPr/>
          </w:pPr>
          <w:hyperlink w:anchor="__RefHeading___Toc13372658_1280447820">
            <w:r>
              <w:rPr>
                <w:webHidden/>
                <w:rStyle w:val="IndexLink"/>
                <w:rtl w:val="true"/>
              </w:rPr>
              <w:t>سابع عشرها</w:t>
            </w:r>
            <w:r>
              <w:rPr>
                <w:rStyle w:val="IndexLink"/>
                <w:rtl w:val="true"/>
              </w:rPr>
              <w:t xml:space="preserve">: </w:t>
            </w:r>
            <w:r>
              <w:rPr>
                <w:rStyle w:val="IndexLink"/>
                <w:rtl w:val="true"/>
              </w:rPr>
              <w:t>في أنّه يجوز لمن عليه نقد لآخر وكذا للآخر عليه نقد لصاحبه أن يتبايعا ما في ذممهما نقداً بنقد</w:t>
            </w:r>
            <w:r>
              <w:rPr>
                <w:rStyle w:val="IndexLink"/>
                <w:rtl w:val="true"/>
              </w:rPr>
              <w:tab/>
            </w:r>
            <w:r>
              <w:rPr>
                <w:rStyle w:val="IndexLink"/>
              </w:rPr>
              <w:t>524</w:t>
            </w:r>
          </w:hyperlink>
        </w:p>
        <w:p>
          <w:pPr>
            <w:pStyle w:val="Contents3"/>
            <w:tabs>
              <w:tab w:val="clear" w:pos="8459"/>
              <w:tab w:val="right" w:pos="9026" w:leader="dot"/>
            </w:tabs>
            <w:rPr/>
          </w:pPr>
          <w:hyperlink w:anchor="__RefHeading___Toc13372660_1280447820">
            <w:r>
              <w:rPr>
                <w:webHidden/>
                <w:rStyle w:val="IndexLink"/>
                <w:rtl w:val="true"/>
              </w:rPr>
              <w:t>القول في بيع الثمار</w:t>
            </w:r>
            <w:r>
              <w:rPr>
                <w:rStyle w:val="IndexLink"/>
                <w:rtl w:val="true"/>
              </w:rPr>
              <w:tab/>
            </w:r>
            <w:r>
              <w:rPr>
                <w:rStyle w:val="IndexLink"/>
              </w:rPr>
              <w:t>525</w:t>
            </w:r>
          </w:hyperlink>
        </w:p>
        <w:p>
          <w:pPr>
            <w:pStyle w:val="Contents4"/>
            <w:tabs>
              <w:tab w:val="clear" w:pos="8176"/>
              <w:tab w:val="right" w:pos="9026" w:leader="dot"/>
            </w:tabs>
            <w:rPr/>
          </w:pPr>
          <w:hyperlink w:anchor="__RefHeading___Toc13372662_1280447820">
            <w:r>
              <w:rPr>
                <w:webHidden/>
                <w:rStyle w:val="IndexLink"/>
                <w:rtl w:val="true"/>
              </w:rPr>
              <w:t>إشارة</w:t>
            </w:r>
            <w:r>
              <w:rPr>
                <w:rStyle w:val="IndexLink"/>
                <w:rtl w:val="true"/>
              </w:rPr>
              <w:t>:</w:t>
              <w:tab/>
            </w:r>
            <w:r>
              <w:rPr>
                <w:rStyle w:val="IndexLink"/>
              </w:rPr>
              <w:t>525</w:t>
            </w:r>
          </w:hyperlink>
        </w:p>
        <w:p>
          <w:pPr>
            <w:pStyle w:val="Contents4"/>
            <w:tabs>
              <w:tab w:val="clear" w:pos="8176"/>
              <w:tab w:val="right" w:pos="9026" w:leader="dot"/>
            </w:tabs>
            <w:rPr/>
          </w:pPr>
          <w:hyperlink w:anchor="__RefHeading___Toc13372664_1280447820">
            <w:r>
              <w:rPr>
                <w:webHidden/>
                <w:rStyle w:val="IndexLink"/>
                <w:rtl w:val="true"/>
              </w:rPr>
              <w:t>والكلام فيه يقع في أُمور</w:t>
            </w:r>
            <w:r>
              <w:rPr>
                <w:rStyle w:val="IndexLink"/>
                <w:rtl w:val="true"/>
              </w:rPr>
              <w:t>:</w:t>
              <w:tab/>
            </w:r>
            <w:r>
              <w:rPr>
                <w:rStyle w:val="IndexLink"/>
              </w:rPr>
              <w:t>525</w:t>
            </w:r>
          </w:hyperlink>
        </w:p>
        <w:p>
          <w:pPr>
            <w:pStyle w:val="Contents5"/>
            <w:tabs>
              <w:tab w:val="clear" w:pos="7892"/>
              <w:tab w:val="right" w:pos="9026" w:leader="dot"/>
            </w:tabs>
            <w:rPr/>
          </w:pPr>
          <w:hyperlink w:anchor="__RefHeading___Toc13372666_1280447820">
            <w:r>
              <w:rPr>
                <w:webHidden/>
                <w:rStyle w:val="IndexLink"/>
                <w:rtl w:val="true"/>
              </w:rPr>
              <w:t>أحدها</w:t>
            </w:r>
            <w:r>
              <w:rPr>
                <w:rStyle w:val="IndexLink"/>
                <w:rtl w:val="true"/>
              </w:rPr>
              <w:t xml:space="preserve">: </w:t>
            </w:r>
            <w:r>
              <w:rPr>
                <w:rStyle w:val="IndexLink"/>
                <w:rtl w:val="true"/>
              </w:rPr>
              <w:t>عدم صحة بيع المعدوم من الثمار مع عدم وجود أصله</w:t>
            </w:r>
            <w:r>
              <w:rPr>
                <w:rStyle w:val="IndexLink"/>
                <w:rtl w:val="true"/>
              </w:rPr>
              <w:t xml:space="preserve">. </w:t>
            </w:r>
            <w:r>
              <w:rPr>
                <w:rStyle w:val="IndexLink"/>
                <w:rtl w:val="true"/>
              </w:rPr>
              <w:t>مع عدم وجود أصله ومادته مطلقا</w:t>
            </w:r>
            <w:r>
              <w:rPr>
                <w:rStyle w:val="IndexLink"/>
                <w:rtl w:val="true"/>
              </w:rPr>
              <w:tab/>
            </w:r>
            <w:r>
              <w:rPr>
                <w:rStyle w:val="IndexLink"/>
              </w:rPr>
              <w:t>525</w:t>
            </w:r>
          </w:hyperlink>
        </w:p>
        <w:p>
          <w:pPr>
            <w:pStyle w:val="Contents5"/>
            <w:tabs>
              <w:tab w:val="clear" w:pos="7892"/>
              <w:tab w:val="right" w:pos="9026" w:leader="dot"/>
            </w:tabs>
            <w:rPr/>
          </w:pPr>
          <w:hyperlink w:anchor="__RefHeading___Toc13372668_1280447820">
            <w:r>
              <w:rPr>
                <w:webHidden/>
                <w:rStyle w:val="IndexLink"/>
                <w:rtl w:val="true"/>
              </w:rPr>
              <w:t>ثانيها</w:t>
            </w:r>
            <w:r>
              <w:rPr>
                <w:rStyle w:val="IndexLink"/>
                <w:rtl w:val="true"/>
              </w:rPr>
              <w:t xml:space="preserve">: </w:t>
            </w:r>
            <w:r>
              <w:rPr>
                <w:rStyle w:val="IndexLink"/>
                <w:rtl w:val="true"/>
              </w:rPr>
              <w:t>حكم بيع الثمار مع الضميمة سنةً واحدةً</w:t>
            </w:r>
            <w:r>
              <w:rPr>
                <w:rStyle w:val="IndexLink"/>
                <w:rtl w:val="true"/>
              </w:rPr>
              <w:tab/>
            </w:r>
            <w:r>
              <w:rPr>
                <w:rStyle w:val="IndexLink"/>
              </w:rPr>
              <w:t>528</w:t>
            </w:r>
          </w:hyperlink>
        </w:p>
        <w:p>
          <w:pPr>
            <w:pStyle w:val="Contents5"/>
            <w:tabs>
              <w:tab w:val="clear" w:pos="7892"/>
              <w:tab w:val="right" w:pos="9026" w:leader="dot"/>
            </w:tabs>
            <w:rPr/>
          </w:pPr>
          <w:hyperlink w:anchor="__RefHeading___Toc13372670_1280447820">
            <w:r>
              <w:rPr>
                <w:webHidden/>
                <w:rStyle w:val="IndexLink"/>
                <w:rtl w:val="true"/>
              </w:rPr>
              <w:t>ثالثها</w:t>
            </w:r>
            <w:r>
              <w:rPr>
                <w:rStyle w:val="IndexLink"/>
                <w:rtl w:val="true"/>
              </w:rPr>
              <w:t xml:space="preserve">: </w:t>
            </w:r>
            <w:r>
              <w:rPr>
                <w:rStyle w:val="IndexLink"/>
                <w:rtl w:val="true"/>
              </w:rPr>
              <w:t>حكم بيع الثمر أزيد من عام واحد بمعنى أزيد من ثمرة واحدة</w:t>
            </w:r>
            <w:r>
              <w:rPr>
                <w:rStyle w:val="IndexLink"/>
                <w:rtl w:val="true"/>
              </w:rPr>
              <w:tab/>
            </w:r>
            <w:r>
              <w:rPr>
                <w:rStyle w:val="IndexLink"/>
              </w:rPr>
              <w:t>529</w:t>
            </w:r>
          </w:hyperlink>
        </w:p>
        <w:p>
          <w:pPr>
            <w:pStyle w:val="Contents5"/>
            <w:tabs>
              <w:tab w:val="clear" w:pos="7892"/>
              <w:tab w:val="right" w:pos="9026" w:leader="dot"/>
            </w:tabs>
            <w:rPr/>
          </w:pPr>
          <w:hyperlink w:anchor="__RefHeading___Toc13372672_1280447820">
            <w:r>
              <w:rPr>
                <w:webHidden/>
                <w:rStyle w:val="IndexLink"/>
                <w:rtl w:val="true"/>
              </w:rPr>
              <w:t>رابعها</w:t>
            </w:r>
            <w:r>
              <w:rPr>
                <w:rStyle w:val="IndexLink"/>
                <w:rtl w:val="true"/>
              </w:rPr>
              <w:t xml:space="preserve">: </w:t>
            </w:r>
            <w:r>
              <w:rPr>
                <w:rStyle w:val="IndexLink"/>
                <w:rtl w:val="true"/>
              </w:rPr>
              <w:t>جواز بیع ما بدا صلاحه بلا شرط</w:t>
            </w:r>
            <w:r>
              <w:rPr>
                <w:rStyle w:val="IndexLink"/>
                <w:rtl w:val="true"/>
              </w:rPr>
              <w:tab/>
            </w:r>
            <w:r>
              <w:rPr>
                <w:rStyle w:val="IndexLink"/>
              </w:rPr>
              <w:t>530</w:t>
            </w:r>
          </w:hyperlink>
        </w:p>
        <w:p>
          <w:pPr>
            <w:pStyle w:val="Contents5"/>
            <w:tabs>
              <w:tab w:val="clear" w:pos="7892"/>
              <w:tab w:val="right" w:pos="9026" w:leader="dot"/>
            </w:tabs>
            <w:rPr/>
          </w:pPr>
          <w:hyperlink w:anchor="__RefHeading___Toc13372674_1280447820">
            <w:r>
              <w:rPr>
                <w:webHidden/>
                <w:rStyle w:val="IndexLink"/>
                <w:rtl w:val="true"/>
              </w:rPr>
              <w:t>خامسها</w:t>
            </w:r>
            <w:r>
              <w:rPr>
                <w:rStyle w:val="IndexLink"/>
                <w:rtl w:val="true"/>
              </w:rPr>
              <w:t xml:space="preserve">: </w:t>
            </w:r>
            <w:r>
              <w:rPr>
                <w:rStyle w:val="IndexLink"/>
                <w:rtl w:val="true"/>
              </w:rPr>
              <w:t>جواز بيع ثمر النخل وغيره بعد الظهور مع انضمام شيء إليها</w:t>
            </w:r>
            <w:r>
              <w:rPr>
                <w:rStyle w:val="IndexLink"/>
                <w:rtl w:val="true"/>
              </w:rPr>
              <w:tab/>
            </w:r>
            <w:r>
              <w:rPr>
                <w:rStyle w:val="IndexLink"/>
              </w:rPr>
              <w:t>533</w:t>
            </w:r>
          </w:hyperlink>
        </w:p>
        <w:p>
          <w:pPr>
            <w:pStyle w:val="Contents5"/>
            <w:tabs>
              <w:tab w:val="clear" w:pos="7892"/>
              <w:tab w:val="right" w:pos="9026" w:leader="dot"/>
            </w:tabs>
            <w:rPr/>
          </w:pPr>
          <w:hyperlink w:anchor="__RefHeading___Toc13372676_1280447820">
            <w:r>
              <w:rPr>
                <w:webHidden/>
                <w:rStyle w:val="IndexLink"/>
                <w:rtl w:val="true"/>
              </w:rPr>
              <w:t>سادسها</w:t>
            </w:r>
            <w:r>
              <w:rPr>
                <w:rStyle w:val="IndexLink"/>
                <w:rtl w:val="true"/>
              </w:rPr>
              <w:t xml:space="preserve">: </w:t>
            </w:r>
            <w:r>
              <w:rPr>
                <w:rStyle w:val="IndexLink"/>
                <w:rtl w:val="true"/>
              </w:rPr>
              <w:t>فيما لو أدرك بعض ثمرة النخلة أو بعض ثمرة بستان واحد جاز بيعها أجمع</w:t>
            </w:r>
            <w:r>
              <w:rPr>
                <w:rStyle w:val="IndexLink"/>
                <w:rtl w:val="true"/>
              </w:rPr>
              <w:tab/>
            </w:r>
            <w:r>
              <w:rPr>
                <w:rStyle w:val="IndexLink"/>
              </w:rPr>
              <w:t>535</w:t>
            </w:r>
          </w:hyperlink>
        </w:p>
        <w:p>
          <w:pPr>
            <w:pStyle w:val="Contents5"/>
            <w:tabs>
              <w:tab w:val="clear" w:pos="7892"/>
              <w:tab w:val="right" w:pos="9026" w:leader="dot"/>
            </w:tabs>
            <w:rPr/>
          </w:pPr>
          <w:hyperlink w:anchor="__RefHeading___Toc13372678_1280447820">
            <w:r>
              <w:rPr>
                <w:webHidden/>
                <w:rStyle w:val="IndexLink"/>
                <w:rtl w:val="true"/>
              </w:rPr>
              <w:t>سابعها</w:t>
            </w:r>
            <w:r>
              <w:rPr>
                <w:rStyle w:val="IndexLink"/>
                <w:rtl w:val="true"/>
              </w:rPr>
              <w:t xml:space="preserve">: </w:t>
            </w:r>
            <w:r>
              <w:rPr>
                <w:rStyle w:val="IndexLink"/>
                <w:rtl w:val="true"/>
              </w:rPr>
              <w:t>عدم الفرق بين ثمر النخل وغيره من ثمر الشجر أو الخضر في المنع من بیعه قبل ظهوره</w:t>
            </w:r>
            <w:r>
              <w:rPr>
                <w:rStyle w:val="IndexLink"/>
                <w:rtl w:val="true"/>
              </w:rPr>
              <w:tab/>
            </w:r>
            <w:r>
              <w:rPr>
                <w:rStyle w:val="IndexLink"/>
              </w:rPr>
              <w:t>536</w:t>
            </w:r>
          </w:hyperlink>
        </w:p>
        <w:p>
          <w:pPr>
            <w:pStyle w:val="Contents5"/>
            <w:tabs>
              <w:tab w:val="clear" w:pos="7892"/>
              <w:tab w:val="right" w:pos="9026" w:leader="dot"/>
            </w:tabs>
            <w:rPr/>
          </w:pPr>
          <w:hyperlink w:anchor="__RefHeading___Toc13372680_1280447820">
            <w:r>
              <w:rPr>
                <w:webHidden/>
                <w:rStyle w:val="IndexLink"/>
                <w:rtl w:val="true"/>
              </w:rPr>
              <w:t>ثامنها</w:t>
            </w:r>
            <w:r>
              <w:rPr>
                <w:rStyle w:val="IndexLink"/>
                <w:rtl w:val="true"/>
              </w:rPr>
              <w:t xml:space="preserve">: </w:t>
            </w:r>
            <w:r>
              <w:rPr>
                <w:rStyle w:val="IndexLink"/>
                <w:rtl w:val="true"/>
              </w:rPr>
              <w:t>جواز بيع حب الزرع بعد ظهوره وبيع الزرع نفسه وبيعه بعد ظهوره</w:t>
            </w:r>
            <w:r>
              <w:rPr>
                <w:rStyle w:val="IndexLink"/>
                <w:rtl w:val="true"/>
              </w:rPr>
              <w:tab/>
            </w:r>
            <w:r>
              <w:rPr>
                <w:rStyle w:val="IndexLink"/>
              </w:rPr>
              <w:t>537</w:t>
            </w:r>
          </w:hyperlink>
        </w:p>
        <w:p>
          <w:pPr>
            <w:pStyle w:val="Contents5"/>
            <w:tabs>
              <w:tab w:val="clear" w:pos="7892"/>
              <w:tab w:val="right" w:pos="9026" w:leader="dot"/>
            </w:tabs>
            <w:rPr/>
          </w:pPr>
          <w:hyperlink w:anchor="__RefHeading___Toc13372682_1280447820">
            <w:r>
              <w:rPr>
                <w:webHidden/>
                <w:rStyle w:val="IndexLink"/>
                <w:rtl w:val="true"/>
              </w:rPr>
              <w:t>تاسعها</w:t>
            </w:r>
            <w:r>
              <w:rPr>
                <w:rStyle w:val="IndexLink"/>
                <w:rtl w:val="true"/>
              </w:rPr>
              <w:t xml:space="preserve">: </w:t>
            </w:r>
            <w:r>
              <w:rPr>
                <w:rStyle w:val="IndexLink"/>
                <w:rtl w:val="true"/>
              </w:rPr>
              <w:t>عدم جواز بيع الخضر قبل ظهورها وجوازه بعده</w:t>
            </w:r>
            <w:r>
              <w:rPr>
                <w:rStyle w:val="IndexLink"/>
                <w:rtl w:val="true"/>
              </w:rPr>
              <w:tab/>
            </w:r>
            <w:r>
              <w:rPr>
                <w:rStyle w:val="IndexLink"/>
              </w:rPr>
              <w:t>538</w:t>
            </w:r>
          </w:hyperlink>
        </w:p>
        <w:p>
          <w:pPr>
            <w:pStyle w:val="Contents5"/>
            <w:tabs>
              <w:tab w:val="clear" w:pos="7892"/>
              <w:tab w:val="right" w:pos="9026" w:leader="dot"/>
            </w:tabs>
            <w:rPr/>
          </w:pPr>
          <w:hyperlink w:anchor="__RefHeading___Toc13372684_1280447820">
            <w:r>
              <w:rPr>
                <w:webHidden/>
                <w:rStyle w:val="IndexLink"/>
                <w:rtl w:val="true"/>
              </w:rPr>
              <w:t>عاشرها</w:t>
            </w:r>
            <w:r>
              <w:rPr>
                <w:rStyle w:val="IndexLink"/>
                <w:rtl w:val="true"/>
              </w:rPr>
              <w:t xml:space="preserve">: </w:t>
            </w:r>
            <w:r>
              <w:rPr>
                <w:rStyle w:val="IndexLink"/>
                <w:rtl w:val="true"/>
              </w:rPr>
              <w:t>في بيان حق المارّة</w:t>
            </w:r>
            <w:r>
              <w:rPr>
                <w:rStyle w:val="IndexLink"/>
                <w:rtl w:val="true"/>
              </w:rPr>
              <w:tab/>
            </w:r>
            <w:r>
              <w:rPr>
                <w:rStyle w:val="IndexLink"/>
              </w:rPr>
              <w:t>539</w:t>
            </w:r>
          </w:hyperlink>
        </w:p>
        <w:p>
          <w:pPr>
            <w:pStyle w:val="Contents5"/>
            <w:tabs>
              <w:tab w:val="clear" w:pos="7892"/>
              <w:tab w:val="right" w:pos="9026" w:leader="dot"/>
            </w:tabs>
            <w:rPr/>
          </w:pPr>
          <w:hyperlink w:anchor="__RefHeading___Toc13372686_1280447820">
            <w:r>
              <w:rPr>
                <w:webHidden/>
                <w:rStyle w:val="IndexLink"/>
                <w:rtl w:val="true"/>
              </w:rPr>
              <w:t>حادي عشرها حرمة المحاقلة والمزابنة وتفسيرهما</w:t>
            </w:r>
            <w:r>
              <w:rPr>
                <w:rStyle w:val="IndexLink"/>
                <w:rtl w:val="true"/>
              </w:rPr>
              <w:tab/>
            </w:r>
            <w:r>
              <w:rPr>
                <w:rStyle w:val="IndexLink"/>
              </w:rPr>
              <w:t>542</w:t>
            </w:r>
          </w:hyperlink>
        </w:p>
        <w:p>
          <w:pPr>
            <w:pStyle w:val="Contents5"/>
            <w:tabs>
              <w:tab w:val="clear" w:pos="7892"/>
              <w:tab w:val="right" w:pos="9026" w:leader="dot"/>
            </w:tabs>
            <w:rPr/>
          </w:pPr>
          <w:hyperlink w:anchor="__RefHeading___Toc13372688_1280447820">
            <w:r>
              <w:rPr>
                <w:webHidden/>
                <w:rStyle w:val="IndexLink"/>
                <w:rtl w:val="true"/>
              </w:rPr>
              <w:t>ثاني عشرها</w:t>
            </w:r>
            <w:r>
              <w:rPr>
                <w:rStyle w:val="IndexLink"/>
                <w:rtl w:val="true"/>
              </w:rPr>
              <w:t xml:space="preserve">: </w:t>
            </w:r>
            <w:r>
              <w:rPr>
                <w:rStyle w:val="IndexLink"/>
                <w:rtl w:val="true"/>
              </w:rPr>
              <w:t>جواز العرية</w:t>
            </w:r>
            <w:r>
              <w:rPr>
                <w:rStyle w:val="IndexLink"/>
                <w:rtl w:val="true"/>
              </w:rPr>
              <w:tab/>
            </w:r>
            <w:r>
              <w:rPr>
                <w:rStyle w:val="IndexLink"/>
              </w:rPr>
              <w:t>545</w:t>
            </w:r>
          </w:hyperlink>
        </w:p>
        <w:p>
          <w:pPr>
            <w:pStyle w:val="Contents5"/>
            <w:tabs>
              <w:tab w:val="clear" w:pos="7892"/>
              <w:tab w:val="right" w:pos="9026" w:leader="dot"/>
            </w:tabs>
            <w:rPr/>
          </w:pPr>
          <w:hyperlink w:anchor="__RefHeading___Toc13372690_1280447820">
            <w:r>
              <w:rPr>
                <w:webHidden/>
                <w:rStyle w:val="IndexLink"/>
                <w:rtl w:val="true"/>
              </w:rPr>
              <w:t xml:space="preserve">ثالث عشرها </w:t>
            </w:r>
            <w:r>
              <w:rPr>
                <w:rStyle w:val="IndexLink"/>
                <w:rtl w:val="true"/>
              </w:rPr>
              <w:t xml:space="preserve">: </w:t>
            </w:r>
            <w:r>
              <w:rPr>
                <w:rStyle w:val="IndexLink"/>
                <w:rtl w:val="true"/>
              </w:rPr>
              <w:t>حكم ما إذا كان بين اثنين أو جماعة ثمرة نخل أو شجر فتقبل أحدهما بحصة صاحبه بثمن معلوم القدر منها أو من غيرها</w:t>
            </w:r>
            <w:r>
              <w:rPr>
                <w:rStyle w:val="IndexLink"/>
                <w:rtl w:val="true"/>
              </w:rPr>
              <w:tab/>
            </w:r>
            <w:r>
              <w:rPr>
                <w:rStyle w:val="IndexLink"/>
              </w:rPr>
              <w:t>546</w:t>
            </w:r>
          </w:hyperlink>
        </w:p>
        <w:p>
          <w:pPr>
            <w:pStyle w:val="Contents5"/>
            <w:tabs>
              <w:tab w:val="clear" w:pos="7892"/>
              <w:tab w:val="right" w:pos="9026" w:leader="dot"/>
            </w:tabs>
            <w:rPr/>
          </w:pPr>
          <w:hyperlink w:anchor="__RefHeading___Toc13372692_1280447820">
            <w:r>
              <w:rPr>
                <w:webHidden/>
                <w:rStyle w:val="IndexLink"/>
                <w:rtl w:val="true"/>
              </w:rPr>
              <w:t>رابع عشرها</w:t>
            </w:r>
            <w:r>
              <w:rPr>
                <w:rStyle w:val="IndexLink"/>
                <w:rtl w:val="true"/>
              </w:rPr>
              <w:t xml:space="preserve">: </w:t>
            </w:r>
            <w:r>
              <w:rPr>
                <w:rStyle w:val="IndexLink"/>
                <w:rtl w:val="true"/>
              </w:rPr>
              <w:t>حكم ما لو اشترى ثمرة أو زرعاً بشرط القطع</w:t>
            </w:r>
            <w:r>
              <w:rPr>
                <w:rStyle w:val="IndexLink"/>
                <w:rtl w:val="true"/>
              </w:rPr>
              <w:tab/>
            </w:r>
            <w:r>
              <w:rPr>
                <w:rStyle w:val="IndexLink"/>
              </w:rPr>
              <w:t>547</w:t>
            </w:r>
          </w:hyperlink>
        </w:p>
        <w:p>
          <w:pPr>
            <w:pStyle w:val="Contents5"/>
            <w:tabs>
              <w:tab w:val="clear" w:pos="7892"/>
              <w:tab w:val="right" w:pos="9026" w:leader="dot"/>
            </w:tabs>
            <w:rPr/>
          </w:pPr>
          <w:hyperlink w:anchor="__RefHeading___Toc13372694_1280447820">
            <w:r>
              <w:rPr>
                <w:webHidden/>
                <w:rStyle w:val="IndexLink"/>
                <w:rtl w:val="true"/>
              </w:rPr>
              <w:t>خامس عشرها</w:t>
            </w:r>
            <w:r>
              <w:rPr>
                <w:rStyle w:val="IndexLink"/>
                <w:rtl w:val="true"/>
              </w:rPr>
              <w:t xml:space="preserve">: </w:t>
            </w:r>
            <w:r>
              <w:rPr>
                <w:rStyle w:val="IndexLink"/>
                <w:rtl w:val="true"/>
              </w:rPr>
              <w:t>فيما يتعلّق بمشتري الثمرة وصاحب الأصل من سقي الشجرة وغيره من الأحكام</w:t>
            </w:r>
            <w:r>
              <w:rPr>
                <w:rStyle w:val="IndexLink"/>
                <w:rtl w:val="true"/>
              </w:rPr>
              <w:tab/>
            </w:r>
            <w:r>
              <w:rPr>
                <w:rStyle w:val="IndexLink"/>
              </w:rPr>
              <w:t>549</w:t>
            </w:r>
          </w:hyperlink>
        </w:p>
        <w:p>
          <w:pPr>
            <w:pStyle w:val="Contents5"/>
            <w:tabs>
              <w:tab w:val="clear" w:pos="7892"/>
              <w:tab w:val="right" w:pos="9026" w:leader="dot"/>
            </w:tabs>
            <w:rPr/>
          </w:pPr>
          <w:hyperlink w:anchor="__RefHeading___Toc13372696_1280447820">
            <w:r>
              <w:rPr>
                <w:webHidden/>
                <w:rStyle w:val="IndexLink"/>
                <w:rtl w:val="true"/>
              </w:rPr>
              <w:t>سادس عشرها</w:t>
            </w:r>
            <w:r>
              <w:rPr>
                <w:rStyle w:val="IndexLink"/>
                <w:rtl w:val="true"/>
              </w:rPr>
              <w:t xml:space="preserve">: </w:t>
            </w:r>
            <w:r>
              <w:rPr>
                <w:rStyle w:val="IndexLink"/>
                <w:rtl w:val="true"/>
              </w:rPr>
              <w:t>جواز بيع الثمرة كسراً مشاعاً</w:t>
            </w:r>
            <w:r>
              <w:rPr>
                <w:rStyle w:val="IndexLink"/>
                <w:rtl w:val="true"/>
              </w:rPr>
              <w:tab/>
            </w:r>
            <w:r>
              <w:rPr>
                <w:rStyle w:val="IndexLink"/>
              </w:rPr>
              <w:t>550</w:t>
            </w:r>
          </w:hyperlink>
        </w:p>
        <w:p>
          <w:pPr>
            <w:pStyle w:val="Contents5"/>
            <w:tabs>
              <w:tab w:val="clear" w:pos="7892"/>
              <w:tab w:val="right" w:pos="9026" w:leader="dot"/>
            </w:tabs>
            <w:rPr/>
          </w:pPr>
          <w:hyperlink w:anchor="__RefHeading___Toc13372698_1280447820">
            <w:r>
              <w:rPr>
                <w:webHidden/>
                <w:rStyle w:val="IndexLink"/>
                <w:rtl w:val="true"/>
              </w:rPr>
              <w:t>سابع عشرها</w:t>
            </w:r>
            <w:r>
              <w:rPr>
                <w:rStyle w:val="IndexLink"/>
                <w:rtl w:val="true"/>
              </w:rPr>
              <w:t xml:space="preserve">: </w:t>
            </w:r>
            <w:r>
              <w:rPr>
                <w:rStyle w:val="IndexLink"/>
                <w:rtl w:val="true"/>
              </w:rPr>
              <w:t>حكم ما إذا باع الثمرة فتلفت قبل التخلية كلاً أو بعضاً</w:t>
            </w:r>
            <w:r>
              <w:rPr>
                <w:rStyle w:val="IndexLink"/>
                <w:rtl w:val="true"/>
              </w:rPr>
              <w:tab/>
            </w:r>
            <w:r>
              <w:rPr>
                <w:rStyle w:val="IndexLink"/>
              </w:rPr>
              <w:t>550</w:t>
            </w:r>
          </w:hyperlink>
        </w:p>
        <w:p>
          <w:pPr>
            <w:pStyle w:val="Contents3"/>
            <w:tabs>
              <w:tab w:val="clear" w:pos="8459"/>
              <w:tab w:val="right" w:pos="9026" w:leader="dot"/>
            </w:tabs>
            <w:rPr/>
          </w:pPr>
          <w:hyperlink w:anchor="__RefHeading___Toc13372700_1280447820">
            <w:r>
              <w:rPr>
                <w:webHidden/>
                <w:rStyle w:val="IndexLink"/>
                <w:rtl w:val="true"/>
              </w:rPr>
              <w:t>القول في بيع الحيوان</w:t>
            </w:r>
            <w:r>
              <w:rPr>
                <w:rStyle w:val="IndexLink"/>
                <w:rtl w:val="true"/>
              </w:rPr>
              <w:tab/>
            </w:r>
            <w:r>
              <w:rPr>
                <w:rStyle w:val="IndexLink"/>
              </w:rPr>
              <w:t>552</w:t>
            </w:r>
          </w:hyperlink>
        </w:p>
        <w:p>
          <w:pPr>
            <w:pStyle w:val="Contents4"/>
            <w:tabs>
              <w:tab w:val="clear" w:pos="8176"/>
              <w:tab w:val="right" w:pos="9026" w:leader="dot"/>
            </w:tabs>
            <w:rPr/>
          </w:pPr>
          <w:hyperlink w:anchor="__RefHeading___Toc13372702_1280447820">
            <w:r>
              <w:rPr>
                <w:webHidden/>
                <w:rStyle w:val="IndexLink"/>
                <w:rtl w:val="true"/>
              </w:rPr>
              <w:t>إشارة</w:t>
            </w:r>
            <w:r>
              <w:rPr>
                <w:rStyle w:val="IndexLink"/>
                <w:rtl w:val="true"/>
              </w:rPr>
              <w:t>:</w:t>
              <w:tab/>
            </w:r>
            <w:r>
              <w:rPr>
                <w:rStyle w:val="IndexLink"/>
              </w:rPr>
              <w:t>552</w:t>
            </w:r>
          </w:hyperlink>
        </w:p>
        <w:p>
          <w:pPr>
            <w:pStyle w:val="Contents4"/>
            <w:tabs>
              <w:tab w:val="clear" w:pos="8176"/>
              <w:tab w:val="right" w:pos="9026" w:leader="dot"/>
            </w:tabs>
            <w:rPr/>
          </w:pPr>
          <w:hyperlink w:anchor="__RefHeading___Toc13372704_1280447820">
            <w:r>
              <w:rPr>
                <w:webHidden/>
                <w:rStyle w:val="IndexLink"/>
                <w:rtl w:val="true"/>
              </w:rPr>
              <w:t>والكلام فيه في مباحث</w:t>
            </w:r>
            <w:r>
              <w:rPr>
                <w:rStyle w:val="IndexLink"/>
                <w:rtl w:val="true"/>
              </w:rPr>
              <w:t>:</w:t>
              <w:tab/>
            </w:r>
            <w:r>
              <w:rPr>
                <w:rStyle w:val="IndexLink"/>
              </w:rPr>
              <w:t>552</w:t>
            </w:r>
          </w:hyperlink>
        </w:p>
        <w:p>
          <w:pPr>
            <w:pStyle w:val="Contents4"/>
            <w:tabs>
              <w:tab w:val="clear" w:pos="8176"/>
              <w:tab w:val="right" w:pos="9026" w:leader="dot"/>
            </w:tabs>
            <w:rPr/>
          </w:pPr>
          <w:hyperlink w:anchor="__RefHeading___Toc13372706_1280447820">
            <w:r>
              <w:rPr>
                <w:webHidden/>
                <w:rStyle w:val="IndexLink"/>
                <w:rtl w:val="true"/>
              </w:rPr>
              <w:t>أحدها</w:t>
            </w:r>
            <w:r>
              <w:rPr>
                <w:rStyle w:val="IndexLink"/>
                <w:rtl w:val="true"/>
              </w:rPr>
              <w:t xml:space="preserve">: </w:t>
            </w:r>
            <w:r>
              <w:rPr>
                <w:rStyle w:val="IndexLink"/>
                <w:rtl w:val="true"/>
              </w:rPr>
              <w:t>جواز ملك الكافر أصالة أو تبعاً إذا كان خالياً عن ذمام أو عهد أو أمان وكذا استرقاقه</w:t>
            </w:r>
            <w:r>
              <w:rPr>
                <w:rStyle w:val="IndexLink"/>
                <w:rtl w:val="true"/>
              </w:rPr>
              <w:tab/>
            </w:r>
            <w:r>
              <w:rPr>
                <w:rStyle w:val="IndexLink"/>
              </w:rPr>
              <w:t>552</w:t>
            </w:r>
          </w:hyperlink>
        </w:p>
        <w:p>
          <w:pPr>
            <w:pStyle w:val="Contents4"/>
            <w:tabs>
              <w:tab w:val="clear" w:pos="8176"/>
              <w:tab w:val="right" w:pos="9026" w:leader="dot"/>
            </w:tabs>
            <w:rPr/>
          </w:pPr>
          <w:hyperlink w:anchor="__RefHeading___Toc13372708_1280447820">
            <w:r>
              <w:rPr>
                <w:webHidden/>
                <w:rStyle w:val="IndexLink"/>
                <w:rtl w:val="true"/>
              </w:rPr>
              <w:t>ثانيها</w:t>
            </w:r>
            <w:r>
              <w:rPr>
                <w:rStyle w:val="IndexLink"/>
                <w:rtl w:val="true"/>
              </w:rPr>
              <w:t xml:space="preserve">: </w:t>
            </w:r>
            <w:r>
              <w:rPr>
                <w:rStyle w:val="IndexLink"/>
                <w:rtl w:val="true"/>
              </w:rPr>
              <w:t>صحه تملك كلِّ من الزوجين الآخر دواماً ومتعة وكذا المحلل له ما لم يختلفا في الإسلام وعدمه</w:t>
            </w:r>
            <w:r>
              <w:rPr>
                <w:rStyle w:val="IndexLink"/>
                <w:rtl w:val="true"/>
              </w:rPr>
              <w:tab/>
            </w:r>
            <w:r>
              <w:rPr>
                <w:rStyle w:val="IndexLink"/>
              </w:rPr>
              <w:t>555</w:t>
            </w:r>
          </w:hyperlink>
        </w:p>
        <w:p>
          <w:pPr>
            <w:pStyle w:val="Contents4"/>
            <w:tabs>
              <w:tab w:val="clear" w:pos="8176"/>
              <w:tab w:val="right" w:pos="9026" w:leader="dot"/>
            </w:tabs>
            <w:rPr/>
          </w:pPr>
          <w:hyperlink w:anchor="__RefHeading___Toc13372710_1280447820">
            <w:r>
              <w:rPr>
                <w:webHidden/>
                <w:rStyle w:val="IndexLink"/>
                <w:rtl w:val="true"/>
              </w:rPr>
              <w:t>ثالثها</w:t>
            </w:r>
            <w:r>
              <w:rPr>
                <w:rStyle w:val="IndexLink"/>
                <w:rtl w:val="true"/>
              </w:rPr>
              <w:t xml:space="preserve">: </w:t>
            </w:r>
            <w:r>
              <w:rPr>
                <w:rStyle w:val="IndexLink"/>
                <w:rtl w:val="true"/>
              </w:rPr>
              <w:t>جواز تملك الرجل كلّ قريب وبعيد له بعلقة النسب وانعتاقه عليه بعد ملكه آناً مّا</w:t>
            </w:r>
            <w:r>
              <w:rPr>
                <w:rStyle w:val="IndexLink"/>
                <w:rtl w:val="true"/>
              </w:rPr>
              <w:tab/>
            </w:r>
            <w:r>
              <w:rPr>
                <w:rStyle w:val="IndexLink"/>
              </w:rPr>
              <w:t>556</w:t>
            </w:r>
          </w:hyperlink>
        </w:p>
        <w:p>
          <w:pPr>
            <w:pStyle w:val="Contents4"/>
            <w:tabs>
              <w:tab w:val="clear" w:pos="8176"/>
              <w:tab w:val="right" w:pos="9026" w:leader="dot"/>
            </w:tabs>
            <w:rPr/>
          </w:pPr>
          <w:hyperlink w:anchor="__RefHeading___Toc13372712_1280447820">
            <w:r>
              <w:rPr>
                <w:webHidden/>
                <w:rStyle w:val="IndexLink"/>
                <w:rtl w:val="true"/>
              </w:rPr>
              <w:t>رابعها</w:t>
            </w:r>
            <w:r>
              <w:rPr>
                <w:rStyle w:val="IndexLink"/>
                <w:rtl w:val="true"/>
              </w:rPr>
              <w:t xml:space="preserve">: </w:t>
            </w:r>
            <w:r>
              <w:rPr>
                <w:rStyle w:val="IndexLink"/>
                <w:rtl w:val="true"/>
              </w:rPr>
              <w:t xml:space="preserve">في أنّ ما يؤخذ من مال الحربيّين </w:t>
            </w:r>
            <w:r>
              <w:rPr>
                <w:rStyle w:val="IndexLink"/>
                <w:rtl w:val="true"/>
              </w:rPr>
              <w:t xml:space="preserve">- </w:t>
            </w:r>
            <w:r>
              <w:rPr>
                <w:rStyle w:val="IndexLink"/>
                <w:rtl w:val="true"/>
              </w:rPr>
              <w:t>بغير إذن الإمام أو منصوبه فهو لآخذه وفيه الخمس</w:t>
            </w:r>
            <w:r>
              <w:rPr>
                <w:rStyle w:val="IndexLink"/>
                <w:rtl w:val="true"/>
              </w:rPr>
              <w:tab/>
            </w:r>
            <w:r>
              <w:rPr>
                <w:rStyle w:val="IndexLink"/>
              </w:rPr>
              <w:t>559</w:t>
            </w:r>
          </w:hyperlink>
        </w:p>
        <w:p>
          <w:pPr>
            <w:pStyle w:val="Contents4"/>
            <w:tabs>
              <w:tab w:val="clear" w:pos="8176"/>
              <w:tab w:val="right" w:pos="9026" w:leader="dot"/>
            </w:tabs>
            <w:rPr/>
          </w:pPr>
          <w:hyperlink w:anchor="__RefHeading___Toc13372714_1280447820">
            <w:r>
              <w:rPr>
                <w:webHidden/>
                <w:rStyle w:val="IndexLink"/>
                <w:rtl w:val="true"/>
              </w:rPr>
              <w:t>خامسها</w:t>
            </w:r>
            <w:r>
              <w:rPr>
                <w:rStyle w:val="IndexLink"/>
                <w:rtl w:val="true"/>
              </w:rPr>
              <w:t xml:space="preserve">: </w:t>
            </w:r>
            <w:r>
              <w:rPr>
                <w:rStyle w:val="IndexLink"/>
                <w:rtl w:val="true"/>
              </w:rPr>
              <w:t>جواز ابتیاع بعض الحيوان الحي بشرط الإشاعة</w:t>
            </w:r>
            <w:r>
              <w:rPr>
                <w:rStyle w:val="IndexLink"/>
                <w:rtl w:val="true"/>
              </w:rPr>
              <w:tab/>
            </w:r>
            <w:r>
              <w:rPr>
                <w:rStyle w:val="IndexLink"/>
              </w:rPr>
              <w:t>561</w:t>
            </w:r>
          </w:hyperlink>
        </w:p>
        <w:p>
          <w:pPr>
            <w:pStyle w:val="Contents4"/>
            <w:tabs>
              <w:tab w:val="clear" w:pos="8176"/>
              <w:tab w:val="right" w:pos="9026" w:leader="dot"/>
            </w:tabs>
            <w:rPr/>
          </w:pPr>
          <w:hyperlink w:anchor="__RefHeading___Toc13372716_1280447820">
            <w:r>
              <w:rPr>
                <w:webHidden/>
                <w:rStyle w:val="IndexLink"/>
                <w:rtl w:val="true"/>
              </w:rPr>
              <w:t>سادسها</w:t>
            </w:r>
            <w:r>
              <w:rPr>
                <w:rStyle w:val="IndexLink"/>
                <w:rtl w:val="true"/>
              </w:rPr>
              <w:t xml:space="preserve">: </w:t>
            </w:r>
            <w:r>
              <w:rPr>
                <w:rStyle w:val="IndexLink"/>
                <w:rtl w:val="true"/>
              </w:rPr>
              <w:t>حكم ما لو اشترك شخصان في شراء حيوان مع شرط وشرط أحدهما الرأس والجلد دون الآخر</w:t>
            </w:r>
            <w:r>
              <w:rPr>
                <w:rStyle w:val="IndexLink"/>
                <w:rtl w:val="true"/>
              </w:rPr>
              <w:tab/>
            </w:r>
            <w:r>
              <w:rPr>
                <w:rStyle w:val="IndexLink"/>
              </w:rPr>
              <w:t>564</w:t>
            </w:r>
          </w:hyperlink>
        </w:p>
        <w:p>
          <w:pPr>
            <w:pStyle w:val="Contents4"/>
            <w:tabs>
              <w:tab w:val="clear" w:pos="8176"/>
              <w:tab w:val="right" w:pos="9026" w:leader="dot"/>
            </w:tabs>
            <w:rPr/>
          </w:pPr>
          <w:hyperlink w:anchor="__RefHeading___Toc13372718_1280447820">
            <w:r>
              <w:rPr>
                <w:webHidden/>
                <w:rStyle w:val="IndexLink"/>
                <w:rtl w:val="true"/>
              </w:rPr>
              <w:t>سابعها</w:t>
            </w:r>
            <w:r>
              <w:rPr>
                <w:rStyle w:val="IndexLink"/>
                <w:rtl w:val="true"/>
              </w:rPr>
              <w:t xml:space="preserve">: </w:t>
            </w:r>
            <w:r>
              <w:rPr>
                <w:rStyle w:val="IndexLink"/>
                <w:rtl w:val="true"/>
              </w:rPr>
              <w:t xml:space="preserve">حكم ما لو قال شخص لآخر </w:t>
            </w:r>
            <w:r>
              <w:rPr>
                <w:rStyle w:val="IndexLink"/>
                <w:rtl w:val="true"/>
              </w:rPr>
              <w:t xml:space="preserve">: </w:t>
            </w:r>
            <w:r>
              <w:rPr>
                <w:rStyle w:val="IndexLink"/>
                <w:rtl w:val="true"/>
              </w:rPr>
              <w:t>اشتر حيواناً أو هذا الحيوان بشركتي معك فاشتراه لهما</w:t>
            </w:r>
            <w:r>
              <w:rPr>
                <w:rStyle w:val="IndexLink"/>
                <w:rtl w:val="true"/>
              </w:rPr>
              <w:tab/>
            </w:r>
            <w:r>
              <w:rPr>
                <w:rStyle w:val="IndexLink"/>
              </w:rPr>
              <w:t>565</w:t>
            </w:r>
          </w:hyperlink>
        </w:p>
        <w:p>
          <w:pPr>
            <w:pStyle w:val="Contents4"/>
            <w:tabs>
              <w:tab w:val="clear" w:pos="8176"/>
              <w:tab w:val="right" w:pos="9026" w:leader="dot"/>
            </w:tabs>
            <w:rPr/>
          </w:pPr>
          <w:hyperlink w:anchor="__RefHeading___Toc13372720_1280447820">
            <w:r>
              <w:rPr>
                <w:webHidden/>
                <w:rStyle w:val="IndexLink"/>
                <w:rtl w:val="true"/>
              </w:rPr>
              <w:t>ثامنها</w:t>
            </w:r>
            <w:r>
              <w:rPr>
                <w:rStyle w:val="IndexLink"/>
                <w:rtl w:val="true"/>
              </w:rPr>
              <w:t xml:space="preserve">: </w:t>
            </w:r>
            <w:r>
              <w:rPr>
                <w:rStyle w:val="IndexLink"/>
                <w:rtl w:val="true"/>
              </w:rPr>
              <w:t>جواز النظر إلى وجه المملوكة ومحاسنها إذا أراد شراءها من غير تلذذ ولا ريبة</w:t>
            </w:r>
            <w:r>
              <w:rPr>
                <w:rStyle w:val="IndexLink"/>
                <w:rtl w:val="true"/>
              </w:rPr>
              <w:tab/>
            </w:r>
            <w:r>
              <w:rPr>
                <w:rStyle w:val="IndexLink"/>
              </w:rPr>
              <w:t>567</w:t>
            </w:r>
          </w:hyperlink>
        </w:p>
        <w:p>
          <w:pPr>
            <w:pStyle w:val="Contents4"/>
            <w:tabs>
              <w:tab w:val="clear" w:pos="8176"/>
              <w:tab w:val="right" w:pos="9026" w:leader="dot"/>
            </w:tabs>
            <w:rPr/>
          </w:pPr>
          <w:hyperlink w:anchor="__RefHeading___Toc13372722_1280447820">
            <w:r>
              <w:rPr>
                <w:webHidden/>
                <w:rStyle w:val="IndexLink"/>
                <w:rtl w:val="true"/>
              </w:rPr>
              <w:t>تاسعها</w:t>
            </w:r>
            <w:r>
              <w:rPr>
                <w:rStyle w:val="IndexLink"/>
                <w:rtl w:val="true"/>
              </w:rPr>
              <w:t xml:space="preserve">: </w:t>
            </w:r>
            <w:r>
              <w:rPr>
                <w:rStyle w:val="IndexLink"/>
                <w:rtl w:val="true"/>
              </w:rPr>
              <w:t>في أنّ العبد بجميع أصنافه لا يملك شيئاً مطلقاً</w:t>
            </w:r>
            <w:r>
              <w:rPr>
                <w:rStyle w:val="IndexLink"/>
                <w:rtl w:val="true"/>
              </w:rPr>
              <w:tab/>
            </w:r>
            <w:r>
              <w:rPr>
                <w:rStyle w:val="IndexLink"/>
              </w:rPr>
              <w:t>567</w:t>
            </w:r>
          </w:hyperlink>
        </w:p>
        <w:p>
          <w:pPr>
            <w:pStyle w:val="Contents4"/>
            <w:tabs>
              <w:tab w:val="clear" w:pos="8176"/>
              <w:tab w:val="right" w:pos="9026" w:leader="dot"/>
            </w:tabs>
            <w:rPr/>
          </w:pPr>
          <w:hyperlink w:anchor="__RefHeading___Toc13372724_1280447820">
            <w:r>
              <w:rPr>
                <w:webHidden/>
                <w:rStyle w:val="IndexLink"/>
                <w:rtl w:val="true"/>
              </w:rPr>
              <w:t>عاشرها</w:t>
            </w:r>
            <w:r>
              <w:rPr>
                <w:rStyle w:val="IndexLink"/>
                <w:rtl w:val="true"/>
              </w:rPr>
              <w:t xml:space="preserve">: </w:t>
            </w:r>
            <w:r>
              <w:rPr>
                <w:rStyle w:val="IndexLink"/>
                <w:rtl w:val="true"/>
              </w:rPr>
              <w:t>في أنّه لو باع العبد مالكه أو نقله مطلقاً وكان بيده مال كان المال للبائع إلا أن يشترطه المشتري</w:t>
            </w:r>
            <w:r>
              <w:rPr>
                <w:rStyle w:val="IndexLink"/>
                <w:rtl w:val="true"/>
              </w:rPr>
              <w:tab/>
            </w:r>
            <w:r>
              <w:rPr>
                <w:rStyle w:val="IndexLink"/>
              </w:rPr>
              <w:t>573</w:t>
            </w:r>
          </w:hyperlink>
        </w:p>
        <w:p>
          <w:pPr>
            <w:pStyle w:val="Contents4"/>
            <w:tabs>
              <w:tab w:val="clear" w:pos="8176"/>
              <w:tab w:val="right" w:pos="9026" w:leader="dot"/>
            </w:tabs>
            <w:rPr/>
          </w:pPr>
          <w:hyperlink w:anchor="__RefHeading___Toc13372726_1280447820">
            <w:r>
              <w:rPr>
                <w:webHidden/>
                <w:rStyle w:val="IndexLink"/>
                <w:rtl w:val="true"/>
              </w:rPr>
              <w:t>حادي عشرها</w:t>
            </w:r>
            <w:r>
              <w:rPr>
                <w:rStyle w:val="IndexLink"/>
                <w:rtl w:val="true"/>
              </w:rPr>
              <w:t xml:space="preserve">: </w:t>
            </w:r>
            <w:r>
              <w:rPr>
                <w:rStyle w:val="IndexLink"/>
                <w:rtl w:val="true"/>
              </w:rPr>
              <w:t>عدم صحة جعالة العبد لو جعل لغيره جغلاً على شرائه</w:t>
            </w:r>
            <w:r>
              <w:rPr>
                <w:rStyle w:val="IndexLink"/>
                <w:rtl w:val="true"/>
              </w:rPr>
              <w:tab/>
            </w:r>
            <w:r>
              <w:rPr>
                <w:rStyle w:val="IndexLink"/>
              </w:rPr>
              <w:t>574</w:t>
            </w:r>
          </w:hyperlink>
        </w:p>
        <w:p>
          <w:pPr>
            <w:pStyle w:val="Contents4"/>
            <w:tabs>
              <w:tab w:val="clear" w:pos="8176"/>
              <w:tab w:val="right" w:pos="9026" w:leader="dot"/>
            </w:tabs>
            <w:rPr/>
          </w:pPr>
          <w:hyperlink w:anchor="__RefHeading___Toc13372728_1280447820">
            <w:r>
              <w:rPr>
                <w:webHidden/>
                <w:rStyle w:val="IndexLink"/>
                <w:rtl w:val="true"/>
              </w:rPr>
              <w:t>ثاني عشرها</w:t>
            </w:r>
            <w:r>
              <w:rPr>
                <w:rStyle w:val="IndexLink"/>
                <w:rtl w:val="true"/>
              </w:rPr>
              <w:t xml:space="preserve">: </w:t>
            </w:r>
            <w:r>
              <w:rPr>
                <w:rStyle w:val="IndexLink"/>
                <w:rtl w:val="true"/>
              </w:rPr>
              <w:t>حكم ما إذا تجدّد في الحيوان عيب بعد العقد وقبل القبض</w:t>
            </w:r>
            <w:r>
              <w:rPr>
                <w:rStyle w:val="IndexLink"/>
                <w:rtl w:val="true"/>
              </w:rPr>
              <w:tab/>
            </w:r>
            <w:r>
              <w:rPr>
                <w:rStyle w:val="IndexLink"/>
              </w:rPr>
              <w:t>575</w:t>
            </w:r>
          </w:hyperlink>
        </w:p>
        <w:p>
          <w:pPr>
            <w:pStyle w:val="Contents4"/>
            <w:tabs>
              <w:tab w:val="clear" w:pos="8176"/>
              <w:tab w:val="right" w:pos="9026" w:leader="dot"/>
            </w:tabs>
            <w:rPr/>
          </w:pPr>
          <w:hyperlink w:anchor="__RefHeading___Toc13372730_1280447820">
            <w:r>
              <w:rPr>
                <w:webHidden/>
                <w:rStyle w:val="IndexLink"/>
                <w:rtl w:val="true"/>
              </w:rPr>
              <w:t>ثالث عشرها</w:t>
            </w:r>
            <w:r>
              <w:rPr>
                <w:rStyle w:val="IndexLink"/>
                <w:rtl w:val="true"/>
              </w:rPr>
              <w:t xml:space="preserve">: </w:t>
            </w:r>
            <w:r>
              <w:rPr>
                <w:rStyle w:val="IndexLink"/>
                <w:rtl w:val="true"/>
              </w:rPr>
              <w:t>حمل الحيوان للبائع مع اشتراطه</w:t>
            </w:r>
            <w:r>
              <w:rPr>
                <w:rStyle w:val="IndexLink"/>
                <w:rtl w:val="true"/>
              </w:rPr>
              <w:tab/>
            </w:r>
            <w:r>
              <w:rPr>
                <w:rStyle w:val="IndexLink"/>
              </w:rPr>
              <w:t>578</w:t>
            </w:r>
          </w:hyperlink>
        </w:p>
        <w:p>
          <w:pPr>
            <w:pStyle w:val="Contents4"/>
            <w:tabs>
              <w:tab w:val="clear" w:pos="8176"/>
              <w:tab w:val="right" w:pos="9026" w:leader="dot"/>
            </w:tabs>
            <w:rPr/>
          </w:pPr>
          <w:hyperlink w:anchor="__RefHeading___Toc13372732_1280447820">
            <w:r>
              <w:rPr>
                <w:webHidden/>
                <w:rStyle w:val="IndexLink"/>
                <w:rtl w:val="true"/>
              </w:rPr>
              <w:t>رابع عشرها</w:t>
            </w:r>
            <w:r>
              <w:rPr>
                <w:rStyle w:val="IndexLink"/>
                <w:rtl w:val="true"/>
              </w:rPr>
              <w:t xml:space="preserve">: </w:t>
            </w:r>
            <w:r>
              <w:rPr>
                <w:rStyle w:val="IndexLink"/>
                <w:rtl w:val="true"/>
              </w:rPr>
              <w:t>حرمة بيع الأمة الموطوءة قبل استبرائها بحيضة تامة</w:t>
            </w:r>
            <w:r>
              <w:rPr>
                <w:rStyle w:val="IndexLink"/>
                <w:rtl w:val="true"/>
              </w:rPr>
              <w:tab/>
            </w:r>
            <w:r>
              <w:rPr>
                <w:rStyle w:val="IndexLink"/>
              </w:rPr>
              <w:t>579</w:t>
            </w:r>
          </w:hyperlink>
        </w:p>
        <w:p>
          <w:pPr>
            <w:pStyle w:val="Contents4"/>
            <w:tabs>
              <w:tab w:val="clear" w:pos="8176"/>
              <w:tab w:val="right" w:pos="9026" w:leader="dot"/>
            </w:tabs>
            <w:rPr/>
          </w:pPr>
          <w:hyperlink w:anchor="__RefHeading___Toc13372734_1280447820">
            <w:r>
              <w:rPr>
                <w:webHidden/>
                <w:rStyle w:val="IndexLink"/>
                <w:rtl w:val="true"/>
              </w:rPr>
              <w:t>خامس عشرها</w:t>
            </w:r>
            <w:r>
              <w:rPr>
                <w:rStyle w:val="IndexLink"/>
                <w:rtl w:val="true"/>
              </w:rPr>
              <w:t xml:space="preserve">: </w:t>
            </w:r>
            <w:r>
              <w:rPr>
                <w:rStyle w:val="IndexLink"/>
                <w:rtl w:val="true"/>
              </w:rPr>
              <w:t>حرمة وطء الأمة الحامل من غيره</w:t>
            </w:r>
            <w:r>
              <w:rPr>
                <w:rStyle w:val="IndexLink"/>
                <w:rtl w:val="true"/>
              </w:rPr>
              <w:tab/>
            </w:r>
            <w:r>
              <w:rPr>
                <w:rStyle w:val="IndexLink"/>
              </w:rPr>
              <w:t>586</w:t>
            </w:r>
          </w:hyperlink>
        </w:p>
        <w:p>
          <w:pPr>
            <w:pStyle w:val="Contents4"/>
            <w:tabs>
              <w:tab w:val="clear" w:pos="8176"/>
              <w:tab w:val="right" w:pos="9026" w:leader="dot"/>
            </w:tabs>
            <w:rPr/>
          </w:pPr>
          <w:hyperlink w:anchor="__RefHeading___Toc13372736_1280447820">
            <w:r>
              <w:rPr>
                <w:webHidden/>
                <w:rStyle w:val="IndexLink"/>
                <w:rtl w:val="true"/>
              </w:rPr>
              <w:t>سادس عشرها</w:t>
            </w:r>
            <w:r>
              <w:rPr>
                <w:rStyle w:val="IndexLink"/>
                <w:rtl w:val="true"/>
              </w:rPr>
              <w:t xml:space="preserve">: </w:t>
            </w:r>
            <w:r>
              <w:rPr>
                <w:rStyle w:val="IndexLink"/>
                <w:rtl w:val="true"/>
              </w:rPr>
              <w:t>كراهة التفرقة بين الأطفال وأُمهاتهم النسبية</w:t>
            </w:r>
            <w:r>
              <w:rPr>
                <w:rStyle w:val="IndexLink"/>
                <w:rtl w:val="true"/>
              </w:rPr>
              <w:tab/>
            </w:r>
            <w:r>
              <w:rPr>
                <w:rStyle w:val="IndexLink"/>
              </w:rPr>
              <w:t>591</w:t>
            </w:r>
          </w:hyperlink>
        </w:p>
        <w:p>
          <w:pPr>
            <w:pStyle w:val="Contents4"/>
            <w:tabs>
              <w:tab w:val="clear" w:pos="8176"/>
              <w:tab w:val="right" w:pos="9026" w:leader="dot"/>
            </w:tabs>
            <w:rPr/>
          </w:pPr>
          <w:hyperlink w:anchor="__RefHeading___Toc13372738_1280447820">
            <w:r>
              <w:rPr>
                <w:webHidden/>
                <w:rStyle w:val="IndexLink"/>
                <w:rtl w:val="true"/>
              </w:rPr>
              <w:t>سابع عشرها</w:t>
            </w:r>
            <w:r>
              <w:rPr>
                <w:rStyle w:val="IndexLink"/>
                <w:rtl w:val="true"/>
              </w:rPr>
              <w:t xml:space="preserve">: </w:t>
            </w:r>
            <w:r>
              <w:rPr>
                <w:rStyle w:val="IndexLink"/>
                <w:rtl w:val="true"/>
              </w:rPr>
              <w:t>حكم ما إذا ظهر استحقاق الأمة الموطوءة لغير الواطئ</w:t>
            </w:r>
            <w:r>
              <w:rPr>
                <w:rStyle w:val="IndexLink"/>
                <w:rtl w:val="true"/>
              </w:rPr>
              <w:tab/>
            </w:r>
            <w:r>
              <w:rPr>
                <w:rStyle w:val="IndexLink"/>
              </w:rPr>
              <w:t>593</w:t>
            </w:r>
          </w:hyperlink>
        </w:p>
        <w:p>
          <w:pPr>
            <w:pStyle w:val="Contents4"/>
            <w:tabs>
              <w:tab w:val="clear" w:pos="8176"/>
              <w:tab w:val="right" w:pos="9026" w:leader="dot"/>
            </w:tabs>
            <w:rPr/>
          </w:pPr>
          <w:hyperlink w:anchor="__RefHeading___Toc13372740_1280447820">
            <w:r>
              <w:rPr>
                <w:webHidden/>
                <w:rStyle w:val="IndexLink"/>
                <w:rtl w:val="true"/>
              </w:rPr>
              <w:t>ثامن عشرها</w:t>
            </w:r>
            <w:r>
              <w:rPr>
                <w:rStyle w:val="IndexLink"/>
                <w:rtl w:val="true"/>
              </w:rPr>
              <w:t xml:space="preserve">: </w:t>
            </w:r>
            <w:r>
              <w:rPr>
                <w:rStyle w:val="IndexLink"/>
                <w:rtl w:val="true"/>
              </w:rPr>
              <w:t>في أنّ كلّ مالٍ اشتري فظهر أنّه مسروق وجب على المشتري ردّه فوراً إلى أهله</w:t>
            </w:r>
            <w:r>
              <w:rPr>
                <w:rStyle w:val="IndexLink"/>
                <w:rtl w:val="true"/>
              </w:rPr>
              <w:tab/>
            </w:r>
            <w:r>
              <w:rPr>
                <w:rStyle w:val="IndexLink"/>
              </w:rPr>
              <w:t>597</w:t>
            </w:r>
          </w:hyperlink>
        </w:p>
        <w:p>
          <w:pPr>
            <w:pStyle w:val="Contents4"/>
            <w:tabs>
              <w:tab w:val="clear" w:pos="8176"/>
              <w:tab w:val="right" w:pos="9026" w:leader="dot"/>
            </w:tabs>
            <w:rPr/>
          </w:pPr>
          <w:hyperlink w:anchor="__RefHeading___Toc13372742_1280447820">
            <w:r>
              <w:rPr>
                <w:webHidden/>
                <w:rStyle w:val="IndexLink"/>
                <w:rtl w:val="true"/>
              </w:rPr>
              <w:t>تاسع عشرها</w:t>
            </w:r>
            <w:r>
              <w:rPr>
                <w:rStyle w:val="IndexLink"/>
                <w:rtl w:val="true"/>
              </w:rPr>
              <w:t xml:space="preserve">: </w:t>
            </w:r>
            <w:r>
              <w:rPr>
                <w:rStyle w:val="IndexLink"/>
                <w:rtl w:val="true"/>
              </w:rPr>
              <w:t>عدم صحة بيع عبد من عبدين أو من عبيد</w:t>
            </w:r>
            <w:r>
              <w:rPr>
                <w:rStyle w:val="IndexLink"/>
                <w:rtl w:val="true"/>
              </w:rPr>
              <w:tab/>
            </w:r>
            <w:r>
              <w:rPr>
                <w:rStyle w:val="IndexLink"/>
              </w:rPr>
              <w:t>599</w:t>
            </w:r>
          </w:hyperlink>
        </w:p>
        <w:p>
          <w:pPr>
            <w:pStyle w:val="Contents4"/>
            <w:tabs>
              <w:tab w:val="clear" w:pos="8176"/>
              <w:tab w:val="right" w:pos="9026" w:leader="dot"/>
            </w:tabs>
            <w:rPr/>
          </w:pPr>
          <w:hyperlink w:anchor="__RefHeading___Toc13372744_1280447820">
            <w:r>
              <w:rPr>
                <w:webHidden/>
                <w:rStyle w:val="IndexLink"/>
                <w:rtl w:val="true"/>
              </w:rPr>
              <w:t>العشرون</w:t>
            </w:r>
            <w:r>
              <w:rPr>
                <w:rStyle w:val="IndexLink"/>
                <w:rtl w:val="true"/>
              </w:rPr>
              <w:t xml:space="preserve">: </w:t>
            </w:r>
            <w:r>
              <w:rPr>
                <w:rStyle w:val="IndexLink"/>
                <w:rtl w:val="true"/>
              </w:rPr>
              <w:t>حكم ما إذا وطئ أحد الشركاء في الأمةِ الأمةَ</w:t>
            </w:r>
            <w:r>
              <w:rPr>
                <w:rStyle w:val="IndexLink"/>
                <w:rtl w:val="true"/>
              </w:rPr>
              <w:tab/>
            </w:r>
            <w:r>
              <w:rPr>
                <w:rStyle w:val="IndexLink"/>
              </w:rPr>
              <w:t>601</w:t>
            </w:r>
          </w:hyperlink>
        </w:p>
        <w:p>
          <w:pPr>
            <w:pStyle w:val="Contents4"/>
            <w:tabs>
              <w:tab w:val="clear" w:pos="8176"/>
              <w:tab w:val="right" w:pos="9026" w:leader="dot"/>
            </w:tabs>
            <w:rPr/>
          </w:pPr>
          <w:hyperlink w:anchor="__RefHeading___Toc13372746_1280447820">
            <w:r>
              <w:rPr>
                <w:webHidden/>
                <w:rStyle w:val="IndexLink"/>
                <w:rtl w:val="true"/>
              </w:rPr>
              <w:t>الواحد والعشرون</w:t>
            </w:r>
            <w:r>
              <w:rPr>
                <w:rStyle w:val="IndexLink"/>
                <w:rtl w:val="true"/>
              </w:rPr>
              <w:t xml:space="preserve">: </w:t>
            </w:r>
            <w:r>
              <w:rPr>
                <w:rStyle w:val="IndexLink"/>
                <w:rtl w:val="true"/>
              </w:rPr>
              <w:t>حكم ما إذا اشترى كلّ من العبدين المأذون لهما بالتصرف صاحبه من مولاه لنفسه</w:t>
            </w:r>
            <w:r>
              <w:rPr>
                <w:rStyle w:val="IndexLink"/>
                <w:rtl w:val="true"/>
              </w:rPr>
              <w:tab/>
            </w:r>
            <w:r>
              <w:rPr>
                <w:rStyle w:val="IndexLink"/>
              </w:rPr>
              <w:t>606</w:t>
            </w:r>
          </w:hyperlink>
        </w:p>
        <w:p>
          <w:pPr>
            <w:pStyle w:val="Contents4"/>
            <w:tabs>
              <w:tab w:val="clear" w:pos="8176"/>
              <w:tab w:val="right" w:pos="9026" w:leader="dot"/>
            </w:tabs>
            <w:rPr/>
          </w:pPr>
          <w:hyperlink w:anchor="__RefHeading___Toc13372748_1280447820">
            <w:r>
              <w:rPr>
                <w:webHidden/>
                <w:rStyle w:val="IndexLink"/>
                <w:rtl w:val="true"/>
              </w:rPr>
              <w:t>الثاني والعشرون</w:t>
            </w:r>
            <w:r>
              <w:rPr>
                <w:rStyle w:val="IndexLink"/>
                <w:rtl w:val="true"/>
              </w:rPr>
              <w:t xml:space="preserve">: </w:t>
            </w:r>
            <w:r>
              <w:rPr>
                <w:rStyle w:val="IndexLink"/>
                <w:rtl w:val="true"/>
              </w:rPr>
              <w:t>فيما يتعلق بما ورد من رجل دفع إلى عبد لقوم مأذون له في التجارة ألف درهم فقال له</w:t>
            </w:r>
            <w:r>
              <w:rPr>
                <w:rStyle w:val="IndexLink"/>
                <w:rtl w:val="true"/>
              </w:rPr>
              <w:t xml:space="preserve">: </w:t>
            </w:r>
            <w:r>
              <w:rPr>
                <w:rStyle w:val="IndexLink"/>
                <w:rtl w:val="true"/>
              </w:rPr>
              <w:t>اشتر بهما نسمةً فأعتقها عني وحج عنّي بالباقي</w:t>
            </w:r>
            <w:r>
              <w:rPr>
                <w:rStyle w:val="IndexLink"/>
                <w:rtl w:val="true"/>
              </w:rPr>
              <w:tab/>
            </w:r>
            <w:r>
              <w:rPr>
                <w:rStyle w:val="IndexLink"/>
              </w:rPr>
              <w:t>608</w:t>
            </w:r>
          </w:hyperlink>
        </w:p>
        <w:p>
          <w:pPr>
            <w:pStyle w:val="Contents3"/>
            <w:tabs>
              <w:tab w:val="clear" w:pos="8459"/>
              <w:tab w:val="right" w:pos="9026" w:leader="dot"/>
            </w:tabs>
            <w:rPr/>
          </w:pPr>
          <w:hyperlink w:anchor="__RefHeading___Toc13372750_1280447820">
            <w:r>
              <w:rPr>
                <w:webHidden/>
                <w:rStyle w:val="IndexLink"/>
                <w:rtl w:val="true"/>
              </w:rPr>
              <w:t>القول في السلم</w:t>
            </w:r>
            <w:r>
              <w:rPr>
                <w:rStyle w:val="IndexLink"/>
                <w:rtl w:val="true"/>
              </w:rPr>
              <w:tab/>
            </w:r>
            <w:r>
              <w:rPr>
                <w:rStyle w:val="IndexLink"/>
              </w:rPr>
              <w:t>612</w:t>
            </w:r>
          </w:hyperlink>
        </w:p>
        <w:p>
          <w:pPr>
            <w:pStyle w:val="Contents4"/>
            <w:tabs>
              <w:tab w:val="clear" w:pos="8176"/>
              <w:tab w:val="right" w:pos="9026" w:leader="dot"/>
            </w:tabs>
            <w:rPr/>
          </w:pPr>
          <w:hyperlink w:anchor="__RefHeading___Toc13372752_1280447820">
            <w:r>
              <w:rPr>
                <w:webHidden/>
                <w:rStyle w:val="IndexLink"/>
                <w:rtl w:val="true"/>
              </w:rPr>
              <w:t>معنى السَّلَم لغةً وشرعاً</w:t>
            </w:r>
            <w:r>
              <w:rPr>
                <w:rStyle w:val="IndexLink"/>
                <w:rtl w:val="true"/>
              </w:rPr>
              <w:tab/>
            </w:r>
            <w:r>
              <w:rPr>
                <w:rStyle w:val="IndexLink"/>
              </w:rPr>
              <w:t>612</w:t>
            </w:r>
          </w:hyperlink>
        </w:p>
        <w:p>
          <w:pPr>
            <w:pStyle w:val="Contents4"/>
            <w:tabs>
              <w:tab w:val="clear" w:pos="8176"/>
              <w:tab w:val="right" w:pos="9026" w:leader="dot"/>
            </w:tabs>
            <w:rPr/>
          </w:pPr>
          <w:hyperlink w:anchor="__RefHeading___Toc13372754_1280447820">
            <w:r>
              <w:rPr>
                <w:webHidden/>
                <w:rStyle w:val="IndexLink"/>
                <w:rtl w:val="true"/>
              </w:rPr>
              <w:t>والكلام في السلم يفتقر إلى بيان أمور</w:t>
            </w:r>
            <w:r>
              <w:rPr>
                <w:rStyle w:val="IndexLink"/>
                <w:rtl w:val="true"/>
              </w:rPr>
              <w:t>:</w:t>
              <w:tab/>
            </w:r>
            <w:r>
              <w:rPr>
                <w:rStyle w:val="IndexLink"/>
              </w:rPr>
              <w:t>615</w:t>
            </w:r>
          </w:hyperlink>
        </w:p>
        <w:p>
          <w:pPr>
            <w:pStyle w:val="Contents5"/>
            <w:tabs>
              <w:tab w:val="clear" w:pos="7892"/>
              <w:tab w:val="right" w:pos="9026" w:leader="dot"/>
            </w:tabs>
            <w:rPr/>
          </w:pPr>
          <w:hyperlink w:anchor="__RefHeading___Toc13372756_1280447820">
            <w:r>
              <w:rPr>
                <w:webHidden/>
                <w:rStyle w:val="IndexLink"/>
                <w:rtl w:val="true"/>
              </w:rPr>
              <w:t>أولها</w:t>
            </w:r>
            <w:r>
              <w:rPr>
                <w:rStyle w:val="IndexLink"/>
                <w:rtl w:val="true"/>
              </w:rPr>
              <w:t xml:space="preserve">: </w:t>
            </w:r>
            <w:r>
              <w:rPr>
                <w:rStyle w:val="IndexLink"/>
                <w:rtl w:val="true"/>
              </w:rPr>
              <w:t>اشتراط المعلومية بالجنس والوصف في السلم</w:t>
            </w:r>
            <w:r>
              <w:rPr>
                <w:rStyle w:val="IndexLink"/>
                <w:rtl w:val="true"/>
              </w:rPr>
              <w:tab/>
            </w:r>
            <w:r>
              <w:rPr>
                <w:rStyle w:val="IndexLink"/>
              </w:rPr>
              <w:t>615</w:t>
            </w:r>
          </w:hyperlink>
        </w:p>
        <w:p>
          <w:pPr>
            <w:pStyle w:val="Contents5"/>
            <w:tabs>
              <w:tab w:val="clear" w:pos="7892"/>
              <w:tab w:val="right" w:pos="9026" w:leader="dot"/>
            </w:tabs>
            <w:rPr/>
          </w:pPr>
          <w:hyperlink w:anchor="__RefHeading___Toc13372758_1280447820">
            <w:r>
              <w:rPr>
                <w:webHidden/>
                <w:rStyle w:val="IndexLink"/>
                <w:rtl w:val="true"/>
              </w:rPr>
              <w:t>ثانيها</w:t>
            </w:r>
            <w:r>
              <w:rPr>
                <w:rStyle w:val="IndexLink"/>
                <w:rtl w:val="true"/>
              </w:rPr>
              <w:t xml:space="preserve">: </w:t>
            </w:r>
            <w:r>
              <w:rPr>
                <w:rStyle w:val="IndexLink"/>
                <w:rtl w:val="true"/>
              </w:rPr>
              <w:t>عدم صحة السلم في كل ما لا ينضبط وصفه</w:t>
            </w:r>
            <w:r>
              <w:rPr>
                <w:rStyle w:val="IndexLink"/>
                <w:rtl w:val="true"/>
              </w:rPr>
              <w:tab/>
            </w:r>
            <w:r>
              <w:rPr>
                <w:rStyle w:val="IndexLink"/>
              </w:rPr>
              <w:t>617</w:t>
            </w:r>
          </w:hyperlink>
        </w:p>
        <w:p>
          <w:pPr>
            <w:pStyle w:val="Contents5"/>
            <w:tabs>
              <w:tab w:val="clear" w:pos="7892"/>
              <w:tab w:val="right" w:pos="9026" w:leader="dot"/>
            </w:tabs>
            <w:rPr/>
          </w:pPr>
          <w:hyperlink w:anchor="__RefHeading___Toc13372760_1280447820">
            <w:r>
              <w:rPr>
                <w:webHidden/>
                <w:rStyle w:val="IndexLink"/>
                <w:rtl w:val="true"/>
              </w:rPr>
              <w:t>ثالثها</w:t>
            </w:r>
            <w:r>
              <w:rPr>
                <w:rStyle w:val="IndexLink"/>
                <w:rtl w:val="true"/>
              </w:rPr>
              <w:t xml:space="preserve">: </w:t>
            </w:r>
            <w:r>
              <w:rPr>
                <w:rStyle w:val="IndexLink"/>
                <w:rtl w:val="true"/>
              </w:rPr>
              <w:t>اشتراط الحلول في ثمن السلم</w:t>
            </w:r>
            <w:r>
              <w:rPr>
                <w:rStyle w:val="IndexLink"/>
                <w:rtl w:val="true"/>
              </w:rPr>
              <w:tab/>
            </w:r>
            <w:r>
              <w:rPr>
                <w:rStyle w:val="IndexLink"/>
              </w:rPr>
              <w:t>623</w:t>
            </w:r>
          </w:hyperlink>
        </w:p>
        <w:p>
          <w:pPr>
            <w:pStyle w:val="Contents5"/>
            <w:tabs>
              <w:tab w:val="clear" w:pos="7892"/>
              <w:tab w:val="right" w:pos="9026" w:leader="dot"/>
            </w:tabs>
            <w:rPr/>
          </w:pPr>
          <w:hyperlink w:anchor="__RefHeading___Toc13372762_1280447820">
            <w:r>
              <w:rPr>
                <w:webHidden/>
                <w:rStyle w:val="IndexLink"/>
                <w:rtl w:val="true"/>
              </w:rPr>
              <w:t>رابعها</w:t>
            </w:r>
            <w:r>
              <w:rPr>
                <w:rStyle w:val="IndexLink"/>
                <w:rtl w:val="true"/>
              </w:rPr>
              <w:t xml:space="preserve">: </w:t>
            </w:r>
            <w:r>
              <w:rPr>
                <w:rStyle w:val="IndexLink"/>
                <w:rtl w:val="true"/>
              </w:rPr>
              <w:t>اشتراط قبض ثمن السلم في المجلس</w:t>
            </w:r>
            <w:r>
              <w:rPr>
                <w:rStyle w:val="IndexLink"/>
                <w:rtl w:val="true"/>
              </w:rPr>
              <w:tab/>
            </w:r>
            <w:r>
              <w:rPr>
                <w:rStyle w:val="IndexLink"/>
              </w:rPr>
              <w:t>624</w:t>
            </w:r>
          </w:hyperlink>
        </w:p>
        <w:p>
          <w:pPr>
            <w:pStyle w:val="Contents5"/>
            <w:tabs>
              <w:tab w:val="clear" w:pos="7892"/>
              <w:tab w:val="right" w:pos="9026" w:leader="dot"/>
            </w:tabs>
            <w:rPr/>
          </w:pPr>
          <w:hyperlink w:anchor="__RefHeading___Toc13372764_1280447820">
            <w:r>
              <w:rPr>
                <w:webHidden/>
                <w:rStyle w:val="IndexLink"/>
                <w:rtl w:val="true"/>
              </w:rPr>
              <w:t>خامسها</w:t>
            </w:r>
            <w:r>
              <w:rPr>
                <w:rStyle w:val="IndexLink"/>
                <w:rtl w:val="true"/>
              </w:rPr>
              <w:t xml:space="preserve">: </w:t>
            </w:r>
            <w:r>
              <w:rPr>
                <w:rStyle w:val="IndexLink"/>
                <w:rtl w:val="true"/>
              </w:rPr>
              <w:t>اشتراط كون المسلم فيه كلّيّاً</w:t>
            </w:r>
            <w:r>
              <w:rPr>
                <w:rStyle w:val="IndexLink"/>
                <w:rtl w:val="true"/>
              </w:rPr>
              <w:tab/>
            </w:r>
            <w:r>
              <w:rPr>
                <w:rStyle w:val="IndexLink"/>
              </w:rPr>
              <w:t>626</w:t>
            </w:r>
          </w:hyperlink>
        </w:p>
        <w:p>
          <w:pPr>
            <w:pStyle w:val="Contents5"/>
            <w:tabs>
              <w:tab w:val="clear" w:pos="7892"/>
              <w:tab w:val="right" w:pos="9026" w:leader="dot"/>
            </w:tabs>
            <w:rPr/>
          </w:pPr>
          <w:hyperlink w:anchor="__RefHeading___Toc13372766_1280447820">
            <w:r>
              <w:rPr>
                <w:webHidden/>
                <w:rStyle w:val="IndexLink"/>
                <w:rtl w:val="true"/>
              </w:rPr>
              <w:t>سادسها</w:t>
            </w:r>
            <w:r>
              <w:rPr>
                <w:rStyle w:val="IndexLink"/>
                <w:rtl w:val="true"/>
              </w:rPr>
              <w:t xml:space="preserve">: </w:t>
            </w:r>
            <w:r>
              <w:rPr>
                <w:rStyle w:val="IndexLink"/>
                <w:rtl w:val="true"/>
              </w:rPr>
              <w:t>اشتراط كون ثمن السلم معلوماً بالنوع والوصف والقدر</w:t>
            </w:r>
            <w:r>
              <w:rPr>
                <w:rStyle w:val="IndexLink"/>
                <w:rtl w:val="true"/>
              </w:rPr>
              <w:tab/>
            </w:r>
            <w:r>
              <w:rPr>
                <w:rStyle w:val="IndexLink"/>
              </w:rPr>
              <w:t>626</w:t>
            </w:r>
          </w:hyperlink>
        </w:p>
        <w:p>
          <w:pPr>
            <w:pStyle w:val="Contents5"/>
            <w:tabs>
              <w:tab w:val="clear" w:pos="7892"/>
              <w:tab w:val="right" w:pos="9026" w:leader="dot"/>
            </w:tabs>
            <w:rPr/>
          </w:pPr>
          <w:hyperlink w:anchor="__RefHeading___Toc13372768_1280447820">
            <w:r>
              <w:rPr>
                <w:webHidden/>
                <w:rStyle w:val="IndexLink"/>
                <w:rtl w:val="true"/>
              </w:rPr>
              <w:t>سابعها</w:t>
            </w:r>
            <w:r>
              <w:rPr>
                <w:rStyle w:val="IndexLink"/>
                <w:rtl w:val="true"/>
              </w:rPr>
              <w:t xml:space="preserve">: </w:t>
            </w:r>
            <w:r>
              <w:rPr>
                <w:rStyle w:val="IndexLink"/>
                <w:rtl w:val="true"/>
              </w:rPr>
              <w:t>اشتراط الضبط بالكيل أو الوزن في المسلّم فيه</w:t>
            </w:r>
            <w:r>
              <w:rPr>
                <w:rStyle w:val="IndexLink"/>
                <w:rtl w:val="true"/>
              </w:rPr>
              <w:tab/>
            </w:r>
            <w:r>
              <w:rPr>
                <w:rStyle w:val="IndexLink"/>
              </w:rPr>
              <w:t>627</w:t>
            </w:r>
          </w:hyperlink>
        </w:p>
        <w:p>
          <w:pPr>
            <w:pStyle w:val="Contents5"/>
            <w:tabs>
              <w:tab w:val="clear" w:pos="7892"/>
              <w:tab w:val="right" w:pos="9026" w:leader="dot"/>
            </w:tabs>
            <w:rPr/>
          </w:pPr>
          <w:hyperlink w:anchor="__RefHeading___Toc13372770_1280447820">
            <w:r>
              <w:rPr>
                <w:webHidden/>
                <w:rStyle w:val="IndexLink"/>
                <w:rtl w:val="true"/>
              </w:rPr>
              <w:t>ثامنها</w:t>
            </w:r>
            <w:r>
              <w:rPr>
                <w:rStyle w:val="IndexLink"/>
                <w:rtl w:val="true"/>
              </w:rPr>
              <w:t xml:space="preserve">: </w:t>
            </w:r>
            <w:r>
              <w:rPr>
                <w:rStyle w:val="IndexLink"/>
                <w:rtl w:val="true"/>
              </w:rPr>
              <w:t>اشتراط التأجيل إلى أجل معلوم مضبوط في المسلم فيه</w:t>
            </w:r>
            <w:r>
              <w:rPr>
                <w:rStyle w:val="IndexLink"/>
                <w:rtl w:val="true"/>
              </w:rPr>
              <w:tab/>
            </w:r>
            <w:r>
              <w:rPr>
                <w:rStyle w:val="IndexLink"/>
              </w:rPr>
              <w:t>629</w:t>
            </w:r>
          </w:hyperlink>
        </w:p>
        <w:p>
          <w:pPr>
            <w:pStyle w:val="Contents5"/>
            <w:tabs>
              <w:tab w:val="clear" w:pos="7892"/>
              <w:tab w:val="right" w:pos="9026" w:leader="dot"/>
            </w:tabs>
            <w:rPr/>
          </w:pPr>
          <w:hyperlink w:anchor="__RefHeading___Toc13372772_1280447820">
            <w:r>
              <w:rPr>
                <w:webHidden/>
                <w:rStyle w:val="IndexLink"/>
                <w:rtl w:val="true"/>
              </w:rPr>
              <w:t>تاسعها</w:t>
            </w:r>
            <w:r>
              <w:rPr>
                <w:rStyle w:val="IndexLink"/>
                <w:rtl w:val="true"/>
              </w:rPr>
              <w:t xml:space="preserve">: </w:t>
            </w:r>
            <w:r>
              <w:rPr>
                <w:rStyle w:val="IndexLink"/>
                <w:rtl w:val="true"/>
              </w:rPr>
              <w:t>في أنّه لابد من حراسة الأجل من الجهالة</w:t>
            </w:r>
            <w:r>
              <w:rPr>
                <w:rStyle w:val="IndexLink"/>
                <w:rtl w:val="true"/>
              </w:rPr>
              <w:tab/>
            </w:r>
            <w:r>
              <w:rPr>
                <w:rStyle w:val="IndexLink"/>
              </w:rPr>
              <w:t>630</w:t>
            </w:r>
          </w:hyperlink>
        </w:p>
        <w:p>
          <w:pPr>
            <w:pStyle w:val="Contents5"/>
            <w:tabs>
              <w:tab w:val="clear" w:pos="7892"/>
              <w:tab w:val="right" w:pos="9026" w:leader="dot"/>
            </w:tabs>
            <w:rPr/>
          </w:pPr>
          <w:hyperlink w:anchor="__RefHeading___Toc13372774_1280447820">
            <w:r>
              <w:rPr>
                <w:webHidden/>
                <w:rStyle w:val="IndexLink"/>
                <w:rtl w:val="true"/>
              </w:rPr>
              <w:t xml:space="preserve">عاشرها </w:t>
            </w:r>
            <w:r>
              <w:rPr>
                <w:rStyle w:val="IndexLink"/>
                <w:rtl w:val="true"/>
              </w:rPr>
              <w:t xml:space="preserve">: </w:t>
            </w:r>
            <w:r>
              <w:rPr>
                <w:rStyle w:val="IndexLink"/>
                <w:rtl w:val="true"/>
              </w:rPr>
              <w:t>اشتراط إمكان وجود المسلم فيه عند حلول الأجل</w:t>
            </w:r>
            <w:r>
              <w:rPr>
                <w:rStyle w:val="IndexLink"/>
                <w:rtl w:val="true"/>
              </w:rPr>
              <w:tab/>
            </w:r>
            <w:r>
              <w:rPr>
                <w:rStyle w:val="IndexLink"/>
              </w:rPr>
              <w:t>633</w:t>
            </w:r>
          </w:hyperlink>
        </w:p>
        <w:p>
          <w:pPr>
            <w:pStyle w:val="Contents5"/>
            <w:tabs>
              <w:tab w:val="clear" w:pos="7892"/>
              <w:tab w:val="right" w:pos="9026" w:leader="dot"/>
            </w:tabs>
            <w:rPr/>
          </w:pPr>
          <w:hyperlink w:anchor="__RefHeading___Toc13372776_1280447820">
            <w:r>
              <w:rPr>
                <w:webHidden/>
                <w:rStyle w:val="IndexLink"/>
                <w:rtl w:val="true"/>
              </w:rPr>
              <w:t>حادي عشرها</w:t>
            </w:r>
            <w:r>
              <w:rPr>
                <w:rStyle w:val="IndexLink"/>
                <w:rtl w:val="true"/>
              </w:rPr>
              <w:t xml:space="preserve">: </w:t>
            </w:r>
            <w:r>
              <w:rPr>
                <w:rStyle w:val="IndexLink"/>
                <w:rtl w:val="true"/>
              </w:rPr>
              <w:t>وجود المسلم فيه عند حلول الأجل شرط للسلم حين العقد وإن تأخر حصوله</w:t>
            </w:r>
            <w:r>
              <w:rPr>
                <w:rStyle w:val="IndexLink"/>
                <w:rtl w:val="true"/>
              </w:rPr>
              <w:tab/>
            </w:r>
            <w:r>
              <w:rPr>
                <w:rStyle w:val="IndexLink"/>
              </w:rPr>
              <w:t>634</w:t>
            </w:r>
          </w:hyperlink>
        </w:p>
        <w:p>
          <w:pPr>
            <w:pStyle w:val="Contents5"/>
            <w:tabs>
              <w:tab w:val="clear" w:pos="7892"/>
              <w:tab w:val="right" w:pos="9026" w:leader="dot"/>
            </w:tabs>
            <w:rPr/>
          </w:pPr>
          <w:hyperlink w:anchor="__RefHeading___Toc13372778_1280447820">
            <w:r>
              <w:rPr>
                <w:webHidden/>
                <w:rStyle w:val="IndexLink"/>
                <w:rtl w:val="true"/>
              </w:rPr>
              <w:t>ثاني عشرها</w:t>
            </w:r>
            <w:r>
              <w:rPr>
                <w:rStyle w:val="IndexLink"/>
                <w:rtl w:val="true"/>
              </w:rPr>
              <w:t xml:space="preserve">: </w:t>
            </w:r>
            <w:r>
              <w:rPr>
                <w:rStyle w:val="IndexLink"/>
                <w:rtl w:val="true"/>
              </w:rPr>
              <w:t>جواز اشتراط السائغ في عقد السلم</w:t>
            </w:r>
            <w:r>
              <w:rPr>
                <w:rStyle w:val="IndexLink"/>
                <w:rtl w:val="true"/>
              </w:rPr>
              <w:tab/>
            </w:r>
            <w:r>
              <w:rPr>
                <w:rStyle w:val="IndexLink"/>
              </w:rPr>
              <w:t>637</w:t>
            </w:r>
          </w:hyperlink>
        </w:p>
        <w:p>
          <w:pPr>
            <w:pStyle w:val="Contents5"/>
            <w:tabs>
              <w:tab w:val="clear" w:pos="7892"/>
              <w:tab w:val="right" w:pos="9026" w:leader="dot"/>
            </w:tabs>
            <w:rPr/>
          </w:pPr>
          <w:hyperlink w:anchor="__RefHeading___Toc13372780_1280447820">
            <w:r>
              <w:rPr>
                <w:webHidden/>
                <w:rStyle w:val="IndexLink"/>
                <w:rtl w:val="true"/>
              </w:rPr>
              <w:t xml:space="preserve">ثالث عشرها </w:t>
            </w:r>
            <w:r>
              <w:rPr>
                <w:rStyle w:val="IndexLink"/>
                <w:rtl w:val="true"/>
              </w:rPr>
              <w:t xml:space="preserve">: </w:t>
            </w:r>
            <w:r>
              <w:rPr>
                <w:rStyle w:val="IndexLink"/>
                <w:rtl w:val="true"/>
              </w:rPr>
              <w:t>حكم ما إذا دفع المسلم إليه المبيع قبل الحلول</w:t>
            </w:r>
            <w:r>
              <w:rPr>
                <w:rStyle w:val="IndexLink"/>
                <w:rtl w:val="true"/>
              </w:rPr>
              <w:tab/>
            </w:r>
            <w:r>
              <w:rPr>
                <w:rStyle w:val="IndexLink"/>
              </w:rPr>
              <w:t>638</w:t>
            </w:r>
          </w:hyperlink>
        </w:p>
        <w:p>
          <w:pPr>
            <w:pStyle w:val="Contents5"/>
            <w:tabs>
              <w:tab w:val="clear" w:pos="7892"/>
              <w:tab w:val="right" w:pos="9026" w:leader="dot"/>
            </w:tabs>
            <w:rPr/>
          </w:pPr>
          <w:hyperlink w:anchor="__RefHeading___Toc13372782_1280447820">
            <w:r>
              <w:rPr>
                <w:webHidden/>
                <w:rStyle w:val="IndexLink"/>
                <w:rtl w:val="true"/>
              </w:rPr>
              <w:t>رابع عشرها</w:t>
            </w:r>
            <w:r>
              <w:rPr>
                <w:rStyle w:val="IndexLink"/>
                <w:rtl w:val="true"/>
              </w:rPr>
              <w:t xml:space="preserve">: </w:t>
            </w:r>
            <w:r>
              <w:rPr>
                <w:rStyle w:val="IndexLink"/>
                <w:rtl w:val="true"/>
              </w:rPr>
              <w:t>فيما إذا حلّ الأجل وجب على المسلم إليه الدفع عند المطالبة</w:t>
            </w:r>
            <w:r>
              <w:rPr>
                <w:rStyle w:val="IndexLink"/>
                <w:rtl w:val="true"/>
              </w:rPr>
              <w:tab/>
            </w:r>
            <w:r>
              <w:rPr>
                <w:rStyle w:val="IndexLink"/>
              </w:rPr>
              <w:t>639</w:t>
            </w:r>
          </w:hyperlink>
        </w:p>
        <w:p>
          <w:pPr>
            <w:pStyle w:val="Contents5"/>
            <w:tabs>
              <w:tab w:val="clear" w:pos="7892"/>
              <w:tab w:val="right" w:pos="9026" w:leader="dot"/>
            </w:tabs>
            <w:rPr/>
          </w:pPr>
          <w:hyperlink w:anchor="__RefHeading___Toc13372784_1280447820">
            <w:r>
              <w:rPr>
                <w:webHidden/>
                <w:rStyle w:val="IndexLink"/>
                <w:rtl w:val="true"/>
              </w:rPr>
              <w:t xml:space="preserve">خامس عشرها </w:t>
            </w:r>
            <w:r>
              <w:rPr>
                <w:rStyle w:val="IndexLink"/>
                <w:rtl w:val="true"/>
              </w:rPr>
              <w:t xml:space="preserve">: </w:t>
            </w:r>
            <w:r>
              <w:rPr>
                <w:rStyle w:val="IndexLink"/>
                <w:rtl w:val="true"/>
              </w:rPr>
              <w:t>حكم ما إذا دفع المسلم إليه من غير الجنس بنية الوفاء</w:t>
            </w:r>
            <w:r>
              <w:rPr>
                <w:rStyle w:val="IndexLink"/>
                <w:rtl w:val="true"/>
              </w:rPr>
              <w:tab/>
            </w:r>
            <w:r>
              <w:rPr>
                <w:rStyle w:val="IndexLink"/>
              </w:rPr>
              <w:t>640</w:t>
            </w:r>
          </w:hyperlink>
        </w:p>
        <w:p>
          <w:pPr>
            <w:pStyle w:val="Contents5"/>
            <w:tabs>
              <w:tab w:val="clear" w:pos="7892"/>
              <w:tab w:val="right" w:pos="9026" w:leader="dot"/>
            </w:tabs>
            <w:rPr/>
          </w:pPr>
          <w:hyperlink w:anchor="__RefHeading___Toc13372786_1280447820">
            <w:r>
              <w:rPr>
                <w:webHidden/>
                <w:rStyle w:val="IndexLink"/>
                <w:rtl w:val="true"/>
              </w:rPr>
              <w:t>سادس عشرها</w:t>
            </w:r>
            <w:r>
              <w:rPr>
                <w:rStyle w:val="IndexLink"/>
                <w:rtl w:val="true"/>
              </w:rPr>
              <w:t xml:space="preserve">: </w:t>
            </w:r>
            <w:r>
              <w:rPr>
                <w:rStyle w:val="IndexLink"/>
                <w:rtl w:val="true"/>
              </w:rPr>
              <w:t>حكم ما لو أسلم في كيل وشرط مكيالاً معيناً</w:t>
            </w:r>
            <w:r>
              <w:rPr>
                <w:rStyle w:val="IndexLink"/>
                <w:rtl w:val="true"/>
              </w:rPr>
              <w:tab/>
            </w:r>
            <w:r>
              <w:rPr>
                <w:rStyle w:val="IndexLink"/>
              </w:rPr>
              <w:t>641</w:t>
            </w:r>
          </w:hyperlink>
        </w:p>
        <w:p>
          <w:pPr>
            <w:pStyle w:val="Contents5"/>
            <w:tabs>
              <w:tab w:val="clear" w:pos="7892"/>
              <w:tab w:val="right" w:pos="9026" w:leader="dot"/>
            </w:tabs>
            <w:rPr/>
          </w:pPr>
          <w:hyperlink w:anchor="__RefHeading___Toc13372788_1280447820">
            <w:r>
              <w:rPr>
                <w:webHidden/>
                <w:rStyle w:val="IndexLink"/>
                <w:rtl w:val="true"/>
              </w:rPr>
              <w:t>سابع عشرها</w:t>
            </w:r>
            <w:r>
              <w:rPr>
                <w:rStyle w:val="IndexLink"/>
                <w:rtl w:val="true"/>
              </w:rPr>
              <w:t xml:space="preserve">: </w:t>
            </w:r>
            <w:r>
              <w:rPr>
                <w:rStyle w:val="IndexLink"/>
                <w:rtl w:val="true"/>
              </w:rPr>
              <w:t>عدم جواز بيع السلم قبل حلول أجله على من هو عليه أو على غيره</w:t>
            </w:r>
            <w:r>
              <w:rPr>
                <w:rStyle w:val="IndexLink"/>
                <w:rtl w:val="true"/>
              </w:rPr>
              <w:tab/>
            </w:r>
            <w:r>
              <w:rPr>
                <w:rStyle w:val="IndexLink"/>
              </w:rPr>
              <w:t>641</w:t>
            </w:r>
          </w:hyperlink>
        </w:p>
        <w:p>
          <w:pPr>
            <w:pStyle w:val="Contents5"/>
            <w:tabs>
              <w:tab w:val="clear" w:pos="7892"/>
              <w:tab w:val="right" w:pos="9026" w:leader="dot"/>
            </w:tabs>
            <w:rPr/>
          </w:pPr>
          <w:hyperlink w:anchor="__RefHeading___Toc13372790_1280447820">
            <w:r>
              <w:rPr>
                <w:webHidden/>
                <w:rStyle w:val="IndexLink"/>
                <w:rtl w:val="true"/>
              </w:rPr>
              <w:t>ثامن عشرها</w:t>
            </w:r>
            <w:r>
              <w:rPr>
                <w:rStyle w:val="IndexLink"/>
                <w:rtl w:val="true"/>
              </w:rPr>
              <w:t xml:space="preserve">: </w:t>
            </w:r>
            <w:r>
              <w:rPr>
                <w:rStyle w:val="IndexLink"/>
                <w:rtl w:val="true"/>
              </w:rPr>
              <w:t>جواز بيع السلم بعد حلول أجله يسري لكل دين مؤجل قد أحل أجله</w:t>
            </w:r>
            <w:r>
              <w:rPr>
                <w:rStyle w:val="IndexLink"/>
                <w:rtl w:val="true"/>
              </w:rPr>
              <w:tab/>
            </w:r>
            <w:r>
              <w:rPr>
                <w:rStyle w:val="IndexLink"/>
              </w:rPr>
              <w:t>645</w:t>
            </w:r>
          </w:hyperlink>
        </w:p>
        <w:p>
          <w:pPr>
            <w:pStyle w:val="Contents5"/>
            <w:tabs>
              <w:tab w:val="clear" w:pos="7892"/>
              <w:tab w:val="right" w:pos="9026" w:leader="dot"/>
            </w:tabs>
            <w:rPr/>
          </w:pPr>
          <w:hyperlink w:anchor="__RefHeading___Toc13372792_1280447820">
            <w:r>
              <w:rPr>
                <w:webHidden/>
                <w:rStyle w:val="IndexLink"/>
                <w:rtl w:val="true"/>
              </w:rPr>
              <w:t>تاسع عشرها</w:t>
            </w:r>
            <w:r>
              <w:rPr>
                <w:rStyle w:val="IndexLink"/>
                <w:rtl w:val="true"/>
              </w:rPr>
              <w:t xml:space="preserve">: </w:t>
            </w:r>
            <w:r>
              <w:rPr>
                <w:rStyle w:val="IndexLink"/>
                <w:rtl w:val="true"/>
              </w:rPr>
              <w:t>جواز بیع مال السلم قبل قبضه بعين حاضرة</w:t>
            </w:r>
            <w:r>
              <w:rPr>
                <w:rStyle w:val="IndexLink"/>
                <w:rtl w:val="true"/>
              </w:rPr>
              <w:tab/>
            </w:r>
            <w:r>
              <w:rPr>
                <w:rStyle w:val="IndexLink"/>
              </w:rPr>
              <w:t>646</w:t>
            </w:r>
          </w:hyperlink>
        </w:p>
        <w:p>
          <w:pPr>
            <w:pStyle w:val="Contents5"/>
            <w:tabs>
              <w:tab w:val="clear" w:pos="7892"/>
              <w:tab w:val="right" w:pos="9026" w:leader="dot"/>
            </w:tabs>
            <w:rPr/>
          </w:pPr>
          <w:hyperlink w:anchor="__RefHeading___Toc13372794_1280447820">
            <w:r>
              <w:rPr>
                <w:webHidden/>
                <w:rStyle w:val="IndexLink"/>
                <w:rtl w:val="true"/>
              </w:rPr>
              <w:t>العشرون</w:t>
            </w:r>
            <w:r>
              <w:rPr>
                <w:rStyle w:val="IndexLink"/>
                <w:rtl w:val="true"/>
              </w:rPr>
              <w:t xml:space="preserve">: </w:t>
            </w:r>
            <w:r>
              <w:rPr>
                <w:rStyle w:val="IndexLink"/>
                <w:rtl w:val="true"/>
              </w:rPr>
              <w:t>عدم وجوب ذكر موضع التسليم في غير السلم من العقود الحالة أو المؤجلة</w:t>
            </w:r>
            <w:r>
              <w:rPr>
                <w:rStyle w:val="IndexLink"/>
                <w:rtl w:val="true"/>
              </w:rPr>
              <w:tab/>
            </w:r>
            <w:r>
              <w:rPr>
                <w:rStyle w:val="IndexLink"/>
              </w:rPr>
              <w:t>646</w:t>
            </w:r>
          </w:hyperlink>
        </w:p>
        <w:p>
          <w:pPr>
            <w:pStyle w:val="Contents5"/>
            <w:tabs>
              <w:tab w:val="clear" w:pos="7892"/>
              <w:tab w:val="right" w:pos="9026" w:leader="dot"/>
            </w:tabs>
            <w:rPr/>
          </w:pPr>
          <w:hyperlink w:anchor="__RefHeading___Toc13372796_1280447820">
            <w:r>
              <w:rPr>
                <w:webHidden/>
                <w:rStyle w:val="IndexLink"/>
                <w:rtl w:val="true"/>
              </w:rPr>
              <w:t>الحادي والعشرون</w:t>
            </w:r>
            <w:r>
              <w:rPr>
                <w:rStyle w:val="IndexLink"/>
                <w:rtl w:val="true"/>
              </w:rPr>
              <w:t xml:space="preserve">: </w:t>
            </w:r>
            <w:r>
              <w:rPr>
                <w:rStyle w:val="IndexLink"/>
                <w:rtl w:val="true"/>
              </w:rPr>
              <w:t>حكم ما إذا وجد المسلم في المسلم فيه عيباً من غير الجنس بعد قبضه</w:t>
            </w:r>
            <w:r>
              <w:rPr>
                <w:rStyle w:val="IndexLink"/>
                <w:rtl w:val="true"/>
              </w:rPr>
              <w:tab/>
            </w:r>
            <w:r>
              <w:rPr>
                <w:rStyle w:val="IndexLink"/>
              </w:rPr>
              <w:t>648</w:t>
            </w:r>
          </w:hyperlink>
        </w:p>
        <w:p>
          <w:pPr>
            <w:pStyle w:val="Contents5"/>
            <w:tabs>
              <w:tab w:val="clear" w:pos="7892"/>
              <w:tab w:val="right" w:pos="9026" w:leader="dot"/>
            </w:tabs>
            <w:rPr/>
          </w:pPr>
          <w:hyperlink w:anchor="__RefHeading___Toc13372798_1280447820">
            <w:r>
              <w:rPr>
                <w:webHidden/>
                <w:rStyle w:val="IndexLink"/>
                <w:rtl w:val="true"/>
              </w:rPr>
              <w:t>الثاني والعشرون</w:t>
            </w:r>
            <w:r>
              <w:rPr>
                <w:rStyle w:val="IndexLink"/>
                <w:rtl w:val="true"/>
              </w:rPr>
              <w:t xml:space="preserve">: </w:t>
            </w:r>
            <w:r>
              <w:rPr>
                <w:rStyle w:val="IndexLink"/>
                <w:rtl w:val="true"/>
              </w:rPr>
              <w:t>حكم ما لو اختلف المسلم والمسلم إليه في أصل القبض أو في كونه قبل التفرّق أو بعده</w:t>
            </w:r>
            <w:r>
              <w:rPr>
                <w:rStyle w:val="IndexLink"/>
                <w:rtl w:val="true"/>
              </w:rPr>
              <w:tab/>
            </w:r>
            <w:r>
              <w:rPr>
                <w:rStyle w:val="IndexLink"/>
              </w:rPr>
              <w:t>650</w:t>
            </w:r>
          </w:hyperlink>
        </w:p>
        <w:p>
          <w:pPr>
            <w:pStyle w:val="Contents5"/>
            <w:tabs>
              <w:tab w:val="clear" w:pos="7892"/>
              <w:tab w:val="right" w:pos="9026" w:leader="dot"/>
            </w:tabs>
            <w:rPr/>
          </w:pPr>
          <w:hyperlink w:anchor="__RefHeading___Toc13372800_1280447820">
            <w:r>
              <w:rPr>
                <w:webHidden/>
                <w:rStyle w:val="IndexLink"/>
                <w:rtl w:val="true"/>
              </w:rPr>
              <w:t>الثالث والعشرون</w:t>
            </w:r>
            <w:r>
              <w:rPr>
                <w:rStyle w:val="IndexLink"/>
                <w:rtl w:val="true"/>
              </w:rPr>
              <w:t xml:space="preserve">: </w:t>
            </w:r>
            <w:r>
              <w:rPr>
                <w:rStyle w:val="IndexLink"/>
                <w:rtl w:val="true"/>
              </w:rPr>
              <w:t>حكم ما لو أسلم مسلم إلى مسلم في عبد مسلم فارتد المسلم أو المسلم إليه</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00_245097"/>
      <w:bookmarkStart w:id="1" w:name="pg19000_245097"/>
      <w:bookmarkEnd w:id="1"/>
    </w:p>
    <w:p>
      <w:pPr>
        <w:pStyle w:val="Heading2"/>
        <w:numPr>
          <w:ilvl w:val="1"/>
          <w:numId w:val="1"/>
        </w:numPr>
        <w:rPr/>
      </w:pPr>
      <w:bookmarkStart w:id="2" w:name="pg19000_245097"/>
      <w:bookmarkStart w:id="3" w:name="__RefHeading___Toc1337211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والبيع</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1201-1262</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كتاب التجارة والبيع</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7211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كتاب التجارة والبيع</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والبيع</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المدخل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حسن بن جعفر،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العنوان والمؤلّف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والبيع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 المركز العالي للعلوم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9000_245101"/>
    </w:p>
    <w:p>
      <w:pPr>
        <w:pStyle w:val="Heading2"/>
        <w:numPr>
          <w:ilvl w:val="1"/>
          <w:numId w:val="1"/>
        </w:numPr>
        <w:rPr/>
      </w:pPr>
      <w:bookmarkStart w:id="8" w:name="__RefHeading___Toc13372114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الكلام في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كتاب التجارة</w:t>
      </w:r>
    </w:p>
    <w:p>
      <w:pPr>
        <w:pStyle w:val="BookText"/>
        <w:rPr/>
      </w:pPr>
      <w:r>
        <w:rPr>
          <w:rFonts w:ascii="Amiri" w:hAnsi="Amiri" w:eastAsia="Amiri" w:cs="Amiri"/>
          <w:color w:val="111111"/>
          <w:sz w:val="28"/>
          <w:sz w:val="28"/>
          <w:szCs w:val="28"/>
          <w:rtl w:val="true"/>
          <w:lang w:bidi="ar-SA"/>
        </w:rPr>
        <w:t>تعريف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والكلام هنا يقع في 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المطلب الأوّل يشتمل على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الأحكام الخمسة بالأعيان بل بفعل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تعلق النهى بالمعاملة أو النهى بصيغته فالظاهر منه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من أن تحريم الثمن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فقد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فساد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إباحة المشكوك في جواز استعماله والانتفاع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الملازمة بين صفة الملك والمالية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يقضي باختصاص ما كان تحت اليد بصاحبه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المعاوضة على رفع اليد عن الاختصاص بصلح وشبهه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الملازمة بين الملك وبين جواز النقل والتمليك في المشكوك بجواز نقله وتمليكه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الملازمة بين جواز النقل مطلقاً وجواز المعاوضة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استعمال الأعيان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يقبل التطهير يملك ويجوز نقله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استعمال المائع المتنجس بالعارض إن قبل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الدهن لو أصابته نجاسة عارضيّة وأبطلت الانتفاع به خرج عن الملكية وجاز استعماله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تقابل المجتهدان المختلفان في التقييد والإطلاق وكان الدهن لا قابلية له للاستصباح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تملك عذرة الإنسان وغيره من نجس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استعمال النجس تقيّةً أو لمرض أو اضطراراً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إعلام نجاسة المبيع للمشتري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 النجس على مستحلّيه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الانتفاع بالأرواث والأبوال الطاهرة وبيعها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تحريم الخبائث وتحليل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النهي المتعلّق بالكل متعلّق بالأجزاء التزاماً عرفياً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ملك ما ينتفع به من ميتة غير ذي النفس السائلة وكذا بيعه وشراؤه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اللهو واقتناء الآلات المعدة له واستعمالها ونقلها وانتقالها بعوض وبدونه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 ما يمكن الاكتساب به في جهتين محلّلة ومحرّمة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بيع السلاح لأعداء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المعاوضة فيما لا نفع له يعتد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الاكتساب بعمل الصور المجسمة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الغناء والاكتساب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استثنى بعضهم من حرمة الغناء ما يقع في الا الأعراس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الاكتساب بالنوح بالباطل وعلى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بمعونة الظالمين وحرمة إعانة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بكتب الضلال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بهجاء المؤمنين وأخذ الجعالة عليه وقبول العطايا لأجله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استثني من حرمة الهجاء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بسب المؤمنين وبيان ما استثني من حرمة سبّهم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بالنميمة وبيان ما استثني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بمدح المذموم وذمّ الممدوح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بالاستهزاء وسخرية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الواحد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بالدعاء على المؤمنين كلاً أو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بالمكر والخديعة والحيلة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بفعل المنافي للمروءة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بیان ما استثني من حرمة الغيبة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التكسّب بعمل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أكثر السحر تخييل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يُقتل المسلم المستحل للسحر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يستثنى أُمور من السحر اسماً وحكماً أو حكماً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بالسيمياء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بالقيافة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بالعمل ببعض بالعلوم التي يدّعي أهلها دلالتها على أحوال الشخص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بالكهانة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بعلم النجوم وبذل المال لأجله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بالقمار وبآلاته واقتناؤها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يشتمل على الغشّ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بتزين الرجل بزينة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بتدليس الماشطة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يجب على الإنسان عيناً أو 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الواحد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يجب عليه على الأجير فعله عيناً أو 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يندب على المستأجر أو الأجير 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بالإمامة والمأمومية الواجبتين في الجمعة والعيدين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الأجرة على التوكيل في التزويج وعلى إجراء صيغة العقد أو الإيقاع أو الخطبة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بتشبيب المرأة المعلومة عند القائل والسامع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بالتطفيف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بالخيانة والسرقة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بكتابة القرآن وكتب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نقل ما دخل في رسم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عيناً ومنفعةً بغير الكلاب الأربعة من الكلاب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بطريق الرشوة في حكم قضائي أو إفتائي من المتخاصمين أو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بالمال المدفوع من موص أو موكل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يدفعه لواحدٍ غير معيّن ولكنّه موصوف بوصف يشاركه المدفوع إليه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بالولايات من حكام الجور في غير ما استثنى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بجوائز الظالم وهباته المعلوم حرمتها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بمال الخراج والزكاة والخمس على السلطان الباطل وعماله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أحكام الأراضي الخراجية وفوائدها ومصارفها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بالمال الحلال المختلط بالحرام على نحو القبض والإقباض والتصرّف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بمال الأرحام والأزواج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يأخذه الإنسان من ثمرة نخل أو شجر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بها اتفاقاً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بمنافع الأجير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الواحد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والأخذ والنقل بما يقدّم للضيف من الطعام والإكرام للأكل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جملةٍ ممّا يحرم التكسّب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مستثنيات حرمة التكسّب بمال الغير من 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المطلب الثاني في قواعد تشترك فيها أكثر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العقود تتبع القصود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التراضي في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كلّ ما تصحّ فيه النيابة تصحّ فيه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استبعاد نفوذ إجازة من تصرف بشيء ثم ملكه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البلوغ والعقل في صحّة العقود من الموجب والقابل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اتفاق القصدين والرضاءين من الموجب والقابل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اتفاق قصد الاسم والإشارة في المعقود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في العقود هو اللفظ الخاص بالصيغة الخاصة الصريحة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القاعدة التاسعة في جواز المعاطاة في العقود اللازمة والجائزة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القاعدة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الإشارة مقام اللفظ للأخرس وأمثاله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القاعدة الإحدى عشرة في عدم صحّة عقد المعاوضة على ما لا يتموّل عيناً أو 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القاعدة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عقد المعاوضة على ما لا يقدر على تسليمه وتسلّمه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القاعدة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الإثم والضمان على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القاعدة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قاعدة العدوان وقاعدة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القاعدة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جزاء فاعل الإحسان إن لم ينو التبرع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القاعدة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القاعدة 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الحلول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القاعدة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حلول تسليم متعلّق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القاعدة 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وجود المملوك في العقود إلّا ما خرج بالدليل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القاعدة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قبولها للشروط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القاعدة الإحدى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الجزم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القاعدة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وعكسها وبيان المراد من الضمان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القاعدة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القاعدة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على اليد ما أخذت حتّى تؤدّي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القاعدة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ضرر ولا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القاعدة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على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الصحّة عند وقوعها والشك في أنّها صحيحة أو 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اللزوم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القاعدة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سلطنة الكافرين على المؤمنين وبيان ما يترتب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القاعدة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يتولاه المالك أو وكيله أو وليه الإجباري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القاعدة الإحدى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نواقل الأعيان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القاعدة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الأسباب الشرعيَّة تغاير تأثيرها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القاعدة الثالثة والثلاثون الأصل مساواة الكلّي للفرد في النقل والانتقال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القاعدة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نواقل الأعيان والمنافع أنّه لو وقع العقد على القابل وغير القابل صح في القابل وبطل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القاعدة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عقد جائز تابع للإذن أن ينتفي بانتفائه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القاعدة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شرائط العقود أن تكون 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القاعدة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العقد أن لا يصح من جانب ويفسد من جانب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القاعدة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مغايرة أركانها الستة من حيث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القاعدة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البيع أن يتعلّق مبيعه بالأعيان وفي الإجارة بالمنافع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القاعدة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جواز جعل الثمن في المبيع وكذا الأجرة عيناً ومنفعةً وحقاً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القاعدة الإحدى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الحيل الشرعيَّة في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القاعدة 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بطلان العقود الواقعة على غير النهج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القاعدة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تأثير العقد إلا أن يقع باللفظ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القاعدة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ليسا شرطاً في صحّة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القاعدة 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الحاكم مقام الممتنع في قبض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القاعدة 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شمول الربا لجميع عقود المعاوضة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القاعدة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عدم الإلتفات بالشك اللاحق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الثامنة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كثير الشكّ عدم الالتفات إلى شكه في جميع أنواع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مَنْ ادّعى مالاً تصديق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القاعدة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اختراع العقود لِمَنْ بَعُدَ عن ديار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القاعدة الإحدى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التطابق 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القاعدة 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الشرعي التصرّف بمال الفقراء مع الغبطة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القاعدة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ألفاظ العقود أن يكون التلفظ بها مملوكاً للافظ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مندوبات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مكروهات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الاحتكار وتلقي الركبان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 وما يتعلّق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صيغة من صيغ العقود أخذها من مبدئها المسمّى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نقل الأعيان فقط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اختلاف الفقهاء في الحدود ليس للاختلاف في المحدود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قد يكون للبيع صيغة خاصة ولا يكفي كلّ 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قد يقع البيع بالفعل لا بالقول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إفادة المعاطاة للنقل وأنها بيع هو الأظهر من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العقد فيما لو حصل النقل بغير الصيغة الخاصة أو المعاطاة أو غيرهما مع عدم إمكانهما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المتعاقدين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التغاير ولو حكماً بين المتعاقدين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الإسلام ولا الإيمان في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العاقد مالكاً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الفضولي مقام الملك في نفوذ عقده إذا أجاز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أمور تتعلق بعقد الفضولي والإجازة اللاحقة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باع المالك ما يملكه وما لا يملكه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القول في شرائط المعقود عليه من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مغايرة العوضين للمتعاقدين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العوضين ممّا يمكن الانتفاع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القدرة عقلاً وعرفاً وعادةً على تسليم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كون أحد العوضين أُمّ ولد لمالكها قد علقت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استقلال الملكية في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كون العوضين أو أحدهما مباحاً لم يدخل في ملك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كون العوضين أو أحدهما مملوكاً لكافة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أحكام الأراضي المفتوحة عنوةً وخراجها وبيعها ومصارف عوائدها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كون العوضين مجهولاً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بيان أحكام بيع المجهول والجزاف والمكيل والموزون واجتماع بعضها مع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القول في الخيارات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وفي الخيارات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وما يتعلّق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وما يتعلق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وما يتعلق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وما يتعلّق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 وما يتعلّق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ما يفسد من يومه وما يتعلّق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كذب الوصف حين العقد أو خلاف الرؤية المتقدّمة على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الخيار يورث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التصرف مسقط لخيار الحيوان والشرط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يملك المبيع للمشتري والثمن للبائع بنفس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تلف المبيع في البيع قبل قبضه بآفةٍ سماوية أو أرضية أو بقصاص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تلف المبيع بآفةٍ سماوية ونحوها بعد قبضه في زمن الخيار المختص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الفسخ من ذي الخيار بالقول والفعل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تبعيض الصفقة وما يتعلق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القول في النقد والنسيئة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وفيهما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الثمن والمثمن كلّ منهما بالآخر إن كانا شخصيين أو كليين أو دينين في ذمتين قبل العقد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العقد يقضي بالتعجيل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تعيين الثمن والمثمن والجزم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شراء ماباعه نسيئةً قبل حلول الأجل نسيئةً ونقداً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دفع الثمن والمبيع قبل الأجل إن كان مؤجلاً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القول فيما يدخل في المبيع وفي كلّ منقول بعقد معاوضةٍ أو مجاني كالهبة والوقف والوصية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ما يدخل في المبيع إما أن يكون بحكم الشرع أو بحكم العرف واللغة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يدخل في بيع الأرض وما في معناها ما كان مثبتاً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الثمر في بيع الشجر والنخل وكذا الورد قبل تفتحه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تدخل في بيع الأرض الأحجار الموضوعة فيها ولا الكنوز والخبايا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لصاحب الأصل ولصاحب الثمرة سقي النخل لمصلحته إذا لم يتضرّر الآخر بالسقي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القول في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اشتراك التسليم بين معان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وهنا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التقبيض فيما لا يُنقل هو التخلية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على كلّ من المتعاقدين تسليم الآخر ما ملكه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حدث في المبيع عيب قبل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قبض المشتري بدون تقبيض البائع أو إذنه في قبضه في رفع الضمان عن البائع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اختلط المبيع بغيره اختلاطاً لا يمكن تميزه أو يمكن ولكن لا يمكن فصله قبل القبض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تفريغ المبيع عن مال 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فسخ البيع بتعذر التسليم ما بين العقد و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المبيع قبل قبضه من مال بائعه إذا كان التلف من غير البائع أو أجنبي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بيع ما لم يقبض من ثمن أو مثمن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أنكر المشتري وصول المبيع إليه كلّاً أو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أسلفه طعاماً في بلد خاص وكان موافقاً لبلد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اختلاف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لفظ النقد والكيل والوزن إلى المتعارف المعهود في بلد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المتبايعان في قدر الثمن أو قدر المثمن أو قدر الأجل أو قدر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تلف أحد العوضين قبل التحالف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القول في الشرائط وفيه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المقصود به التعليق مفسد للعقد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بمقتضى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بعموم أدلّة الشروط كالمجملات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يفسد العقد لو وقع فيه شرط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أن الشرط المخالف للكتاب والسنّة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بيان أنواع الشرائط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في عقد البيع اشتراط أن يرهن عنده رهناً على دين سابق أو على ثمن المبيع الواقع في ذلك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اشتراط عدم الانتفاع بأحد العوضين مدّةً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البائع على المشتري قصر انتفاعه على جهة مخصوصة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العبد المشروط عتقه أو المال المشروط وقفه إذا كان ثمناً أو مثمناً ولم يف المشروط عليه بالشرط كان للمشترط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تصرّف المشروط عليه في المال المتعلّق به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امتنع المشروط عليه من القيام بالشرط كان للمشترط الفسخ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اشتراط العقد الجائز في العقد اللازم يصيّره لازماً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أحكام العيوب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الأعيان السلامة من العيوب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خرج المبيع معيباً حال العقد قبل تمامه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 العيب ردّاً وأرشاً باشتراط سقوطهما وباشتراط سقوط خيار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أحدث من انتقل إليه أحد العوضين به حدثاً أثر فيه تغييراً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الردّ بحدوث العيب فيما انتقل لأحد المتعاقدين إذا كان ذلك العيب مضموناً على المنتقل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نقل المعيب مع علم الناقل بعيبه وعدم علم المنتقل إليه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نقل شيئين متغايرين بإيجاب واحد إن أمكن جمعهما به مع اتحاد ثمنهما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نقل متمایزين مع اتحاد الناقل وتعدّده والمنقول إليه كذلك</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عيب مضمون يوجب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تصرّف مشتري الجارية بها بعد العقد بغير الوطء فظهر بها عيب 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العيب لغةً وعرفاً عاماً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الأرش وما يتعلق به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القول في التدليس والتصرية وبعض أحكام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التدليس لغةً وعرفاً وشرعاً وبيان ما يتعلق به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التصرية وبيان ما يتعلّق بها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العيوب الموجبة لرد الأمة والعبد في البيع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الانعتاق على المشتري ليس بعيب ولا يوجب ردّاً ولا أرشاً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تكرّر الجناية من العبد 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الحمل عيب في الإماء يردّ به ويبطل الرد به عند حدوثه عند المشتري ما لم يكن في زمان الخيار المختص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اشترى أحد النقدين بمثله فظهر فيه عيب قاض بجواز 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البائع التبرّي من العيوب بعد ما تصادقا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المشتري الثيبوبة بعد اشتراط البكارة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باع الوكيل معيباً فظهر العيب وصدّقه المشتري في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القول في المرابحة وتوابعها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المرابحة والمواضعة وما يتعلّق بهما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المساومة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العلم برأس المال في جميع الأقسام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الصدق في الإخبار وعدم الكذب والتورية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ظهر كذب البائع في إخباره برأس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اشترى البائع شيئاً أو أشياء بثمن واحد فليس له الإخبار بشراء الأبعاض بقسطها من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البائع زيادة الثمن على ما أخبر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شراء المتاع البائعه من مشتريه منه ومن غيره حالاً ومؤجلاً بزيادة مرابحة أو غيرها أو بنقيصة مواضعة أو غيرها أو بمساومة أو بتولية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أفضل الأنواع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الربح والوضيعة إلى رأس المال يتبع الفهم العرفي في قدره المحصل بعد الضمّ أو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للدلال الإخبار بشراء ما قومه عليه التاجر ليبيعه بتلك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القول في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تعريف الربا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والكلام في الربا يتم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أحدها شمول الربا لكلّ معاوضة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البيع المشتمل على الربا على العالم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الربا بين الوالد وولده والزوج وزوجته والمالك ومملوكه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ربا بين المسلم والحربي من فرق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مما يدخل في مفهوم الربا اتحاد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متفق الجنس في باب الربا حكماً، أصل الشيء وفرعه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تحقق الرباكون العوضين مقدّرين بالكيل أو 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حكم الربا في المكيل والموزون مدار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حرمة الربا للمبيع أصالة وللمبيع تبعاً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الربا بالزيادة العينية وبزيادة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اختلفت الأجناس في العوضين المقدرين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انتفى التقدير بالكيل والوزن جاز التفاضل في متحد الجنس نقداً ونسيئة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اليابس بمثله متساوياً وكذا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اللحم بالحيوان المذبوح المماثل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الاحتيال في التخلّص من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القول في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تعريف الصرف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الصرف يقع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صحّة الصرف التقابض قبل التفرّق من المتعاقدين بأبدانهما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باشتراط التقابض قبل التفرّق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تقابضا في البعض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المدار في التفرق المبطل للصرف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اشترى دراهم بدنانير أو بالعكس ثم اشترى بها جنساً آخر قبل القبض في الشراء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لشخص على شخص آخر أحد النقدين وأراد تحويله إلى نقد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في أحد النقدين غش متموّل غير مستهلك بحيث لا يصدق عليه اسم المغشوش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تراب أحد النقدين بتراب آخر من جنسه ولا بنقد آخر من جنسه مع الجهل بوزنهما أو بوزن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نقل المغشوش من النقدين وغيرهما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الأواني المصوغة من النقدين مع معرفة قدر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حادي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المحلّى بأحد النقدين تباع الحلّيّة تبعاً للمحلى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إبدال نقد على جهة المعاوضة مطلقاً بنقد آخر مع تساوي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الصياغة المجتمع من النقدين يباع بهما وبغيرهما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إعادة الزيادات المتعارفة في الموازين بالنسبة إلى النقود المبيعة بعضها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ظهر في المبيع أو الثمن في الصرف وغيره من غير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تلف أحد العوضين من النقدين أو كلّ منهما ثم ظهر من غير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لمن عليه نقد لآخر وكذا للآخر عليه نقد لصاحبه أن يتبايعا ما في ذممهما نقداً بنقد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القول في بيع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الكلام فيه يقع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بيع المعدوم من الثمار مع عدم وجود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أصله ومادته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الثمار مع الضميمة سنةً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الثمر أزيد من عام واحد بمعنى أزيد من ثمرة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ما بدا صلاحه بلا شرط</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ثمر النخل وغيره بعد الظهور مع انضمام شيء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أدرك بعض ثمرة النخلة أو بعض ثمرة بستان واحد جاز بيعها أجمع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بين ثمر النخل وغيره من ثمر الشجر أو الخضر في المنع من بیعه قبل ظهوره</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حب الزرع بعد ظهوره وبيع الزرع نفسه وبيعه بعد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الخضر قبل ظهورها وجوازه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 المارّة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المحاقلة والمزابنة وتفسيرهما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كان بين اثنين أو جماعة ثمرة نخل أو شجر فتقبل أحدهما بحصة صاحبه بثمن معلوم القدر منها أو من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اشترى ثمرة أو زرعاً بشرط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بمشتري الثمرة وصاحب الأصل من سقي الشجرة وغيره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الثمرة كسراً مشاعاً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باع الثمرة فتلفت قبل التخلية كلاً أو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القول في بيع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والكلام فيه في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ملك الكافر أصالة أو تبعاً إذا كان خالياً عن ذمام أو عهد أو أمان وكذا استرقاقه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صحه تملك كلّ من الزوجين الآخر دواماً ومتعة وكذا المحلل له ما لم يختلفا في الإسلام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تملك الرجل كلّ قريب وبعيد له بعلقة النسب وانعتاقه عليه بعد ملكه آناً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يؤخذ من مال الحربيين بغير إذن الإمام أو منصوبه فهو لآخذه وفيه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ابتیاع بعض الحيوان الحي بشرط الإشاعة</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اشترك شخصان في شراء حيوان مع شرط وشرط أحدهما الرأس والجلد دون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أو هذا الحيوان بشركتي معك فاشتراه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وجه المملوكة ومحاسنها إذا أراد شراءها من غير تلذذ ولا 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العبد بجميع أصنافه لا يملك شيئاً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باع العبد مالكه أو نقله مطلقاً وكان بيده مال كان المال للبائع إلا أن يشترطه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جعالة العبد لو جعل لغيره جغلاً على شرائه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تجدّد في الحيوان عيب بعد العقد وقبل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الحيوان للبائع مع اشتراطه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بيع الأمة الموطوءة قبل استبرائها بحيضة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وطء الأمة الحامل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التفرقة بين الأطفال وأُمهاتهم النسبية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ظهر استحقاق الأمة الموطوءة لغير الواطئ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مالٍ اشتري فظهر أنّه مسروق وجب على المشتري ردّه فوراً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بيع عبد من عبدين أو من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وطئ أحد الشركاء في الأمةِ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اشترى كلّ من العبدين المأذون لهما بالتصرف صاحبه من مولاه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ورد من رجل دفع إلى عبد لقوم مأذون له في التجارة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بهما نسمةً فأعتقها عني وحج عنّي بالباقي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القول في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معنى السَّلَم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الكلام في السلم يفتقر إلى بيان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المعلومية بالجنس والوصف في 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السلم في كلّ ما لا ينضبط وصفه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الحلول في ثمن 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قبض ثمن السلم في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المسلم فيه كلّيّاً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ثمن السلم معلوماً بالنوع والوصف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الضبط بالكيل أو الوزن في المسلّم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التأجيل إلى أجل معلوم مضبوط في المسلم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لابد من حراسة الأجل من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إمكان وجود المسلم فيه عند حلول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المسلم فيه عند حلول الأجل شرط للسلم حين العقد وإن تأخر 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السائغ في عقد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دفع المسلم إليه المبيع قبل الحلول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حلّ الأجل وجب على المسلم إليه الدفع عند المطالبة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دفع المسلم إليه من غير الجنس بنيّة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أسلم في كيل وشرط مكيالاً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السلم قبل حلول أجله على من هو عليه أو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السلم بعد حلول أجله يسري لكل دين مؤجل قد أحل 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تاسع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مال السلم قبل قبضه بعين 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ذكر موضع التسليم في غير السلم من العقود الحالة أو المؤجلة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وجد المسلم في المسلم فيه عيباً من غير الجنس بعد قبضه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المسلم والمسلم إليه في أصل القبض أو في كونه قبل التفرّق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أسلم مسلم إلى مسلم في عبد مسلم فارتد المسلم أو المسلم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التجارة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000_245123"/>
      <w:bookmarkStart w:id="11" w:name="pg19000_245123"/>
      <w:bookmarkEnd w:id="11"/>
    </w:p>
    <w:p>
      <w:pPr>
        <w:pStyle w:val="Heading2"/>
        <w:numPr>
          <w:ilvl w:val="1"/>
          <w:numId w:val="1"/>
        </w:numPr>
        <w:rPr/>
      </w:pPr>
      <w:bookmarkStart w:id="12" w:name="pg19000_245123"/>
      <w:bookmarkStart w:id="13" w:name="__RefHeading___Toc13372116_1280447820"/>
      <w:bookmarkStart w:id="14" w:name="_Toc4"/>
      <w:bookmarkEnd w:id="12"/>
      <w:bookmarkEnd w:id="13"/>
      <w:r>
        <w:rPr>
          <w:rtl w:val="true"/>
        </w:rPr>
        <w:t>كتاب التجارة</w:t>
      </w:r>
      <w:bookmarkEnd w:id="14"/>
    </w:p>
    <w:p>
      <w:pPr>
        <w:pStyle w:val="Heading3"/>
        <w:numPr>
          <w:ilvl w:val="2"/>
          <w:numId w:val="1"/>
        </w:numPr>
        <w:rPr/>
      </w:pPr>
      <w:bookmarkStart w:id="15" w:name="__RefHeading___Toc13372118_1280447820"/>
      <w:bookmarkStart w:id="16" w:name="_Toc5"/>
      <w:bookmarkEnd w:id="15"/>
      <w:r>
        <w:rPr>
          <w:rtl w:val="true"/>
        </w:rPr>
        <w:t>الكلام في العقود</w:t>
      </w:r>
      <w:bookmarkEnd w:id="16"/>
    </w:p>
    <w:p>
      <w:pPr>
        <w:pStyle w:val="Heading4"/>
        <w:numPr>
          <w:ilvl w:val="3"/>
          <w:numId w:val="1"/>
        </w:numPr>
        <w:rPr/>
      </w:pPr>
      <w:bookmarkStart w:id="17" w:name="__RefHeading___Toc13372120_1280447820"/>
      <w:bookmarkStart w:id="18" w:name="_Toc6"/>
      <w:bookmarkEnd w:id="17"/>
      <w:r>
        <w:rPr>
          <w:rtl w:val="true"/>
        </w:rPr>
        <w:t>إشارة</w:t>
      </w:r>
      <w:r>
        <w:rPr>
          <w:rtl w:val="true"/>
        </w:rPr>
        <w:t>:</w:t>
      </w:r>
      <w:bookmarkEnd w:id="18"/>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العقد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الموثق من الجمع بين الشيئين بحيث يعسر الانفصال بينهما، والمراد بها هنا كما هو عند الشارع أو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آثار خاصة لفظية أو ما قام مقامها صادرة من طرفين حقيقة أو حكماً، مقرونة برضاهما وقصدهما حقيقة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إطلاقها على الألفاظ دون الأفعال ودون مدلولات الألفاظ، بل إطلاقها على غير الألفاظ يكون مجازاً وإن أُطلقت أسماء أفرادها على غير الألفاظ حقيقةً، ولا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العقود كتاب التجارة، ويراد بها هنا النقل بالبيع، أو بنفس الصيغة وتوابعه، وذكر غيره فيه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بها ما هو المعنى المعروف لها من المعاوضة مطلقاً بطلب الربح وزائداً على رأس المال، كما هو ظاهر الكتاب والسنّة، ولا المعاوضة مطلقاً، ولا المعاوضة على الأعيان مطلقاً أو مع طلب الربح، ولا البيع المقيد بذلك، ولا الصناعة والحرفة، ولا نفس الأعيان كما تطلق عليها مجازاً، ولا الاكتساب بالملك والتمليك مطلقاً، ولا مع ملاحظة الربح، وإن كان في كثير منها يمكن القول بالاشتراك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هنا يقع في مطالب تشترك فيها جملة من العقود أو أكثرها أو كلها، ثم الكلام على البيع إن شاء اللّه تعالى</w:t>
      </w:r>
      <w:r>
        <w:rPr>
          <w:rFonts w:eastAsia="Amiri" w:cs="Amiri" w:ascii="Amiri" w:hAnsi="Amiri"/>
          <w:color w:val="111111"/>
          <w:sz w:val="28"/>
          <w:szCs w:val="28"/>
          <w:rtl w:val="true"/>
          <w:lang w:bidi="ar-SA"/>
        </w:rPr>
        <w:t xml:space="preserve">. </w:t>
      </w:r>
      <w:bookmarkStart w:id="19" w:name="pg19000_245124"/>
    </w:p>
    <w:p>
      <w:pPr>
        <w:pStyle w:val="Heading4"/>
        <w:numPr>
          <w:ilvl w:val="3"/>
          <w:numId w:val="1"/>
        </w:numPr>
        <w:rPr/>
      </w:pPr>
      <w:bookmarkStart w:id="20" w:name="__RefHeading___Toc13372122_1280447820"/>
      <w:bookmarkStart w:id="21" w:name="_Toc7"/>
      <w:bookmarkEnd w:id="19"/>
      <w:bookmarkEnd w:id="20"/>
      <w:r>
        <w:rPr>
          <w:rtl w:val="true"/>
        </w:rPr>
        <w:t>المطلب الأوّل</w:t>
      </w:r>
      <w:bookmarkEnd w:id="21"/>
    </w:p>
    <w:p>
      <w:pPr>
        <w:pStyle w:val="Heading5"/>
        <w:numPr>
          <w:ilvl w:val="4"/>
          <w:numId w:val="1"/>
        </w:numPr>
        <w:rPr/>
      </w:pPr>
      <w:bookmarkStart w:id="22" w:name="__RefHeading___Toc13372124_1280447820"/>
      <w:bookmarkStart w:id="23" w:name="_Toc8"/>
      <w:bookmarkEnd w:id="22"/>
      <w:r>
        <w:rPr>
          <w:rtl w:val="true"/>
        </w:rPr>
        <w:t>إشارة</w:t>
      </w:r>
      <w:r>
        <w:rPr>
          <w:rtl w:val="true"/>
        </w:rPr>
        <w:t>:</w:t>
      </w:r>
      <w:bookmarkEnd w:id="23"/>
    </w:p>
    <w:p>
      <w:pPr>
        <w:pStyle w:val="BookText"/>
        <w:rPr/>
      </w:pPr>
      <w:r>
        <w:rPr>
          <w:rFonts w:ascii="Amiri" w:hAnsi="Amiri" w:eastAsia="Amiri" w:cs="Amiri"/>
          <w:color w:val="111111"/>
          <w:sz w:val="28"/>
          <w:sz w:val="28"/>
          <w:szCs w:val="28"/>
          <w:rtl w:val="true"/>
          <w:lang w:bidi="ar-SA"/>
        </w:rPr>
        <w:t>يشتمل على فصول</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3372126_1280447820"/>
      <w:bookmarkStart w:id="25" w:name="_Toc9"/>
      <w:bookmarkEnd w:id="24"/>
      <w:r>
        <w:rPr>
          <w:rtl w:val="true"/>
        </w:rPr>
        <w:t>أحدها</w:t>
      </w:r>
      <w:r>
        <w:rPr>
          <w:rtl w:val="true"/>
        </w:rPr>
        <w:t xml:space="preserve">: </w:t>
      </w:r>
      <w:r>
        <w:rPr>
          <w:rtl w:val="true"/>
        </w:rPr>
        <w:t>عدم تعلّق الأحكام الخمسة بالأعيان بل بفعل المكلّف</w:t>
      </w:r>
      <w:bookmarkEnd w:id="2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الخمسة لا تتعلّق بالأعيان، بل بفعل المكلف، وما تعلّق به الحكم من الأعيان فهو من باب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المتعلّق بالاكتساب ينقسم باعتبار جهاته إلى الأحكام الخمسة، إلا أن تعلق الواجب والمندوب بالمكاسب بمجرد الجهة المقتضية لوجوب التكسّب أو ندبه، كوفاء دَيْنٍ أو نفقة واجبة أو للتوسعة على عياله، أو لطلب الرزق، وتعلّق الثلاثة الباقية لخصوصية في نفس النقل أو المنقول، كالنهي عن بيع المنابذة </w:t>
      </w:r>
      <w:r>
        <w:rPr>
          <w:rStyle w:val="FootnoteAnchor"/>
          <w:rtl w:val="true"/>
        </w:rPr>
        <w:footnoteReference w:id="2"/>
      </w:r>
      <w:r>
        <w:rPr>
          <w:rFonts w:ascii="Amiri" w:hAnsi="Amiri" w:eastAsia="Amiri" w:cs="Amiri"/>
          <w:color w:val="111111"/>
          <w:sz w:val="28"/>
          <w:sz w:val="28"/>
          <w:szCs w:val="28"/>
          <w:rtl w:val="true"/>
          <w:lang w:bidi="ar-SA"/>
        </w:rPr>
        <w:t xml:space="preserve">، والنهي عن بيع النجس، والنهي عن بيع المزابنة </w:t>
      </w:r>
      <w:r>
        <w:rPr>
          <w:rStyle w:val="FootnoteAnchor"/>
          <w:rtl w:val="true"/>
        </w:rPr>
        <w:footnoteReference w:id="3"/>
      </w:r>
      <w:r>
        <w:rPr>
          <w:rFonts w:ascii="Amiri" w:hAnsi="Amiri" w:eastAsia="Amiri" w:cs="Amiri"/>
          <w:color w:val="111111"/>
          <w:sz w:val="28"/>
          <w:sz w:val="28"/>
          <w:szCs w:val="28"/>
          <w:rtl w:val="true"/>
          <w:lang w:bidi="ar-SA"/>
        </w:rPr>
        <w:t xml:space="preserve">والمحاقلة </w:t>
      </w:r>
      <w:r>
        <w:rPr>
          <w:rStyle w:val="FootnoteAnchor"/>
          <w:rtl w:val="true"/>
        </w:rPr>
        <w:footnoteReference w:id="4"/>
      </w:r>
      <w:r>
        <w:rPr>
          <w:rFonts w:ascii="Amiri" w:hAnsi="Amiri" w:eastAsia="Amiri" w:cs="Amiri"/>
          <w:color w:val="111111"/>
          <w:sz w:val="28"/>
          <w:sz w:val="28"/>
          <w:szCs w:val="28"/>
          <w:rtl w:val="true"/>
          <w:lang w:bidi="ar-SA"/>
        </w:rPr>
        <w:t>، وكراهة بيع الطفل دون أُمه، وكراهة البيع في أوقات معلومة أو أحوال معلومة</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3372128_1280447820"/>
      <w:bookmarkStart w:id="27" w:name="_Toc10"/>
      <w:bookmarkEnd w:id="26"/>
      <w:r>
        <w:rPr>
          <w:rtl w:val="true"/>
        </w:rPr>
        <w:t>ثانيها</w:t>
      </w:r>
      <w:r>
        <w:rPr>
          <w:rtl w:val="true"/>
        </w:rPr>
        <w:t xml:space="preserve">: </w:t>
      </w:r>
      <w:r>
        <w:rPr>
          <w:rtl w:val="true"/>
        </w:rPr>
        <w:t>فيما إذا تعلق النهى بالمعاملة أو النهى بصيغته فالظاهر منه الفساد</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لفظ التحريم بالمعاملة أو النهي بصيغته وكان بنفسها أو بجزئها أو بثمنها، فالظاهر منه الفساد؛ للاستقراء، أو للإجماع المنقول، أو لظهوره في الإرشاد إلى فساده، أو لظهوره من حال الناهي الغني، أو لخلوه بعد النهي عن دليل الصحّة والأصل عدمها، وليس النهي مستعملاً في التحريم وفساد المنهي عنه أو الإرشاد إلى فساده؛ لعدم معهودية استعمال اللفظ في معنييه الحقيقيَّين أو الحقيقي والمجازي، بل هو مستعمل في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لا بمعنى دخول الفاسد في معناه، بل بمعنى أنّه كاشف عن فساده، فليس استعماله في فساد المحرم ولا في التحريم وفساد المحرم بوجه</w:t>
      </w:r>
      <w:r>
        <w:rPr>
          <w:rFonts w:eastAsia="Amiri" w:cs="Amiri" w:ascii="Amiri" w:hAnsi="Amiri"/>
          <w:color w:val="111111"/>
          <w:sz w:val="28"/>
          <w:szCs w:val="28"/>
          <w:rtl w:val="true"/>
          <w:lang w:bidi="ar-SA"/>
        </w:rPr>
        <w:t xml:space="preserve">. </w:t>
      </w:r>
      <w:bookmarkStart w:id="28" w:name="pg19000_245125"/>
    </w:p>
    <w:p>
      <w:pPr>
        <w:pStyle w:val="Heading5"/>
        <w:numPr>
          <w:ilvl w:val="4"/>
          <w:numId w:val="1"/>
        </w:numPr>
        <w:rPr/>
      </w:pPr>
      <w:bookmarkStart w:id="29" w:name="__RefHeading___Toc13372130_1280447820"/>
      <w:bookmarkStart w:id="30" w:name="_Toc11"/>
      <w:bookmarkEnd w:id="28"/>
      <w:bookmarkEnd w:id="29"/>
      <w:r>
        <w:rPr>
          <w:rtl w:val="true"/>
        </w:rPr>
        <w:t>ثالثها</w:t>
      </w:r>
      <w:r>
        <w:rPr>
          <w:rtl w:val="true"/>
        </w:rPr>
        <w:t xml:space="preserve">: </w:t>
      </w:r>
      <w:r>
        <w:rPr>
          <w:rtl w:val="true"/>
        </w:rPr>
        <w:t xml:space="preserve">فيما يقال من أن تحريم الثمن في قوله </w:t>
      </w:r>
      <w:r>
        <w:rPr>
          <w:rtl w:val="true"/>
        </w:rPr>
        <w:t>(</w:t>
      </w:r>
      <w:r>
        <w:rPr>
          <w:rtl w:val="true"/>
        </w:rPr>
        <w:t>عَلَيهِ السَّلَامُ</w:t>
      </w:r>
      <w:r>
        <w:rPr>
          <w:rtl w:val="true"/>
        </w:rPr>
        <w:t>): «</w:t>
      </w:r>
      <w:r>
        <w:rPr>
          <w:rtl w:val="true"/>
        </w:rPr>
        <w:t>إن اللّه إذا حرم شيئاً فقد حرّم ثمنه</w:t>
      </w:r>
      <w:r>
        <w:rPr>
          <w:rtl w:val="true"/>
        </w:rPr>
        <w:t xml:space="preserve">» </w:t>
      </w:r>
      <w:r>
        <w:rPr>
          <w:rtl w:val="true"/>
        </w:rPr>
        <w:t>دليل على فساد المعاملة</w:t>
      </w:r>
      <w:bookmarkEnd w:id="30"/>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أصلاً من الأخبار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فقد حرم ثمنه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تحريم الثمن دليل على فساد المعاملة؛ لأنّ تحريمه لمكان أنّه لم ينتقل عن صاحبه، لا أنّه حرام على المشتري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يخلو من تأمل؛ فإن كان المراد من تحريم الشيء تحريمه في الجملة، لزم تحريم بيع أكثر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تحريم المنفعة الظاهرة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كتحريم الشرب للخمر والأكل للميتة والدم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 المنافع لتسليطه على العين نفسها –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وجه باستلزام تحريم منفعته الظاهرة أو جميع المنافع لعدم صحّة انتقاله؛ لعود المعاوضة عليه سفها؛ إلا أنّ الرواية غير صحيحة، وهي مبنية على القاعدة المتقدّمة، وهي دلالة التحريم على فساد المنهيّ عنه</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3372132_1280447820"/>
      <w:bookmarkStart w:id="32" w:name="_Toc12"/>
      <w:bookmarkEnd w:id="31"/>
      <w:r>
        <w:rPr>
          <w:rtl w:val="true"/>
        </w:rPr>
        <w:t>رابعها في أنّ الأصل إباحة المشكوك في جواز استعماله والانتفاع به</w:t>
      </w:r>
      <w:bookmarkEnd w:id="32"/>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في جواز استعماله والانتفاع به فالأصل إباحته، والمشكوك في ملكيته بعد كونه موضوعاً تحت اليد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أصالة عدم الملك؛ لأنّه حكم شرعي مفتقر إلى الدليل، ولم يثبت أن مجرد دخول الشيء تحت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المباح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 غاية ما في الباب أن اليد كاشفة عن ملك ما يملك أو مملكة ما يملك، لا أنّها مثبتة لملك المشكوك في إمكان ملكه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أنا لا نعني من الملك إلا السلطنة على ما جاز وضع اليد عليه، وجواز التصرف فيه على كلّ حال، فيجري على ما كان كذلك حكم الأملاك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Heading5"/>
        <w:numPr>
          <w:ilvl w:val="4"/>
          <w:numId w:val="1"/>
        </w:numPr>
        <w:rPr/>
      </w:pPr>
      <w:bookmarkStart w:id="33" w:name="__RefHeading___Toc13372134_1280447820"/>
      <w:bookmarkStart w:id="34" w:name="_Toc13"/>
      <w:bookmarkEnd w:id="33"/>
      <w:r>
        <w:rPr>
          <w:rtl w:val="true"/>
        </w:rPr>
        <w:t>خامسها</w:t>
      </w:r>
      <w:r>
        <w:rPr>
          <w:rtl w:val="true"/>
        </w:rPr>
        <w:t xml:space="preserve">: </w:t>
      </w:r>
      <w:r>
        <w:rPr>
          <w:rtl w:val="true"/>
        </w:rPr>
        <w:t>في عدم الملازمة بين صفة الملك والمالية</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صفة الملك والمالية، فربّ شيء يُعدّ مالاً ولا يملك، وربّ شيء يُعدّ ملكاً ولا يُعدّ مالاً، فعلى ذلك ما كان تحت اليد لا نحكم بمجرد ذلك بالملكية فيه وإن عُدّ مالاً عرفاً، ولا يُحكم بما لا يُعد مالاً بعدم الملك لأجل ذلك</w:t>
      </w:r>
      <w:r>
        <w:rPr>
          <w:rFonts w:eastAsia="Amiri" w:cs="Amiri" w:ascii="Amiri" w:hAnsi="Amiri"/>
          <w:color w:val="111111"/>
          <w:sz w:val="28"/>
          <w:szCs w:val="28"/>
          <w:rtl w:val="true"/>
          <w:lang w:bidi="ar-SA"/>
        </w:rPr>
        <w:t xml:space="preserve">. </w:t>
      </w:r>
      <w:bookmarkStart w:id="35" w:name="pg19000_245126"/>
    </w:p>
    <w:p>
      <w:pPr>
        <w:pStyle w:val="Heading5"/>
        <w:numPr>
          <w:ilvl w:val="4"/>
          <w:numId w:val="1"/>
        </w:numPr>
        <w:rPr/>
      </w:pPr>
      <w:bookmarkStart w:id="36" w:name="__RefHeading___Toc13372136_1280447820"/>
      <w:bookmarkStart w:id="37" w:name="_Toc14"/>
      <w:bookmarkEnd w:id="35"/>
      <w:bookmarkEnd w:id="36"/>
      <w:r>
        <w:rPr>
          <w:rtl w:val="true"/>
        </w:rPr>
        <w:t>سادسها</w:t>
      </w:r>
      <w:r>
        <w:rPr>
          <w:rtl w:val="true"/>
        </w:rPr>
        <w:t xml:space="preserve">: </w:t>
      </w:r>
      <w:r>
        <w:rPr>
          <w:rtl w:val="true"/>
        </w:rPr>
        <w:t>في أن الأصل يقضي باختصاص ما كان تحت اليد بصاحبه</w:t>
      </w:r>
      <w:bookmarkEnd w:id="37"/>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تحت اليد فالأصل يقضي باختصاصه بصاحبه، ولا تجوز مزاحمته عليه، سواء عُد مالاً أم لا، وسواء قلنا بملكه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بملكه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مزاحمته ظلم وعدوان، ولأنّ للسابق حقاً فلا يجوز دفعه عنه، ولكل امرئ ما سعى</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3372138_1280447820"/>
      <w:bookmarkStart w:id="39" w:name="_Toc15"/>
      <w:bookmarkEnd w:id="38"/>
      <w:r>
        <w:rPr>
          <w:rtl w:val="true"/>
        </w:rPr>
        <w:t>سابعها</w:t>
      </w:r>
      <w:r>
        <w:rPr>
          <w:rtl w:val="true"/>
        </w:rPr>
        <w:t xml:space="preserve">: </w:t>
      </w:r>
      <w:r>
        <w:rPr>
          <w:rtl w:val="true"/>
        </w:rPr>
        <w:t>في جواز المعاوضة على رفع اليد عن الاختصاص بصلح وشبهه</w:t>
      </w:r>
      <w:bookmarkEnd w:id="39"/>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على رفع اليد عن الاختصاص جائزة بصلح وشبهه؛ لعموم أدلته، ولعدم عده سفها، سواء في ذلك ما يتموّل وغيره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3372140_1280447820"/>
      <w:bookmarkStart w:id="41" w:name="_Toc16"/>
      <w:bookmarkEnd w:id="40"/>
      <w:r>
        <w:rPr>
          <w:rtl w:val="true"/>
        </w:rPr>
        <w:t>ثامنها</w:t>
      </w:r>
      <w:r>
        <w:rPr>
          <w:rtl w:val="true"/>
        </w:rPr>
        <w:t xml:space="preserve">: </w:t>
      </w:r>
      <w:r>
        <w:rPr>
          <w:rtl w:val="true"/>
        </w:rPr>
        <w:t>في عدم الملازمة بين الملك وبين جواز النقل والتمليك في المشكوك بجواز نقله وتمليكه</w:t>
      </w:r>
      <w:bookmarkEnd w:id="41"/>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الملك وبين جواز النقل والتمليك فى المشكوك بجواز نقله وتمليكه؛ لأصالة العدم، سواء كان النقل بمعاوضةٍ أو مجاناً؛ لأنّ النقل بأسباب شرعية، فلا بد من القطع بحصول السبب، وعمومات الصلح والبيع لا تدلّ إلا على أنّ القابل للنقل يجوز أن ينقل بالبيع والصلح، وأنهما سببان للنقل، وليس مساق أدلتهما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قاضياً بجواز بيع كلّ شيء مشكوك بنقله وانتقاله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فهما مبنيّان للنقل، لا قاضيان ببيان ما يُنقل وما لا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يحتمل ذلك، كما استدل بعض الفقهاء </w:t>
      </w:r>
      <w:r>
        <w:rPr>
          <w:rStyle w:val="FootnoteAnchor"/>
          <w:rtl w:val="true"/>
        </w:rPr>
        <w:footnoteReference w:id="9"/>
      </w:r>
      <w:r>
        <w:rPr>
          <w:rFonts w:ascii="Amiri" w:hAnsi="Amiri" w:eastAsia="Amiri" w:cs="Amiri"/>
          <w:color w:val="111111"/>
          <w:sz w:val="28"/>
          <w:sz w:val="28"/>
          <w:szCs w:val="28"/>
          <w:rtl w:val="true"/>
          <w:lang w:bidi="ar-SA"/>
        </w:rPr>
        <w:t xml:space="preserve">على جواز نقل المشكوك بانتقاله بعمومات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11"/>
      </w:r>
      <w:r>
        <w:rPr>
          <w:rFonts w:ascii="Amiri" w:hAnsi="Amiri" w:eastAsia="Amiri" w:cs="Amiri"/>
          <w:color w:val="111111"/>
          <w:sz w:val="28"/>
          <w:sz w:val="28"/>
          <w:szCs w:val="28"/>
          <w:rtl w:val="true"/>
          <w:lang w:bidi="ar-SA"/>
        </w:rPr>
        <w:t>إِلَّا أَنَّ الأوّل أوجه</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3372142_1280447820"/>
      <w:bookmarkStart w:id="43" w:name="_Toc17"/>
      <w:bookmarkEnd w:id="42"/>
      <w:r>
        <w:rPr>
          <w:rtl w:val="true"/>
        </w:rPr>
        <w:t>تاسعها</w:t>
      </w:r>
      <w:r>
        <w:rPr>
          <w:rtl w:val="true"/>
        </w:rPr>
        <w:t xml:space="preserve">: </w:t>
      </w:r>
      <w:r>
        <w:rPr>
          <w:rtl w:val="true"/>
        </w:rPr>
        <w:t>في عدم الملازمة بين جواز النقل مطلقاً وجواز المعاوضة عليه</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جواز النقل مطلقاً وبين جواز المعاوضة عليه؛ لتوقفه على عدم ما لا يقابل بالعوض، والأصل في المشكوك به عدم المالية وعدم التموّل، والاستناد لعموم الأدلّة منظور فيه كما قدمنا</w:t>
      </w:r>
      <w:r>
        <w:rPr>
          <w:rFonts w:eastAsia="Amiri" w:cs="Amiri" w:ascii="Amiri" w:hAnsi="Amiri"/>
          <w:color w:val="111111"/>
          <w:sz w:val="28"/>
          <w:szCs w:val="28"/>
          <w:rtl w:val="true"/>
          <w:lang w:bidi="ar-SA"/>
        </w:rPr>
        <w:t xml:space="preserve">. </w:t>
      </w:r>
      <w:bookmarkStart w:id="44" w:name="pg19000_245127"/>
    </w:p>
    <w:p>
      <w:pPr>
        <w:pStyle w:val="Heading5"/>
        <w:numPr>
          <w:ilvl w:val="4"/>
          <w:numId w:val="1"/>
        </w:numPr>
        <w:rPr/>
      </w:pPr>
      <w:bookmarkStart w:id="45" w:name="__RefHeading___Toc13372144_1280447820"/>
      <w:bookmarkStart w:id="46" w:name="_Toc18"/>
      <w:bookmarkEnd w:id="44"/>
      <w:bookmarkEnd w:id="45"/>
      <w:r>
        <w:rPr>
          <w:rtl w:val="true"/>
        </w:rPr>
        <w:t>عاشرها</w:t>
      </w:r>
      <w:r>
        <w:rPr>
          <w:rtl w:val="true"/>
        </w:rPr>
        <w:t xml:space="preserve">: </w:t>
      </w:r>
      <w:r>
        <w:rPr>
          <w:rtl w:val="true"/>
        </w:rPr>
        <w:t>في عدم جواز استعمال الأعيان النجسة</w:t>
      </w:r>
      <w:bookmarkEnd w:id="46"/>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والنبيذ والفقاع والخنزير والميتة والدم مما لا يقبل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استعمالها فيما يُعدّ استعمالاً وانتفاعاً يعود للمنتفع؛ لعموم الأدلّة كتاباً </w:t>
      </w:r>
      <w:r>
        <w:rPr>
          <w:rStyle w:val="FootnoteAnchor"/>
          <w:rtl w:val="true"/>
        </w:rPr>
        <w:footnoteReference w:id="12"/>
      </w:r>
      <w:r>
        <w:rPr>
          <w:rFonts w:ascii="Amiri" w:hAnsi="Amiri" w:eastAsia="Amiri" w:cs="Amiri"/>
          <w:color w:val="111111"/>
          <w:sz w:val="28"/>
          <w:sz w:val="28"/>
          <w:szCs w:val="28"/>
          <w:rtl w:val="true"/>
          <w:lang w:bidi="ar-SA"/>
        </w:rPr>
        <w:t xml:space="preserve">وسنّة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يجوز الانتفاع بها في المنافع الخارجة التي تؤدّي إلى إتلافها كإحراقها بالنار فينتفع بتلك النار، أو يدهن بها بعض الحيوانات، أو يصلح بها بعض المزارع والنخل، مع احتمال المنع مطلقاً سيّما في الميتة؛ لخصوص الأخبار الدالة على حرمة الانتفاع بشيءٍ منها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يجري عليها حكم الاختصاص ؟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جاز اقتناؤه وجاز الانتفاع به بوجه من الوجوه، وإلا فلا 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صفة الملك والتمليك فلا يتعلّق بهما مطلقاً؛ لعموم الأدلّة والإجماع</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3372146_1280447820"/>
      <w:bookmarkStart w:id="48" w:name="_Toc19"/>
      <w:bookmarkEnd w:id="47"/>
      <w:r>
        <w:rPr>
          <w:rtl w:val="true"/>
        </w:rPr>
        <w:t>حادي عشرها</w:t>
      </w:r>
      <w:r>
        <w:rPr>
          <w:rtl w:val="true"/>
        </w:rPr>
        <w:t xml:space="preserve">: </w:t>
      </w:r>
      <w:r>
        <w:rPr>
          <w:rtl w:val="true"/>
        </w:rPr>
        <w:t>في أنّ كلّ ما يقبل التطهير يملك ويجوز نقله</w:t>
      </w:r>
      <w:bookmarkEnd w:id="48"/>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يقبل التطهير يملك ويجوز نقله؛ لعدم شمول أدلّة المنع له، كالكافر بالإسلام والعصير بالنقص، بل قد يدعى أنّ العبد المرتد الفطري يجوز تملكه وتمليكه وإن كان نجساً عيناً ولا تقبل توبته ظاهراً ولا باطناً؛ لانصراف دليل المنع من ملك الأعيان النجسة وتمليكها لما كانت نجاسته تمنع الانتفاع به مطلقاً أو المنفعة الظاهرة، أو العبد الكافر لا تمنع النجاسة منفعة من منافعه الظاهرة وجواز قتله لا يلزم منه كون المعاوضة عليه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الأوجه الأوّل</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3372148_1280447820"/>
      <w:bookmarkStart w:id="50" w:name="_Toc20"/>
      <w:bookmarkEnd w:id="49"/>
      <w:r>
        <w:rPr>
          <w:rtl w:val="true"/>
        </w:rPr>
        <w:t>ثاني عشرها</w:t>
      </w:r>
      <w:r>
        <w:rPr>
          <w:rtl w:val="true"/>
        </w:rPr>
        <w:t xml:space="preserve">: </w:t>
      </w:r>
      <w:r>
        <w:rPr>
          <w:rtl w:val="true"/>
        </w:rPr>
        <w:t>في جواز استعمال المائع المتنجس بالعارض إن قبل التطهير</w:t>
      </w:r>
      <w:bookmarkEnd w:id="50"/>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المائع المتنجس بالعارض إن قبل التطهير قبل جموده بالاتصال كالماء المطلق وبعض المائعات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جموده 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والفضة والقير، والطين لو صار خزفاً، والعجين لو جفّف وكذا الطين ووضعا في ماء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استعماله وملكه وتمليكه بعوض وبدونه؛ لعدم انصراف أدلة المنع لمثله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المنع من ذلك مطلقاً؛ أخذاً بالإطلاق، وهو بعيد</w:t>
      </w:r>
      <w:r>
        <w:rPr>
          <w:rFonts w:eastAsia="Amiri" w:cs="Amiri" w:ascii="Amiri" w:hAnsi="Amiri"/>
          <w:color w:val="111111"/>
          <w:sz w:val="28"/>
          <w:szCs w:val="28"/>
          <w:rtl w:val="true"/>
          <w:lang w:bidi="ar-SA"/>
        </w:rPr>
        <w:t xml:space="preserve">. </w:t>
      </w:r>
      <w:bookmarkStart w:id="51" w:name="pg19000_245128"/>
    </w:p>
    <w:p>
      <w:pPr>
        <w:pStyle w:val="BookText"/>
        <w:rPr/>
      </w:pPr>
      <w:bookmarkEnd w:id="51"/>
      <w:r>
        <w:rPr>
          <w:rFonts w:ascii="Amiri" w:hAnsi="Amiri" w:eastAsia="Amiri" w:cs="Amiri"/>
          <w:color w:val="111111"/>
          <w:sz w:val="28"/>
          <w:sz w:val="28"/>
          <w:szCs w:val="28"/>
          <w:rtl w:val="true"/>
          <w:lang w:bidi="ar-SA"/>
        </w:rPr>
        <w:t>وإن لم يقبل التطهير، فإن لم تمنع نجاسته الانتفاع به في الجهة المقصودة منه جاز استعماله وملكه والمعاوضة عليه؛ لعدم انصراف دليل المنع إلى ذلك؛ لأنّه ليس تعبداً محضاً، وعموم أدلة الجواز شاملة له، والإجماعات المنقولة منصرفة إلى المائع الذي تبطل النجاسة منفعته المقصودة أو جميع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بأس ببيع الأصباغ لو طرأت عليها نجاسة عارضيّة، وكذا الصابون مائعاً أو جمد بعد ذلك؛ لاستصحاب ملكها السابق وعدم القطع بالمزيل، وشمول أدلة العقود والبيوع لها، وانصراف أدلّة المنع لغيرها ممّا يمنع الانتفاع به مع نجاسته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3372150_1280447820"/>
      <w:bookmarkStart w:id="53" w:name="_Toc21"/>
      <w:bookmarkEnd w:id="52"/>
      <w:r>
        <w:rPr>
          <w:rtl w:val="true"/>
        </w:rPr>
        <w:t>ثالث عشرها</w:t>
      </w:r>
      <w:r>
        <w:rPr>
          <w:rtl w:val="true"/>
        </w:rPr>
        <w:t xml:space="preserve">: </w:t>
      </w:r>
      <w:r>
        <w:rPr>
          <w:rtl w:val="true"/>
        </w:rPr>
        <w:t>في أنّ الدهن لو أصابته نجاسة عارضيّة وأبطلت الانتفاع به خرج عن الملكية وجاز استعماله</w:t>
      </w:r>
      <w:bookmarkEnd w:id="53"/>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الشحم المذاب والشمع والنفط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أصابته نجاسة عارضيّة، فإن أبطلت الانتفاع به بالاستصباح مطلقاً أو تحت السماء خرج عن الملكية، وإن لم يخرج عن الاختصاص وجواز الاستعمال والانتفاع فلا تصحّ المعاوضة عليه ولا تمليكه مجاناً، وجاز استعماله؛ للأصل، وانصراف أدلّة المنع للاستعمال الباعث على عدم الاكتراث بالنجس وعدم المبالاة به أو المؤدّي إلى معاملته معاملة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دهن الميتة المتخذ من شحمها، فإنّ استعماله والانتفاع به ممنوع كتاباً </w:t>
      </w:r>
      <w:r>
        <w:rPr>
          <w:rStyle w:val="FootnoteAnchor"/>
          <w:rtl w:val="true"/>
        </w:rPr>
        <w:footnoteReference w:id="15"/>
      </w:r>
      <w:r>
        <w:rPr>
          <w:rFonts w:ascii="Amiri" w:hAnsi="Amiri" w:eastAsia="Amiri" w:cs="Amiri"/>
          <w:color w:val="111111"/>
          <w:sz w:val="28"/>
          <w:sz w:val="28"/>
          <w:szCs w:val="28"/>
          <w:rtl w:val="true"/>
          <w:lang w:bidi="ar-SA"/>
        </w:rPr>
        <w:t xml:space="preserve">وسنّةً </w:t>
      </w:r>
      <w:r>
        <w:rPr>
          <w:rStyle w:val="FootnoteAnchor"/>
          <w:rtl w:val="true"/>
        </w:rPr>
        <w:footnoteReference w:id="16"/>
      </w:r>
      <w:r>
        <w:rPr>
          <w:rFonts w:ascii="Amiri" w:hAnsi="Amiri" w:eastAsia="Amiri" w:cs="Amiri"/>
          <w:color w:val="111111"/>
          <w:sz w:val="28"/>
          <w:sz w:val="28"/>
          <w:szCs w:val="28"/>
          <w:rtl w:val="true"/>
          <w:lang w:bidi="ar-SA"/>
        </w:rPr>
        <w:t>وإجماعاً، سوى ما لا يعدّ عرفاً استعمالاً وانتفاعاً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الاستصباح به كونه تحت السماء؛ للأصل، ولعدم زوال منفعته بالنجاسة، ولإطلاق الأخبار </w:t>
      </w:r>
      <w:r>
        <w:rPr>
          <w:rStyle w:val="FootnoteAnchor"/>
          <w:rtl w:val="true"/>
        </w:rPr>
        <w:footnoteReference w:id="17"/>
      </w:r>
      <w:r>
        <w:rPr>
          <w:rFonts w:ascii="Amiri" w:hAnsi="Amiri" w:eastAsia="Amiri" w:cs="Amiri"/>
          <w:color w:val="111111"/>
          <w:sz w:val="28"/>
          <w:sz w:val="28"/>
          <w:szCs w:val="28"/>
          <w:rtl w:val="true"/>
          <w:lang w:bidi="ar-SA"/>
        </w:rPr>
        <w:t xml:space="preserve">المتكثّرة في مقام البيان، فلا يقيدها الضعيف من المراسيل </w:t>
      </w:r>
      <w:r>
        <w:rPr>
          <w:rStyle w:val="FootnoteAnchor"/>
          <w:rtl w:val="true"/>
        </w:rPr>
        <w:footnoteReference w:id="18"/>
      </w:r>
      <w:r>
        <w:rPr>
          <w:rFonts w:ascii="IRNazanin" w:hAnsi="IRNazanin" w:eastAsia="IRNazanin"/>
          <w:color w:val="111111"/>
          <w:sz w:val="28"/>
          <w:sz w:val="28"/>
          <w:szCs w:val="28"/>
          <w:rtl w:val="true"/>
          <w:lang w:bidi="fa-IR"/>
        </w:rPr>
        <w:t xml:space="preserve">، والإجماع المنقول على لسان بعض </w:t>
      </w:r>
      <w:r>
        <w:rPr>
          <w:rStyle w:val="FootnoteAnchor"/>
          <w:rtl w:val="true"/>
        </w:rPr>
        <w:footnoteReference w:id="19"/>
      </w:r>
      <w:r>
        <w:rPr>
          <w:rFonts w:ascii="Amiri" w:hAnsi="Amiri" w:eastAsia="Amiri" w:cs="Amiri"/>
          <w:color w:val="111111"/>
          <w:sz w:val="28"/>
          <w:sz w:val="28"/>
          <w:szCs w:val="28"/>
          <w:rtl w:val="true"/>
          <w:lang w:bidi="ar-SA"/>
        </w:rPr>
        <w:t xml:space="preserve">، وكذا الشهرة المنقولة على لسان جماعة </w:t>
      </w:r>
      <w:r>
        <w:rPr>
          <w:rStyle w:val="FootnoteAnchor"/>
          <w:rtl w:val="true"/>
        </w:rPr>
        <w:footnoteReference w:id="20"/>
      </w:r>
      <w:r>
        <w:rPr>
          <w:rFonts w:ascii="Amiri" w:hAnsi="Amiri" w:eastAsia="Amiri" w:cs="Amiri"/>
          <w:color w:val="111111"/>
          <w:sz w:val="28"/>
          <w:sz w:val="28"/>
          <w:szCs w:val="28"/>
          <w:rtl w:val="true"/>
          <w:lang w:bidi="ar-SA"/>
        </w:rPr>
        <w:t>، وكان ذلك محمولاً على الندب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والتعليل بنجاسة السقف بعيد والتعبد مفتقر إلى ما يقاوم تلك الأخبار، وليس فليس</w:t>
      </w:r>
      <w:r>
        <w:rPr>
          <w:rFonts w:eastAsia="Amiri" w:cs="Amiri" w:ascii="Amiri" w:hAnsi="Amiri"/>
          <w:color w:val="111111"/>
          <w:sz w:val="28"/>
          <w:szCs w:val="28"/>
          <w:rtl w:val="true"/>
          <w:lang w:bidi="ar-SA"/>
        </w:rPr>
        <w:t xml:space="preserve">. </w:t>
      </w:r>
      <w:bookmarkStart w:id="54" w:name="pg19000_245129"/>
    </w:p>
    <w:p>
      <w:pPr>
        <w:pStyle w:val="BookText"/>
        <w:rPr/>
      </w:pPr>
      <w:bookmarkEnd w:id="54"/>
      <w:r>
        <w:rPr>
          <w:rFonts w:ascii="Amiri" w:hAnsi="Amiri" w:eastAsia="Amiri" w:cs="Amiri"/>
          <w:color w:val="111111"/>
          <w:sz w:val="28"/>
          <w:sz w:val="28"/>
          <w:szCs w:val="28"/>
          <w:rtl w:val="true"/>
          <w:lang w:bidi="ar-SA"/>
        </w:rPr>
        <w:t>وعلى التقييد بذلك فالظاهر إرادة أنّ الضياء تحت السماء لا المستضيئين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الشبابيك من الحائل، وكذا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استضاؤوا به تحت السقف فَعَل مَنْ أناره أو وضعه حراماً، وأما مَنْ كان مستضيئاً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الدهنان ترك الجميع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بعد حصول منفعة الاستصباح جعله غايةً للبيع لفظاً أو قصداً من البائع أو المشتري أو كليهما، فلو تركاها بل لو قصد غيرها من المحللات جاز، وإن قصد المحرم ففي الصحّة وعدمها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الاستصباح الاحتياج إليه ؟ فلو استصبح به نهاراً ففي الجواز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استغنى بالتعذر من ضوء أو بإشراق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استعماله عند الاستصباح بالطبخ عليه وتسخين البدن به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3372152_1280447820"/>
      <w:bookmarkStart w:id="56" w:name="_Toc22"/>
      <w:bookmarkEnd w:id="55"/>
      <w:r>
        <w:rPr>
          <w:rtl w:val="true"/>
        </w:rPr>
        <w:t xml:space="preserve">رابع عشرها </w:t>
      </w:r>
      <w:r>
        <w:rPr>
          <w:rtl w:val="true"/>
        </w:rPr>
        <w:t xml:space="preserve">: </w:t>
      </w:r>
      <w:r>
        <w:rPr>
          <w:rtl w:val="true"/>
        </w:rPr>
        <w:t>حكم ما لو تقابل المجتهدان المختلفان في التقييد والإطلاق وكان الدهن لا قابلية له للاستصباح</w:t>
      </w:r>
      <w:bookmarkEnd w:id="56"/>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تقابل المجتهدان المختلفان في التقييد والإطلاق، وكان الدهن لا قابلية له للاستصباح تحت السماء بطل العقد بينهما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كلّ مختلفين في الاجتهاد؛ لأنّ العقد لا يصح من جانب ويبطل من الآخر، مع احتمال صحّة من أفتى بصحته، والأصل الصحّة، فيكون العقد كلّه صحيحاً من جانب وكله باطلاً من جانب آخر، ولا بأس بذلك</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3372154_1280447820"/>
      <w:bookmarkStart w:id="58" w:name="_Toc23"/>
      <w:bookmarkEnd w:id="57"/>
      <w:r>
        <w:rPr>
          <w:rtl w:val="true"/>
        </w:rPr>
        <w:t>خامس عشرها</w:t>
      </w:r>
      <w:r>
        <w:rPr>
          <w:rtl w:val="true"/>
        </w:rPr>
        <w:t xml:space="preserve">: </w:t>
      </w:r>
      <w:r>
        <w:rPr>
          <w:rtl w:val="true"/>
        </w:rPr>
        <w:t>في عدم جواز تملك عذرة الإنسان وغيره من نجس العين</w:t>
      </w:r>
      <w:bookmarkEnd w:id="58"/>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عذرة الإنسان ولا كلّ عذرة نجس العين، فلا تصحّ المعاوضة عليها ولا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يتعلّق بها حق الاختصاص لو كان لها منفعة تصرف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استعمالها والانتفاع بها لتسخين الحمّامات وتسميد الخضر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تُمنع الاستعمالات المؤدية إلى عدم الاعتناء بالدين وعدم المبالاة بالنجاسة أو ما يعود للبدن منها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على جواز بيع العذرة </w:t>
      </w:r>
      <w:r>
        <w:rPr>
          <w:rStyle w:val="FootnoteAnchor"/>
          <w:rtl w:val="true"/>
        </w:rPr>
        <w:footnoteReference w:id="21"/>
      </w:r>
      <w:r>
        <w:rPr>
          <w:rFonts w:ascii="Amiri" w:hAnsi="Amiri" w:eastAsia="Amiri" w:cs="Amiri"/>
          <w:color w:val="111111"/>
          <w:sz w:val="28"/>
          <w:sz w:val="28"/>
          <w:szCs w:val="28"/>
          <w:rtl w:val="true"/>
          <w:lang w:bidi="ar-SA"/>
        </w:rPr>
        <w:t>محمول على عذرة ما يؤكل لحمه، والميل إليه بعيد</w:t>
      </w:r>
      <w:r>
        <w:rPr>
          <w:rFonts w:eastAsia="Amiri" w:cs="Amiri" w:ascii="Amiri" w:hAnsi="Amiri"/>
          <w:color w:val="111111"/>
          <w:sz w:val="28"/>
          <w:szCs w:val="28"/>
          <w:rtl w:val="true"/>
          <w:lang w:bidi="ar-SA"/>
        </w:rPr>
        <w:t xml:space="preserve">. </w:t>
      </w:r>
      <w:bookmarkStart w:id="59" w:name="pg19000_245130"/>
    </w:p>
    <w:p>
      <w:pPr>
        <w:pStyle w:val="BookText"/>
        <w:rPr/>
      </w:pPr>
      <w:bookmarkEnd w:id="59"/>
      <w:r>
        <w:rPr>
          <w:rFonts w:ascii="Amiri" w:hAnsi="Amiri" w:eastAsia="Amiri" w:cs="Amiri"/>
          <w:color w:val="111111"/>
          <w:sz w:val="28"/>
          <w:sz w:val="28"/>
          <w:szCs w:val="28"/>
          <w:rtl w:val="true"/>
          <w:lang w:bidi="ar-SA"/>
        </w:rPr>
        <w:t>نعم، يجوز الصلح على رفع حق الاختصاص منها لو كانت تحت يد مَنْ له غرض بالانتفاع بها، وأما صاحبها من حيث إنّه صاحبها فالظاهر أنّه لا اختصاص له بها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3372156_1280447820"/>
      <w:bookmarkStart w:id="61" w:name="_Toc24"/>
      <w:bookmarkEnd w:id="60"/>
      <w:r>
        <w:rPr>
          <w:rtl w:val="true"/>
        </w:rPr>
        <w:t>سادس عشرها</w:t>
      </w:r>
      <w:r>
        <w:rPr>
          <w:rtl w:val="true"/>
        </w:rPr>
        <w:t xml:space="preserve">: </w:t>
      </w:r>
      <w:r>
        <w:rPr>
          <w:rtl w:val="true"/>
        </w:rPr>
        <w:t>في جواز استعمال النجس تقيّةً أو لمرض أو اضطراراً</w:t>
      </w:r>
      <w:bookmarkEnd w:id="61"/>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النجس في الجهة المنهي عنها لمكان تقية أو مرض أو اضطرار، كأكل الميتة في المخمصة وكشرب الخمر للتداوي به، ونحو ذلك؛ لأنّ حفظ النفس أهم من اجتناب المنهي عنه، كما يشعر به الكتاب </w:t>
      </w:r>
      <w:r>
        <w:rPr>
          <w:rStyle w:val="FootnoteAnchor"/>
          <w:rtl w:val="true"/>
        </w:rPr>
        <w:footnoteReference w:id="22"/>
      </w:r>
      <w:r>
        <w:rPr>
          <w:rFonts w:ascii="Amiri" w:hAnsi="Amiri" w:eastAsia="Amiri" w:cs="Amiri"/>
          <w:color w:val="111111"/>
          <w:sz w:val="28"/>
          <w:sz w:val="28"/>
          <w:szCs w:val="28"/>
          <w:rtl w:val="true"/>
          <w:lang w:bidi="ar-SA"/>
        </w:rPr>
        <w:t xml:space="preserve">والسنّة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التداوي به انحصار الدواء به، والقطع أو الظنّ العادي أو المأخوذ من خبر عدلين أو طبيب حاذق مأمون بنفعه، وحصول البرء به، وكون المرض مضراً ضرراً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في محرّم شفاءً</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متروك، ولا محرّم عند التداوي به باقٍ على تحريمه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3372158_1280447820"/>
      <w:bookmarkStart w:id="63" w:name="_Toc25"/>
      <w:bookmarkEnd w:id="62"/>
      <w:r>
        <w:rPr>
          <w:rtl w:val="true"/>
        </w:rPr>
        <w:t xml:space="preserve">سابع عشرها </w:t>
      </w:r>
      <w:r>
        <w:rPr>
          <w:rtl w:val="true"/>
        </w:rPr>
        <w:t xml:space="preserve">: </w:t>
      </w:r>
      <w:r>
        <w:rPr>
          <w:rtl w:val="true"/>
        </w:rPr>
        <w:t>في لزوم إعلام نجاسة المبيع للمشتري</w:t>
      </w:r>
      <w:bookmarkEnd w:id="63"/>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النجس المائع أو الجامد في مقام جوازه إذا كان مأكولاً أو مشروباً يجب الإعلام بنجاسته للمشتري، ويجب على المشتري لو كان ذا يد وكيلاً أو أصيلاً؛ لحصول الضرر منه على مشتريه إما واقعاً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النجاسة سمية واقعية، وإما لخوف العاقبة من الأذية الحاصلة منه بعد العلم به، وللأخبار الآمرة بالإعلام الواردة في الدهن النجس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دفع النجس للأكل والشرب لعياله وأطفاله وأضيافه؛ لأنّه من المنكر والإغراء بالقبيح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النهي عن الإخبار بنجاسة البدن أو الثوب </w:t>
      </w:r>
      <w:r>
        <w:rPr>
          <w:rStyle w:val="FootnoteAnchor"/>
          <w:rtl w:val="true"/>
        </w:rPr>
        <w:footnoteReference w:id="26"/>
      </w:r>
      <w:r>
        <w:rPr>
          <w:rFonts w:ascii="Amiri" w:hAnsi="Amiri" w:eastAsia="Amiri" w:cs="Amiri"/>
          <w:color w:val="111111"/>
          <w:sz w:val="28"/>
          <w:sz w:val="28"/>
          <w:szCs w:val="28"/>
          <w:rtl w:val="true"/>
          <w:lang w:bidi="ar-SA"/>
        </w:rPr>
        <w:t>محمول على ما لا يؤدي إلى استعماله في الأكل والشرب، أو إلى ما لا يدفعه الإنسان لغيره مما ظاهره الطهارة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3372160_1280447820"/>
      <w:bookmarkStart w:id="65" w:name="_Toc26"/>
      <w:bookmarkEnd w:id="64"/>
      <w:r>
        <w:rPr>
          <w:rtl w:val="true"/>
        </w:rPr>
        <w:t>ثامن عشرها في عدم جواز بيع النجس على مستحلّيه مطلقاً</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النجس على مستحلّيه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الجواز </w:t>
      </w:r>
      <w:r>
        <w:rPr>
          <w:rStyle w:val="FootnoteAnchor"/>
          <w:rtl w:val="true"/>
        </w:rPr>
        <w:footnoteReference w:id="27"/>
      </w:r>
      <w:r>
        <w:rPr>
          <w:rFonts w:ascii="Amiri" w:hAnsi="Amiri" w:eastAsia="Amiri" w:cs="Amiri"/>
          <w:color w:val="111111"/>
          <w:sz w:val="28"/>
          <w:sz w:val="28"/>
          <w:szCs w:val="28"/>
          <w:rtl w:val="true"/>
          <w:lang w:bidi="ar-SA"/>
        </w:rPr>
        <w:t>غير بيع معمول به</w:t>
      </w:r>
      <w:r>
        <w:rPr>
          <w:rFonts w:eastAsia="Amiri" w:cs="Amiri" w:ascii="Amiri" w:hAnsi="Amiri"/>
          <w:color w:val="111111"/>
          <w:sz w:val="28"/>
          <w:szCs w:val="28"/>
          <w:rtl w:val="true"/>
          <w:lang w:bidi="ar-SA"/>
        </w:rPr>
        <w:t xml:space="preserve">. </w:t>
      </w:r>
      <w:bookmarkStart w:id="66" w:name="pg19000_245131"/>
    </w:p>
    <w:p>
      <w:pPr>
        <w:pStyle w:val="BookText"/>
        <w:rPr/>
      </w:pPr>
      <w:bookmarkEnd w:id="66"/>
      <w:r>
        <w:rPr>
          <w:rFonts w:ascii="Amiri" w:hAnsi="Amiri" w:eastAsia="Amiri" w:cs="Amiri"/>
          <w:color w:val="111111"/>
          <w:sz w:val="28"/>
          <w:sz w:val="28"/>
          <w:szCs w:val="28"/>
          <w:rtl w:val="true"/>
          <w:lang w:bidi="ar-SA"/>
        </w:rPr>
        <w:t xml:space="preserve">ولا يجوز بيع المخلوط من المذكى والميتة ولا من جلودها، وما ورد من الجواز </w:t>
      </w:r>
      <w:r>
        <w:rPr>
          <w:rStyle w:val="FootnoteAnchor"/>
          <w:rtl w:val="true"/>
        </w:rPr>
        <w:footnoteReference w:id="28"/>
      </w:r>
      <w:r>
        <w:rPr>
          <w:rFonts w:ascii="Amiri" w:hAnsi="Amiri" w:eastAsia="Amiri" w:cs="Amiri"/>
          <w:color w:val="111111"/>
          <w:sz w:val="28"/>
          <w:sz w:val="28"/>
          <w:szCs w:val="28"/>
          <w:rtl w:val="true"/>
          <w:lang w:bidi="ar-SA"/>
        </w:rPr>
        <w:t>متروك أو محمول على التقيّة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3372162_1280447820"/>
      <w:bookmarkStart w:id="68" w:name="_Toc27"/>
      <w:bookmarkEnd w:id="67"/>
      <w:r>
        <w:rPr>
          <w:rtl w:val="true"/>
        </w:rPr>
        <w:t>تاسع عشرها</w:t>
      </w:r>
      <w:r>
        <w:rPr>
          <w:rtl w:val="true"/>
        </w:rPr>
        <w:t xml:space="preserve">: </w:t>
      </w:r>
      <w:r>
        <w:rPr>
          <w:rtl w:val="true"/>
        </w:rPr>
        <w:t>في جواز الانتفاع بالأرواث والأبوال الطاهرة وبيعها</w:t>
      </w:r>
      <w:bookmarkEnd w:id="68"/>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الانتفاع بالأروات الطاهرة وبيعها؛ لحصول النفع بها من غير معارض، فتشملها أدلّة العقود والبيوع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النهي </w:t>
      </w:r>
      <w:r>
        <w:rPr>
          <w:rStyle w:val="FootnoteAnchor"/>
          <w:rtl w:val="true"/>
        </w:rPr>
        <w:footnoteReference w:id="29"/>
      </w:r>
      <w:r>
        <w:rPr>
          <w:rFonts w:ascii="Amiri" w:hAnsi="Amiri" w:eastAsia="Amiri" w:cs="Amiri"/>
          <w:color w:val="111111"/>
          <w:sz w:val="28"/>
          <w:sz w:val="28"/>
          <w:szCs w:val="28"/>
          <w:rtl w:val="true"/>
          <w:lang w:bidi="ar-SA"/>
        </w:rPr>
        <w:t>محمول على النجس منها، وخصوص الأدلّة تقضي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الأبوال الطاهرة فيجوز الانتفاع بها؛ للأصل من غير معارض، بل يجوز بيعها إذا كانت لها منافع مقصودة؛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تكن له منفعة ظاهرة لا يجوز نقله وانتقاله وإن جرى حكم الاختصاص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تتعلّق به صفة الملك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شربها اختياراً قولان، أرجحهما العدم؛ لاستخبائها عرفاً، إلا بول الإبل فلا يبعد جواز شربه؛ لعدم استخباثه عند أهله، ولخصوص الروايات </w:t>
      </w:r>
      <w:r>
        <w:rPr>
          <w:rStyle w:val="FootnoteAnchor"/>
          <w:rtl w:val="true"/>
        </w:rPr>
        <w:footnoteReference w:id="30"/>
      </w:r>
      <w:r>
        <w:rPr>
          <w:rFonts w:ascii="Amiri" w:hAnsi="Amiri" w:eastAsia="Amiri" w:cs="Amiri"/>
          <w:color w:val="111111"/>
          <w:sz w:val="28"/>
          <w:sz w:val="28"/>
          <w:szCs w:val="28"/>
          <w:rtl w:val="true"/>
          <w:lang w:bidi="ar-SA"/>
        </w:rPr>
        <w:t>الواردة فيه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جواز شربه بالاستشفاء وإن لم ينحصر فيه الدواء، فيجوز بيعه لتلك الجهة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غير بول الإبل غير جائز وإن حصلت معه منفعة؛ لأنّ منافعه نادرة، والمنافع النادرة لا تبيح الاكتساب، فيدخل تحت ما لا نفع فيه، ولأن منفعته الظاهرة منهي عنها كما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أنّ منفعة العقاقير نادرة فلا ينبغي أن تباع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في 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منفعتها نادرة الوجود والوقوع بعد كونها منفعةً، وهذه نفعها نادر الوجود والوقوع لقلة الانتفاع بها مع الحاجة لا لقلة الحاجة إلى الانتفاع بها، والفرق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الفقهاء مَنْ مَنَع بيع الأبوال مطلقاً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أجازه مطلقاً وأجاز شربها، ومنع الاستخباث المدعى فيها </w:t>
      </w:r>
      <w:r>
        <w:rPr>
          <w:rStyle w:val="FootnoteAnchor"/>
          <w:rtl w:val="true"/>
        </w:rPr>
        <w:footnoteReference w:id="33"/>
      </w:r>
      <w:r>
        <w:rPr>
          <w:rFonts w:ascii="Amiri" w:hAnsi="Amiri" w:eastAsia="Amiri" w:cs="Amiri"/>
          <w:color w:val="111111"/>
          <w:sz w:val="28"/>
          <w:sz w:val="28"/>
          <w:szCs w:val="28"/>
          <w:rtl w:val="true"/>
          <w:lang w:bidi="ar-SA"/>
        </w:rPr>
        <w:t xml:space="preserve">استناداً إلى الأخبار المجوّزة لشربها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أجاز بيع العذرة مطلقاً </w:t>
      </w:r>
      <w:r>
        <w:rPr>
          <w:rStyle w:val="FootnoteAnchor"/>
          <w:rtl w:val="true"/>
        </w:rPr>
        <w:footnoteReference w:id="35"/>
      </w:r>
      <w:r>
        <w:rPr>
          <w:rFonts w:ascii="Amiri" w:hAnsi="Amiri" w:eastAsia="Amiri" w:cs="Amiri"/>
          <w:color w:val="111111"/>
          <w:sz w:val="28"/>
          <w:sz w:val="28"/>
          <w:szCs w:val="28"/>
          <w:rtl w:val="true"/>
          <w:lang w:bidi="ar-SA"/>
        </w:rPr>
        <w:t xml:space="preserve">للأخبار المجوّزة </w:t>
      </w:r>
      <w:r>
        <w:rPr>
          <w:rStyle w:val="FootnoteAnchor"/>
          <w:rtl w:val="true"/>
        </w:rPr>
        <w:footnoteReference w:id="36"/>
      </w:r>
      <w:r>
        <w:rPr>
          <w:rFonts w:ascii="Amiri" w:hAnsi="Amiri" w:eastAsia="Amiri" w:cs="Amiri"/>
          <w:color w:val="111111"/>
          <w:sz w:val="28"/>
          <w:sz w:val="28"/>
          <w:szCs w:val="28"/>
          <w:rtl w:val="true"/>
          <w:lang w:bidi="ar-SA"/>
        </w:rPr>
        <w:t>، ولأنّ لها نفعاً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مَنَعها مطلقاً </w:t>
      </w:r>
      <w:r>
        <w:rPr>
          <w:rStyle w:val="FootnoteAnchor"/>
          <w:rtl w:val="true"/>
        </w:rPr>
        <w:footnoteReference w:id="37"/>
      </w:r>
      <w:r>
        <w:rPr>
          <w:rFonts w:ascii="Amiri" w:hAnsi="Amiri" w:eastAsia="Amiri" w:cs="Amiri"/>
          <w:color w:val="111111"/>
          <w:sz w:val="28"/>
          <w:sz w:val="28"/>
          <w:szCs w:val="28"/>
          <w:rtl w:val="true"/>
          <w:lang w:bidi="ar-SA"/>
        </w:rPr>
        <w:t xml:space="preserve">للأخبار المانعة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حمل الأخبار المانعة على اختلاف البلدان، أو التقيّة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فرّق بين عذرة الإنسان فمَنَعها، وبين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فرّق بين عذرة غير مأكول اللحم فمَنَعها مطلقاً، وبين غيرها فأجازها مطلقاً</w:t>
      </w:r>
      <w:r>
        <w:rPr>
          <w:rStyle w:val="FootnoteAnchor"/>
          <w:rtl w:val="true"/>
        </w:rPr>
        <w:footnoteReference w:id="41"/>
      </w:r>
      <w:r>
        <w:rPr>
          <w:rFonts w:ascii="Amiri" w:hAnsi="Amiri" w:eastAsia="Amiri" w:cs="Amiri"/>
          <w:color w:val="111111"/>
          <w:sz w:val="28"/>
          <w:sz w:val="28"/>
          <w:szCs w:val="28"/>
          <w:rtl w:val="true"/>
          <w:lang w:bidi="ar-SA"/>
        </w:rPr>
        <w:t xml:space="preserve">للأخبار الدالة على جواز بيع العذرة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مَنَع من بيع الأرواث مطلقاً </w:t>
      </w:r>
      <w:r>
        <w:rPr>
          <w:rStyle w:val="FootnoteAnchor"/>
          <w:rtl w:val="true"/>
        </w:rPr>
        <w:footnoteReference w:id="43"/>
      </w:r>
      <w:r>
        <w:rPr>
          <w:rFonts w:ascii="Amiri" w:hAnsi="Amiri" w:eastAsia="Amiri" w:cs="Amiri"/>
          <w:color w:val="111111"/>
          <w:sz w:val="28"/>
          <w:sz w:val="28"/>
          <w:szCs w:val="28"/>
          <w:rtl w:val="true"/>
          <w:lang w:bidi="ar-SA"/>
        </w:rPr>
        <w:t>لأنّ اللّه إذا حرم شيئاً حرم ثمنه، والأرواث محرمة الأكل كالطحال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خصّ المنع بالنجس </w:t>
      </w:r>
      <w:r>
        <w:rPr>
          <w:rStyle w:val="FootnoteAnchor"/>
          <w:rtl w:val="true"/>
        </w:rPr>
        <w:footnoteReference w:id="44"/>
      </w:r>
      <w:r>
        <w:rPr>
          <w:rFonts w:ascii="Amiri" w:hAnsi="Amiri" w:eastAsia="Amiri" w:cs="Amiri"/>
          <w:color w:val="111111"/>
          <w:sz w:val="28"/>
          <w:sz w:val="28"/>
          <w:szCs w:val="28"/>
          <w:rtl w:val="true"/>
          <w:lang w:bidi="ar-SA"/>
        </w:rPr>
        <w:t>لأنّ الروث لا يستلزم حرمة أكله حرمة بيعه؛ لأنّه ليس معدّاً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في المنع في كثير مما تقدَّم إلى عدم المالية عرفاً، وقد عرفت أن عدمها لا ينافي الملك والتمليك وإن نافى المعاوضة والضمان بالقيمة أو المثل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التأمل والنظر لا يمكن المحيص عمّا بنينا عليه</w:t>
      </w:r>
      <w:r>
        <w:rPr>
          <w:rFonts w:eastAsia="Amiri" w:cs="Amiri" w:ascii="Amiri" w:hAnsi="Amiri"/>
          <w:color w:val="111111"/>
          <w:sz w:val="28"/>
          <w:szCs w:val="28"/>
          <w:rtl w:val="true"/>
          <w:lang w:bidi="ar-SA"/>
        </w:rPr>
        <w:t xml:space="preserve">. </w:t>
      </w:r>
      <w:bookmarkStart w:id="69" w:name="pg19000_245133"/>
    </w:p>
    <w:p>
      <w:pPr>
        <w:pStyle w:val="Heading5"/>
        <w:numPr>
          <w:ilvl w:val="4"/>
          <w:numId w:val="1"/>
        </w:numPr>
        <w:rPr/>
      </w:pPr>
      <w:bookmarkStart w:id="70" w:name="__RefHeading___Toc13372164_1280447820"/>
      <w:bookmarkStart w:id="71" w:name="_Toc28"/>
      <w:bookmarkEnd w:id="69"/>
      <w:bookmarkEnd w:id="70"/>
      <w:r>
        <w:rPr>
          <w:rtl w:val="true"/>
        </w:rPr>
        <w:t>العشرون</w:t>
      </w:r>
      <w:r>
        <w:rPr>
          <w:rtl w:val="true"/>
        </w:rPr>
        <w:t xml:space="preserve">: </w:t>
      </w:r>
      <w:r>
        <w:rPr>
          <w:rtl w:val="true"/>
        </w:rPr>
        <w:t>في الأصل تحريم الخبائث وتحليل الطيبات</w:t>
      </w:r>
      <w:bookmarkEnd w:id="71"/>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تحريم الخبائث وتحليل الطيبات، فالمعلوم من أحدهما بالرجوع لأهل العرف فلا كلام فيه، والمشكوك فيه يرجع إلى أصل الحل؛ لتعارض أصلي العدم في كلّ منهما، سواء كان المشتبه ابتداءً أو كان مشتبهاً في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بين الطيب والخبيث واسطة، أو كلّ ما ليس بخبيث فهو طيب، أو بالعكس ؟ ويترتب على ذلك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أُعد للأكل والشرب وكان خبيثاً حرم ثمنه؛ لأن اللّه إذا حرم شيئاً حرّم</w:t>
      </w:r>
    </w:p>
    <w:p>
      <w:pPr>
        <w:pStyle w:val="BookText"/>
        <w:rPr/>
      </w:pPr>
      <w:r>
        <w:rPr>
          <w:rFonts w:ascii="Amiri" w:hAnsi="Amiri" w:eastAsia="Amiri" w:cs="Amiri"/>
          <w:color w:val="111111"/>
          <w:sz w:val="28"/>
          <w:sz w:val="28"/>
          <w:szCs w:val="28"/>
          <w:rtl w:val="true"/>
          <w:lang w:bidi="ar-SA"/>
        </w:rPr>
        <w:t>ثمنه، فيلزم تحريم المعاملة اللازم لفسادها شرعاً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3372166_1280447820"/>
      <w:bookmarkStart w:id="73" w:name="_Toc29"/>
      <w:bookmarkEnd w:id="72"/>
      <w:r>
        <w:rPr>
          <w:rtl w:val="true"/>
        </w:rPr>
        <w:t>الحادي والعشرون</w:t>
      </w:r>
      <w:r>
        <w:rPr>
          <w:rtl w:val="true"/>
        </w:rPr>
        <w:t xml:space="preserve">: </w:t>
      </w:r>
      <w:r>
        <w:rPr>
          <w:rtl w:val="true"/>
        </w:rPr>
        <w:t>في أنّ النهي المتعلّق بالكل متعلّق بالأجزاء التزاماً عرفياً</w:t>
      </w:r>
      <w:bookmarkEnd w:id="73"/>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المتعلّق بالكل متعلّق بالأجزاء التزاماً عرفياً ما لم يتبين أنّ المراد الكلّ بشرط الانضمام والاجتماع، فالنهي عن بيع الميتة نهي عن جميع ما حلّه الموت من الأجزاء، وكذا النهي عن بيع الكلب والخنزير، إلا أن الفرق بينهما أن ما لا تحلّه الحياة من الميتة لا يدخل تحت إطلاق الميتة؛ لأنّ الظاهر منه هو مجموع ما لا تحلّه الحياة منها، أو المراد جميعها وخرج ما لا تحلّه الحياة بالدليل الدال على طهارته وجواز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يخرج عن الملك ما ينتفع به من الميتة من عظم وشبهه، ويجوز نقله إذا كان فيه نفع يُعتد به، بل لو باع الميتة أجمع تبعضت الصفقة على المشتري بالنسبة إلى ما لا يملك منها وما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تحلّه الحياة من الكلب والخنزير فحكمه حكم ما حلّته الحياة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3372168_1280447820"/>
      <w:bookmarkStart w:id="75" w:name="_Toc30"/>
      <w:bookmarkEnd w:id="74"/>
      <w:r>
        <w:rPr>
          <w:rtl w:val="true"/>
        </w:rPr>
        <w:t>الثاني والعشرون</w:t>
      </w:r>
      <w:r>
        <w:rPr>
          <w:rtl w:val="true"/>
        </w:rPr>
        <w:t xml:space="preserve">: </w:t>
      </w:r>
      <w:r>
        <w:rPr>
          <w:rtl w:val="true"/>
        </w:rPr>
        <w:t>في جواز ملك ما ينتفع به من ميتة غير ذي النفس السائلة وكذا بيعه وشراؤه</w:t>
      </w:r>
      <w:bookmarkEnd w:id="75"/>
    </w:p>
    <w:p>
      <w:pPr>
        <w:pStyle w:val="BookText"/>
        <w:rPr/>
      </w:pPr>
      <w:r>
        <w:rPr>
          <w:rFonts w:ascii="Amiri" w:hAnsi="Amiri" w:eastAsia="Amiri" w:cs="Amiri"/>
          <w:color w:val="111111"/>
          <w:sz w:val="28"/>
          <w:sz w:val="28"/>
          <w:szCs w:val="28"/>
          <w:rtl w:val="true"/>
          <w:lang w:bidi="ar-SA"/>
        </w:rPr>
        <w:t>الثاني والعشرون ميتة غير ذي النفس السائلة يجوز ملك ما ينتفع به منها وبيعه وشراؤه كدهن السمك والضفادع وبعض لحومها للأدوية، وتحريم أكله للاستخباث لا يستلزم حرمة بيعه؛ لعدم انحصار منفعته الظاهرة في الأكل</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3372170_1280447820"/>
      <w:bookmarkStart w:id="77" w:name="_Toc31"/>
      <w:bookmarkEnd w:id="76"/>
      <w:r>
        <w:rPr>
          <w:rtl w:val="true"/>
        </w:rPr>
        <w:t>الثالث والعشرون</w:t>
      </w:r>
      <w:r>
        <w:rPr>
          <w:rtl w:val="true"/>
        </w:rPr>
        <w:t xml:space="preserve">: </w:t>
      </w:r>
      <w:r>
        <w:rPr>
          <w:rtl w:val="true"/>
        </w:rPr>
        <w:t>في حرمة اللهو واقتناء الآلات المعدة له واستعمالها ونقلها وانتقالها بعوض وبدونه</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شأنه أن ينسي ذكر اللّه تعالى وعبادته، ويلهي عن اكتساب الخير 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سواء كان بآلةٍ أو بدونها، كالرقص وبعض أنواع الصفق، واقتناء </w:t>
      </w:r>
    </w:p>
    <w:p>
      <w:pPr>
        <w:pStyle w:val="BookText"/>
        <w:rPr/>
      </w:pPr>
      <w:r>
        <w:rPr>
          <w:rFonts w:ascii="Amiri" w:hAnsi="Amiri" w:eastAsia="Amiri" w:cs="Amiri"/>
          <w:color w:val="111111"/>
          <w:sz w:val="28"/>
          <w:sz w:val="28"/>
          <w:szCs w:val="28"/>
          <w:rtl w:val="true"/>
          <w:lang w:bidi="ar-SA"/>
        </w:rPr>
        <w:t xml:space="preserve">بعض الطيور واللعب بها، وصيد اللهو، وما هو المفهوم من ذم اللهو واللعب في الكتاب </w:t>
      </w:r>
      <w:r>
        <w:rPr>
          <w:rStyle w:val="FootnoteAnchor"/>
          <w:rtl w:val="true"/>
        </w:rPr>
        <w:footnoteReference w:id="45"/>
      </w:r>
      <w:r>
        <w:rPr>
          <w:rFonts w:ascii="Amiri" w:hAnsi="Amiri" w:eastAsia="Amiri" w:cs="Amiri"/>
          <w:color w:val="111111"/>
          <w:sz w:val="28"/>
          <w:sz w:val="28"/>
          <w:szCs w:val="28"/>
          <w:rtl w:val="true"/>
          <w:lang w:bidi="ar-SA"/>
        </w:rPr>
        <w:t xml:space="preserve">والسنّة </w:t>
      </w:r>
      <w:r>
        <w:rPr>
          <w:rStyle w:val="FootnoteAnchor"/>
          <w:rtl w:val="true"/>
        </w:rPr>
        <w:footnoteReference w:id="46"/>
      </w:r>
      <w:r>
        <w:rPr>
          <w:rFonts w:ascii="Amiri" w:hAnsi="Amiri" w:eastAsia="Amiri" w:cs="Amiri"/>
          <w:color w:val="111111"/>
          <w:sz w:val="28"/>
          <w:sz w:val="28"/>
          <w:szCs w:val="28"/>
          <w:rtl w:val="true"/>
          <w:lang w:bidi="ar-SA"/>
        </w:rPr>
        <w:t>، ولأنّه لو وزن الحقّ والباطل لكان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اقتناء الآلات المعدة له المختصة منافعها الظاهرة به وإن أمكن الانتفاع نادراً بها بغيره، كالطبل في غير الضرورة ومقام الحرب، والمزامير والرباب والسنطور والناقوس، بل ربما يلحق بها المراصع والشاخات والطربة والقلل، بل الكعاب المعمولة 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استعمالها ونقلها وانتقالها بعوض وبدونه؛ للأخبار </w:t>
      </w:r>
      <w:r>
        <w:rPr>
          <w:rStyle w:val="FootnoteAnchor"/>
          <w:rtl w:val="true"/>
        </w:rPr>
        <w:footnoteReference w:id="47"/>
      </w:r>
      <w:r>
        <w:rPr>
          <w:rFonts w:ascii="Amiri" w:hAnsi="Amiri" w:eastAsia="Amiri" w:cs="Amiri"/>
          <w:color w:val="111111"/>
          <w:sz w:val="28"/>
          <w:sz w:val="28"/>
          <w:szCs w:val="28"/>
          <w:rtl w:val="true"/>
          <w:lang w:bidi="ar-SA"/>
        </w:rPr>
        <w:t>والإجماع المنجبرين بالشهرة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آلات الخمر والقمار والشطرنج والنرد والأربعة عشر، بل أواني الذهب والفضّة، والدراهم الزيوف والدنانير كذلك، والجواهر المغشوشة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المادة مجرّدةً عن الصورة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على المشتري أن يكسرها هو قبل الإقباض، أو أن يكسرها المشتري لو كان عدلاً، أو يتلفها لم يصحّ؛ لتعلّق النهي ببيعها على جهة الإطلاق، مع احتمال الصحّة سيّما لو علم أن المشتري يكسرها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فورية وجوب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مَنْ تمكن من إتلاف صورتها وإرجاع المادة لمالكها أو عدم منعه منها وبذله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لعدم إمكان إتلاف الصورة بدونها لم يضمن، وإن أمكنه إتلاف الصورة بدون المادة فأتلف المادة فالأقوى ضمانها بالمثل أو القيمة مجرّدةً عن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الصورة والمادة باسمها بطل البيع، ولم تتبعّض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باعهما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ملك الصورة في ملك كافر، إلّا المستحل ففيه وجهان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الآلة ذات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الآلات القابلة للهو وظرفية المآكل والمشارب </w:t>
      </w:r>
      <w:bookmarkStart w:id="78" w:name="pg19000_245135"/>
    </w:p>
    <w:p>
      <w:pPr>
        <w:pStyle w:val="BookText"/>
        <w:rPr/>
      </w:pPr>
      <w:bookmarkEnd w:id="78"/>
      <w:r>
        <w:rPr>
          <w:rFonts w:ascii="Amiri" w:hAnsi="Amiri" w:eastAsia="Amiri" w:cs="Amiri"/>
          <w:color w:val="111111"/>
          <w:sz w:val="28"/>
          <w:sz w:val="28"/>
          <w:szCs w:val="28"/>
          <w:rtl w:val="true"/>
          <w:lang w:bidi="ar-SA"/>
        </w:rPr>
        <w:t xml:space="preserve">والقابلة للخمر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القصد في الحرمة والحلّ، وفي الصحّة والفساد كلام سيجيء إن شاء اللّه تعالى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3372172_1280447820"/>
      <w:bookmarkStart w:id="80" w:name="_Toc32"/>
      <w:bookmarkEnd w:id="79"/>
      <w:r>
        <w:rPr>
          <w:rtl w:val="true"/>
        </w:rPr>
        <w:t>الرابع والعشرون</w:t>
      </w:r>
      <w:r>
        <w:rPr>
          <w:rtl w:val="true"/>
        </w:rPr>
        <w:t xml:space="preserve">: </w:t>
      </w:r>
      <w:r>
        <w:rPr>
          <w:rtl w:val="true"/>
        </w:rPr>
        <w:t>حكم كلّ ما يمكن الاكتساب به في جهتين محلّلة ومحرّمة</w:t>
      </w:r>
      <w:bookmarkEnd w:id="80"/>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يمكن الاكتساب به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محللة ومحرمة اتبع في التحريم والتحليل قصد الناقل أو المنقول إليه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الفساد فما تعلّق به نهي أصلي نفسي أو انعقد إجماع على فساده فهو فاسد، وإلا فلا دليل على فساده؛ لأنّ النهي في المعاملة إذا لم يكن أصليّاً نفسياً لا يدلّ شرعاً ولا عرفاً على فساد المعاملة، ولم يقم إجماع على فساد ما نهي عنه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لو باع الطعام فقصد بائعه أو مشتريه القوة به على الزني، وكذلك اللباس لتحسين الأولاد والزانيات كان حراماً؛ لما فيه من الإعانة على الإثم والعزم على المحرم، ولم يكن فاسداً؛ لعدم الدليل على فساده، حتّى لو أخذ شرطاً لم يفسد لتحريمه، وإنما يفسد لفساد الشرط المحرّم، وفساد الشرط يقضي بفساد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إما أن يكون معلوماً وقوعه بعد النقل والانتقال ولكنه غير مقصودٍ لهما على سبيل العليّة المصرحة أو المضمرة أو الشرطية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يعلم البائع أو أنّه يصنع العنب خمراً بعد انتقاله، أو يعلم المشتري كذلك ولكنه قصده السلطان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يعلم أنّه لو ملك لوقع منه ذلك فالظاهر أن هذا صحيح، ولا حرمة في نفس النقل والانتقال، ولا يدخل تحت الإعانة المحرّمة؛ لأنّ الظاهر أنّ الإعانات في المشتركات تتوقف على النية، سيّما لو كان الحرام المترتب بعيداً ترتبه، كما إذا باع أرضاً يعلم أن صاحبها يكري لها نهراً أو يغرس فيها عنباً ثمّ يصنع منه خمراً، والسيرة القطعية قاضية بعدم المنع عن ذلك، وإلا لما بيع على الفسقة أكل وشرب وخشب وثياب، وعلى الظلمة دور وفرش وعقار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يؤجر سفينته ودابته لمن يحمل عليها الخمر والخنازير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الخشب ممّن يتخذه برابط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عصير العنب ممّن يجعله خمراً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تبيعه حلالاً ويجعله ذلك حراماً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 نحو ذلك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العنب ممّن يعلم أنّه يجعله خمراً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نبيع تمرنا ممن نعلم أنّه يصنعه خمراً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إذا كان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يشتريه منّي عصيراً فيجعله خمراً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حلالاً فجعله حراماً، أبعده 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طرح هذه الأخبار وحملها على صورة عدم العلم فيما ليس فيها علم، أو حمل العلم على الظنّ فيما فيها ذلك، أو حملها على الجبر، أو على أهل الذمة الذين يرون حلّية ذلك، أو إرادة الخمر المحرّمة، أو غير ذلك كلّه تعسّف وخلاف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مظنوناً بالظنّ الشرعي أو العادي، فهما أولى بالجواز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بتحريم ما علم بتأديته إلى تلف النفوس وهتك الأعراض، لأنّه مصدر الفساد، ولا يدخل في أدلّة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مأخوذاً شرطاً منهما أو من أحدهما، فالأقوى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والبطلان؛ لأنّ المشروط باطل ببطلان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شرطاً مضمراً مبنياً عليه العقد، فهو كذلك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داعياً وعلّةً منهما، مصرحاً بها منهما، أو مطوية بينهما لفظاً لا قصداً، أو علة مصرحة من المشتري أو علة مطوية من البائع، فالظاهر الحرمة في جميع هذه؛ لأنّه من المعاونة عرفاً على الإثم أو من التعاون عليه مع اتفاقهما، سيّما في القريب من الفعل كبيع العنب أو العصير أو التمر للخمر أو الخشب للصليب والمباشر هنا وإن كان أقوى من السبب إلا أن الإعانة عرفاً حاصلة</w:t>
      </w:r>
      <w:r>
        <w:rPr>
          <w:rFonts w:eastAsia="Amiri" w:cs="Amiri" w:ascii="Amiri" w:hAnsi="Amiri"/>
          <w:color w:val="111111"/>
          <w:sz w:val="28"/>
          <w:szCs w:val="28"/>
          <w:rtl w:val="true"/>
          <w:lang w:bidi="ar-SA"/>
        </w:rPr>
        <w:t xml:space="preserve">. </w:t>
      </w:r>
      <w:bookmarkStart w:id="81" w:name="pg19000_245137"/>
    </w:p>
    <w:p>
      <w:pPr>
        <w:pStyle w:val="BookText"/>
        <w:rPr/>
      </w:pPr>
      <w:bookmarkEnd w:id="81"/>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قوّة المعصية وآلاتها ومقتضياتها وشرائطها ومع ذلك فليس بمعين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خُلق تلك لمجرّد المعصية لكان معيناً، ولكن خُلق تلك للطاعة، وإن علم صرفها بمعصية فصرفها عبده بسوء اختياره في المعصية، فهو ليس بمعين إلا على الخير والطاعة،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الشرطية أو العلية المصرح بها منهما أو من البائع أو من المطوية من البائع تُنزّل الأخبار المانعة من بيع الخشب لمن يعمله صليباً </w:t>
      </w:r>
      <w:r>
        <w:rPr>
          <w:rStyle w:val="FootnoteAnchor"/>
          <w:rtl w:val="true"/>
        </w:rPr>
        <w:footnoteReference w:id="56"/>
      </w:r>
      <w:r>
        <w:rPr>
          <w:rFonts w:ascii="Amiri" w:hAnsi="Amiri" w:eastAsia="Amiri" w:cs="Amiri"/>
          <w:color w:val="111111"/>
          <w:sz w:val="28"/>
          <w:sz w:val="28"/>
          <w:szCs w:val="28"/>
          <w:rtl w:val="true"/>
          <w:lang w:bidi="ar-SA"/>
        </w:rPr>
        <w:t xml:space="preserve">، ومن أُجرة البيت فيباع فيه الخمر </w:t>
      </w:r>
      <w:r>
        <w:rPr>
          <w:rStyle w:val="FootnoteAnchor"/>
          <w:rtl w:val="true"/>
        </w:rPr>
        <w:footnoteReference w:id="57"/>
      </w:r>
      <w:r>
        <w:rPr>
          <w:rFonts w:ascii="Amiri" w:hAnsi="Amiri" w:eastAsia="Amiri" w:cs="Amiri"/>
          <w:color w:val="111111"/>
          <w:sz w:val="28"/>
          <w:sz w:val="28"/>
          <w:szCs w:val="28"/>
          <w:rtl w:val="true"/>
          <w:lang w:bidi="ar-SA"/>
        </w:rPr>
        <w:t>، أو تحمل على الكراهة، أو على تحريم الأُجرة؛ لأنّها من ثمن الخمر؛ لعدم تصريح الرواية بأنّه باعه لمن يعلم أنّه يبيع فيه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الفساد في ذلك فهو قريب مع التصريح بالعلية من البائع أو منهما؛ لظاهر فتوى المشهور والإجماع المنقول </w:t>
      </w:r>
      <w:r>
        <w:rPr>
          <w:rStyle w:val="FootnoteAnchor"/>
          <w:rtl w:val="true"/>
        </w:rPr>
        <w:footnoteReference w:id="58"/>
      </w:r>
      <w:r>
        <w:rPr>
          <w:rFonts w:ascii="Amiri" w:hAnsi="Amiri" w:eastAsia="Amiri" w:cs="Amiri"/>
          <w:color w:val="111111"/>
          <w:sz w:val="28"/>
          <w:sz w:val="28"/>
          <w:szCs w:val="28"/>
          <w:rtl w:val="true"/>
          <w:lang w:bidi="ar-SA"/>
        </w:rPr>
        <w:t xml:space="preserve">وبعض النواهي الأصلية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نية البائع فقط فيشكل الحكم بالفساد؛ لعدم تحقق الإجماع، ولعدم التصريح بالنهي في خصوص الصورة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نية المشتري فقط فالظاهر أنّه لا تحريم أصلاً؛ للسيرة، وللأخبار المتقدّمة </w:t>
      </w:r>
      <w:r>
        <w:rPr>
          <w:rStyle w:val="FootnoteAnchor"/>
          <w:rtl w:val="true"/>
        </w:rPr>
        <w:footnoteReference w:id="60"/>
      </w:r>
      <w:r>
        <w:rPr>
          <w:rFonts w:ascii="Amiri" w:hAnsi="Amiri" w:eastAsia="Amiri" w:cs="Amiri"/>
          <w:color w:val="111111"/>
          <w:sz w:val="28"/>
          <w:sz w:val="28"/>
          <w:szCs w:val="28"/>
          <w:rtl w:val="true"/>
          <w:lang w:bidi="ar-SA"/>
        </w:rPr>
        <w:t>الظاهرة في حصول قصد المشتري للحرام</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3372174_1280447820"/>
      <w:bookmarkStart w:id="83" w:name="_Toc33"/>
      <w:bookmarkEnd w:id="82"/>
      <w:r>
        <w:rPr>
          <w:rtl w:val="true"/>
        </w:rPr>
        <w:t>الخامس والعشرون</w:t>
      </w:r>
      <w:r>
        <w:rPr>
          <w:rtl w:val="true"/>
        </w:rPr>
        <w:t xml:space="preserve">: </w:t>
      </w:r>
      <w:r>
        <w:rPr>
          <w:rtl w:val="true"/>
        </w:rPr>
        <w:t>في حرمة بيع السلاح لأعداء الدين</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مشترك الجهتين بيع السلاح لأعداء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لهذا خصوصيّةً زائدة على ما تقدَّم من جهة تكثر الأخبار بالنهي عنه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سواء علم أن السلاح يعينهم على المقاتلة أو لم يعلم، بل لو علم بعدم المقاتلة به على إشكال، وسواء كانت الحرب قائمة أم لا، وسواء قصد المشتري ذلك أم لا، وسواء قصد البائع ذلك أم لا</w:t>
      </w:r>
      <w:r>
        <w:rPr>
          <w:rFonts w:eastAsia="Amiri" w:cs="Amiri" w:ascii="Amiri" w:hAnsi="Amiri"/>
          <w:color w:val="111111"/>
          <w:sz w:val="28"/>
          <w:szCs w:val="28"/>
          <w:rtl w:val="true"/>
          <w:lang w:bidi="ar-SA"/>
        </w:rPr>
        <w:t xml:space="preserve">. </w:t>
      </w:r>
      <w:bookmarkStart w:id="84" w:name="pg19000_245138"/>
    </w:p>
    <w:p>
      <w:pPr>
        <w:pStyle w:val="BookText"/>
        <w:rPr/>
      </w:pPr>
      <w:bookmarkEnd w:id="84"/>
      <w:r>
        <w:rPr>
          <w:rFonts w:ascii="Amiri" w:hAnsi="Amiri" w:eastAsia="Amiri" w:cs="Amiri"/>
          <w:color w:val="111111"/>
          <w:sz w:val="28"/>
          <w:sz w:val="28"/>
          <w:szCs w:val="28"/>
          <w:rtl w:val="true"/>
          <w:lang w:bidi="ar-SA"/>
        </w:rPr>
        <w:t>نعم، لا يبعد أنّه لو كانت هدنة بيننا وبين أعدائنا مرجوّة البقاء مدة يعتد بها، أمكن أن يدور التحريم مدار قصد الإعانة وعدمه من البائع أو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يفسد مع ذلك؛ لتكثر النواهي الأصلية عنه، وإن ظهر احتمال أنّه لمكان تقويتهم وإعانتهم على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الأصحاب والإجماع المنقول </w:t>
      </w:r>
      <w:r>
        <w:rPr>
          <w:rStyle w:val="FootnoteAnchor"/>
          <w:rtl w:val="true"/>
        </w:rPr>
        <w:footnoteReference w:id="62"/>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ويشمل التحريم كلّ سلاح من حديد أو غيره من خشب كالقوس، أو صوف كالذي يصنع لرمي الحجارة، أو عصي معدة للسلاح كالجناة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فيه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النقل المجاني أو بعوض في التحريم والفساد، كما لا فرق بين الأعداء من المسلمين أو الكفّار، بل لو بغى فريق على فريق من الإمامية كان كذلك على إشكال؛ لخروجه عن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يشمل لفظ السلاح ما يتقى به من الدرع والبيضة، ولا يجري لما يكون سلاحاً كقوالب الحديد وما يُعد بالفعل من السلاح، ولا يلحق ظروف الأسلحة، في الأسلحة ولو تجرّدت الأسلحة عن ظروفها شملها الحكم، وربما يلحق السرج بالسلاح في رواية </w:t>
      </w:r>
      <w:r>
        <w:rPr>
          <w:rStyle w:val="FootnoteAnchor"/>
          <w:rtl w:val="true"/>
        </w:rPr>
        <w:footnoteReference w:id="63"/>
      </w:r>
      <w:r>
        <w:rPr>
          <w:rFonts w:ascii="Amiri" w:hAnsi="Amiri" w:eastAsia="Amiri" w:cs="Amiri"/>
          <w:color w:val="111111"/>
          <w:sz w:val="28"/>
          <w:sz w:val="28"/>
          <w:szCs w:val="28"/>
          <w:rtl w:val="true"/>
          <w:lang w:bidi="ar-SA"/>
        </w:rPr>
        <w:t>، وربما يقيد الحكم بوقت الفتنة كما في رواية أخرى</w:t>
      </w:r>
      <w:r>
        <w:rPr>
          <w:rStyle w:val="FootnoteAnchor"/>
          <w:rtl w:val="true"/>
        </w:rPr>
        <w:footnoteReference w:id="64"/>
      </w:r>
      <w:r>
        <w:rPr>
          <w:rFonts w:ascii="Amiri" w:hAnsi="Amiri" w:eastAsia="Amiri" w:cs="Amiri"/>
          <w:color w:val="111111"/>
          <w:sz w:val="28"/>
          <w:sz w:val="28"/>
          <w:szCs w:val="28"/>
          <w:rtl w:val="true"/>
          <w:lang w:bidi="ar-SA"/>
        </w:rPr>
        <w:t>، وهو غير بعيد، إلا أن العمل بالإطلاق وحمل الرواية على تأكد التحريم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 المعونة للظالمين علمية لا،واقعية، فلو لم يعلمها لم يترتب تحريم ولا فساد، بل لا يبعد أنّ كلّ ما كان تحريمه لنهي مفارق يجتمع معه في الوجود الخارجي يتوقف فساده وحرمته على العلم، بل ربما يدعى أنّه لا يفيد فساداً إلا مع ورود النهي في الأخبار بحيث يعود معه كالنهي الأصلي</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3372176_1280447820"/>
      <w:bookmarkStart w:id="86" w:name="_Toc34"/>
      <w:bookmarkEnd w:id="85"/>
      <w:r>
        <w:rPr>
          <w:rtl w:val="true"/>
        </w:rPr>
        <w:t>السادس والعشرون</w:t>
      </w:r>
      <w:r>
        <w:rPr>
          <w:rtl w:val="true"/>
        </w:rPr>
        <w:t xml:space="preserve">: </w:t>
      </w:r>
      <w:r>
        <w:rPr>
          <w:rtl w:val="true"/>
        </w:rPr>
        <w:t>في عدم صحة المعاوضة فيما لا نفع له يعتد به</w:t>
      </w:r>
      <w:bookmarkEnd w:id="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نفع له يعتد به في المعاوضة لذاته أو لخسته أو لقلته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كحبة </w:t>
      </w:r>
    </w:p>
    <w:p>
      <w:pPr>
        <w:pStyle w:val="BookText"/>
        <w:rPr/>
      </w:pPr>
      <w:r>
        <w:rPr>
          <w:rFonts w:ascii="Amiri" w:hAnsi="Amiri" w:eastAsia="Amiri" w:cs="Amiri"/>
          <w:color w:val="111111"/>
          <w:sz w:val="28"/>
          <w:sz w:val="28"/>
          <w:szCs w:val="28"/>
          <w:rtl w:val="true"/>
          <w:lang w:bidi="ar-SA"/>
        </w:rPr>
        <w:t xml:space="preserve">حنطة في الأعيان وعمل قليل في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المعاوضة عليه؛ لأنّ بذل العوض في مقابله سفه، ومنه ما لا يصح للنقل مطلقاً ولو مجاناً، ومنه ما لا يتعلق به ملك أصلاً، ومنه ما لا يتعلّق به اختصاص، وربما يختلف في اختلاف البلدان والأزمان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التأمّل في ذلك، والتمييز بين ما لا نفع فيه أصلاً ورأساً، وبين ما فيه منفعة لكنها غير معتد بها؛ لعدم الاعتناء بها، وبين ما له منفعة ظاهرة، وبين ما له منفعة خفية، وبين ما له منفعة نادرة يندر وقوعها وحكمها حكم المنفعة الظاهرة كمنافع بعض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نادرة الوقوع وبين ما لا يعتد بها ظاهر، والمنفعة الغير المعتد بها حكمها حكم ما ليس له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يدور الحكم هنا مدار الحشرات والسباع أو المسوخ أو الفضلات أو نحو ذلك، فيجوز بيع كثير من الطير المشتمل على نفع، والعلق من الدود وزنبور العسل، ودود القز وعظام الفيل، ودهن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فالشيء إمّا أن لا تكون له في حدّ ذاته منفعة إلا نادرة لا يعتد بها، كالدود والقمل والبرغوث والبقّ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له منفعة ولكنه مستغنى عن منفعته كبيع الماء على مَنْ هو فيه، والطين على مَنْ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له منفعة ولكن عرض له عارض عن الانتفاع، كماء البحر لملوحته أو بعض المياه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له منفعة ولكن لا طريق إلى الوصول إليها، كدار لا طريق لها في الدخول إليها أو بستان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له منفعة بعد عمله، كالتراب بعد صيرورته أجراً، أو بعد هيئته كوضع الطين على هيئة اللبن أو التربة الحسينية المشرّفة، وعلى غيرها من الهيئات المطلوبة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له نفع ببلد دون آخر أو قوم دون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فما لا نفع فيه لا تصحّ المعاوضة عليه إذا كان مسلوب المنفعة بحد ذاته؛ لأنّ شرع العقود لمصالح العباد ولتكسبهم وحصول النفع لهم، ولأنّ بذل العوض به من السفه المرغوب عنه، وأخذه من أكل المال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يتعلّق به حق الاختصاص ما لم يمنع مانع من جواز اقتنائه، كما قيل في بعض السباع المؤذية، والسموم القاتلة الخالية عن النفع بغير ذلك، والدرياق المركب من خمر ولحم الأفاعي، بل ويتعلّق حق الملك في الكثير من ذلك الأجزاء حكم الأملاك على كثير منها، بل والتمليك المجاني، سوى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لا تصحّ المعاوضة عليه؛ لقلته، أو لعدم الوصول إليه، مع احتمال أن القليل تصلح المعاوضة عليه بالمثل وإن لم تصلح بالقيمة، كما يصلح نقله وانتقاله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هنا المسوخ والسباع والحشرات وبعض الحيوانات الصغار، فمنع جماعة </w:t>
      </w:r>
      <w:r>
        <w:rPr>
          <w:rStyle w:val="FootnoteAnchor"/>
          <w:rtl w:val="true"/>
        </w:rPr>
        <w:footnoteReference w:id="65"/>
      </w:r>
      <w:r>
        <w:rPr>
          <w:rFonts w:ascii="Amiri" w:hAnsi="Amiri" w:eastAsia="Amiri" w:cs="Amiri"/>
          <w:color w:val="111111"/>
          <w:sz w:val="28"/>
          <w:sz w:val="28"/>
          <w:szCs w:val="28"/>
          <w:rtl w:val="true"/>
          <w:lang w:bidi="ar-SA"/>
        </w:rPr>
        <w:t xml:space="preserve">من بيع السباع كلها، وجوّز آخرون </w:t>
      </w:r>
      <w:r>
        <w:rPr>
          <w:rStyle w:val="FootnoteAnchor"/>
          <w:rtl w:val="true"/>
        </w:rPr>
        <w:footnoteReference w:id="66"/>
      </w:r>
      <w:r>
        <w:rPr>
          <w:rFonts w:ascii="Amiri" w:hAnsi="Amiri" w:eastAsia="Amiri" w:cs="Amiri"/>
          <w:color w:val="111111"/>
          <w:sz w:val="28"/>
          <w:sz w:val="28"/>
          <w:szCs w:val="28"/>
          <w:rtl w:val="true"/>
          <w:lang w:bidi="ar-SA"/>
        </w:rPr>
        <w:t xml:space="preserve">بيعها كلها، وثالث </w:t>
      </w:r>
      <w:r>
        <w:rPr>
          <w:rStyle w:val="FootnoteAnchor"/>
          <w:rtl w:val="true"/>
        </w:rPr>
        <w:footnoteReference w:id="67"/>
      </w:r>
      <w:r>
        <w:rPr>
          <w:rFonts w:ascii="IRNazanin" w:hAnsi="IRNazanin" w:eastAsia="IRNazanin"/>
          <w:color w:val="111111"/>
          <w:sz w:val="28"/>
          <w:sz w:val="28"/>
          <w:szCs w:val="28"/>
          <w:rtl w:val="true"/>
          <w:lang w:bidi="fa-IR"/>
        </w:rPr>
        <w:t xml:space="preserve">جعل الأمر دائراً مدار النفع، ورابع </w:t>
      </w:r>
      <w:r>
        <w:rPr>
          <w:rStyle w:val="FootnoteAnchor"/>
          <w:rtl w:val="true"/>
        </w:rPr>
        <w:footnoteReference w:id="68"/>
      </w:r>
      <w:r>
        <w:rPr>
          <w:rFonts w:ascii="IRNazanin" w:hAnsi="IRNazanin" w:eastAsia="IRNazanin"/>
          <w:color w:val="111111"/>
          <w:sz w:val="28"/>
          <w:sz w:val="28"/>
          <w:szCs w:val="28"/>
          <w:rtl w:val="true"/>
          <w:lang w:bidi="fa-IR"/>
        </w:rPr>
        <w:t xml:space="preserve">استثنى الفهود و خامس </w:t>
      </w:r>
      <w:r>
        <w:rPr>
          <w:rStyle w:val="FootnoteAnchor"/>
          <w:rtl w:val="true"/>
        </w:rPr>
        <w:footnoteReference w:id="69"/>
      </w:r>
      <w:r>
        <w:rPr>
          <w:rFonts w:ascii="Amiri" w:hAnsi="Amiri" w:eastAsia="Amiri" w:cs="Amiri"/>
          <w:color w:val="111111"/>
          <w:sz w:val="28"/>
          <w:sz w:val="28"/>
          <w:szCs w:val="28"/>
          <w:rtl w:val="true"/>
          <w:lang w:bidi="ar-SA"/>
        </w:rPr>
        <w:t>ما يصاد به وسادس</w:t>
      </w:r>
      <w:r>
        <w:rPr>
          <w:rStyle w:val="FootnoteAnchor"/>
          <w:rtl w:val="true"/>
        </w:rPr>
        <w:footnoteReference w:id="70"/>
      </w:r>
      <w:r>
        <w:rPr>
          <w:rFonts w:ascii="Amiri" w:hAnsi="Amiri" w:eastAsia="Amiri" w:cs="Amiri"/>
          <w:color w:val="111111"/>
          <w:sz w:val="28"/>
          <w:sz w:val="28"/>
          <w:szCs w:val="28"/>
          <w:rtl w:val="true"/>
          <w:lang w:bidi="ar-SA"/>
        </w:rPr>
        <w:t>الهرّة وجوارح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الأخبار تجويز بيع الهرة والفهد وسباع الطير وجلود السباع والسباع وجلد النمر </w:t>
      </w:r>
      <w:r>
        <w:rPr>
          <w:rStyle w:val="FootnoteAnchor"/>
          <w:rtl w:val="true"/>
        </w:rPr>
        <w:footnoteReference w:id="71"/>
      </w:r>
      <w:r>
        <w:rPr>
          <w:rFonts w:ascii="Amiri" w:hAnsi="Amiri" w:eastAsia="Amiri" w:cs="Amiri"/>
          <w:color w:val="111111"/>
          <w:sz w:val="28"/>
          <w:sz w:val="28"/>
          <w:szCs w:val="28"/>
          <w:rtl w:val="true"/>
          <w:lang w:bidi="ar-SA"/>
        </w:rPr>
        <w:t>، وهو دليل على جواز بيع ما اشتمل على نفع في جلده أو صوفه أو عظمه، والانتفاع به بجلده دليل على طهارته وجواز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المسوخ فهو الحيوان المبدل من صورة إلى أقبح منها،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يبقى أكثر من ثلاثة أيام، فالموجود اليوم إمّا مواليدها إن كان لها مواليد، أو الحيوان الذي على صورتها المتقدم عليها خلقاً كما هو الظاهر أو المتأخر عنها خلقاً، فذهب الشيخ إلى تحريم بيعها مطلقاً </w:t>
      </w:r>
      <w:r>
        <w:rPr>
          <w:rStyle w:val="FootnoteAnchor"/>
          <w:rtl w:val="true"/>
        </w:rPr>
        <w:footnoteReference w:id="72"/>
      </w:r>
      <w:r>
        <w:rPr>
          <w:rFonts w:ascii="IRNazanin" w:hAnsi="IRNazanin" w:eastAsia="IRNazanin"/>
          <w:color w:val="111111"/>
          <w:sz w:val="28"/>
          <w:sz w:val="28"/>
          <w:szCs w:val="28"/>
          <w:rtl w:val="true"/>
          <w:lang w:bidi="fa-IR"/>
        </w:rPr>
        <w:t>، بناءً على نجاستها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ضعيف؛ لضعف المبني عليه، وإجماعه المنقول </w:t>
      </w:r>
      <w:r>
        <w:rPr>
          <w:rStyle w:val="FootnoteAnchor"/>
          <w:rtl w:val="true"/>
        </w:rPr>
        <w:footnoteReference w:id="73"/>
      </w:r>
      <w:r>
        <w:rPr>
          <w:rFonts w:ascii="IRNazanin" w:hAnsi="IRNazanin" w:eastAsia="IRNazanin"/>
          <w:color w:val="111111"/>
          <w:sz w:val="28"/>
          <w:sz w:val="28"/>
          <w:szCs w:val="28"/>
          <w:rtl w:val="true"/>
          <w:lang w:bidi="fa-IR"/>
        </w:rPr>
        <w:t>معارض بما هو أقوى منه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ما يدلّ على جواز بيع عظم الفيل مشطاً </w:t>
      </w:r>
      <w:r>
        <w:rPr>
          <w:rStyle w:val="FootnoteAnchor"/>
          <w:rtl w:val="true"/>
        </w:rPr>
        <w:footnoteReference w:id="74"/>
      </w:r>
      <w:r>
        <w:rPr>
          <w:rFonts w:ascii="Amiri" w:hAnsi="Amiri" w:eastAsia="Amiri" w:cs="Amiri"/>
          <w:color w:val="111111"/>
          <w:sz w:val="28"/>
          <w:sz w:val="28"/>
          <w:szCs w:val="28"/>
          <w:rtl w:val="true"/>
          <w:lang w:bidi="ar-SA"/>
        </w:rPr>
        <w:t>، وهو دليل على جواز بيعه حيّاً لمكان عظمه، أو الصلح على عظمه وهو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يدلّ على جواز استعمال جلود الثعالب والأرانب </w:t>
      </w:r>
      <w:r>
        <w:rPr>
          <w:rStyle w:val="FootnoteAnchor"/>
          <w:rtl w:val="true"/>
        </w:rPr>
        <w:footnoteReference w:id="75"/>
      </w:r>
      <w:r>
        <w:rPr>
          <w:rFonts w:ascii="Amiri" w:hAnsi="Amiri" w:eastAsia="Amiri" w:cs="Amiri"/>
          <w:color w:val="111111"/>
          <w:sz w:val="28"/>
          <w:sz w:val="28"/>
          <w:szCs w:val="28"/>
          <w:rtl w:val="true"/>
          <w:lang w:bidi="ar-SA"/>
        </w:rPr>
        <w:t>، وهو دليل على جواز بيعه؛ لأنّه لم يحرم لبسه فلا يحرم ثمنه؛ إذ لا يراد بما إذا حرم اللّه شيئاً حرّم ثمنه بتحريمه ولو من جهةٍ واحدةٍ بديهةً، بل إمّا من كلّ جهةٍ أو من جهة ما حرّم، فعلى ذلك يجوز بيعهما لمكان جلدهما أو الصلح على جلدهما 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فما أمكن الانتفاع به من المسوخ يشمله عمومات الأدلّة من العقود والبيوع والإجارات، ونُقل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شامل لجميع أنواع المبيع عند الفقهاء في جميع الأعصار </w:t>
      </w:r>
      <w:r>
        <w:rPr>
          <w:rStyle w:val="FootnoteAnchor"/>
          <w:rtl w:val="true"/>
        </w:rPr>
        <w:footnoteReference w:id="77"/>
      </w:r>
      <w:r>
        <w:rPr>
          <w:rFonts w:ascii="Amiri" w:hAnsi="Amiri" w:eastAsia="Amiri" w:cs="Amiri"/>
          <w:color w:val="111111"/>
          <w:sz w:val="28"/>
          <w:sz w:val="28"/>
          <w:szCs w:val="28"/>
          <w:rtl w:val="true"/>
          <w:lang w:bidi="ar-SA"/>
        </w:rPr>
        <w:t>، ويدخل تحت الملك لتحقق السلطان عليه مع وجود نفع يعود لمن تحت يده ولا تجوز مزاحمته ولا رفع يده فهو إما ملك أو اختصاص شبيه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مع وجود وجود المنفعة بين حيوان دون آخر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الأخبار من النهي عن بيع القرد وشرائه </w:t>
      </w:r>
      <w:r>
        <w:rPr>
          <w:rStyle w:val="FootnoteAnchor"/>
          <w:rtl w:val="true"/>
        </w:rPr>
        <w:footnoteReference w:id="78"/>
      </w:r>
      <w:r>
        <w:rPr>
          <w:rFonts w:ascii="Amiri" w:hAnsi="Amiri" w:eastAsia="Amiri" w:cs="Amiri"/>
          <w:color w:val="111111"/>
          <w:sz w:val="28"/>
          <w:sz w:val="28"/>
          <w:szCs w:val="28"/>
          <w:rtl w:val="true"/>
          <w:lang w:bidi="ar-SA"/>
        </w:rPr>
        <w:t xml:space="preserve">، إما خاص،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أو على نيّة اللهو به، أو كاشف عن أنّه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لا تحتاج إلى الماء ولا إلى شم الهواء، مثل الحيوانات الصغار كالسلبوح والذباب وما شاكلها، فحكمها كما قدمنا من جواز التكسّب بها مع حصول النفع المعتد به، وعدمه مع عدمه، وتعلّق الاختصاص به بعد وضع اليد عليه؛ لأنّ مزاحمة الواضع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 فيشكل الحكم فيه؛ لعدم كونه مالاً أو مقتطعاً من مال أو يؤول إلى مال أو يعتدّ به بحيث يعده أهل العرف عداد المملوكات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في حيوان أنّه مما ينتفع به أم لا، فالأصل عدم الانتفاع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يعدّ هنا فضلات الإنسان أيضاً من شعره وعرقه وبصاقه، وكذا فضلات غيره من الحيوان ممّا لا نفع له عادةً وإن أمكن الانتفاع نادراً في بعض الفضلات لخاصية فيها عند بعض أهل الخواص أو عند بعض أطباء الحيوان أو أهل الأسرار، أو انتفعت امرأة بشعر أخرى، فإنّ هذه المنافع لا يسوغ معها النقل والانتقال بالعوض، بل ولا التمليك المجاني</w:t>
      </w:r>
      <w:r>
        <w:rPr>
          <w:rFonts w:eastAsia="Amiri" w:cs="Amiri" w:ascii="Amiri" w:hAnsi="Amiri"/>
          <w:color w:val="111111"/>
          <w:sz w:val="28"/>
          <w:szCs w:val="28"/>
          <w:rtl w:val="true"/>
          <w:lang w:bidi="ar-SA"/>
        </w:rPr>
        <w:t xml:space="preserve">. </w:t>
      </w:r>
      <w:bookmarkStart w:id="87" w:name="pg19000_245142"/>
    </w:p>
    <w:p>
      <w:pPr>
        <w:pStyle w:val="BookText"/>
        <w:rPr/>
      </w:pPr>
      <w:bookmarkEnd w:id="87"/>
      <w:r>
        <w:rPr>
          <w:rFonts w:ascii="Amiri" w:hAnsi="Amiri" w:eastAsia="Amiri" w:cs="Amiri"/>
          <w:color w:val="111111"/>
          <w:sz w:val="28"/>
          <w:sz w:val="28"/>
          <w:szCs w:val="28"/>
          <w:rtl w:val="true"/>
          <w:lang w:bidi="ar-SA"/>
        </w:rPr>
        <w:t>وفي حصول الملك في بعضها وجه، كما أنّ الاختصاص في كثير منها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التراب فالظاهر أنّه مما لا يحتاج إليه، فيدخل تحت دليل السفه في وجه، وليس مما لا ينتفع فيه، بل أكثر النفع فيه في عبادات ومعاملات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النوى وكثير من قشور الفواكه والخضروات والجوز والبندق وإن استغني عنها ما لم يدخل تحت دليل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الدخان المتصاعد من المملوك حطباً كان أو غيره، أو بيع البخار المتصاعد من الماء المملوك ونحو ذلك فلا يخلو من إشكال ولو أمكن قبضه؛ للشك في دخوله في الملك وحصول الانتفاع به نفعاً يقابل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بمنع بيع الهرّة؛ لعدم قضاء سيرة المسلمين على بيعها مع حاجتهم للتكسب وكثرة تداولها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جواز بيعها </w:t>
      </w:r>
      <w:r>
        <w:rPr>
          <w:rStyle w:val="FootnoteAnchor"/>
          <w:rtl w:val="true"/>
        </w:rPr>
        <w:footnoteReference w:id="79"/>
      </w:r>
      <w:r>
        <w:rPr>
          <w:rFonts w:ascii="IRNazanin" w:hAnsi="IRNazanin" w:eastAsia="IRNazanin"/>
          <w:color w:val="111111"/>
          <w:sz w:val="28"/>
          <w:sz w:val="28"/>
          <w:szCs w:val="28"/>
          <w:rtl w:val="true"/>
          <w:lang w:bidi="fa-IR"/>
        </w:rPr>
        <w:t>محمول على رفع حق الاختصاص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ذهب إلى التصدق بثمنها </w:t>
      </w:r>
      <w:r>
        <w:rPr>
          <w:rStyle w:val="FootnoteAnchor"/>
          <w:rtl w:val="true"/>
        </w:rPr>
        <w:footnoteReference w:id="80"/>
      </w:r>
      <w:r>
        <w:rPr>
          <w:rFonts w:ascii="Amiri" w:hAnsi="Amiri" w:eastAsia="Amiri" w:cs="Amiri"/>
          <w:color w:val="111111"/>
          <w:sz w:val="28"/>
          <w:sz w:val="28"/>
          <w:szCs w:val="28"/>
          <w:rtl w:val="true"/>
          <w:lang w:bidi="ar-SA"/>
        </w:rPr>
        <w:t>يشير إلى عدم لزوم نقلها وانتقالها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لبن المرأة؛ لأنّه يشتمل على نفع معتدٍّ به، وهو مملوك لها على الأظهر؛ لأنّ الحر يملك منافعه وفوائده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نقل لبن الكافرة لتغذية الطفل متصلاً أو منفصلاً لجواز استرضاع الذميّة ؟ وجهان من حصول النفع المعتد به، ومن كونه من المائعات النجسة 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تبعاً لا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لبن الأتان </w:t>
      </w:r>
      <w:r>
        <w:rPr>
          <w:rStyle w:val="FootnoteAnchor"/>
          <w:rtl w:val="true"/>
        </w:rPr>
        <w:footnoteReference w:id="81"/>
      </w:r>
      <w:r>
        <w:rPr>
          <w:rFonts w:ascii="Amiri" w:hAnsi="Amiri" w:eastAsia="Amiri" w:cs="Amiri"/>
          <w:color w:val="111111"/>
          <w:sz w:val="28"/>
          <w:sz w:val="28"/>
          <w:szCs w:val="28"/>
          <w:rtl w:val="true"/>
          <w:lang w:bidi="ar-SA"/>
        </w:rPr>
        <w:t>للتداوي به بل كلّ لبن ينتفع به نفعاً يعتد به ولو كان لبن غير مأكول اللحم</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3372178_1280447820"/>
      <w:bookmarkStart w:id="89" w:name="_Toc35"/>
      <w:bookmarkEnd w:id="88"/>
      <w:r>
        <w:rPr>
          <w:rtl w:val="true"/>
        </w:rPr>
        <w:t>السابع والعشرون</w:t>
      </w:r>
      <w:r>
        <w:rPr>
          <w:rtl w:val="true"/>
        </w:rPr>
        <w:t xml:space="preserve">: </w:t>
      </w:r>
      <w:r>
        <w:rPr>
          <w:rtl w:val="true"/>
        </w:rPr>
        <w:t>في حرمة الاكتساب بعمل الصور المجسمة</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عمل الصور المجسَّمة ذوات الظلّ على شكل حيوان وإنسان أو غيره، صغير أو كبير، حي أو ميت، معيّن بنفسه أو على شكل رجلٍ أو ولد أو بنت أو امرأة كلّيّة؛ للأخبار </w:t>
      </w:r>
      <w:r>
        <w:rPr>
          <w:rStyle w:val="FootnoteAnchor"/>
          <w:rtl w:val="true"/>
        </w:rPr>
        <w:footnoteReference w:id="82"/>
      </w:r>
      <w:r>
        <w:rPr>
          <w:rFonts w:ascii="IRNazanin" w:hAnsi="IRNazanin" w:eastAsia="IRNazanin"/>
          <w:color w:val="111111"/>
          <w:sz w:val="28"/>
          <w:sz w:val="28"/>
          <w:szCs w:val="28"/>
          <w:rtl w:val="true"/>
          <w:lang w:bidi="fa-IR"/>
        </w:rPr>
        <w:t>، والإجماع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وظاهر المنع فيها مخصوص بالصور ذوات الجسم الذي يمكن أن يقوم بنفسه، فلا اعتبار في الصور الحاصلة الحاصلة من البناء أو الحياكة من مقابلة بعض الأحجار لبعض أو مقابلة بعض المنسوج لبعض، وكذا لا اعتبار بالأصباغ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الصبغ الذي يشتمل على أجزاء تلصق بالورق أو الحجارة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لا تقوم بنفسها والأصل الحلّ، ومن أنّها جسم لاصق بجسم وإن خف ولطف، وله ظلّ لو فرضنا قوامه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على تمام الصورة، فإن نوى عملها حرم عليه ابتداء العمل، وإن نوى الأبعاض بشرط عدم غيرها لم يحرم عليه ابتداء العمل، وإن فعل متردداً في الإتمام وعدمه فوجهان، ولا يبعد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اشترك اثنان حرم عليهما معاً عند اجتماعهما، ولو ترتبا احتمل تحريم فعل الأخير فقط، واحتمل تحريم المبتدئ أيضاً إذا كان من نيته أن يبتدئ لعامل آخر يتم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شخص صورة ناقصة فأتمها، تعلّق التحريم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المدار على ما ظهر من الصورة، فلا اعتبار بالبواطن، فلو لم يكن لها قلب وكرشة أو مصران أو طحال لم يسقط به حكم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ناقصة جزء لا ينافي صدق اسم الحيوان عليه، فالظاهر عدم سقوط حكم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موضوعاً على شكل النادر من الإنسان كالموضوع على ذي حقوين أو ذي رأسين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على شكل أعور أو أعرج أو أعمى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موضوعاً على شكل مبدإ الإنسان كعلقة أو مضغة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أجزاء مفرّقة، فإن نوى تواصلها أو يواصلها الغير حرم الابتداء، وإن لم ينو تعلقت الحرمة بالمواصل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توهم شكل حيوان ليس على طرزه شيء من الحيوانات الخارجة فصوّره بهذه النية، فلا تحريم على الأظهر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ركب حيواناً من حيوانين نصفاً ونصفاً أو غيره من الكسور، فإن كان مما وقع في الوجود أو مما يمكن عادةً وجوده حرم، وإلا فوجهان</w:t>
      </w:r>
      <w:r>
        <w:rPr>
          <w:rFonts w:eastAsia="Amiri" w:cs="Amiri" w:ascii="Amiri" w:hAnsi="Amiri"/>
          <w:color w:val="111111"/>
          <w:sz w:val="28"/>
          <w:szCs w:val="28"/>
          <w:rtl w:val="true"/>
          <w:lang w:bidi="ar-SA"/>
        </w:rPr>
        <w:t xml:space="preserve">. </w:t>
      </w:r>
      <w:bookmarkStart w:id="90" w:name="pg19000_245144"/>
    </w:p>
    <w:p>
      <w:pPr>
        <w:pStyle w:val="BookText"/>
        <w:rPr/>
      </w:pPr>
      <w:bookmarkEnd w:id="90"/>
      <w:r>
        <w:rPr>
          <w:rFonts w:ascii="IRNazanin" w:hAnsi="IRNazanin" w:eastAsia="IRNazanin"/>
          <w:color w:val="111111"/>
          <w:sz w:val="28"/>
          <w:sz w:val="28"/>
          <w:szCs w:val="28"/>
          <w:rtl w:val="true"/>
          <w:lang w:bidi="fa-IR"/>
        </w:rPr>
        <w:t>ولا اعتبار بالشعر وجوداً وعدماً، ولا بالقرن والأظفار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يحرم تصوير الأشجار بمجسّم أو غيره، وكذا غير الحيوان مطلقاً؛ لظهور الأخبار في تحريم تصوير ذوات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تحريم تصوير الجنّ إذا كانت صورهم معلومة، أو الملائكة، أما إذا لم تكن معلومةً ولكنّها مخترعة، كبعض ما يخترعونه من صور السعالي ونحوها من الصور المهولة التي يقرّب الوهم أنّها صورهم،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قوي بحسب النظر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بأس بصورة غير مجسّم لمجسّم أو غيره، سواء كان الجسم حيواناً أو غيره، ولا بأس بصورة مجسمة لغير مجسّم أو لمجسّم ما لم يكن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اقتناء الصور مطلقاً، بل استعمالها، بل والتكسب بها بعد عملها لو كان لها نفع يعتد به ما لم تدخل في اسم الملاهي وغيرها من المحرمات، والصور والنقوش في الدور والفرش ممّا جرت عليه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اشتركت الصورة بين الحيوان وغيره اتبع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منع الصبيان عن التصوير؛ لعدم كونه مثاراً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النظر إلى صورة المرأة من غير لذةٍ ولو كانت معيّنة، بل يجوز النظر إلى صورتها المعكوسة في مرآة ونحوها؛ للأصل</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3372180_1280447820"/>
      <w:bookmarkStart w:id="92" w:name="_Toc36"/>
      <w:bookmarkEnd w:id="91"/>
      <w:r>
        <w:rPr>
          <w:rtl w:val="true"/>
        </w:rPr>
        <w:t>الثامن والعشرون</w:t>
      </w:r>
      <w:r>
        <w:rPr>
          <w:rtl w:val="true"/>
        </w:rPr>
        <w:t xml:space="preserve">: </w:t>
      </w:r>
      <w:r>
        <w:rPr>
          <w:rtl w:val="true"/>
        </w:rPr>
        <w:t>في حرمة الغناء والاكتساب به</w:t>
      </w:r>
      <w:bookmarkEnd w:id="92"/>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فعله والاكتساب به الغناء إجماعاً كتاباً </w:t>
      </w:r>
      <w:r>
        <w:rPr>
          <w:rStyle w:val="FootnoteAnchor"/>
          <w:rtl w:val="true"/>
        </w:rPr>
        <w:footnoteReference w:id="83"/>
      </w:r>
      <w:r>
        <w:rPr>
          <w:rFonts w:ascii="Amiri" w:hAnsi="Amiri" w:eastAsia="Amiri" w:cs="Amiri"/>
          <w:color w:val="111111"/>
          <w:sz w:val="28"/>
          <w:sz w:val="28"/>
          <w:szCs w:val="28"/>
          <w:rtl w:val="true"/>
          <w:lang w:bidi="ar-SA"/>
        </w:rPr>
        <w:t xml:space="preserve">وسنّة </w:t>
      </w:r>
      <w:r>
        <w:rPr>
          <w:rStyle w:val="FootnoteAnchor"/>
          <w:rtl w:val="true"/>
        </w:rPr>
        <w:footnoteReference w:id="84"/>
      </w:r>
      <w:r>
        <w:rPr>
          <w:rFonts w:ascii="Amiri" w:hAnsi="Amiri" w:eastAsia="Amiri" w:cs="Amiri"/>
          <w:color w:val="111111"/>
          <w:sz w:val="28"/>
          <w:sz w:val="28"/>
          <w:szCs w:val="28"/>
          <w:rtl w:val="true"/>
          <w:lang w:bidi="ar-SA"/>
        </w:rPr>
        <w:t>، بل وعقلاً؛ لأنّه منبع الفساد الذي نهى عنه ربّ العباد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لنفسه لا للعوارض اللاحقة له الباعثة على الفساد، كدخول الرجال على النساء، واجتماع الأولاد وحدوث العشق واللواط، أو لاستعمال الملاهي من الرقص وآلات اللهو والضرب بالعود والرباب ونحو ذلك، كما قد يتخيّل، وهو خيال واه مخالف لظواهر الأدلّة بل الإجماع المحصل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يكون ذلك حكمة للحكم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في جوازه بنفسه إلى بعض الأخبار </w:t>
      </w:r>
      <w:r>
        <w:rPr>
          <w:rStyle w:val="FootnoteAnchor"/>
          <w:rtl w:val="true"/>
        </w:rPr>
        <w:footnoteReference w:id="85"/>
      </w:r>
      <w:r>
        <w:rPr>
          <w:rFonts w:ascii="Amiri" w:hAnsi="Amiri" w:eastAsia="Amiri" w:cs="Amiri"/>
          <w:color w:val="111111"/>
          <w:sz w:val="28"/>
          <w:sz w:val="28"/>
          <w:szCs w:val="28"/>
          <w:rtl w:val="true"/>
          <w:lang w:bidi="ar-SA"/>
        </w:rPr>
        <w:t xml:space="preserve">الضعيفة الموافقة للعامة المخالفة للشهرة بل الإجماع محصّلة ومنقولة </w:t>
      </w:r>
      <w:r>
        <w:rPr>
          <w:rStyle w:val="FootnoteAnchor"/>
          <w:rtl w:val="true"/>
        </w:rPr>
        <w:footnoteReference w:id="86"/>
      </w:r>
      <w:r>
        <w:rPr>
          <w:rFonts w:ascii="IRNazanin" w:hAnsi="IRNazanin" w:eastAsia="IRNazanin"/>
          <w:color w:val="111111"/>
          <w:sz w:val="28"/>
          <w:sz w:val="28"/>
          <w:szCs w:val="28"/>
          <w:rtl w:val="true"/>
          <w:lang w:bidi="fa-IR"/>
        </w:rPr>
        <w:t xml:space="preserve">، بل الأخبار </w:t>
      </w:r>
      <w:r>
        <w:rPr>
          <w:rStyle w:val="FootnoteAnchor"/>
          <w:rtl w:val="true"/>
        </w:rPr>
        <w:footnoteReference w:id="87"/>
      </w:r>
      <w:r>
        <w:rPr>
          <w:rFonts w:ascii="Amiri" w:hAnsi="Amiri" w:eastAsia="Amiri" w:cs="Amiri"/>
          <w:color w:val="111111"/>
          <w:sz w:val="28"/>
          <w:sz w:val="28"/>
          <w:szCs w:val="28"/>
          <w:rtl w:val="true"/>
          <w:lang w:bidi="ar-SA"/>
        </w:rPr>
        <w:t>المتواترة الدالة على النهي عنه بقول مطلق، لا وجه له بالكلية، سواء أراد أن تحريمه مقصور على اقترانه بذلك، أو أراد أن موضوعه موقوف صدقه على ذلك، وكلاهما بديهى البطلان أعاذنا الرحمن من وساوس الشيطان، و من أن حب الشيء يعمي ويصمّ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من قصر تحريمه أو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يكن في قرآن أو تعزية </w:t>
      </w:r>
      <w:r>
        <w:rPr>
          <w:rStyle w:val="FootnoteAnchor"/>
          <w:rtl w:val="true"/>
        </w:rPr>
        <w:footnoteReference w:id="88"/>
      </w:r>
      <w:r>
        <w:rPr>
          <w:rFonts w:ascii="IRNazanin" w:hAnsi="IRNazanin" w:eastAsia="IRNazanin"/>
          <w:color w:val="111111"/>
          <w:sz w:val="28"/>
          <w:sz w:val="28"/>
          <w:szCs w:val="28"/>
          <w:rtl w:val="true"/>
          <w:lang w:bidi="fa-IR"/>
        </w:rPr>
        <w:t xml:space="preserve">لأخبار </w:t>
      </w:r>
      <w:r>
        <w:rPr>
          <w:rStyle w:val="FootnoteAnchor"/>
          <w:rtl w:val="true"/>
        </w:rPr>
        <w:footnoteReference w:id="89"/>
      </w:r>
      <w:r>
        <w:rPr>
          <w:rFonts w:ascii="Amiri" w:hAnsi="Amiri" w:eastAsia="Amiri" w:cs="Amiri"/>
          <w:color w:val="111111"/>
          <w:sz w:val="28"/>
          <w:sz w:val="28"/>
          <w:szCs w:val="28"/>
          <w:rtl w:val="true"/>
          <w:lang w:bidi="ar-SA"/>
        </w:rPr>
        <w:t xml:space="preserve">ضعيفة غير قابلة للتخصيص، بل لا تقوم بنفسها في الحجية موافقة في الكتاب للعامة، وفي تعزية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الدراهم من القارئين أو شهوة النفس من المستمعين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العموم من وجه بين أدلّة استحباب قراءة القرآن وتعزية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أدلة الاستحباب لموافقتها الأصل من الأغلاط الواضحة؛ لمنع تعارض الأدلّة أوّلاً؛ لأنّ الغناء من كيفيات الأصوات، فالمنهي عنه أخص من المأمور به وهو القراءة، غاية ما في الباب دخول الكيفيات في إطلاق القراءة، وهو لا يعارض النهي العام عن الغناء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المعتبر الوارد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حلال وحرام إلا وغلب الحرام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أدلّة الاحتياط اللازم هي هذه الموارد وشبهها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التخصيص خلاف العرف والشرع، ولو ساغ ذلك لحلّت جميع المحرمات عند دخول المستحبات فيها من إجابة التماس أو سرور مؤمن أو غيره، وهو خلاف البديهة، بل لا يفهم أهل العرف إلا تخصيص المندوبات بالمحرمات على أن المطلقات من المثبتات تخصصها النواهي؛ لأنّ عمومها كالنصّ بالنسبة إلى الظاهر، وهو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ولحون أهل الفسوق، فإنّه سيجيء قوم يرجعون القرآن ترجيع الغناء</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العوام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يعرفون العرف لقلة تمييزهم وإدراكهم سوى ماكان مستعملاً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يسمون المؤذن والداعي والقارئ والنائح على الحسين مغنياً؛ لاشمئزاز طباعهم عن انتساب هذه الصفة لهؤلاء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فالغناء لا يزيل حكمه ولا يرفع اسمه كونه في مندوبٍ أو واجبٍ، ولاكونه في قريض أو شعر اليوم من البدو والمعدان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يثبت حكمه ولا يحقق اسمه بعد أن كان من مقولات الأصوات الغير المشروطة اسماً وحكماً بشرط من الأمور الخارجة كونه يشتمل على الباطل من الكلام، أو كونه مثالاً للفساد، أو دخول الرجال على النساء، أو كونه مصاحباً لآلات اللهو؛ للقطع بأنّه من مقولة الأصوات أو كيفياتها كما هو عند أهل اللغة والعرف فلا مدخلية لمصاحبته لشيءٍ خارج عنه، ولا يتوقف تحريمه على شيءٍ خارج عنه؛ لأنّه هو اللغو واللهو وقول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اتحد مع آلة اللهو صوت المغنية كان حراماً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خبر علي بن جعفر عن الغناء هل يصلح في الفطر والأضحى؟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فهو محمول على التقيّة، أو مطروح، أو يراد به المشارف على تسميته غناء، وهو استعمال شائع، أو على الغناء في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للعيدين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الحمل ما يقرب إليه ممّا يؤدي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اضطرب كلام اللغويّين والفقهاء في بيان معناه، وكذلك أهل العرف بما حصل لهم الاشتباه فيه لاشتباهه عندهم، فإما أن نرميه بالإجمال أو نبيّنه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رميناه بالإجمال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للغناء معنىً واحداً لغةً وعرفاً وشرعاً، وليس له معانٍ متعدّدة حتّى نحمل الأخبار على اللغة أو على العرف العام إن قدمناه عليها، أو على المعنى الشرعي إن وُجد بل هو المقدّم عليهما، وذلك المعنى الواحد اشتبهت ماهيته علينا </w:t>
      </w:r>
    </w:p>
    <w:p>
      <w:pPr>
        <w:pStyle w:val="BookText"/>
        <w:rPr/>
      </w:pPr>
      <w:r>
        <w:rPr>
          <w:rFonts w:ascii="Amiri" w:hAnsi="Amiri" w:eastAsia="Amiri" w:cs="Amiri"/>
          <w:color w:val="111111"/>
          <w:sz w:val="28"/>
          <w:sz w:val="28"/>
          <w:szCs w:val="28"/>
          <w:rtl w:val="true"/>
          <w:lang w:bidi="ar-SA"/>
        </w:rPr>
        <w:t>فيجب علينا تجنّب الجميع من باب المقدمة، بناءً على أنّ المحصور عند الاشتباه حكمه حكم الواجب، فيجب ترك الجميع، كما يجب الإتيان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لزوم الاجتناب بين شبهة الموضوع الراجعة إلى شبهة الحكم، أو الراجعة إلى الموضوع نفسه كما قد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في غير المحصور فلا يلزم اجتنابها؛ للإجماع والعسر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حق لو كان الاشتباه في أفراد الأصوات، أما لو كان الاشتباه في الأنواع كان من قبيل المحصور، ولا يلزم من الاجتناب عنه العسر والحرج؛ لأنّه من المعلوم أن كلامنا وأصواتنا المعتادة ليست غناء، ووقع الشك في أنواع أخر وكيفيات خاصة مضبوطة ولو أنّها من غير معتاد الكلام والأصوات فيلزم اجتنابها ولا عسر ولا حرج بوجه من الوجوه،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الأفراد للزم اجتنابها ولا عسر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المقامات والألحان المشكوك في دخول الغناء فيهن أمر مضبوط عند المغنّين، بل كتبوا فيه كتباً ورسائل، فيجتنب ذلك المشكوك به ويرتكب ذلك المقطوع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نتمسك بالأصل؛ لأنّه كالتكليف المجمل لا التكليف بالمجمل، فنأخذ فرداً مقطوعاً بأنّه غناء ونتمسك في غيره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المقطوع به أنّ هذا تكليف بالمجمل، ولا يجري فيه الأصل على الأقوى؛ لانقطاعه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يؤخذ فيه بالفرد المقطوع بأنّه غناء ويتمسك في الباقي بالأصل مسلّمة، لكنّه ليس فرض المسألة؛ لأنّ الفرض إجمال هذا الموضوع بحيث لم يحصل تمييز لبعض أفراده، أو أنّه حصل تمييز لبعض أفراده لكنا قطعنا أنّ له بَعْد أفراداً قد اشتبهت في غيره، أمّا لو ظهر نوع أو فرد من المحرّم وشككنا بعد ذلك في حرمة غيره، فلا شك أن الأصل حلّ الباقي ؛ لعدم المقتضي لتحريمه؛ لأنّ المقتضي الإجمال الذي دفعه ظهور فرد ينطبق على ذلك المجمل، فيبقى الباقي مشكوكاً في أصل تعلّق الخطاب به، فالأصل الإباحة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الأصوات المتجددة ليست كالموجودات الخارجية في وجوب الاجتناب عنها في الشبهة؛ لأنّ المتجدّد إذا اجتمع مع الأصوات المتجدّدة المفروضة وهماً ليس حكمها كحكم الموجودات الخارجية بحيث يتعلّق بها خطاب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ذلك ما لو علمت أنّ فيما يصنعه الكواز إلى شهر إناء نجساً فقام يصنع ويبيع، أترى يجب علينا تجنّب ما يعمله الكوّاز إلى شهر أو أكثر ؟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البئر تنزف كلّ شهرٍ يوماً ماءً من بالوعةٍ نجسة، ولكن لم يدر أي يوم من أيام الشهر،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لكنّ الأظهر في النظر عدم الفرق بين المتجدد والموجود؛ لأنّه موجود بحسب الإمكان في أحد الأزمنة، فيُجعل حكم الموجود، ويجري حكم الشبهة في النوع إلى الشبهة في الفرد بعد العلم بأنّ الغناء هو الكيفية الخاصة، فقرأ شخص أو قرأ القارئ نفسه بلحن شك في دخوله تحت العنوان وعدمه، فله أن يتمسك بأصل الإباحة، وله أن يمتنع؛ للاحتياط، لكونه كالشبهة المحصورة في الموجودات الخارجية، وله أن يتمسك بالأصل بعد العلم بدخول فرد تحت الغناء غير هذا، فإن لم يعلم فلا بد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بيناه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 معناه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بالرجوع إلى أهل اللغة النقلة أو الفقهاء الناقلين، والرجوع إليهم يقضي بأخذ إثبات كلّ منهم وطرح ما نفاه، أو بأخذ المتفق عليه منهم وطرح ما انفرد به كلّ واحدٍ أو ننظر في الترجيح بين النقل من الأكثرية والأعدلية والأضبطيّة؛ لأنّ كلّ واحدٍ منهم مثبت لما نفاه الآخر، ولأنّ ظاهر النقل أن التفسير هو تمام المفسّر ينطبق عليه، لا أقلّ أنّه خاصة أو جنس أو عرض عام فلا يمكن جعله رسماً بما يلحقه مرة من الصفات ومرّة لا يلحقه؛ لأنّ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رسم يدعون أن تفاسيرهم كلّها تشير إلى المعنى العرفي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السعدانة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ضعيف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بخلاف مَنْ فسّر الغناء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الأوّل قد ينفك عن الثاني، بل الثاني قد ينفك عن الأوَّل، فلا يصلح تفسير الشيء بما يلحقه مرّةً وأُخرى لا يلحقه، فكيف يمكن أن جميعهم يريدون معنى واحداً يعرفه الجميع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الجميع يحاولون بيان المعنى العرفي، وكلُّ منهم بنظره أن المعنى العرفي هو ما فسره به؛ لأنّه في مقام البيان؛ لأنّ الغناء من المحتاج إلى معرفة موضوعه، لعدم التساهل بحكمه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عدم إمكان القول بأن التعاريف لفظية ولا معارضة فيها، وكلّهم متفقون على معنى واحد، يشيرون إليه بذلك التفسير إشارة وإن لم يكن المفسّر به ملازماً له لمخالفة الظاهر تمام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ذكرنا فلا بد من الترجيح أو الطرح أو الرجوع إلى العرف؛ لإمكان اشتباههم في العرف، فلعلنا نفهم غير ما فهموه، أو طرح البعض لمصادقته دون الآخر، أو جعل الجميع غناء عندهم على سبيل الاشتراك المعنوي أو اللفظي وإن كان بعيداً؛ لظهور وحدة معناه، أو جعل ما ذكروا غناءً وما حكم به العرف أيضاً كذلك إن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حمل المطلق على المقيد في كلامهم أو حمل العام على الخاص؛ لأن شرط حمل المطلق والعام على المقيد والخاص كونهما من متكلّم واحد أو شبهه ككلام الأئمّة على أنّ ذلك في التفاسير والحدود غير موافق للضوابط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فالمعروف في تفسيره والأقرب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الممدود، أو مدّ الصوت المشتمل على الترجيع المطرب، أي الذي من شأنه الإطراب لفاعله أو لمستمعه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ترجيع الصوت أو مده، أو أنّه من الأصوات ما طُرب </w:t>
      </w:r>
      <w:r>
        <w:rPr>
          <w:rStyle w:val="FootnoteAnchor"/>
          <w:rtl w:val="true"/>
        </w:rPr>
        <w:footnoteReference w:id="93"/>
      </w:r>
      <w:r>
        <w:rPr>
          <w:rFonts w:ascii="Amiri" w:hAnsi="Amiri" w:eastAsia="Amiri" w:cs="Amiri"/>
          <w:color w:val="111111"/>
          <w:sz w:val="28"/>
          <w:sz w:val="28"/>
          <w:szCs w:val="28"/>
          <w:rtl w:val="true"/>
          <w:lang w:bidi="ar-SA"/>
        </w:rPr>
        <w:t>به، أو أنّه تحسين الصوت وترقيقه أو أنّه مد الصوت وموالاته، أو أنّه الصوت المطرب، أو أنّه مد الصوت؛ ضرورة إرادة مده على نحو غير نحو النداء والصراخ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العرف فمن المعلوم عندهم أنّه ليس كلّ من مد صوتاً في كلامه غنّى سواء صرخ أو نادى، ولا كلّ مَنْ رجع غنّى ولو بالترجيع المنكر ولو مرّة، ولا كلّ من اعتنى بصوته وحسّن غنّى؛ لأنّ كلّ الداعين والقارئين والزائرين كذلك، ولا كلّ مَنْ أطرب نفس صوته لحسنه غنّى، كما يُنقل عن سيد الساجدين وعن الأنبياء الماضين </w:t>
      </w:r>
      <w:r>
        <w:rPr>
          <w:rStyle w:val="FootnoteAnchor"/>
          <w:rtl w:val="true"/>
        </w:rPr>
        <w:footnoteReference w:id="94"/>
      </w:r>
      <w:r>
        <w:rPr>
          <w:rFonts w:ascii="Amiri" w:hAnsi="Amiri" w:eastAsia="Amiri" w:cs="Amiri"/>
          <w:color w:val="111111"/>
          <w:sz w:val="28"/>
          <w:sz w:val="28"/>
          <w:szCs w:val="28"/>
          <w:rtl w:val="true"/>
          <w:lang w:bidi="ar-SA"/>
        </w:rPr>
        <w:t>، ولا كلّ مَنْ رَقّق غنّى ولو كان لضعف أو لأمر آخر أو لغنج كما يفعله النساء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المراد بالترجيع المرّة أو المرّتين أو المرار ؟ وهل الطرب خفّة في النفس، أو لذة وميل للصوت ؟ وهل يراد بالمد المد العربي أو الصرفي ؟ وربما عاد الإجمال في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 كيفية للصوت يعرفها أهل العرف لا نفس الصورة، وله لوازم تبعث عنه، ككونه مطرباً محدثاً لخفّة النفس عند استماعه مهيجاً لذكر المعشوق عند سماعه، وفعله محرّكاً للشهوة الحيوانية، وهذه كلها تلحقه من حيث نفسه ما لم يمنع مانع من السامع له من تقوى أو حزن أو هم مانع، أو ما لم يمنع مانع من فاعله لكراهته وقبح صورته وخشونة صوته، </w:t>
      </w:r>
      <w:bookmarkStart w:id="93" w:name="pg19000_245150"/>
    </w:p>
    <w:p>
      <w:pPr>
        <w:pStyle w:val="BookText"/>
        <w:rPr/>
      </w:pPr>
      <w:bookmarkEnd w:id="93"/>
      <w:r>
        <w:rPr>
          <w:rFonts w:ascii="Amiri" w:hAnsi="Amiri" w:eastAsia="Amiri" w:cs="Amiri"/>
          <w:color w:val="111111"/>
          <w:sz w:val="28"/>
          <w:sz w:val="28"/>
          <w:szCs w:val="28"/>
          <w:rtl w:val="true"/>
          <w:lang w:bidi="ar-SA"/>
        </w:rPr>
        <w:t>ويعرفه أهل العرف، كما يعرفون الفرق بين حركة الرقص اللهوي المطرب، وبين حركة اللاطم الحزين وبين حركة الذي يسمونه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وكما يفرقون بين المهلهلة وبين المغنية وإن اشتملت الهلاهل على صوت ممدود وترجيع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فاللغويون حاولوا كشف معناه عرفاً، وكلُّ منهم تخيل وصوله إلى العرف، ولكن العرف بمعزل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بتعليق التحريم بما هو عند العرف دون ما هو عند اللغة وإن كان كله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اجتمع في الصوت المد والترجيع والتحسين والموالاة والإطراب المتتالي والترقيق على نحو خاص كان غناءً عرفاً، فالهلاهل غناء، والحوراب الذي يصنع في الحرب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يتبع القصد عند اجتماع هذه الأوصاف، فإن قصد به القارئ والمستمع الطرب واللهو وتذكر المعشوق كان غناء، وإن قصد حزناً وبكاء أو مدحاً أو قدحاً لم يكن غناء، وربّما يساعد ذلك العرف اليوم، ولكنه بعيد عن مذاق الفقهاء</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3372182_1280447820"/>
      <w:bookmarkStart w:id="95" w:name="_Toc37"/>
      <w:bookmarkEnd w:id="94"/>
      <w:r>
        <w:rPr>
          <w:rtl w:val="true"/>
        </w:rPr>
        <w:t>التاسع والعشرون</w:t>
      </w:r>
      <w:r>
        <w:rPr>
          <w:rtl w:val="true"/>
        </w:rPr>
        <w:t xml:space="preserve">: </w:t>
      </w:r>
      <w:r>
        <w:rPr>
          <w:rtl w:val="true"/>
        </w:rPr>
        <w:t>فيما استثنى بعضهم من حرمة الغناء ما يقع في الا الأعراس</w:t>
      </w:r>
      <w:bookmarkEnd w:id="95"/>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استثنى بعضهم </w:t>
      </w:r>
      <w:r>
        <w:rPr>
          <w:rStyle w:val="FootnoteAnchor"/>
          <w:rtl w:val="true"/>
        </w:rPr>
        <w:footnoteReference w:id="95"/>
      </w:r>
      <w:r>
        <w:rPr>
          <w:rFonts w:ascii="Amiri" w:hAnsi="Amiri" w:eastAsia="Amiri" w:cs="Amiri"/>
          <w:color w:val="111111"/>
          <w:sz w:val="28"/>
          <w:sz w:val="28"/>
          <w:szCs w:val="28"/>
          <w:rtl w:val="true"/>
          <w:lang w:bidi="ar-SA"/>
        </w:rPr>
        <w:t>من حرمة الغناء ما يقع في الأعراس؛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وليست بالتي يدخل عليها الرجال</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المغنيات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يدخل عليها الرجال حرام، والتي تدعى للأعراس ليس به بأس</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بناءً على أنّ تحليل الأُجرة يلازم تحليل المستأجر عليه؛ لأنّ اللّه إذا حرم شيئاً حرّم ثمنه وإضافة الأُجرة إليها ظاهر في أنّ الأجرة على الغناء، وظاهر في شموله للدوام والمتعة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بد من الاقتصار على المغنية دون المغنّي والاقتصار على حالة الزفاف من المرأة إليه لا من الرجل إليها حين الزفاف، لا يومه كلّه، مع احتمال ذلك مع دخول الليل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وقيدها بعضهم </w:t>
      </w:r>
      <w:r>
        <w:rPr>
          <w:rStyle w:val="FootnoteAnchor"/>
          <w:rtl w:val="true"/>
        </w:rPr>
        <w:footnoteReference w:id="98"/>
      </w:r>
      <w:r>
        <w:rPr>
          <w:rFonts w:ascii="Amiri" w:hAnsi="Amiri" w:eastAsia="Amiri" w:cs="Amiri"/>
          <w:color w:val="111111"/>
          <w:sz w:val="28"/>
          <w:sz w:val="28"/>
          <w:szCs w:val="28"/>
          <w:rtl w:val="true"/>
          <w:lang w:bidi="ar-SA"/>
        </w:rPr>
        <w:t>بما إذا لم يدخل عليها الرجال ولا بدّ من تقييده بالأجانب لمكان حرمة صوتها، واحتمال العموم،ضعيف، ولم تتكلّم بالباطل، ولم تلعب بالملاهي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والقيد الأوّل قد تشعر به الرواية، وإن كان ظاهر الأخيرة المقابلة وأن الذي للأعراس لا بأس به مطلقاً؛ لأنّ استعدادها للعرس والفرح لا لدخول الرجال، فيختص التحريم بمن استعدت لدخول الرجال، إلا أنّ إشعارها بعموم التحريم عند دخول الرجال عليها ظاهر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التكلّم بالباطل فهو حرام بنفسه لا يجوز أخذ الأجرة عليه،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نفس الصوت، حرمت أُجرته؛ لاتحاده مع الكلام بالباطل،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كيفية الصوت، احتمل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لمكان اتحاده، وحلّيته لكونه كالمقدمة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اللعب بالملاهي فهو حرام لا ينافي أخذ الأجرة على الغناء المصاحب له، إلا مع فرض اتحاد صوت آلة اللهو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بعضهم </w:t>
      </w:r>
      <w:r>
        <w:rPr>
          <w:rStyle w:val="FootnoteAnchor"/>
          <w:rtl w:val="true"/>
        </w:rPr>
        <w:footnoteReference w:id="99"/>
      </w:r>
      <w:r>
        <w:rPr>
          <w:rFonts w:ascii="Amiri" w:hAnsi="Amiri" w:eastAsia="Amiri" w:cs="Amiri"/>
          <w:color w:val="111111"/>
          <w:sz w:val="28"/>
          <w:sz w:val="28"/>
          <w:szCs w:val="28"/>
          <w:rtl w:val="true"/>
          <w:lang w:bidi="ar-SA"/>
        </w:rPr>
        <w:t xml:space="preserve">الشهرة على الحكم حتّى تسرى بعضهم </w:t>
      </w:r>
      <w:r>
        <w:rPr>
          <w:rStyle w:val="FootnoteAnchor"/>
          <w:rtl w:val="true"/>
        </w:rPr>
        <w:footnoteReference w:id="100"/>
      </w:r>
      <w:r>
        <w:rPr>
          <w:rFonts w:ascii="Amiri" w:hAnsi="Amiri" w:eastAsia="Amiri" w:cs="Amiri"/>
          <w:color w:val="111111"/>
          <w:sz w:val="28"/>
          <w:sz w:val="28"/>
          <w:szCs w:val="28"/>
          <w:rtl w:val="true"/>
          <w:lang w:bidi="ar-SA"/>
        </w:rPr>
        <w:t>إلى جواز الدق معه العاري عن الصنج والجلاجل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خلاف جميع ذلك؛ لعموم النهي عن اللهو وعن قول الزور، وأنّه لو ميز الحقّ من الباطل لكان الغناء منه، وأنّه الباعث على الفسوق والفجور وعلى إتيان الفساد والأحوال التي لا يرضى بها ربّ العباد فكان تحريمه كتحريم القبيح العقلي الذي لا يقبل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يقتح ذلك وإلا لقبح الالتذاذ بتقبيل النساء ومجالستهنّ بل وجماعهنّ، فإنّ ذلك مما يفيد طرباً ولذةٌ وخفّةٌ مع أنّه مرغوب إليه </w:t>
      </w:r>
      <w:r>
        <w:rPr>
          <w:rStyle w:val="FootnoteAnchor"/>
          <w:rtl w:val="true"/>
        </w:rPr>
        <w:footnoteReference w:id="101"/>
      </w:r>
      <w:r>
        <w:rPr>
          <w:rFonts w:ascii="Amiri" w:hAnsi="Amiri" w:eastAsia="Amiri" w:cs="Amiri"/>
          <w:color w:val="111111"/>
          <w:sz w:val="28"/>
          <w:sz w:val="28"/>
          <w:szCs w:val="28"/>
          <w:rtl w:val="true"/>
          <w:lang w:bidi="ar-SA"/>
        </w:rPr>
        <w:t xml:space="preserve">، دعوى لا محصل لها؛ لأن العقل يقبح مثار الفساد الباعث على معاصي ربّ العباد، والمانع من الحلال الداعي إلى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يقبح ما شرعه ربّ العدل من اللذة الحافظة للنسل، الموافق حسنها لكمال العقل المبتني عليها نظام العالم، والذي صدر عنها سلسلة بني آدم، وقد بنيت الشرائع على حفظ الأصول الخمس الذي هذا منها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يستثنى الحداء؛ لرواية عبد اللّه بن رواحة حيث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بالارتجاز </w:t>
      </w:r>
      <w:r>
        <w:rPr>
          <w:rStyle w:val="FootnoteAnchor"/>
          <w:rtl w:val="true"/>
        </w:rPr>
        <w:footnoteReference w:id="102"/>
      </w:r>
      <w:r>
        <w:rPr>
          <w:rFonts w:ascii="Amiri" w:hAnsi="Amiri" w:eastAsia="Amiri" w:cs="Amiri"/>
          <w:color w:val="111111"/>
          <w:sz w:val="28"/>
          <w:sz w:val="28"/>
          <w:szCs w:val="28"/>
          <w:rtl w:val="true"/>
          <w:lang w:bidi="ar-SA"/>
        </w:rPr>
        <w:t>، وكان جيد الحداء</w:t>
      </w:r>
      <w:r>
        <w:rPr>
          <w:rFonts w:eastAsia="Amiri" w:cs="Amiri" w:ascii="Amiri" w:hAnsi="Amiri"/>
          <w:color w:val="111111"/>
          <w:sz w:val="28"/>
          <w:szCs w:val="28"/>
          <w:rtl w:val="true"/>
          <w:lang w:bidi="ar-SA"/>
        </w:rPr>
        <w:t xml:space="preserve">. </w:t>
      </w:r>
      <w:bookmarkStart w:id="96" w:name="pg19000_245152"/>
    </w:p>
    <w:p>
      <w:pPr>
        <w:pStyle w:val="BookText"/>
        <w:rPr/>
      </w:pPr>
      <w:bookmarkEnd w:id="96"/>
      <w:r>
        <w:rPr>
          <w:rFonts w:ascii="Amiri" w:hAnsi="Amiri" w:eastAsia="Amiri" w:cs="Amiri"/>
          <w:color w:val="111111"/>
          <w:sz w:val="28"/>
          <w:sz w:val="28"/>
          <w:szCs w:val="28"/>
          <w:rtl w:val="true"/>
          <w:lang w:bidi="ar-SA"/>
        </w:rPr>
        <w:t>وهو ضعيف إن دخل الحداء في مصداق الغناء؛ لعدم القابلية للتخصيص، وإن لم يدخل كما هو الظاهر فلا بأس بالقول بتحليله، ولو قلنا بدخوله في اسم الغناء دون حكمه لزم الاقتصار على القدر المتيقن من السفر، وسير الإبل، والحثّ على سرعة سيرها، وكونه رجلاً،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أصوات الطيور المعلّمة فحكمها حكم الجمادات ليست أصواتها غناء وإن زادت طرباً ومداً وترجيعاً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تدخل في آلات اللهو الواجب إتلافها الحرام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 في الغناء على صوت الإنسان، بل قيل على ألفاظه وحروفه </w:t>
      </w:r>
      <w:r>
        <w:rPr>
          <w:rStyle w:val="FootnoteAnchor"/>
          <w:rtl w:val="true"/>
        </w:rPr>
        <w:footnoteReference w:id="103"/>
      </w:r>
      <w:r>
        <w:rPr>
          <w:rFonts w:ascii="Amiri" w:hAnsi="Amiri" w:eastAsia="Amiri" w:cs="Amiri"/>
          <w:color w:val="111111"/>
          <w:sz w:val="28"/>
          <w:sz w:val="28"/>
          <w:szCs w:val="28"/>
          <w:rtl w:val="true"/>
          <w:lang w:bidi="ar-SA"/>
        </w:rPr>
        <w:t>، ولكنه بعيد عن حدودهم وإن كان قريباً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من الغناء هو استماعه وفعله وأمّا سماعه فالأصل براءة الذمة عن لزوم سدّ الآذان والاشتغال عنه بذكر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 غناء بين صوتين حرم عليهما أجمع إن قصداه، وإلا حرم على القاصد، مع احتمال عدم التحريم واختصاصه بالصوت الواحد</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3372184_1280447820"/>
      <w:bookmarkStart w:id="98" w:name="_Toc38"/>
      <w:bookmarkEnd w:id="97"/>
      <w:r>
        <w:rPr>
          <w:rtl w:val="true"/>
        </w:rPr>
        <w:t>الثلاثون</w:t>
      </w:r>
      <w:r>
        <w:rPr>
          <w:rtl w:val="true"/>
        </w:rPr>
        <w:t xml:space="preserve">: </w:t>
      </w:r>
      <w:r>
        <w:rPr>
          <w:rtl w:val="true"/>
        </w:rPr>
        <w:t>في حرمة الاكتساب بالنوح بالباطل وعلى الباطل</w:t>
      </w:r>
      <w:bookmarkEnd w:id="98"/>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النوح من رجل أو امرأة بالباطل وعلى باطل، أو النوح الباطل، سواء اشتمل على الغناء أم لم يشتمل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والنوح إما من مقولة الأصوات أو كيفيّاتها كالغناء، إلا أنّ كيفية الغناء تهيج الأشواق و تذكر المعشوقين للعشاق وتطرب القلوب وتدعو المحب لمسامرة المحبوب، وكيفية النوح تهيج الأحزان وتذكر مصائب الزمان وانفجاع القلوب بتذكر فقدان المحبوب، هذا يوحش النفس وذلك يؤنسها، وهذا يكدر القلب وذاك يطربه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 قلب الخليّ فقال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وبرّح بالشجي فقال ناحا </w:t>
      </w:r>
      <w:r>
        <w:rPr>
          <w:rStyle w:val="FootnoteAnchor"/>
          <w:rtl w:val="true"/>
        </w:rPr>
        <w:footnoteReference w:id="1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أيقاس صوت البلابل الواقفة على الأغصان بصوت البوم الساكنة بالخرابات والوديان ؟ فما مَنْ تباكى كمَنْ قد بكي، ودمع الأسى غير دمع الدلال ألحان الغناء غير ألحان العزاء وألحان المفتون غير ألحان المغبون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يراد بالنوح نفس الكلام المشجي المشتمل على الرثاء ويكون في القريض، وفي الأغلب يكون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وفي الموال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بالنوح الصراخ والعويل والأنين من الحزين على فقد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لو وقع على جهة محرّمة،حرم، كما لو وقع على فقد دين النصاري أو فقد كنائسهم أو فقد علمائهم، وكما لو وقع الرثاء بالشعر على عالمهم، أو على الظالم مطلقاً على ظلمه، أو وقع المدح والرثاء بالصفات الكاذبة التي لم يقصد بها المبالغة، بحيث إن العادة والقرائن العرفية أخرجته عن الكذب كما يفعله اليوم ومن قبل الشعراء في المدح والمراثي، أو وقع فيها غلوّ وسوء أدب، أو اشتمل الشعر والتعداد على صفات ترفعه في الدنيا وتضعه في الآخرة، أو ترفعه وتضع غيره، أو كانت النائحة أجنبيةً ويسمع صوتها الأجانب، بناءً على تحريمه، وهذا يجيئه التحريم من أمر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فالنوح بنفسه من كيفيات الأصوات فإذا برز بكلام أو شعر أو لحن باطل فهو النوح بالباطل، وكذا لو كان المنوح عليه من أهل الباطل، أو لأوصافه الباطلة، أو كان لإظهار الباطل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الهذر والهجر في الكلام فهو منهي عنه في الخبر </w:t>
      </w:r>
      <w:r>
        <w:rPr>
          <w:rStyle w:val="FootnoteAnchor"/>
          <w:rtl w:val="true"/>
        </w:rPr>
        <w:footnoteReference w:id="105"/>
      </w:r>
      <w:r>
        <w:rPr>
          <w:rFonts w:ascii="Amiri" w:hAnsi="Amiri" w:eastAsia="Amiri" w:cs="Amiri"/>
          <w:color w:val="111111"/>
          <w:sz w:val="28"/>
          <w:sz w:val="28"/>
          <w:szCs w:val="28"/>
          <w:rtl w:val="true"/>
          <w:lang w:bidi="ar-SA"/>
        </w:rPr>
        <w:t xml:space="preserve">، فيمكن إدخاله في النوح بالباطل؛ لعموم الأدلّة الدالة على تحريم النوح مطلقاً، وأنّه يؤذي الملائكة </w:t>
      </w:r>
      <w:r>
        <w:rPr>
          <w:rStyle w:val="FootnoteAnchor"/>
          <w:rtl w:val="true"/>
        </w:rPr>
        <w:footnoteReference w:id="106"/>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07"/>
      </w:r>
      <w:r>
        <w:rPr>
          <w:rFonts w:ascii="Amiri" w:hAnsi="Amiri" w:eastAsia="Amiri" w:cs="Amiri"/>
          <w:color w:val="111111"/>
          <w:sz w:val="28"/>
          <w:sz w:val="28"/>
          <w:szCs w:val="28"/>
          <w:rtl w:val="true"/>
          <w:lang w:bidi="ar-SA"/>
        </w:rPr>
        <w:t>على تحريمه مطلقاً، يخرج منه النوح بالحق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بالنوح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 على الأنبياء والأولياء والعلماء والدين وأهل الدين وأعراض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نوح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وكما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بالنوح على حمزة </w:t>
      </w:r>
      <w:r>
        <w:rPr>
          <w:rStyle w:val="FootnoteAnchor"/>
          <w:rtl w:val="true"/>
        </w:rPr>
        <w:footnoteReference w:id="109"/>
      </w:r>
      <w:r>
        <w:rPr>
          <w:rFonts w:ascii="Amiri" w:hAnsi="Amiri" w:eastAsia="Amiri" w:cs="Amiri"/>
          <w:color w:val="111111"/>
          <w:sz w:val="28"/>
          <w:sz w:val="28"/>
          <w:szCs w:val="28"/>
          <w:rtl w:val="true"/>
          <w:lang w:bidi="ar-SA"/>
        </w:rPr>
        <w:t xml:space="preserve">، وكما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المال من ثلثه لنوادب يندبنه بمنى عشر سنين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النوح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أفضل طاعات جبار السماوات</w:t>
      </w:r>
      <w:r>
        <w:rPr>
          <w:rFonts w:eastAsia="Amiri" w:cs="Amiri" w:ascii="Amiri" w:hAnsi="Amiri"/>
          <w:color w:val="111111"/>
          <w:sz w:val="28"/>
          <w:szCs w:val="28"/>
          <w:rtl w:val="true"/>
          <w:lang w:bidi="ar-SA"/>
        </w:rPr>
        <w:t xml:space="preserve">. </w:t>
      </w:r>
      <w:bookmarkStart w:id="99" w:name="pg19000_245154"/>
    </w:p>
    <w:p>
      <w:pPr>
        <w:pStyle w:val="BookText"/>
        <w:rPr/>
      </w:pPr>
      <w:bookmarkEnd w:id="99"/>
      <w:r>
        <w:rPr>
          <w:rFonts w:ascii="Amiri" w:hAnsi="Amiri" w:eastAsia="Amiri" w:cs="Amiri"/>
          <w:color w:val="111111"/>
          <w:sz w:val="28"/>
          <w:sz w:val="28"/>
          <w:szCs w:val="28"/>
          <w:rtl w:val="true"/>
          <w:lang w:bidi="ar-SA"/>
        </w:rPr>
        <w:t>والكل بحق ما لم يؤد إلى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النوح على الآباء والأولاد والمأتم على سائر الأرحام والأحباء فالسيرة القطعية اليوم على جوازه ما لم يصل إلى حد يُنكر بحيث يضر بالنفس والمال، ويكون النائح كالخنساء على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فالمداومة على الكآبة والحزن والجزع والهلع على غير الشهداء والأنبياء والاستمرار عليها ممّا لا يرضي ربّ السماء، وممّا يؤذي الملائكة الأصفياء</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3372186_1280447820"/>
      <w:bookmarkStart w:id="101" w:name="_Toc39"/>
      <w:bookmarkEnd w:id="100"/>
      <w:r>
        <w:rPr>
          <w:rtl w:val="true"/>
        </w:rPr>
        <w:t>الواحد والثلاثون</w:t>
      </w:r>
      <w:r>
        <w:rPr>
          <w:rtl w:val="true"/>
        </w:rPr>
        <w:t xml:space="preserve">: </w:t>
      </w:r>
      <w:r>
        <w:rPr>
          <w:rtl w:val="true"/>
        </w:rPr>
        <w:t>في حرمة التكسّب بمعونة الظالمين وحرمة إعانة الظالم</w:t>
      </w:r>
      <w:bookmarkEnd w:id="101"/>
    </w:p>
    <w:p>
      <w:p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بمعونة الظالمين؛ لحرمتها لنفسها بما يُسمّى إعانة عرفاً، سواء بعدت مقدماتها أو 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إعانة الظالم لنفسه على معصيته، والظالم لغيره في ماله أو نفسه أو عرضه أو دينه،</w:t>
      </w:r>
    </w:p>
    <w:p>
      <w:pPr>
        <w:pStyle w:val="BookText"/>
        <w:rPr/>
      </w:pPr>
      <w:r>
        <w:rPr>
          <w:rFonts w:ascii="Amiri" w:hAnsi="Amiri" w:eastAsia="Amiri" w:cs="Amiri"/>
          <w:color w:val="111111"/>
          <w:sz w:val="28"/>
          <w:sz w:val="28"/>
          <w:szCs w:val="28"/>
          <w:rtl w:val="true"/>
          <w:lang w:bidi="ar-SA"/>
        </w:rPr>
        <w:t>ظلمه أو لأجل ظلمه أو على ظلمه؛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لَا يَتَنَاهَوْنَ عَنْ مُنكَرٍ فَعَلُوهُ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وللأخبار المتواترة الناهية عن الميل إلى الظُّلَمَة وخدمتهم والكتابة لهم وبناء مسجد لهم وقضاء حوائجهم والسعي في مصالحهم وحُبّ بقائهم ولقائهم ووطء فراشهم وطلب معاشهم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 ذلك مخصوص بما قصد المعونة لهم على ظلمهم فيحرم لتحريم ما قصد له، أو على الميل القلبي لهم من حيثية مناصبهم وارتفاع كلمتهم، أو على تقويم أمرهم وإعلاء شأنهم وتقوية جندهم، أو جرّ النفع لهم في رئاستهم وبقاء منصبهم، أو ربط المودّة معهم الباعث على تقوية كلمتهم، أو الميل إليهم بسبب ظلمهم وجبروتهم وتكثير سوادهم، أو إهدائهم إلى معالي الظلم، أو إعانتهم في النظر والمشورة، أو إعداد الملابس لجندهم، أو جمع الأطعمة لعساكرهم، أو غير ذلك مما اختص وجهه من المحرم، أو مما كان مشتركاً ولكن قصدت به جهة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يكره ما كان عبثاً لا لقصد محرّم ولا لقصد مندوب من الأمور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في المشتركات عود النفع للعامل من المباحات، فلا بأس به من طبخ الزاد لهم، وخياطة ثيابهم، وحمل الأطعمة لهم وبيعها عليهم وبيع الملابس والدور والبساتين عليهم، وإكرام ضيفهم ودفع اللقمة لسائلهم، ودفع الماء عند العطش لعطشانهم، والهدية لهم، وحجامتهم وفصدهم وطبابتهم، والبيطرة لدوابهم، فلا بأس به؛ للسيرة القطعية من قديم الزمان إلى الآن على معاملتهم ومزارعتهم، وأخذ المضاربات منهم، والبيع عليهم، والشراء منهم، واستئجار أراضيهم وإجارتهم، وأخذ الدواب منهم وبيعها عليهم،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عود مرضاهم، وتشييع جنائزهم، والصلاة معهم وإظهار المودة لهم </w:t>
      </w:r>
      <w:r>
        <w:rPr>
          <w:rStyle w:val="FootnoteAnchor"/>
          <w:rtl w:val="true"/>
        </w:rPr>
        <w:footnoteReference w:id="115"/>
      </w:r>
      <w:r>
        <w:rPr>
          <w:rFonts w:ascii="Amiri" w:hAnsi="Amiri" w:eastAsia="Amiri" w:cs="Amiri"/>
          <w:color w:val="111111"/>
          <w:sz w:val="28"/>
          <w:sz w:val="28"/>
          <w:szCs w:val="28"/>
          <w:rtl w:val="true"/>
          <w:lang w:bidi="ar-SA"/>
        </w:rPr>
        <w:t>، فإنّ ذلك من لوازم هذا وآثاره؛ لأنّ ترك معاملتهم مما تنفّر طباعهم وتبعد الرحمة من قلوبهم وتوحش أنفسهم، بل قارنت نية مخالطتهم ومعاملتهم والقرب إليهم تفريج الكربة عن المؤمنين ودفع الشدّة عن المتقين وقضاء حوائج الفقراء والمساكين، وكانت مرتبة علي بن يقطين من أعظم القربات ومن أعلى المندوبات ومن أجلّ ما يرضي ربّ السماوات، وهو الذي يظهر من الأخبار والسير والآثار والسيرة القطعية ورفع العسر والحرج والشريعة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سلاطين الملل الخارجة عن فرقة الحقّ لا تجوز إعانتهم في المباحات الراجعة إلى تقوية شوكتهم وإعلاء كلمتهم واجتماع جندهم وتكثير سوادهم، ولا في المباحات المشتركة بين ذلك وبين غيرها ممّا يباح مع قصد إعانتهم على ظلمهم وتقوية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إعانتهم في المباحات الراجعة إلى خدمة أشخاصهم وصحة أبدانهم وتقوية أمزجتهم وخياطة لباسهم وجلب طعامهم وتضييفهم وعطائهم، لا بنيّة إعانتهم على الظلم، بل تكره محبّة أشخاصهم ولو لمكارم أخلاقهم وحسن سجاياهم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وتستحبّ إعانتهم والقرب إليهم لقصد دفع أذاهم وتقليل ظلمهم وفك الحبس منهم وإطلاق الأسير من أيديهم وحفظ الأموال المقتصمة منهم فتندب معاشرتهم والسلوك معهم وإظهار مودتهم كي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جعفر بن محمّد ما أحسن ما كان يؤدب به أصحابه</w:t>
      </w:r>
      <w:r>
        <w:rPr>
          <w:rFonts w:eastAsia="Amiri" w:cs="Amiri" w:ascii="Amiri" w:hAnsi="Amiri"/>
          <w:color w:val="111111"/>
          <w:sz w:val="28"/>
          <w:szCs w:val="28"/>
          <w:rtl w:val="true"/>
          <w:lang w:bidi="ar-SA"/>
        </w:rPr>
        <w:t xml:space="preserve">. </w:t>
      </w:r>
      <w:bookmarkStart w:id="102" w:name="pg19000_245156"/>
    </w:p>
    <w:p>
      <w:pPr>
        <w:pStyle w:val="BookText"/>
        <w:rPr/>
      </w:pPr>
      <w:bookmarkEnd w:id="102"/>
      <w:r>
        <w:rPr>
          <w:rFonts w:ascii="Amiri" w:hAnsi="Amiri" w:eastAsia="Amiri" w:cs="Amiri"/>
          <w:color w:val="111111"/>
          <w:sz w:val="28"/>
          <w:sz w:val="28"/>
          <w:szCs w:val="28"/>
          <w:rtl w:val="true"/>
          <w:lang w:bidi="ar-SA"/>
        </w:rPr>
        <w:t>وهذا يعم سائر الفرق، ولكن تختص فرقة المخالفين بندب تقيتهم ومخالطتهم بالمعروف والإحسان إليهم وإن لم تكن التقيّة قائمة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ظَلَمة أهل المناصب من الإمامية فيحرم القسمان الأولان بالنسبة إليهم، ويندب الأخير، ويباح الثالث، وحكمهم كحكم غيرهم من العصاة في مخالطة ومعاملة، إلا أن تنجرّ مخالطتهم ومعاملتهم إلى ارتكاب الشبهات وأكل المال المشتبه، والوقوع في المحرمات، فإنّ مَنْ طاف حول الحمى أوشك أن يقع فيه، أو يؤول إلى تكثير سوادهم وتقوية جندهم والاستعداد لكونه من أتباعهم، فإنّ ذلك بين محرّم 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المعاملة التي تعلّق بها التحريم لدخولها تحت المعونة المحرمة، فالظاهر صحتها؛ لعدم تعلّق النهي الأصلي عنه، والنهي عن الوصف المفارق لا يقضي بالفساد وإن اتحد في الوجود الخارجي مع فرد المعاملة؛ لعدم قيام إجماع أو قضاء عرف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تعلّق به النهي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السلاح لأعداء الدين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أن نهيه غيرياً كالنهي عن البيع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لا يخلو من تأمّلٍ وإشكالٍ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3372188_1280447820"/>
      <w:bookmarkStart w:id="104" w:name="_Toc40"/>
      <w:bookmarkEnd w:id="103"/>
      <w:r>
        <w:rPr>
          <w:rtl w:val="true"/>
        </w:rPr>
        <w:t>الثاني والثلاثون</w:t>
      </w:r>
      <w:r>
        <w:rPr>
          <w:rtl w:val="true"/>
        </w:rPr>
        <w:t xml:space="preserve">: </w:t>
      </w:r>
      <w:r>
        <w:rPr>
          <w:rtl w:val="true"/>
        </w:rPr>
        <w:t>في حرمة التكسّب بكتب الضلال مطلقاً</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بكتب الضلال، نسخاً وبيعاً وتعليماً وحفظاً على الصدور أو حفظاً من التلف، ويحرم اقتناؤها وتلاوتها وهبتها وعاريتها واستيداعها، بل ولا يجوز ميراثها، ولا يمكن ملك صورتها، كلّ ذلك لظاهر فتوى الأصحاب حتّى كاد أن يكون في الجملة إجماعاً محصلاً، ولنفي الخلاف عن حرمة حفظها ونسخها لغير النقض كما عن العلّامة</w:t>
      </w:r>
      <w:r>
        <w:rPr>
          <w:rStyle w:val="FootnoteAnchor"/>
          <w:rtl w:val="true"/>
        </w:rPr>
        <w:footnoteReference w:id="116"/>
      </w:r>
      <w:r>
        <w:rPr>
          <w:rFonts w:ascii="Amiri" w:hAnsi="Amiri" w:eastAsia="Amiri" w:cs="Amiri"/>
          <w:color w:val="111111"/>
          <w:sz w:val="28"/>
          <w:sz w:val="28"/>
          <w:szCs w:val="28"/>
          <w:rtl w:val="true"/>
          <w:lang w:bidi="ar-SA"/>
        </w:rPr>
        <w:t xml:space="preserve">، ولأنّها أولى بالإتلاف من هياكل العبادة وآلات اللهو، ولأنها من قول الزور واللغو ولهو الحديث المأمور بالاجتناب عنهنّ </w:t>
      </w:r>
      <w:r>
        <w:rPr>
          <w:rStyle w:val="FootnoteAnchor"/>
          <w:rtl w:val="true"/>
        </w:rPr>
        <w:footnoteReference w:id="117"/>
      </w:r>
      <w:r>
        <w:rPr>
          <w:rFonts w:ascii="Amiri" w:hAnsi="Amiri" w:eastAsia="Amiri" w:cs="Amiri"/>
          <w:color w:val="111111"/>
          <w:sz w:val="28"/>
          <w:sz w:val="28"/>
          <w:szCs w:val="28"/>
          <w:rtl w:val="true"/>
          <w:lang w:bidi="ar-SA"/>
        </w:rPr>
        <w:t xml:space="preserve">، ولدخول جملة منها في ذم اللّه تعالى الذين يكتبون الكتاب بأيديهم ويقولون هو من عند اللّه ليشتروا به ثمناً قليلاً </w:t>
      </w:r>
      <w:r>
        <w:rPr>
          <w:rStyle w:val="FootnoteAnchor"/>
          <w:rtl w:val="true"/>
        </w:rPr>
        <w:footnoteReference w:id="118"/>
      </w:r>
      <w:r>
        <w:rPr>
          <w:rFonts w:ascii="Amiri" w:hAnsi="Amiri" w:eastAsia="Amiri" w:cs="Amiri"/>
          <w:color w:val="111111"/>
          <w:sz w:val="28"/>
          <w:sz w:val="28"/>
          <w:szCs w:val="28"/>
          <w:rtl w:val="true"/>
          <w:lang w:bidi="ar-SA"/>
        </w:rPr>
        <w:t xml:space="preserve">، ولأنها أولى بالإتلاف من إتلاف الكفّار والمخالفين وجهادهم؛ لأنّ إتلافهم لسوء اعتقادهم فما هو سبب الاعتقاد </w:t>
      </w:r>
    </w:p>
    <w:p>
      <w:pPr>
        <w:pStyle w:val="BookText"/>
        <w:rPr/>
      </w:pPr>
      <w:r>
        <w:rPr>
          <w:rFonts w:ascii="Amiri" w:hAnsi="Amiri" w:eastAsia="Amiri" w:cs="Amiri"/>
          <w:color w:val="111111"/>
          <w:sz w:val="28"/>
          <w:sz w:val="28"/>
          <w:szCs w:val="28"/>
          <w:rtl w:val="true"/>
          <w:lang w:bidi="ar-SA"/>
        </w:rPr>
        <w:t xml:space="preserve">أحرى بالإتلاف، ولرواية تحف العقول الناهية عن بيع وشراء وإمساك وملك وهبة وعارية وجميع تقلبات ما فيه وجه من وجوه المعاصي أو باب يوهن به الحقّ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وإتلافها يكون بإتلافها أجمع، وبإتلاف موضع الضلال منها، وبالنقض عليها؛ لأنّه نوع إتلاف لما تضمنته من القضايا الفاسدة، لأنّ إتلاف بعض آحادها لا يقضي بإتلاف أصلها، والرد عليها قاض بإتلاف أصل قضاياها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إلا كتاب واحد فلا يبعد أن إتلافه بحيث لا تظهر مفاسده خير من نسخه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نسخه للنقض على هيئة الأصل والشرح خير من نسخه منفرداً؛ لإمكان ذهاب النقض والرد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يدخل الضلال الكتب المشتملة على التواريخ الكاذبة والأحاديث المضحكة كمقامات الحريري وبديع الزمان والسلوفات؛ لأنّ الظاهر إرادة ما فيه إضلال، لا أنّه ضلال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اشتمل الكتاب على كذب في اللغة أو القواعد العربية أو الصرفية أو التفسير كان من كتب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الكتب الباعثة على الإضلال في الأعمال والإسراف في الأموال، ككتب الكيمياء الكاذبة غالباً وكتب الجفر والفال ما لم يدخل تحت عنوان السحر، فلا يبعد أيضاً أنّه مما يبنى على الفساد فيحرم التكسّب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الكتب المصوّرة للنجوم والعوالم مع العلم بعدم معرفة صاحبها ذلك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إتلاف ما كان يرجى أو يحتمل احتمالاً عادياً إضلاله، فلو كان بخط يُعلم أنّه لا تعرف كتابته، أو كان موضوعاً، أو وضع بموضع لا يمكن الوصول إليه عادة، لم يلزم إتلافه تعبداً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في حرمة حفظ الضلال على الصدر لمن يعتقد ضلالها فحَفَظها مَنْ قال لها أو حفظ معانيها لمجرد أنّ العلم بالشيء خير من الجهل به، وحينئذٍ فدعوى حرمة حفظها </w:t>
      </w:r>
    </w:p>
    <w:p>
      <w:pPr>
        <w:pStyle w:val="BookText"/>
        <w:rPr/>
      </w:pPr>
      <w:r>
        <w:rPr>
          <w:rFonts w:ascii="Amiri" w:hAnsi="Amiri" w:eastAsia="Amiri" w:cs="Amiri"/>
          <w:color w:val="111111"/>
          <w:sz w:val="28"/>
          <w:sz w:val="28"/>
          <w:szCs w:val="28"/>
          <w:rtl w:val="true"/>
          <w:lang w:bidi="ar-SA"/>
        </w:rPr>
        <w:t xml:space="preserve">على الصدر كما أطلقه جماعة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لها دليلاً شافياً؛ لضعف رواية تحف العقول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لتفسيرها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كتب الضلال الكتب السماوية المحرفة، والمشتملة على الحجج في العقائد الفاسدة، ككتب الفلاسفة، وكتب النصارى، وكتب القائلين بالجبر، وكتب المستدلّين على خلافة القوم، والكتب المشتملة على إنكار أحوال المعاد الجسماني من الصراط والميزان والجنّة والنار، والكتب المشتملة على الغلو أو إنكار الضروريّات، ككتب الغلاة والمجسمة وبعض كتب ما يسمّونهم اليوم كشفية، والكتب المشتملة على جمع الشبهات على العقائد الحقة وإيقاع الشبه في تلك العقائد، والكتب المعدة لبيان الأصول الفاسدة المعلومة البطلان المترتبة عليها الأحكام الشرعيَّة، ككتب القياس والاستدلال عليه وتصحيحه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بعض كتب الأخبارية المعدة لسبّ المجتهدين وبيان بطلان مذاهبهم والطعن فيهم وفي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كتب الصوفية المشتملة على الاحتجاج لمذاهبهم أو على بيان طرائقهم ومقاماتهم وطرق رياضاتهم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الكتب المشتملة على بيان وحدة الوجود وقِدَم العالم وبيان الحديدة المحمية والعقول العشرة، أو بيان ما لا يفهمونه من خلق الملائكة والجن على غير طريقة المتكلمين أو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الكتب المزخرفة لسياسة الجند تعليماً لهم لقتال المسلمين ونهب أموالهم واستيلاء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الكتب الكاذبة في طب الأبدان المؤدية إلى إهلاك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الكتب المشتملة على الأحاديث الباطلة والروايات الكاذبة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بكتب فروع العامة، لأنّ طرحها من ضروريات مذهب الشيعة وحالها معلوم، فلا تكون ممّا شأنها الإضلال، ويجوز بيعها وشراؤها ونسخها للاطلاع على مذهبهم؛ دفعاً </w:t>
      </w:r>
    </w:p>
    <w:p>
      <w:pPr>
        <w:pStyle w:val="BookText"/>
        <w:rPr/>
      </w:pPr>
      <w:r>
        <w:rPr>
          <w:rFonts w:ascii="Amiri" w:hAnsi="Amiri" w:eastAsia="Amiri" w:cs="Amiri"/>
          <w:color w:val="111111"/>
          <w:sz w:val="28"/>
          <w:sz w:val="28"/>
          <w:szCs w:val="28"/>
          <w:rtl w:val="true"/>
          <w:lang w:bidi="ar-SA"/>
        </w:rPr>
        <w:t>للتقيّة، أو للأخذ بما خالفهم، أو للتنبيه على فروع المسائل، أو للردّ عليهم، ولا بكتب أحاديثهم؛ لأن الضلال منه معلوم نقضه عندنا ومعروف لدينا، فيجوز بيعها ونسخها للأغراض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من شأنه الضلال فحكمه حكم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أيضاً بكتب أهل الضلال المشتملة على بيان المقدمات الاجتهادية من كتب الأوليات والأصول والمنطق وإن اشتملت على جملة من الضلال؛ لأنّ ضلالها معلوم، ونقضه لدى كلّ أحد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بكتب الأنبياء وإن علم أنّها منسوخة، فيجوز نقلها وانتقالها لاكتساب مواعظها والاطلاع على أخبارها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بكتب تفسير القرآن من العامة والخاصة، وإن علم أنّه بالرأي والاجتهاد إذا كان ممّا يمكن استخراجه من منطوق الألفاظ أو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الكذب على الأنبياء ونفي عصمتهم ونقل المثالب فيهم ونسبته ما لا يرضى لهم، فلا يجوز استعمالها إلا مع النقض عليها، ولا يجوز نقلها ولا تعليمها ولا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إتلاف قضايا الضلال بين كون الكتاب كله كذلك أو أكثره من ذلك أو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سرقته من أهله لإتلافه إذا لم تكن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إنكاره على المعير له، وله أن يحلف ويورّي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الإنكار على من كان عنده بالقلب واللسان واليد ما لم يصل إلى جرح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من ادعى استعماله لغرض صحيح حملاً لفعل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جماعة من الأصحاب </w:t>
      </w:r>
      <w:r>
        <w:rPr>
          <w:rStyle w:val="FootnoteAnchor"/>
          <w:rtl w:val="true"/>
        </w:rPr>
        <w:footnoteReference w:id="123"/>
      </w:r>
      <w:r>
        <w:rPr>
          <w:rFonts w:ascii="Amiri" w:hAnsi="Amiri" w:eastAsia="Amiri" w:cs="Amiri"/>
          <w:color w:val="111111"/>
          <w:sz w:val="28"/>
          <w:sz w:val="28"/>
          <w:szCs w:val="28"/>
          <w:rtl w:val="true"/>
          <w:lang w:bidi="ar-SA"/>
        </w:rPr>
        <w:t>بكتب الضلال الكتب المنسوخة السماوية وإن لم تكن محرّفةً، كالتوراة والإنجيل والزبور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إطلاقه مشكل؛ لأنّ الإضلال بها مع معلومية حالها بين المسلمين بعيد؛ بل لا يكاد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واستعمالها لغرض صحيح لا بأس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الاطلاع عليها لإبطال مذهب اليهود بما فيها، وللردّ عليهم والإنكار على مذهبهم </w:t>
      </w:r>
      <w:bookmarkStart w:id="105" w:name="pg19000_245160"/>
    </w:p>
    <w:p>
      <w:pPr>
        <w:pStyle w:val="BookText"/>
        <w:rPr/>
      </w:pPr>
      <w:bookmarkEnd w:id="105"/>
      <w:r>
        <w:rPr>
          <w:rFonts w:ascii="Amiri" w:hAnsi="Amiri" w:eastAsia="Amiri" w:cs="Amiri"/>
          <w:color w:val="111111"/>
          <w:sz w:val="28"/>
          <w:sz w:val="28"/>
          <w:szCs w:val="28"/>
          <w:rtl w:val="true"/>
          <w:lang w:bidi="ar-SA"/>
        </w:rPr>
        <w:t>الذي لم يوافق الكتب السماوية؛ لتحريفهم إياها وتبديلهم ما فيها، فلاشك في رجحانه، كما يفعله اليوم علماؤنا، كما أنّ الردّ على المحرّف منه من أعظم الطاعات</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3372190_1280447820"/>
      <w:bookmarkStart w:id="107" w:name="_Toc41"/>
      <w:bookmarkEnd w:id="106"/>
      <w:r>
        <w:rPr>
          <w:rtl w:val="true"/>
        </w:rPr>
        <w:t>الثالث والثلاثون</w:t>
      </w:r>
      <w:r>
        <w:rPr>
          <w:rtl w:val="true"/>
        </w:rPr>
        <w:t xml:space="preserve">: </w:t>
      </w:r>
      <w:r>
        <w:rPr>
          <w:rtl w:val="true"/>
        </w:rPr>
        <w:t>في حرمة التكسّب بهجاء المؤمنين وأخذ الجعالة عليه وقبول العطايا لأجله</w:t>
      </w:r>
      <w:bookmarkEnd w:id="107"/>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بهجاء المؤمنين وأخذ الجعالة عليه وقبول العطايا لأجله؛ لحرمته في نفسه؛ للإجماع بقسميه </w:t>
      </w:r>
      <w:r>
        <w:rPr>
          <w:rStyle w:val="FootnoteAnchor"/>
          <w:rtl w:val="true"/>
        </w:rPr>
        <w:footnoteReference w:id="124"/>
      </w:r>
      <w:r>
        <w:rPr>
          <w:rFonts w:ascii="Amiri" w:hAnsi="Amiri" w:eastAsia="Amiri" w:cs="Amiri"/>
          <w:color w:val="111111"/>
          <w:sz w:val="28"/>
          <w:sz w:val="28"/>
          <w:szCs w:val="28"/>
          <w:rtl w:val="true"/>
          <w:lang w:bidi="ar-SA"/>
        </w:rPr>
        <w:t xml:space="preserve">، ولأنّه من إشاعة الفاحشة المنهي عنها كتاباً </w:t>
      </w:r>
      <w:r>
        <w:rPr>
          <w:rStyle w:val="FootnoteAnchor"/>
          <w:rtl w:val="true"/>
        </w:rPr>
        <w:footnoteReference w:id="125"/>
      </w:r>
      <w:r>
        <w:rPr>
          <w:rFonts w:ascii="Amiri" w:hAnsi="Amiri" w:eastAsia="Amiri" w:cs="Amiri"/>
          <w:color w:val="111111"/>
          <w:sz w:val="28"/>
          <w:sz w:val="28"/>
          <w:szCs w:val="28"/>
          <w:rtl w:val="true"/>
          <w:lang w:bidi="ar-SA"/>
        </w:rPr>
        <w:t xml:space="preserve">وسنّةٌ </w:t>
      </w:r>
      <w:r>
        <w:rPr>
          <w:rStyle w:val="FootnoteAnchor"/>
          <w:rtl w:val="true"/>
        </w:rPr>
        <w:footnoteReference w:id="126"/>
      </w:r>
      <w:r>
        <w:rPr>
          <w:rFonts w:ascii="Amiri" w:hAnsi="Amiri" w:eastAsia="Amiri" w:cs="Amiri"/>
          <w:color w:val="111111"/>
          <w:sz w:val="28"/>
          <w:sz w:val="28"/>
          <w:szCs w:val="28"/>
          <w:rtl w:val="true"/>
          <w:lang w:bidi="ar-SA"/>
        </w:rPr>
        <w:t xml:space="preserve">، ولما دلّ على لزوم تعظيم شعائر اللّه وتحريم هتك حرماته </w:t>
      </w:r>
      <w:r>
        <w:rPr>
          <w:rStyle w:val="FootnoteAnchor"/>
          <w:rtl w:val="true"/>
        </w:rPr>
        <w:footnoteReference w:id="127"/>
      </w:r>
      <w:r>
        <w:rPr>
          <w:rFonts w:ascii="Amiri" w:hAnsi="Amiri" w:eastAsia="Amiri" w:cs="Amiri"/>
          <w:color w:val="111111"/>
          <w:sz w:val="28"/>
          <w:sz w:val="28"/>
          <w:szCs w:val="28"/>
          <w:rtl w:val="true"/>
          <w:lang w:bidi="ar-SA"/>
        </w:rPr>
        <w:t xml:space="preserve">، وما دلّ على حرمة إيذاء المؤمن </w:t>
      </w:r>
      <w:r>
        <w:rPr>
          <w:rStyle w:val="FootnoteAnchor"/>
          <w:rtl w:val="true"/>
        </w:rPr>
        <w:footnoteReference w:id="128"/>
      </w:r>
      <w:r>
        <w:rPr>
          <w:rFonts w:ascii="Amiri" w:hAnsi="Amiri" w:eastAsia="Amiri" w:cs="Amiri"/>
          <w:color w:val="111111"/>
          <w:sz w:val="28"/>
          <w:sz w:val="28"/>
          <w:szCs w:val="28"/>
          <w:rtl w:val="true"/>
          <w:lang w:bidi="ar-SA"/>
        </w:rPr>
        <w:t xml:space="preserve">، وما دلّ على حرمة الظلم والفحش وإدخال النقص على المؤمن </w:t>
      </w:r>
      <w:r>
        <w:rPr>
          <w:rStyle w:val="FootnoteAnchor"/>
          <w:rtl w:val="true"/>
        </w:rPr>
        <w:footnoteReference w:id="129"/>
      </w:r>
      <w:r>
        <w:rPr>
          <w:rFonts w:ascii="Amiri" w:hAnsi="Amiri" w:eastAsia="Amiri" w:cs="Amiri"/>
          <w:color w:val="111111"/>
          <w:sz w:val="28"/>
          <w:sz w:val="28"/>
          <w:szCs w:val="28"/>
          <w:rtl w:val="true"/>
          <w:lang w:bidi="ar-SA"/>
        </w:rPr>
        <w:t xml:space="preserve">، وما دلّ على حرمة نفسه وماله وعرضه </w:t>
      </w:r>
      <w:r>
        <w:rPr>
          <w:rStyle w:val="FootnoteAnchor"/>
          <w:rtl w:val="true"/>
        </w:rPr>
        <w:footnoteReference w:id="130"/>
      </w:r>
      <w:r>
        <w:rPr>
          <w:rFonts w:ascii="Amiri" w:hAnsi="Amiri" w:eastAsia="Amiri" w:cs="Amiri"/>
          <w:color w:val="111111"/>
          <w:sz w:val="28"/>
          <w:sz w:val="28"/>
          <w:szCs w:val="28"/>
          <w:rtl w:val="true"/>
          <w:lang w:bidi="ar-SA"/>
        </w:rPr>
        <w:t xml:space="preserve">، وما دلّ على حرمة غيبته </w:t>
      </w:r>
      <w:r>
        <w:rPr>
          <w:rStyle w:val="FootnoteAnchor"/>
          <w:rtl w:val="true"/>
        </w:rPr>
        <w:footnoteReference w:id="131"/>
      </w:r>
      <w:r>
        <w:rPr>
          <w:rFonts w:ascii="Amiri" w:hAnsi="Amiri" w:eastAsia="Amiri" w:cs="Amiri"/>
          <w:color w:val="111111"/>
          <w:sz w:val="28"/>
          <w:sz w:val="28"/>
          <w:szCs w:val="28"/>
          <w:rtl w:val="true"/>
          <w:lang w:bidi="ar-SA"/>
        </w:rPr>
        <w:t xml:space="preserve">، وما دلّ على النهي عن الباطل </w:t>
      </w:r>
      <w:r>
        <w:rPr>
          <w:rStyle w:val="FootnoteAnchor"/>
          <w:rtl w:val="true"/>
        </w:rPr>
        <w:footnoteReference w:id="132"/>
      </w:r>
      <w:r>
        <w:rPr>
          <w:rFonts w:ascii="Amiri" w:hAnsi="Amiri" w:eastAsia="Amiri" w:cs="Amiri"/>
          <w:color w:val="111111"/>
          <w:sz w:val="28"/>
          <w:sz w:val="28"/>
          <w:szCs w:val="28"/>
          <w:rtl w:val="true"/>
          <w:lang w:bidi="ar-SA"/>
        </w:rPr>
        <w:t xml:space="preserve">، ولو وزن الحقّ والباطل لكان من الباطل، والنهي عن الاستهزاء به والغمز عليه </w:t>
      </w:r>
      <w:r>
        <w:rPr>
          <w:rStyle w:val="FootnoteAnchor"/>
          <w:rtl w:val="true"/>
        </w:rPr>
        <w:footnoteReference w:id="133"/>
      </w:r>
      <w:r>
        <w:rPr>
          <w:rFonts w:ascii="Amiri" w:hAnsi="Amiri" w:eastAsia="Amiri" w:cs="Amiri"/>
          <w:color w:val="111111"/>
          <w:sz w:val="28"/>
          <w:sz w:val="28"/>
          <w:szCs w:val="28"/>
          <w:rtl w:val="true"/>
          <w:lang w:bidi="ar-SA"/>
        </w:rPr>
        <w:t>، ولأنّه غالباً من لهو الحديث وقول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الذين لم يخالفوا ضروريّاً إسلامياً ولا ضروريّاً إيمانياً، ولم يكونوا من أهل البدع والأهواء والخروج عن آراء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مستضعفوهم بهم، وأولادهم المميزون، بل ومجانينهم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هجاء النوع والعشيرة والصنف والشخص، ولا بين الميت والحيّ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لفظ الهجاء بالشعر القريض وغيره حتّى ما يُسمّى اليوم بنداً ولو شطراً واحداً </w:t>
      </w:r>
      <w:r>
        <w:rPr>
          <w:rStyle w:val="FootnoteAnchor"/>
          <w:rtl w:val="true"/>
        </w:rPr>
        <w:footnoteReference w:id="134"/>
      </w:r>
      <w:r>
        <w:rPr>
          <w:rFonts w:ascii="Amiri" w:hAnsi="Amiri" w:eastAsia="Amiri" w:cs="Amiri"/>
          <w:color w:val="111111"/>
          <w:sz w:val="28"/>
          <w:sz w:val="28"/>
          <w:szCs w:val="28"/>
          <w:rtl w:val="true"/>
          <w:lang w:bidi="ar-SA"/>
        </w:rPr>
        <w:t xml:space="preserve">، أو يعم حتّى النثر ؟ ظاهر جملة من كلام أهل اللغة </w:t>
      </w:r>
      <w:r>
        <w:rPr>
          <w:rStyle w:val="FootnoteAnchor"/>
          <w:rtl w:val="true"/>
        </w:rPr>
        <w:footnoteReference w:id="135"/>
      </w:r>
      <w:r>
        <w:rPr>
          <w:rFonts w:ascii="Amiri" w:hAnsi="Amiri" w:eastAsia="Amiri" w:cs="Amiri"/>
          <w:color w:val="111111"/>
          <w:sz w:val="28"/>
          <w:sz w:val="28"/>
          <w:szCs w:val="28"/>
          <w:rtl w:val="true"/>
          <w:lang w:bidi="ar-SA"/>
        </w:rPr>
        <w:t>اختصاصه بالشعر، وربما يساعده العرف</w:t>
      </w:r>
      <w:r>
        <w:rPr>
          <w:rFonts w:eastAsia="Amiri" w:cs="Amiri" w:ascii="Amiri" w:hAnsi="Amiri"/>
          <w:color w:val="111111"/>
          <w:sz w:val="28"/>
          <w:szCs w:val="28"/>
          <w:rtl w:val="true"/>
          <w:lang w:bidi="ar-SA"/>
        </w:rPr>
        <w:t xml:space="preserve">. </w:t>
      </w:r>
      <w:bookmarkStart w:id="108" w:name="pg19000_245161"/>
    </w:p>
    <w:p>
      <w:pPr>
        <w:pStyle w:val="BookText"/>
        <w:rPr/>
      </w:pPr>
      <w:bookmarkEnd w:id="108"/>
      <w:r>
        <w:rPr>
          <w:rFonts w:ascii="Amiri" w:hAnsi="Amiri" w:eastAsia="Amiri" w:cs="Amiri"/>
          <w:color w:val="111111"/>
          <w:sz w:val="28"/>
          <w:sz w:val="28"/>
          <w:szCs w:val="28"/>
          <w:rtl w:val="true"/>
          <w:lang w:bidi="ar-SA"/>
        </w:rPr>
        <w:t>وقد يلحق بالشعر المسجّع من الكلام النثري القابل رسمه في الدواوين والكتب، بل يُسمّى هجاء في عرفنا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هجا شخصاً معيناً عنده غير معين عند السامعين حرم، لكنه أقلّ وِزْراً 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هجا شخصاً موهوماً وواحداً لا بعينه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هجا غير المؤمن من المشركين والمستضعفين منهم جاز، وقد ورد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حساناً بهجوهم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أشدّ عليهم من رشق النبال</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يجوز سبّهم وشتمهم ولعنهم ما لم يكن فحشاً أو قذفاً غير جامع لشرائط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هجا كافراً فآمن، ففي وجوب محوه وجوب محوه كفايةً، أو على الفاعل أو العدم وجوه وفي الأخير قوة،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هجا مؤمناً فكفر جاز إبقاؤه، ومع بقائه مؤمناً يجب محوه على الفاعل، وفي وجوبه كفاية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والهجاء هو ذكر المعايب الواقعية، ولا يبعد شموله للكاذبة، وعلى كلّ حال فهي أعظم وِزْراً؛ لزيادة الكذب المحرَّم على المحرَّم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هجو الفرق الضالة فمن العبادة؛ لمساواتهم للمشركين في عاقبة الأمر، وللسيرة القطعية في صدور ذلك زمن خلفاء بني أُميّة والعباسيين وأتباعهم، وتقرير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للشعراء الهاجين لهم، ولو لم يكن إلا ما صدر من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وأتباعه وجلسائه مما هو أعظم من الهجو وأبسط لكفي، وما ورد من شتمهم وسبهم وأنّهم أنجس من الكلاب وأنّهم مجوس هذه الأمة </w:t>
      </w:r>
      <w:r>
        <w:rPr>
          <w:rStyle w:val="FootnoteAnchor"/>
          <w:rtl w:val="true"/>
        </w:rPr>
        <w:footnoteReference w:id="137"/>
      </w:r>
      <w:r>
        <w:rPr>
          <w:rFonts w:ascii="Amiri" w:hAnsi="Amiri" w:eastAsia="Amiri" w:cs="Amiri"/>
          <w:color w:val="111111"/>
          <w:sz w:val="28"/>
          <w:sz w:val="28"/>
          <w:szCs w:val="28"/>
          <w:rtl w:val="true"/>
          <w:lang w:bidi="ar-SA"/>
        </w:rPr>
        <w:t>، أصرح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بالفِرق الضالة مَنْ تدين بدينهم وارتكب طريقهم واحتذا حذوهم من غير أو داع وإن اعتقد الحقّ بقلبه، وأولئك هم المنافقون الذين جحدوا بها واستيقنتها أنفسهم</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3372192_1280447820"/>
      <w:bookmarkStart w:id="110" w:name="_Toc42"/>
      <w:bookmarkEnd w:id="109"/>
      <w:r>
        <w:rPr>
          <w:rtl w:val="true"/>
        </w:rPr>
        <w:t>الرابع والثلاثون</w:t>
      </w:r>
      <w:r>
        <w:rPr>
          <w:rtl w:val="true"/>
        </w:rPr>
        <w:t xml:space="preserve">: </w:t>
      </w:r>
      <w:r>
        <w:rPr>
          <w:rtl w:val="true"/>
        </w:rPr>
        <w:t>في بيان ما استثني من حرمة الهجاء</w:t>
      </w:r>
      <w:bookmarkEnd w:id="1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يستثنى من حرمة الهجاء ما كان رافعاً للمنكر المصرّ عليه صاحبه؛ لما دلّ على لزوم النهي عن المنكر، ولأنّه إحسان لرفعه عن الضرر الأُخروي بجزئي من الضرر الدنيوي</w:t>
      </w:r>
      <w:r>
        <w:rPr>
          <w:rFonts w:eastAsia="Amiri" w:cs="Amiri" w:ascii="Amiri" w:hAnsi="Amiri"/>
          <w:color w:val="111111"/>
          <w:sz w:val="28"/>
          <w:szCs w:val="28"/>
          <w:rtl w:val="true"/>
          <w:lang w:bidi="ar-SA"/>
        </w:rPr>
        <w:t xml:space="preserve">. </w:t>
      </w:r>
      <w:bookmarkStart w:id="111" w:name="pg19000_245162"/>
    </w:p>
    <w:p>
      <w:pPr>
        <w:pStyle w:val="BookText"/>
        <w:rPr/>
      </w:pPr>
      <w:bookmarkEnd w:id="111"/>
      <w:r>
        <w:rPr>
          <w:rFonts w:ascii="Amiri" w:hAnsi="Amiri" w:eastAsia="Amiri" w:cs="Amiri"/>
          <w:color w:val="111111"/>
          <w:sz w:val="28"/>
          <w:sz w:val="28"/>
          <w:szCs w:val="28"/>
          <w:rtl w:val="true"/>
          <w:lang w:bidi="ar-SA"/>
        </w:rPr>
        <w:t xml:space="preserve">وهو كما ترى موقوف على ترجيح أحد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وهو ما دلّ على حرمة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يستثنى ما كان لرفع ضرر دنيوي عن نفس أو عرض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في الأوّل والثاني، وأما الثالث فإشكال وإن رضي به المهجو؛ لأنّه حق إلهي لا يسقط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يستثنى المتجاهر بالفسق، ولا يبعد جواز ذلك فيما تجاهر به، أما ما لم يتجاهر به فعموم تحريم الهجاء أقوى من دليل جواز غيبة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يستثنى الإنشاد بل لو نوى بإنشاده هجو معيّن كان كإنشائه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 محوه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الهجو فيه معنى إنشائي يزيد على الغيبة، كالإنشاء الحاصل من اللعن والسبّ والشتم والقذف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يستثنى الظلمة الغاصبون لمنصب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وأتباعهم من حرمة هجاء المؤمنين وإن كانوا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لا يدين به مَنْ خاف مقام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يستثنى هجو الهاجي من المهجو؛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ومن غيره تأديباً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يستثنى الهاجي نفسه؛ للشكّ في دخوله تحت أدلة تحريم الهجو</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3372194_1280447820"/>
      <w:bookmarkStart w:id="113" w:name="_Toc43"/>
      <w:bookmarkEnd w:id="112"/>
      <w:r>
        <w:rPr>
          <w:rtl w:val="true"/>
        </w:rPr>
        <w:t>الخامس والثلاثون</w:t>
      </w:r>
      <w:r>
        <w:rPr>
          <w:rtl w:val="true"/>
        </w:rPr>
        <w:t xml:space="preserve">: </w:t>
      </w:r>
      <w:r>
        <w:rPr>
          <w:rtl w:val="true"/>
        </w:rPr>
        <w:t>في حرمة التكسّب بالكذب</w:t>
      </w:r>
      <w:bookmarkEnd w:id="113"/>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لحرمته في نفسه الكذب، فلا تجوز المعاملة ولا العطاء لأجله، ولا بذل المال للكاذب من جهة كذبه، وحرمته من البديهيات والضروريات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في الأحكام الشرعيَّة من أعظم المعاصي، وكذا عليهم في غيرها وإن كان الأوّل أشد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الكذب على العلماء في الأحكام الشرعيَّة وفي غيرها، وإن كان في الأوّل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كذب حرام، وقد يتضاعف إثمه بتضاعف المكذوب والكاذب والمكذوب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في الكذب من مخاطب عاقل، فلو ألقى كلاماً لنفسه من دون مخاطب، أو خاطب مَنْ لا يعقل فلا بأس، إلا إذا قصد بذلك إفهام مَنْ يعقل وإغراءه بالجهل، فلا يبعد أن حكمه حكم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الكتابة من الكذب بل حكمها حكمه للإغراء بالجهل، ولو كانت موضوعةً على الدوام كانت أعظم ذنباً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والمبالغة من الكذب، إلا إذا ظهرت قرينتها لدى المخاطب، أو كان الشيء من شأنه المبالغة، كالمدح والقدح في الشعر والنثر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إظهار قرينة المبالغة بعد العلم بحسب العادة أن المقام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نظم القوافي من معادنها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 إذا لم تفهم البقر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ومَنْ ألقى كلاماً له ظاهر ولكن المخاطب يفهم غيره لم يكن كذباً، ويمكن تعلّق الإثم به؛ لمكان الإغراء بالجهل، ويمكن أنّه لم يُغرِه وإنّما أغرى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خاطب شخصاً كذباً يعلم المخاطب كذبه ليسمع غيره فيعتقد الظاهر ليس كذباً، ولكن لا يخلو من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أخبر بالظاهر عازماً على القرينة فنسأها 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عمد على عدم القرينة كان كاذباً وإن استدركها بعد ذلك، ومن عزم على القرينة في مقام كلامه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عزم على القرينة بعد الخطاب بمدة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أنشأ كلاماً إنشائياً يتضمن خبراً كاذباً دخل في الكذب حكماً لا رسماً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فإن قصد بيان أن زيداً موجود وليس كذلك وكان موجهاً لإفهام المعين، كان بحكم الكذب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والأفعال الظاهرة في شيءٍ غير مطابق للواقع بحكم الكذب، ولا تدخل في اسمه، فمَنْ لبس عمامة خضراء لبيان أنّه سيّد، أو تحنّك لإظهار تقدّسه، أو لزم السبحة، أو وضع كتاباً في يده لإظهار أنّه عالم، أو لبس ثياباً فاخرة لإظهار أنّه غني، أو بالعكس لإظهار فقره، وكان على خلاف، دخل في حكم الكذب حكماً لا رسماً</w:t>
      </w:r>
      <w:r>
        <w:rPr>
          <w:rFonts w:eastAsia="Amiri" w:cs="Amiri" w:ascii="Amiri" w:hAnsi="Amiri"/>
          <w:color w:val="111111"/>
          <w:sz w:val="28"/>
          <w:szCs w:val="28"/>
          <w:rtl w:val="true"/>
          <w:lang w:bidi="ar-SA"/>
        </w:rPr>
        <w:t xml:space="preserve">. </w:t>
      </w:r>
      <w:bookmarkStart w:id="114" w:name="pg19000_245164"/>
    </w:p>
    <w:p>
      <w:pPr>
        <w:pStyle w:val="BookText"/>
        <w:rPr/>
      </w:pPr>
      <w:bookmarkEnd w:id="114"/>
      <w:r>
        <w:rPr>
          <w:rFonts w:ascii="Amiri" w:hAnsi="Amiri" w:eastAsia="Amiri" w:cs="Amiri"/>
          <w:color w:val="111111"/>
          <w:sz w:val="28"/>
          <w:sz w:val="28"/>
          <w:szCs w:val="28"/>
          <w:rtl w:val="true"/>
          <w:lang w:bidi="ar-SA"/>
        </w:rPr>
        <w:t>ومَنْ أتى بظاهر وأراد ظاهره ولم يكن مطابقاً للواقع فهو كذب قطعاً، وإن لم يرد ظاهره ولم ينصب قرينة فهو إما كذب أو حكمه حكمه، ولو دار الأمر بين الأوّل والأخير للضرورة أو التقيّة لزم إرادة الأخير، وقد يُسمّى ذلك بالتورية، وقد تكون التورية في إرادة أحد معنيي المشترك من دون بيانه، ولا إثم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مجمل أُريد به أحد معانيه فليس من الكذب، إلا أن يكون له ظاهر وأُريد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للكذب لحفظ نفس أو مال أو عرض جاز، ولا يبعد لزوم التورية وإرادة المجاز ولو لأبعد العلائق؛ لأنّها أقلّ 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مزح كاذباً ولم ينصب قرينة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أتكلّم به اليوم كذب، فتكلّم صادقاً، كذب في الأوّل ولا إثم على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اليوم صدق وكذب، فلا يبعد عدم الإثم بكذبه؛ لعدم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نقل عمن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لم يكن كاذباً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فلان؟ وجهان،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حكماً،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على سيد الشهداء للبكاء ونحوه، ولا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للتعظيم وإظهار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حدّث نفسه حديثاً كذباً فليس كاذباً حكماً ولا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وإظهار قضاء الحاجة للعيال وتفريحهم ووعدهم بالجميل ليس من الكذب حكماً؛ لجريان العادة به، بل ولا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والمخبر عن شكٍّ كاذب، وعن ظن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ذلك، وهو ليس كذلك، كان كاذباً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نفس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أحتمل أو أشكّ</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3372196_1280447820"/>
      <w:bookmarkStart w:id="116" w:name="_Toc44"/>
      <w:bookmarkEnd w:id="115"/>
      <w:r>
        <w:rPr>
          <w:rtl w:val="true"/>
        </w:rPr>
        <w:t>السادس والثلاثون</w:t>
      </w:r>
      <w:r>
        <w:rPr>
          <w:rtl w:val="true"/>
        </w:rPr>
        <w:t xml:space="preserve">: </w:t>
      </w:r>
      <w:r>
        <w:rPr>
          <w:rtl w:val="true"/>
        </w:rPr>
        <w:t>في حرمة التكسّب بسب المؤمنين وبيان ما استثني من حرمة سبّهم</w:t>
      </w:r>
      <w:bookmarkEnd w:id="11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والثلاثون ممّا يحرم التكسّب به سبُّ المؤمنين، كما يفعل بعض العصاة لأخذ الأموال من المخالفين والأعداء والظالمين، وهو حرام لنفسه كتاباً </w:t>
      </w:r>
      <w:r>
        <w:rPr>
          <w:rStyle w:val="FootnoteAnchor"/>
          <w:rtl w:val="true"/>
        </w:rPr>
        <w:footnoteReference w:id="140"/>
      </w:r>
      <w:r>
        <w:rPr>
          <w:rFonts w:ascii="Amiri" w:hAnsi="Amiri" w:eastAsia="Amiri" w:cs="Amiri"/>
          <w:color w:val="111111"/>
          <w:sz w:val="28"/>
          <w:sz w:val="28"/>
          <w:szCs w:val="28"/>
          <w:rtl w:val="true"/>
          <w:lang w:bidi="ar-SA"/>
        </w:rPr>
        <w:t xml:space="preserve">وسنة </w:t>
      </w:r>
      <w:r>
        <w:rPr>
          <w:rStyle w:val="FootnoteAnchor"/>
          <w:rtl w:val="true"/>
        </w:rPr>
        <w:footnoteReference w:id="141"/>
      </w:r>
      <w:r>
        <w:rPr>
          <w:rFonts w:ascii="Amiri" w:hAnsi="Amiri" w:eastAsia="Amiri" w:cs="Amiri"/>
          <w:color w:val="111111"/>
          <w:sz w:val="28"/>
          <w:sz w:val="28"/>
          <w:szCs w:val="28"/>
          <w:rtl w:val="true"/>
          <w:lang w:bidi="ar-SA"/>
        </w:rPr>
        <w:t xml:space="preserve">وإجماعاً؛ لاشتماله على الظلم وإيذاء المؤمن وهتك حرمته وإفشاء الفاحشة عليه، وورد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17" w:name="pg19000_245165"/>
    </w:p>
    <w:p>
      <w:pPr>
        <w:pStyle w:val="BookText"/>
        <w:rPr/>
      </w:pPr>
      <w:bookmarkEnd w:id="117"/>
      <w:r>
        <w:rPr>
          <w:rFonts w:ascii="Amiri" w:hAnsi="Amiri" w:eastAsia="Amiri" w:cs="Amiri"/>
          <w:color w:val="111111"/>
          <w:sz w:val="28"/>
          <w:sz w:val="28"/>
          <w:szCs w:val="28"/>
          <w:rtl w:val="true"/>
          <w:lang w:bidi="ar-SA"/>
        </w:rPr>
        <w:t>ولا يتفاوت بين التقيّ منهم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يستثنى المتجاهر منهم بالمعاصي الكبائر والظالم لغيره، سيّما الغاصبين لمنصب الشارع، والتابعين لهم؛ لجريان السيرة على لعنهم، ولأنهم قد أسقطوا حرمتهم بفعلهم وظلمهم وتجاهرهم، ولأنّ الكتاب والسنّة مشحونان بلعن الظالمين والغاصبين لحق الأئمّة، وأشياعهم وأتباعهم، ويدخل المستضعفون منهم فيهم، وكذا أولادهم المميزون، بل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ماكان لمصلحة دنيوية أو أُخروية ترجح على قبح فعله، من أمر بالمعروف ونهي عن المنكر، أو حفظ نفس المسبوب أو عرضه أو ماله، أو حفظ نفس محترمة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أبوه كافراً جاز سبّ الأب منفرداً بحيث لا يكون سباً للولد وإهانة له، فلو قال لمن كان أبوه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أباك، جاز، وإن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ملعون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بالسب كلّ ما يقضي بالإهانة من قول أو إشارة بغمز، بل وكتابة مع القصد إليها في وجه، من لعن أو تقبيح أو ذكر عيب، قاصداً به إنشاء الإهانة به كي يفارق الغيبة،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يا دني يا أقرع، وكذا لو أبرزه بصورة دعاء عليه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بخطاب وقد يكون بغيبةٍ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لو شبهه بالحمار أو بالكلب أو أطلق عليه الكلب أو الكافر أو الشيطان، أو بعض الكفرة كفرعون ويزيد والشمر، أو أطلق عليه أوصافاً رديئة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طبلكي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حبّاب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يدخل في حد القذف فيكون قذفاً وسبّاً، أو نفى عنه الأوصاف الحسنة، كقليل الحياء والمروءة والعفّة والديانة والأمانة، وكثيراً ما يطلق عليه لفظ الشتم له أو لأبيه من هذا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يختص لفظ الشتم بنسبة القبيح لأبيه المنسوب إليه، أو اللعن ومثله حين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الشتم كحكم السبّ</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3372198_1280447820"/>
      <w:bookmarkStart w:id="119" w:name="_Toc45"/>
      <w:bookmarkEnd w:id="118"/>
      <w:r>
        <w:rPr>
          <w:rtl w:val="true"/>
        </w:rPr>
        <w:t>السابع والثلاثون</w:t>
      </w:r>
      <w:r>
        <w:rPr>
          <w:rtl w:val="true"/>
        </w:rPr>
        <w:t xml:space="preserve">: </w:t>
      </w:r>
      <w:r>
        <w:rPr>
          <w:rtl w:val="true"/>
        </w:rPr>
        <w:t>في حرمة التكسّب بالنميمة وبيان ما استثني منها</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النميمة، كما يفعله الأسافل لتحصيل المال من جهتها ولها جعالة أو مواطأة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حرام كتاباً </w:t>
      </w:r>
      <w:r>
        <w:rPr>
          <w:rStyle w:val="FootnoteAnchor"/>
          <w:rtl w:val="true"/>
        </w:rPr>
        <w:footnoteReference w:id="143"/>
      </w:r>
      <w:r>
        <w:rPr>
          <w:rFonts w:ascii="Amiri" w:hAnsi="Amiri" w:eastAsia="Amiri" w:cs="Amiri"/>
          <w:color w:val="111111"/>
          <w:sz w:val="28"/>
          <w:sz w:val="28"/>
          <w:szCs w:val="28"/>
          <w:rtl w:val="true"/>
          <w:lang w:bidi="ar-SA"/>
        </w:rPr>
        <w:t xml:space="preserve">وسنة </w:t>
      </w:r>
      <w:r>
        <w:rPr>
          <w:rStyle w:val="FootnoteAnchor"/>
          <w:rtl w:val="true"/>
        </w:rPr>
        <w:footnoteReference w:id="144"/>
      </w:r>
      <w:r>
        <w:rPr>
          <w:rFonts w:ascii="Amiri" w:hAnsi="Amiri" w:eastAsia="Amiri" w:cs="Amiri"/>
          <w:color w:val="111111"/>
          <w:sz w:val="28"/>
          <w:sz w:val="28"/>
          <w:szCs w:val="28"/>
          <w:rtl w:val="true"/>
          <w:lang w:bidi="ar-SA"/>
        </w:rPr>
        <w:t xml:space="preserve">وإجماعاً بقسميه </w:t>
      </w:r>
      <w:r>
        <w:rPr>
          <w:rStyle w:val="FootnoteAnchor"/>
          <w:rtl w:val="true"/>
        </w:rPr>
        <w:footnoteReference w:id="145"/>
      </w:r>
      <w:r>
        <w:rPr>
          <w:rFonts w:ascii="Amiri" w:hAnsi="Amiri" w:eastAsia="Amiri" w:cs="Amiri"/>
          <w:color w:val="111111"/>
          <w:sz w:val="28"/>
          <w:sz w:val="28"/>
          <w:szCs w:val="28"/>
          <w:rtl w:val="true"/>
          <w:lang w:bidi="ar-SA"/>
        </w:rPr>
        <w:t xml:space="preserve">، وورد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النمام أشرّ مَنْ وطئ الأرض بقدمه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وغالباً هي مثار الفتنة التي تحريمها نطق به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السحر الذي يفرّق بها بين المتحابين، ويعادى بها بين المتصافين، ويسفك بها الدماء، ويهدم بها الدور، ويكشف بها الستور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ويستثنى منها ما كان بين المشركين أو لإطفاء نائرة المخالفين أو اشتغالهم عن محاربة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 اللّه الظالمين بالظالمين وأخرجنا منهم سالمين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لتخليص نفسه أو عرضه أو ماله أو نفس محترمة أو عرض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بالنميمة حمل ما يسيء ولو كان صدقاً من شخص لآخر، ليوقع بينهما الشحناء والعداوة بقول أو فعل أو بكتابةٍ، سواء كان نقل أحوال أو نقل أفعال لآخر ليترتب عليه ما ذكر، كمن يذكر أفعال زوج مع إحدى زوجاته من المحاسن لضرتها </w:t>
      </w:r>
      <w:r>
        <w:rPr>
          <w:rStyle w:val="FootnoteAnchor"/>
          <w:rtl w:val="true"/>
        </w:rPr>
        <w:footnoteReference w:id="149"/>
      </w:r>
      <w:r>
        <w:rPr>
          <w:rFonts w:ascii="Amiri" w:hAnsi="Amiri" w:eastAsia="Amiri" w:cs="Amiri"/>
          <w:color w:val="111111"/>
          <w:sz w:val="28"/>
          <w:sz w:val="28"/>
          <w:szCs w:val="28"/>
          <w:rtl w:val="true"/>
          <w:lang w:bidi="ar-SA"/>
        </w:rPr>
        <w:t>كي تقع الفتنة بين الزوج وزوجته أو الزوجتين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نقل ما يفعله أحد الإخوة أو المتحابين بعضاً مع بعض لآخر كي يفتتنا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نقل ما تكلّم به شخص على آخر بوجه من الوجوه المكدرة، أو أخبره أنّه استغابه أو أعاب عليه، أو أنّه يكرهه أو يحسده أو نحو ذلك صادقاً أو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كاذباً يزيد ذنبه؛ لمكان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يدخل فيها ذكر المعايب المنفّرة بين المتحابين والمؤدّية للكراهة بين المتوادين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النميمة نصح المستشير، بل نصح المؤمن إذا خيف عليه من الآخر فأنذره وحذره، وكان قصده ذلك من أفضل الطاعات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تجريد النفس من مخايل الشيطان في مثل هذه وأمثالها</w:t>
      </w:r>
      <w:r>
        <w:rPr>
          <w:rFonts w:eastAsia="Amiri" w:cs="Amiri" w:ascii="Amiri" w:hAnsi="Amiri"/>
          <w:color w:val="111111"/>
          <w:sz w:val="28"/>
          <w:szCs w:val="28"/>
          <w:rtl w:val="true"/>
          <w:lang w:bidi="ar-SA"/>
        </w:rPr>
        <w:t xml:space="preserve">. </w:t>
      </w:r>
      <w:bookmarkStart w:id="120" w:name="pg19000_245167"/>
    </w:p>
    <w:p>
      <w:pPr>
        <w:pStyle w:val="BookText"/>
        <w:rPr/>
      </w:pPr>
      <w:bookmarkEnd w:id="120"/>
      <w:r>
        <w:rPr>
          <w:rFonts w:ascii="Amiri" w:hAnsi="Amiri" w:eastAsia="Amiri" w:cs="Amiri"/>
          <w:color w:val="111111"/>
          <w:sz w:val="28"/>
          <w:sz w:val="28"/>
          <w:szCs w:val="28"/>
          <w:rtl w:val="true"/>
          <w:lang w:bidi="ar-SA"/>
        </w:rPr>
        <w:t>وقد يدخل فيها كشف السرّ الذي ينبغي صونه وكتمانه على المؤمن؛ لأنّه قد يترتّب عليه قتل النفوس وهتك الأعراض،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تمتع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وأهلها ممّن يشينهم ذلك،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معشوق لفلان، أو فلانة معشوقة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حكم الفتنة التي هي أكبر من القتل، وهي غالباً من الكبائر الموبقة</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3372200_1280447820"/>
      <w:bookmarkStart w:id="122" w:name="_Toc46"/>
      <w:bookmarkEnd w:id="121"/>
      <w:r>
        <w:rPr>
          <w:rtl w:val="true"/>
        </w:rPr>
        <w:t>الثامن والثلاثون</w:t>
      </w:r>
      <w:r>
        <w:rPr>
          <w:rtl w:val="true"/>
        </w:rPr>
        <w:t xml:space="preserve">: </w:t>
      </w:r>
      <w:r>
        <w:rPr>
          <w:rtl w:val="true"/>
        </w:rPr>
        <w:t>في حرمة التكسّب بالنفاق</w:t>
      </w:r>
      <w:bookmarkEnd w:id="122"/>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التكسّب به النفاق، وهو أخذ المال ممّن يريه المودة والصداقة والنصح لتلك الغاية وهو من الأعداء المبغضين له والمريدين به السوء، والنفاق حرام لنفسه كتاباً </w:t>
      </w:r>
      <w:r>
        <w:rPr>
          <w:rStyle w:val="FootnoteAnchor"/>
          <w:rtl w:val="true"/>
        </w:rPr>
        <w:footnoteReference w:id="150"/>
      </w:r>
      <w:r>
        <w:rPr>
          <w:rFonts w:ascii="Amiri" w:hAnsi="Amiri" w:eastAsia="Amiri" w:cs="Amiri"/>
          <w:color w:val="111111"/>
          <w:sz w:val="28"/>
          <w:sz w:val="28"/>
          <w:szCs w:val="28"/>
          <w:rtl w:val="true"/>
          <w:lang w:bidi="ar-SA"/>
        </w:rPr>
        <w:t xml:space="preserve">وسنة </w:t>
      </w:r>
      <w:r>
        <w:rPr>
          <w:rStyle w:val="FootnoteAnchor"/>
          <w:rtl w:val="true"/>
        </w:rPr>
        <w:footnoteReference w:id="151"/>
      </w:r>
      <w:r>
        <w:rPr>
          <w:rFonts w:ascii="Amiri" w:hAnsi="Amiri" w:eastAsia="Amiri" w:cs="Amiri"/>
          <w:color w:val="111111"/>
          <w:sz w:val="28"/>
          <w:sz w:val="28"/>
          <w:szCs w:val="28"/>
          <w:rtl w:val="true"/>
          <w:lang w:bidi="ar-SA"/>
        </w:rPr>
        <w:t>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ذو اللسانين والوجهين الذي يتردّد بين متخاصمين فيري كلاً منهم المودّة وبغض الآخر وهو ليس منهما في شيء، وفي الخبر أنّه شر عباد الله، ويوم القيامة يجعل اللّه له لسانين من نار أحدهما من قدامه والآخر من قفاه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من حسن السلوك، ولا بأس به إذا لم ينافق ولم يذكر الآخر بسوء، ولم يُبطن غير 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إثماً لو اشتمل على الكذب وأكل المال بالباطل</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3372202_1280447820"/>
      <w:bookmarkStart w:id="124" w:name="_Toc47"/>
      <w:bookmarkEnd w:id="123"/>
      <w:r>
        <w:rPr>
          <w:rtl w:val="true"/>
        </w:rPr>
        <w:t>التاسع والثلاثون في حرمة التكسّب بمدح المذموم وذمّ الممدوح</w:t>
      </w:r>
      <w:bookmarkEnd w:id="124"/>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مدح المذموم وذم الممدوح، ولو اشتمل على الغيبة زاد الإثم، وكذا لو اشتمل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تحريمه من حيثية أن تعظيم من لا يستحق التعظيم قبيح كإهانة من لا يستحق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الفعل بالقول وجه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3372204_1280447820"/>
      <w:bookmarkStart w:id="126" w:name="_Toc48"/>
      <w:bookmarkEnd w:id="125"/>
      <w:r>
        <w:rPr>
          <w:rtl w:val="true"/>
        </w:rPr>
        <w:t>الأربعون</w:t>
      </w:r>
      <w:r>
        <w:rPr>
          <w:rtl w:val="true"/>
        </w:rPr>
        <w:t xml:space="preserve">: </w:t>
      </w:r>
      <w:r>
        <w:rPr>
          <w:rtl w:val="true"/>
        </w:rPr>
        <w:t>في حرمة التكسّب بالاستهزاء وسخرية المؤمن</w:t>
      </w:r>
      <w:bookmarkEnd w:id="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بالاستهزاء والسخرية بالمؤمن لإضحاك الخلق عليه وإحطاط </w:t>
      </w:r>
      <w:bookmarkStart w:id="127" w:name="pg19000_245168"/>
    </w:p>
    <w:p>
      <w:pPr>
        <w:pStyle w:val="BookText"/>
        <w:rPr/>
      </w:pPr>
      <w:bookmarkEnd w:id="127"/>
      <w:r>
        <w:rPr>
          <w:rFonts w:ascii="Amiri" w:hAnsi="Amiri" w:eastAsia="Amiri" w:cs="Amiri"/>
          <w:color w:val="111111"/>
          <w:sz w:val="28"/>
          <w:sz w:val="28"/>
          <w:szCs w:val="28"/>
          <w:rtl w:val="true"/>
          <w:lang w:bidi="ar-SA"/>
        </w:rPr>
        <w:t xml:space="preserve">قدره وإذهاب هيبته ورفعته، وهو حرام في نفسه كتاباً </w:t>
      </w:r>
      <w:r>
        <w:rPr>
          <w:rStyle w:val="FootnoteAnchor"/>
          <w:rtl w:val="true"/>
        </w:rPr>
        <w:footnoteReference w:id="153"/>
      </w:r>
      <w:r>
        <w:rPr>
          <w:rFonts w:ascii="Amiri" w:hAnsi="Amiri" w:eastAsia="Amiri" w:cs="Amiri"/>
          <w:color w:val="111111"/>
          <w:sz w:val="28"/>
          <w:sz w:val="28"/>
          <w:szCs w:val="28"/>
          <w:rtl w:val="true"/>
          <w:lang w:bidi="ar-SA"/>
        </w:rPr>
        <w:t xml:space="preserve">وسنّةٌ </w:t>
      </w:r>
      <w:r>
        <w:rPr>
          <w:rStyle w:val="FootnoteAnchor"/>
          <w:rtl w:val="true"/>
        </w:rPr>
        <w:footnoteReference w:id="154"/>
      </w:r>
      <w:r>
        <w:rPr>
          <w:rFonts w:ascii="Amiri" w:hAnsi="Amiri" w:eastAsia="Amiri" w:cs="Amiri"/>
          <w:color w:val="111111"/>
          <w:sz w:val="28"/>
          <w:sz w:val="28"/>
          <w:szCs w:val="28"/>
          <w:rtl w:val="true"/>
          <w:lang w:bidi="ar-SA"/>
        </w:rPr>
        <w:t>وإجماعاً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إيذاء المؤمن وعدم احترامه المأمور به وإهانته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بالقول بأن يضرب له أمثالاً مضحكة وتشابيه دنيئة، وبالفعل بأن يمدّ له لسانه، أو يفعل فعله الدنيء، ويغمض عينيه لو كان أعمى أو أعور، ويعوّج فمه أو يطلع لسانه لو كان مؤوفهما، أو يمشي مشيه، أو يحكي حكيه، أو يصيح صياحه، أو يأكل أكله، أو يشكل شكله، أو يتشكل كشكله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بالغمز عليه والرمز، وقد يكون بضربه بالنجاسة والخرقة، وقد يكون بقطع كلامه بالمضحكات، ويكون بإظهار عدم الاعتناء به على وجه يسخر به المجلس، ويكون بحمل المهزو به على كلام أو فعل إذا صدر منه ضحك الجالسون عليه لغباوة أو بلادة أو فهاهة، ويكون بكثرة الضحك عليه عند مواجهته، إلى غير ذلك مما يُسمّى عرفاً استهزاء أو سخرية؛ فيدخل في عموم النهي عن الاستهزاء وذمّ المستهزئين، وفي عموم النهي عن السخرية، وفي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ليقول الكلمة ليضحك بها المجلس فيهوى من السماء إلى الأرض</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ويحرم التكسّب بالفحش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والفحش في الكلام كما يقول العوام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إير الحمار بفرج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بدبر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فيه أو في أرحامه، وما شابه ذلك من الفحش والفحشاء والمنكر، المنهي عنه كتاباً </w:t>
      </w:r>
      <w:r>
        <w:rPr>
          <w:rStyle w:val="FootnoteAnchor"/>
          <w:rtl w:val="true"/>
        </w:rPr>
        <w:footnoteReference w:id="156"/>
      </w:r>
      <w:r>
        <w:rPr>
          <w:rFonts w:ascii="Amiri" w:hAnsi="Amiri" w:eastAsia="Amiri" w:cs="Amiri"/>
          <w:color w:val="111111"/>
          <w:sz w:val="28"/>
          <w:sz w:val="28"/>
          <w:szCs w:val="28"/>
          <w:rtl w:val="true"/>
          <w:lang w:bidi="ar-SA"/>
        </w:rPr>
        <w:t xml:space="preserve">وسنة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لفظ الفرج لو انفرد لم يكن فحشاً ولا حراماً، وكذا لو لم يحمل عليه لفظ يؤدي به إلى الفحش فلو قال 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منكِ كذا، لم يكن حراماً، أو لا يتجنّب عن ذلك، وتسميته فحشاً لا اعتبار به قط</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3372206_1280447820"/>
      <w:bookmarkStart w:id="129" w:name="_Toc49"/>
      <w:bookmarkEnd w:id="128"/>
      <w:r>
        <w:rPr>
          <w:rtl w:val="true"/>
        </w:rPr>
        <w:t>الواحد والأربعون</w:t>
      </w:r>
      <w:r>
        <w:rPr>
          <w:rtl w:val="true"/>
        </w:rPr>
        <w:t xml:space="preserve">: </w:t>
      </w:r>
      <w:r>
        <w:rPr>
          <w:rtl w:val="true"/>
        </w:rPr>
        <w:t>في حرمة التكسّب بالدعاء على المؤمنين كلاً أو بعضاً</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بالدعاء على المؤمنين كلاً أو بعضاً، ما عدا دعاء المظلوم لرفع ظلمه</w:t>
      </w:r>
      <w:r>
        <w:rPr>
          <w:rFonts w:eastAsia="Amiri" w:cs="Amiri" w:ascii="Amiri" w:hAnsi="Amiri"/>
          <w:color w:val="111111"/>
          <w:sz w:val="28"/>
          <w:szCs w:val="28"/>
          <w:rtl w:val="true"/>
          <w:lang w:bidi="ar-SA"/>
        </w:rPr>
        <w:t xml:space="preserve">. </w:t>
      </w:r>
      <w:bookmarkStart w:id="130" w:name="pg19000_245169"/>
    </w:p>
    <w:p>
      <w:pPr>
        <w:pStyle w:val="BookText"/>
        <w:rPr/>
      </w:pPr>
      <w:bookmarkEnd w:id="130"/>
      <w:r>
        <w:rPr>
          <w:rFonts w:ascii="Amiri" w:hAnsi="Amiri" w:eastAsia="Amiri" w:cs="Amiri"/>
          <w:color w:val="111111"/>
          <w:sz w:val="28"/>
          <w:sz w:val="28"/>
          <w:szCs w:val="28"/>
          <w:rtl w:val="true"/>
          <w:lang w:bidi="ar-SA"/>
        </w:rPr>
        <w:t>وهو حرام؛ لما فيه من الإيذاء وقصد إيصال الضرر لغير مستحقه، ولما فيه من الظلم والحنق والحقد وحبّ السوء في أخيه المؤمن والفجيعة والقطيعة، وتشتد في العلماء والأرحام والمحسنين</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3372208_1280447820"/>
      <w:bookmarkStart w:id="132" w:name="_Toc50"/>
      <w:bookmarkEnd w:id="131"/>
      <w:r>
        <w:rPr>
          <w:rtl w:val="true"/>
        </w:rPr>
        <w:t>الثاني والأربعون</w:t>
      </w:r>
      <w:r>
        <w:rPr>
          <w:rtl w:val="true"/>
        </w:rPr>
        <w:t xml:space="preserve">: </w:t>
      </w:r>
      <w:r>
        <w:rPr>
          <w:rtl w:val="true"/>
        </w:rPr>
        <w:t>في حرمة التكسّب بالمكر والخديعة والحيلة</w:t>
      </w:r>
      <w:bookmarkEnd w:id="132"/>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بالمكر والخديعة والحيلة، كما لو دفع مالاً لآخر ليمكر له بأخيه المؤمن فيريه القبيح حسناً فيقدم عليه، والحسن قبيحاً فينفر منه، ويوقعه بالمهلكات من حيث لا يشعر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يتفق معه في أمرٍ وبعد أن يقدمه عليه يتنحى عنه بما ينال به الضرر والفضيحة ونهب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الحِيَل بالكذب فتشتد حرمتها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والحيلة والمكر والخدع والخديعة جاءت بحرمتها عمومات الكتاب </w:t>
      </w:r>
      <w:r>
        <w:rPr>
          <w:rStyle w:val="FootnoteAnchor"/>
          <w:rtl w:val="true"/>
        </w:rPr>
        <w:footnoteReference w:id="158"/>
      </w:r>
      <w:r>
        <w:rPr>
          <w:rFonts w:ascii="Amiri" w:hAnsi="Amiri" w:eastAsia="Amiri" w:cs="Amiri"/>
          <w:color w:val="111111"/>
          <w:sz w:val="28"/>
          <w:sz w:val="28"/>
          <w:szCs w:val="28"/>
          <w:rtl w:val="true"/>
          <w:lang w:bidi="ar-SA"/>
        </w:rPr>
        <w:t xml:space="preserve">والسنّة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بالحيل الشرعيَّة المباحة للتوصل بها إلى مباح من تصحيح عقد أو إيقاع والفرار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فالحِيَل الجالبة للضرر على الغير بمكر وكذب غير الحيل الشرعيَّة التي يقصد بها الفرار من موضوعٍ شرعيٍّ إلى آخر، ومن حكم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الشيء الفرار من الحرام إلى الحلال، وكثير من أهل النفاق هم أهل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تجب الحيلة </w:t>
      </w:r>
      <w:r>
        <w:rPr>
          <w:rStyle w:val="FootnoteAnchor"/>
          <w:rtl w:val="true"/>
        </w:rPr>
        <w:footnoteReference w:id="160"/>
      </w:r>
      <w:r>
        <w:rPr>
          <w:rFonts w:ascii="Amiri" w:hAnsi="Amiri" w:eastAsia="Amiri" w:cs="Amiri"/>
          <w:color w:val="111111"/>
          <w:sz w:val="28"/>
          <w:sz w:val="28"/>
          <w:szCs w:val="28"/>
          <w:rtl w:val="true"/>
          <w:lang w:bidi="ar-SA"/>
        </w:rPr>
        <w:t>لتخليص نفس محترمة من القتل، وتجوز لتخليص المؤمن والمال، وتجوز لإدخال الضرر على المحاربين والمخالفين بتشتيت شملهم وتفريق جمعهم وإضعاف كلمتهم</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3372210_1280447820"/>
      <w:bookmarkStart w:id="134" w:name="_Toc51"/>
      <w:bookmarkEnd w:id="133"/>
      <w:r>
        <w:rPr>
          <w:rtl w:val="true"/>
        </w:rPr>
        <w:t>الثالث والأربعون في حرمة التكسّب بفعل المنافي للمروءة</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وأخذ المال عليه أو لأجله أو شرطه الضمني أو المصرح به فعل منافيات المروءة، ويُسمّى اليوم بالتشمّر، فيلعب ويهزأ بنفسه، ويهز رأسه وأعطافه، ويخرج الصوت من دبره وفمه وإبطيه، ويتقلب ويتكلم بالفحش من الكلام الغير اللائق بأهل المروءات</w:t>
      </w:r>
      <w:r>
        <w:rPr>
          <w:rFonts w:eastAsia="Amiri" w:cs="Amiri" w:ascii="Amiri" w:hAnsi="Amiri"/>
          <w:color w:val="111111"/>
          <w:sz w:val="28"/>
          <w:szCs w:val="28"/>
          <w:rtl w:val="true"/>
          <w:lang w:bidi="ar-SA"/>
        </w:rPr>
        <w:t xml:space="preserve">. </w:t>
      </w:r>
      <w:bookmarkStart w:id="135" w:name="pg19000_245170"/>
    </w:p>
    <w:p>
      <w:pPr>
        <w:pStyle w:val="BookText"/>
        <w:rPr/>
      </w:pPr>
      <w:bookmarkEnd w:id="135"/>
      <w:r>
        <w:rPr>
          <w:rFonts w:ascii="Amiri" w:hAnsi="Amiri" w:eastAsia="Amiri" w:cs="Amiri"/>
          <w:color w:val="111111"/>
          <w:sz w:val="28"/>
          <w:sz w:val="28"/>
          <w:szCs w:val="28"/>
          <w:rtl w:val="true"/>
          <w:lang w:bidi="ar-SA"/>
        </w:rPr>
        <w:t>ويدلّ على تحريمه ما دلّ على حرمة الفواحش ما ظهر وما بطن</w:t>
      </w:r>
      <w:r>
        <w:rPr>
          <w:rStyle w:val="FootnoteAnchor"/>
          <w:rtl w:val="true"/>
        </w:rPr>
        <w:footnoteReference w:id="161"/>
      </w:r>
      <w:r>
        <w:rPr>
          <w:rFonts w:ascii="Amiri" w:hAnsi="Amiri" w:eastAsia="Amiri" w:cs="Amiri"/>
          <w:color w:val="111111"/>
          <w:sz w:val="28"/>
          <w:sz w:val="28"/>
          <w:szCs w:val="28"/>
          <w:rtl w:val="true"/>
          <w:lang w:bidi="ar-SA"/>
        </w:rPr>
        <w:t xml:space="preserve">، ويشعر به ما جاء في الصمت والسكينة والوقار </w:t>
      </w:r>
      <w:r>
        <w:rPr>
          <w:rStyle w:val="FootnoteAnchor"/>
          <w:rtl w:val="true"/>
        </w:rPr>
        <w:footnoteReference w:id="162"/>
      </w:r>
      <w:r>
        <w:rPr>
          <w:rFonts w:ascii="Amiri" w:hAnsi="Amiri" w:eastAsia="Amiri" w:cs="Amiri"/>
          <w:color w:val="111111"/>
          <w:sz w:val="28"/>
          <w:sz w:val="28"/>
          <w:szCs w:val="28"/>
          <w:rtl w:val="true"/>
          <w:lang w:bidi="ar-SA"/>
        </w:rPr>
        <w:t>المشعر بالنهي عن منافيات المرؤة والأمر بما وافقها، وهو كثير، وإنّ الرجل ليأتي بالكلمة ليضحك بها المجلس فيهوى من السماء إلى الأرض</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3372212_1280447820"/>
      <w:bookmarkStart w:id="137" w:name="_Toc52"/>
      <w:bookmarkEnd w:id="136"/>
      <w:r>
        <w:rPr>
          <w:rtl w:val="true"/>
        </w:rPr>
        <w:t>الرابع والأربعون</w:t>
      </w:r>
      <w:r>
        <w:rPr>
          <w:rtl w:val="true"/>
        </w:rPr>
        <w:t xml:space="preserve">: </w:t>
      </w:r>
      <w:r>
        <w:rPr>
          <w:rtl w:val="true"/>
        </w:rPr>
        <w:t>في حرمة التكسّب بالغيبة</w:t>
      </w:r>
      <w:bookmarkEnd w:id="137"/>
    </w:p>
    <w:p>
      <w:pPr>
        <w:pStyle w:val="Heading6"/>
        <w:numPr>
          <w:ilvl w:val="5"/>
          <w:numId w:val="1"/>
        </w:numPr>
        <w:rPr/>
      </w:pPr>
      <w:bookmarkStart w:id="138" w:name="__RefHeading___Toc13372214_1280447820"/>
      <w:bookmarkStart w:id="139" w:name="_Toc53"/>
      <w:bookmarkEnd w:id="138"/>
      <w:r>
        <w:rPr>
          <w:rtl w:val="true"/>
        </w:rPr>
        <w:t>إشارة</w:t>
      </w:r>
      <w:r>
        <w:rPr>
          <w:rtl w:val="true"/>
        </w:rPr>
        <w:t>:</w:t>
      </w:r>
      <w:bookmarkEnd w:id="139"/>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التكسّب به لحرمة فعله كتاباً </w:t>
      </w:r>
      <w:r>
        <w:rPr>
          <w:rStyle w:val="FootnoteAnchor"/>
          <w:rtl w:val="true"/>
        </w:rPr>
        <w:footnoteReference w:id="164"/>
      </w:r>
      <w:r>
        <w:rPr>
          <w:rFonts w:ascii="Amiri" w:hAnsi="Amiri" w:eastAsia="Amiri" w:cs="Amiri"/>
          <w:color w:val="111111"/>
          <w:sz w:val="28"/>
          <w:sz w:val="28"/>
          <w:szCs w:val="28"/>
          <w:rtl w:val="true"/>
          <w:lang w:bidi="ar-SA"/>
        </w:rPr>
        <w:t xml:space="preserve">وسنة </w:t>
      </w:r>
      <w:r>
        <w:rPr>
          <w:rStyle w:val="FootnoteAnchor"/>
          <w:rtl w:val="true"/>
        </w:rPr>
        <w:footnoteReference w:id="165"/>
      </w:r>
      <w:r>
        <w:rPr>
          <w:rFonts w:ascii="Amiri" w:hAnsi="Amiri" w:eastAsia="Amiri" w:cs="Amiri"/>
          <w:color w:val="111111"/>
          <w:sz w:val="28"/>
          <w:sz w:val="28"/>
          <w:szCs w:val="28"/>
          <w:rtl w:val="true"/>
          <w:lang w:bidi="ar-SA"/>
        </w:rPr>
        <w:t xml:space="preserve">وإجماعاً بقسميه </w:t>
      </w:r>
      <w:r>
        <w:rPr>
          <w:rStyle w:val="FootnoteAnchor"/>
          <w:rtl w:val="true"/>
        </w:rPr>
        <w:footnoteReference w:id="166"/>
      </w:r>
      <w:r>
        <w:rPr>
          <w:rFonts w:ascii="Amiri" w:hAnsi="Amiri" w:eastAsia="Amiri" w:cs="Amiri"/>
          <w:color w:val="111111"/>
          <w:sz w:val="28"/>
          <w:sz w:val="28"/>
          <w:szCs w:val="28"/>
          <w:rtl w:val="true"/>
          <w:lang w:bidi="ar-SA"/>
        </w:rPr>
        <w:t xml:space="preserve">الغيبة، فيحرم أخذ المال لأجلها أو شرطها المصرح به أو الضمني، وورد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الزنى</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في الكتاب كأكل لحم الأخ ميتاً </w:t>
      </w:r>
      <w:r>
        <w:rPr>
          <w:rStyle w:val="FootnoteAnchor"/>
          <w:rtl w:val="true"/>
        </w:rPr>
        <w:footnoteReference w:id="168"/>
      </w:r>
      <w:r>
        <w:rPr>
          <w:rFonts w:ascii="Amiri" w:hAnsi="Amiri" w:eastAsia="Amiri" w:cs="Amiri"/>
          <w:color w:val="111111"/>
          <w:sz w:val="28"/>
          <w:sz w:val="28"/>
          <w:szCs w:val="28"/>
          <w:rtl w:val="true"/>
          <w:lang w:bidi="ar-SA"/>
        </w:rPr>
        <w:t xml:space="preserve">، وجعلها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لحم الكلب المنتن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إشعار باختصاصها بالمؤمنين الاثني عشرية؛ لتصديرها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وتشبيهها بأكل لحم الأخ، والإشعار لا يُنكر وإن لم يلزم من التشبيه بلحم الأخ كون المستغاب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تعليق الحكم على لفظ المؤمن </w:t>
      </w:r>
      <w:r>
        <w:rPr>
          <w:rStyle w:val="FootnoteAnchor"/>
          <w:rtl w:val="true"/>
        </w:rPr>
        <w:footnoteReference w:id="170"/>
      </w:r>
      <w:r>
        <w:rPr>
          <w:rFonts w:ascii="Amiri" w:hAnsi="Amiri" w:eastAsia="Amiri" w:cs="Amiri"/>
          <w:color w:val="111111"/>
          <w:sz w:val="28"/>
          <w:sz w:val="28"/>
          <w:szCs w:val="28"/>
          <w:rtl w:val="true"/>
          <w:lang w:bidi="ar-SA"/>
        </w:rPr>
        <w:t>، وهو لا يخلو من إشعار بالمؤمن من لفظ الناس والمسلم وإن لم يحمل العام على الخاص في المثبتين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لما دلّ على جواز سبّهم ولعنهم وإظهار معايبهم فعلاً وتقريراً من أئمّتنا وأنهم كالكلاب الممطورة، وأنّ من قدّم الجبت والطاغوت ناصبي، وأنّه أشدّ وأنجس من الكلب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وقع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وبين كثير من الصحابة مع مَنْ قابلهم وأخذ منصبهم ما فيه بلاغ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مال إليه المقدّس الأردبيلي ومَنْ تبعه من عموم حرمة الغيبة لغير الفرقة الاثني عشرية من المسلمين </w:t>
      </w:r>
      <w:r>
        <w:rPr>
          <w:rStyle w:val="FootnoteAnchor"/>
          <w:rtl w:val="true"/>
        </w:rPr>
        <w:footnoteReference w:id="172"/>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وموضوع الغيبة معروف بالعرف واللغة، وليس من الموضوعات التي تطرقها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أو تفعل فعلاً في أخيك يكرهه ويشينه ويسوؤه وينقصه بمعنى أن يكون 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تنطبق عبارات اللغويين والرواية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تذكر أخاك بما يكره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وإن قرئ بالمبني للمجهول أيضاً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شأنه أن يكره، وكذا مَنْ فسره بذكر العيوب 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قيد الشأنية تبين أنّه لو لم يكره المستغاب الغيبة ولم يؤثر فيه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لجلالته وعدم مبالاته، وعدم تأثير الغيبة فيه شيئاً من الأحوال التي هو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كره إظهار ماله أو عزّة قدره وعلو شأنه وانتسابه للتقوى والصلاح والعفاف فذكر بذلك لم يكن غيبة وإن كره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من العرف واللغة قيد الغيبة في الغيبة، فالحاضر يلحقه في الحكم لا في الاسم، ومَنْ فارقت روحه الدنيا كان كالغائب وإن كان قبل نقله لقبره، ومَنْ لا يسمع ولا يعقل كالمجنون فالظاهر أنّه مشارك للغائب اسماً وحكماً، ومَنْ كان وراء جدار أو ستر كان غائباً وإن سمع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الظاهر منها عمومها للقول والفعل، وفي الرواية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 لما أشارت إلى قصر امرأة بإيمائها بيدها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اغتبتيها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مع احتمال الاقتصار بها على القول، ومشاركة الفعل لها كتابةً أو إشارة بالحكم لا بالاسم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يدخل في القول التنبيه والتعريض والمفهوم والفحوى ونحوها من دلالات الألفاظ الالتزاميّة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دخول تحقق العيب فيه، فلو لم يكن فيه كان كذباً وبهتاناً، كما تدلّ عليه الرواية، بل ويقضي به كلام بعض أهل اللغة </w:t>
      </w:r>
      <w:r>
        <w:rPr>
          <w:rStyle w:val="FootnoteAnchor"/>
          <w:rtl w:val="true"/>
        </w:rPr>
        <w:footnoteReference w:id="175"/>
      </w:r>
      <w:r>
        <w:rPr>
          <w:rFonts w:ascii="IRNazanin" w:hAnsi="IRNazanin" w:eastAsia="IRNazanin"/>
          <w:color w:val="111111"/>
          <w:sz w:val="28"/>
          <w:sz w:val="28"/>
          <w:szCs w:val="28"/>
          <w:rtl w:val="true"/>
          <w:lang w:bidi="fa-IR"/>
        </w:rPr>
        <w:t>والعرف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دخول وجود السامع لها وفهمه الخطاب، فلو لم يكن سامعاً ولا فاهماً فالظاهر عدم الدخول في الحكم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دخول التعيين في اسمها وحكمها مع احتمال الدخول في الاسم والخروج عن الحكم، فلو ذكر لفظاً مجملاً بين محصور أو غيره لم يكن غيبة أو لم يكن محرّماً وإن أمكن للسامع بعد السؤال معرفته، وكذا لو قال رجل، أو أحد مَنْ في الدار، أو أحد أولاد فلان، والأحوط في المحصور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عينه باسمه الخاص أو لقبه أو كنيته أو بوصفه من دخول أو خروج أو مال أو حال بحيث لا يشاركه أحد، كانت غيبةٌ حكماً واسماً وإن لم يعرفه السامع ولم يشاهده ولا يصل إليه ولا يلاقيه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علّقه على مستقبل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الدار هذا اليوم فهو فاسق،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يجلس معي هذا المجلس فهو مغنّي، كان غيبة حكماً واسماً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ذم أهل قريةٍ، فإن أراد العموم كان غيبةً، وإن أراد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دخوله في الاسم والحكم، فلو ذكر أهل القرية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فسقة إلا واحد، كان غيبةً حكماً واسماً على الظاهر، والفرق بين هذا و وبين ما تقدَّم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الغيبة بذكر الوصف الرديء، والخلق الرديء، والتخلق الرديء، والأفعال الرديئة والآثار الرديئة، فكلّ ما يفيد شيئاً ونقصاً وعيباً ومهانة بنفي صفة حسنٍ أو إثبات صفة قبح فهو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يستثنى مما ذكر من موضوع الغيبة وحكمها أو اسمها فقط أو حكمها فقط أُمور، وما يُشكّ في دخوله تحت الاسم أهون ممّا يُشكّ في دخوله تحت الحكم، لتمسك ذلك بأصل البراءة، وافتقار هذا إلى تخصيص أدلّة تحريم الغيبة، فيحتاج إلى قوة المخصص</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المسألة في التخصيص إما على قوة دليل المخصص فيحكم على العام، أو يكون </w:t>
      </w:r>
      <w:bookmarkStart w:id="140" w:name="pg19000_245173"/>
    </w:p>
    <w:p>
      <w:pPr>
        <w:pStyle w:val="BookText"/>
        <w:rPr/>
      </w:pPr>
      <w:bookmarkEnd w:id="140"/>
      <w:r>
        <w:rPr>
          <w:rFonts w:ascii="Amiri" w:hAnsi="Amiri" w:eastAsia="Amiri" w:cs="Amiri"/>
          <w:color w:val="111111"/>
          <w:sz w:val="28"/>
          <w:sz w:val="28"/>
          <w:szCs w:val="28"/>
          <w:rtl w:val="true"/>
          <w:lang w:bidi="ar-SA"/>
        </w:rPr>
        <w:t>بين الدليلين عموم من وجه ولكن يقوى العام الآخر بالمرجحات الخارجية على عموم النهي عن الغيبة</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3372216_1280447820"/>
      <w:bookmarkStart w:id="142" w:name="_Toc54"/>
      <w:bookmarkEnd w:id="141"/>
      <w:r>
        <w:rPr>
          <w:rtl w:val="true"/>
        </w:rPr>
        <w:t>بیان ما استثني من حرمة الغيبة</w:t>
      </w:r>
      <w:bookmarkEnd w:id="142"/>
    </w:p>
    <w:p>
      <w:pPr>
        <w:pStyle w:val="BookText"/>
        <w:rPr/>
      </w:pPr>
      <w:r>
        <w:rPr>
          <w:rFonts w:ascii="Amiri" w:hAnsi="Amiri" w:eastAsia="Amiri" w:cs="Amiri"/>
          <w:color w:val="111111"/>
          <w:sz w:val="28"/>
          <w:sz w:val="28"/>
          <w:szCs w:val="28"/>
          <w:rtl w:val="true"/>
          <w:lang w:bidi="ar-SA"/>
        </w:rPr>
        <w:t>والأمور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المتجاهر في الفسق، وهو فيما إذا تجاهر بجميع أنواع الفسق بحيث لا يتخفّى في واحدٍ منها ككثير من الفسقة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يستعمل الجميع فعلاً لكنه أعد نفسه لها، وكذا فيما تجاهر فيه لا كلام فيه؛ لفتوى الأصحاب، وأخبار الباب،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فإن الظاهر منه من حيثية ما فسق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المتيقن من تخصيص أدلّة تحريم الغيبة هو المتجاهر فيما تجاهر فيه، وحمله على النهي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من أن تارك صلاة الجماعة يحلّ غيبته </w:t>
      </w:r>
      <w:r>
        <w:rPr>
          <w:rStyle w:val="FootnoteAnchor"/>
          <w:rtl w:val="true"/>
        </w:rPr>
        <w:footnoteReference w:id="177"/>
      </w:r>
      <w:r>
        <w:rPr>
          <w:rFonts w:ascii="Amiri" w:hAnsi="Amiri" w:eastAsia="Amiri" w:cs="Amiri"/>
          <w:color w:val="111111"/>
          <w:sz w:val="28"/>
          <w:sz w:val="28"/>
          <w:szCs w:val="28"/>
          <w:rtl w:val="true"/>
          <w:lang w:bidi="ar-SA"/>
        </w:rPr>
        <w:t>، بناءً على حملها على صلاة الجمعة، وأن المراد هنا فيما يتعلق بترك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 عن نفسه فلا غيبة له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بناء على إرادة أنّه من حيثية ما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تجاهر في كبيرةٍ وتخفّى في غيرها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كاتباع الظلمة وكذا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تجوز غيبته فيما تخفّى فيه ؟ حكم بذلك جماعة </w:t>
      </w:r>
      <w:r>
        <w:rPr>
          <w:rStyle w:val="FootnoteAnchor"/>
          <w:rtl w:val="true"/>
        </w:rPr>
        <w:footnoteReference w:id="179"/>
      </w:r>
      <w:r>
        <w:rPr>
          <w:rFonts w:ascii="Amiri" w:hAnsi="Amiri" w:eastAsia="Amiri" w:cs="Amiri"/>
          <w:color w:val="111111"/>
          <w:sz w:val="28"/>
          <w:sz w:val="28"/>
          <w:szCs w:val="28"/>
          <w:rtl w:val="true"/>
          <w:lang w:bidi="ar-SA"/>
        </w:rPr>
        <w:t>أخذاً بعموم تلك الأدلّة، فيخص بها أدلّة تحريم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إلّا أنّ الأوّل أقوى وأحوط؛ لضعف العمومات سنداً وصراحةً في العموم، فلا يقاوم عمومات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المتجاهر في عيب يعود نقصاً عليه كالجبن والبخل، والتلاعب، والمزح، وسوء المنطق، وإحداث الأصوات من فمه ومن دبره، فإنّه يجوز استغابته بهنّ؛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عن نفسه فلا غيبة 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تخفّى فيه فالأظهر عدم الجواز؛ لعموم أدلّة التحريم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نهي عن منكر إذا كانت الغيبة باعثةً على انتهائه إذا وصل إليه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كذلك إلا أنّه لأجل أن ينهاه السامعون عن منكره ويردعوه عنه، وهو مبني على تقديم عمومات النهي عن المنكر على أدلّة تحريم الغيبة؛ لأنّه بمنكره كأنه أسقط احترامه كما أسقط احترامه في الزجر والضرب والإهانة، وليس ممّا جاز فيه الحرام لرفع حرام آخر،، كما قد يشتبه؛ لأنّ اللّه تعالى لا يطاع من حيث يعصى، فلا يجوز لشخص أن يفعل حراماً لدفع منكر يفعله شخص آخر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لحفظ نفس المستغاب وعرضه وماله، فإنّه يجوز؛ لأن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تقيّةً على نفسه وعرضه وماله؛ لجواز هتك الأعراض ونهب الأموال في الضرورة والتقيّة، فالاستغابة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الاستغابة لنفسه؛ للشك في شمول أدلّة التحريم، وإن اشترطنا الغيبة في الغيبة فهذا خارج عنها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الشهود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الرواة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السرقة والقذف والزنى ونحوها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الثلاثة دلّ عليها الإجماع والأخبار </w:t>
      </w:r>
      <w:r>
        <w:rPr>
          <w:rStyle w:val="FootnoteAnchor"/>
          <w:rtl w:val="true"/>
        </w:rPr>
        <w:footnoteReference w:id="181"/>
      </w:r>
      <w:r>
        <w:rPr>
          <w:rFonts w:ascii="Amiri" w:hAnsi="Amiri" w:eastAsia="Amiri" w:cs="Amiri"/>
          <w:color w:val="111111"/>
          <w:sz w:val="28"/>
          <w:sz w:val="28"/>
          <w:szCs w:val="28"/>
          <w:rtl w:val="true"/>
          <w:lang w:bidi="ar-SA"/>
        </w:rPr>
        <w:t>والسيرة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الشكاية من المظلوم إلى مَنْ يرجو رفع ظلمه به فيما ظلمه، وقد دلّ عليه الكتاب </w:t>
      </w:r>
      <w:r>
        <w:rPr>
          <w:rStyle w:val="FootnoteAnchor"/>
          <w:rtl w:val="true"/>
        </w:rPr>
        <w:footnoteReference w:id="182"/>
      </w:r>
      <w:r>
        <w:rPr>
          <w:rFonts w:ascii="Amiri" w:hAnsi="Amiri" w:eastAsia="Amiri" w:cs="Amiri"/>
          <w:color w:val="111111"/>
          <w:sz w:val="28"/>
          <w:sz w:val="28"/>
          <w:szCs w:val="28"/>
          <w:rtl w:val="true"/>
          <w:lang w:bidi="ar-SA"/>
        </w:rPr>
        <w:t xml:space="preserve">والسنّة </w:t>
      </w:r>
      <w:r>
        <w:rPr>
          <w:rStyle w:val="FootnoteAnchor"/>
          <w:rtl w:val="true"/>
        </w:rPr>
        <w:footnoteReference w:id="183"/>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عند مَنْ لا يرجى لرفع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المظلوم معايب الظالم ولو في غير ما ظلم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هذين بحث، وعموم الأدلّة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وبعض الأخبار </w:t>
      </w:r>
      <w:r>
        <w:rPr>
          <w:rStyle w:val="FootnoteAnchor"/>
          <w:rtl w:val="true"/>
        </w:rPr>
        <w:footnoteReference w:id="185"/>
      </w:r>
      <w:r>
        <w:rPr>
          <w:rFonts w:ascii="Amiri" w:hAnsi="Amiri" w:eastAsia="Amiri" w:cs="Amiri"/>
          <w:color w:val="111111"/>
          <w:sz w:val="28"/>
          <w:sz w:val="28"/>
          <w:szCs w:val="28"/>
          <w:rtl w:val="true"/>
          <w:lang w:bidi="ar-SA"/>
        </w:rPr>
        <w:t>ظاهرة في الاختصاص بما ظُلم فيه عند مَنْ يرجو رفع ظلمه به، ولا أقلّ أنّها ليست صريحةً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عن حال مَنْ صدر منه منافٍ يحتاج السائل إلى معرفة حكمه،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غصب مالي فهل لي أن أقاصه؟ أو قذفني،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صدرت منه كلمة فهل هي كفر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قال كذا، فهل هي كبيرة؟ ويدلّ عليه فتوى الأصحاب، ورواية شكوى هند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لزوم الاقتصار هنا على المجمل مهما أمكن،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فعل كذا معي،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منه كذا فما حكمه؟ نعم، لو توقف بيان الحكم على التعيين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المؤمن عن آخر مخالطة أو مكالمة أو معاملة، فيذكر عيوبه له، والظاهر لو أمكن النصح بدون ذكر العيوب لزم، وإن أطلق جماعة </w:t>
      </w:r>
      <w:r>
        <w:rPr>
          <w:rStyle w:val="FootnoteAnchor"/>
          <w:rtl w:val="true"/>
        </w:rPr>
        <w:footnoteReference w:id="18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 لو كان مؤمناً بذكر معايب من استشير فيه صحّة أو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عليهما ما دلّ على نصح المستشير </w:t>
      </w:r>
      <w:r>
        <w:rPr>
          <w:rStyle w:val="FootnoteAnchor"/>
          <w:rtl w:val="true"/>
        </w:rPr>
        <w:footnoteReference w:id="188"/>
      </w:r>
      <w:r>
        <w:rPr>
          <w:rFonts w:ascii="Amiri" w:hAnsi="Amiri" w:eastAsia="Amiri" w:cs="Amiri"/>
          <w:color w:val="111111"/>
          <w:sz w:val="28"/>
          <w:sz w:val="28"/>
          <w:szCs w:val="28"/>
          <w:rtl w:val="true"/>
          <w:lang w:bidi="ar-SA"/>
        </w:rPr>
        <w:t>، بضميمة فتوى الأصحاب والسيرة القطعية، وللنبوي في مشورة فاطمة بنت قيس في خُطابها،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صعلوك لا مال له، وأبو الجهم لا يضع العصا عن عاتقه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غير المؤمن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المضيف إذا لم يحسن الضيافة فيما لم يحسن فيه؛ لبعض الأخبار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المنع، ويُحمل على المتجاهر في سوء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المؤمن عن الوقوع في الهلكة دنياً أو ديناً، كتحذير الناس عن الرجوع إلى صاحب الطريقة الفاسدة، كالأخباري، ومَنْ ليس له قابلية الفتوى، ومَنْ يجمع مزخرفات من بعض العلوم فيكون مقداماً لأقوام يتبعونه في مزخرفاته وخرافاته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 ما جاء في حق المؤمن على المؤمن من نصح ومودة، وأنّه يحب لأخيه كما يحبّ لنفسه </w:t>
      </w:r>
      <w:r>
        <w:rPr>
          <w:rStyle w:val="FootnoteAnchor"/>
          <w:rtl w:val="true"/>
        </w:rPr>
        <w:footnoteReference w:id="191"/>
      </w:r>
      <w:r>
        <w:rPr>
          <w:rFonts w:ascii="Amiri" w:hAnsi="Amiri" w:eastAsia="Amiri" w:cs="Amiri"/>
          <w:color w:val="111111"/>
          <w:sz w:val="28"/>
          <w:sz w:val="28"/>
          <w:szCs w:val="28"/>
          <w:rtl w:val="true"/>
          <w:lang w:bidi="ar-SA"/>
        </w:rPr>
        <w:t>، والسيرة قاضية بالجواز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شخص بوصف مشهور معروف به كفلان الأعرج أو الأعمى، بل ولو لم يكن معروفاً به إذا كان لضرورة التعريف، لكنه لا يخلو عن إشكال، إلا أن يدخل تحت الضرورات المبيحة للمحظورات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عيوب شخص للعالم بها؛ لعدم دخول النقص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لعدم دليل صالح لتقييد عموم النهي عن الغيبة بالنسبة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نسب من انتسب إلى غير نسبه سيّما كبعض السادة لتحصيل الخمس، أو لأنّه لا يعلم؛ للزوم الخلل بترك البيان بالنسبة إلى الأموال والمواريث والنفقات والأنكحة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بعض العلماء على بعض وإن استلزم نقص المفضول لجلالة قدره وعظم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غيبةً فيما إذا كان الغرض إحطاط قدر المفضول وإبانة حاله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لا عقل له ولا تمييز بما هو فيه كذكر المجانين وأطفال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ذكر عيوب الطفل فيما لا يتعلّق بالطفولية من الأوصاف الذميمة، وكذا المجنون، وأشكل منه فيما لو ذكره بوصف منقص له بعد بلوغه وعقله؛ لأنّ أطفال المؤمنين يلحقون بهم في الاحترام والغيبة هي ما من شأنها أن يسوء وينقص وإن لم يمكن من الطفل والمجنون إدراك الإساءة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الحسن من شخص فيدلّ على عيب الآخر بتركه له، أو قول القبيح منه فيدلّ على فعل الآخر، ودليله ظاهر إذا لم يكن القصد إلى ذلك، ولو كان القصد إليه فالأحوط التخفّي في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صلّى منفرداً عن جماعةِ شخص لإظهار أنّي لا أثق به، أو معرض عن كلامه ورأيه أو تقليده فهو غيبة، وليته أخفى ما أظهر؛ إذ ليس داعيه إلا استغابته المنهي عنها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عياله وأولاده وأتباعه ببعض صفات ذميمة تأديباً لهم منها، أو يعود نقصها عليه، أو يعود بقاؤها إلى ضررٍ عليه ديناً أو دنياً فيحاول زجرهم بذلك وردعهم عما هم فيه، والسيرة قاضية به، وفي بعض الأخبار كخبر أُمّ إسماعيل </w:t>
      </w:r>
      <w:r>
        <w:rPr>
          <w:rStyle w:val="FootnoteAnchor"/>
          <w:rtl w:val="true"/>
        </w:rPr>
        <w:footnoteReference w:id="192"/>
      </w:r>
      <w:r>
        <w:rPr>
          <w:rFonts w:ascii="Amiri" w:hAnsi="Amiri" w:eastAsia="Amiri" w:cs="Amiri"/>
          <w:color w:val="111111"/>
          <w:sz w:val="28"/>
          <w:sz w:val="28"/>
          <w:szCs w:val="28"/>
          <w:rtl w:val="true"/>
          <w:lang w:bidi="ar-SA"/>
        </w:rPr>
        <w:t>دليل عليه، وللتخلّص من الضرر العائد إليهم وإليه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عيوب المملوك لمشتريه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عيوب المرأة لمن أراد نكاحها، فإنّه جائز للبائع وجائز للمشتري، وجائز للمستشار وجائز للمخطوب منه، ودليله يعرف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عيوب شخص وقد تاب منها أو ذهبت،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فبان وتبدلت بأحسن منها، وفي كتب الرجال 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معايب معلومة معروفة بقصد إبطالها وإرادة أنّ 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من استغاب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غيبة للقائل لا المقول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أجمل المخبر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فلان كذا،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أُسمّيه أو أعرفه كذا وكذا في فلان، لم يكن غيبة لهما إلا إذا استلزم هذا القيل نقصاً في المقول فيه؛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ذلك إن حقاً وإن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اعتذارك من شيءٍ إذا قيلا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الدم بطائفة يعلم أنّه لم يرد الجميع وإنما أراد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شخص شخصاً في أمرٍ إلى ثالث فأعابه بفحش أو كلام محرَّم أو أبدى له ما يحرم نقله ابتداء، جاز للرسول أن ينقل إليه الجواب وإن كان الجواب فسقاً وغيبة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المستغيب لو استلزم قدحاً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مقام المناظرة ونقل الأقوال،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كذا، وأفتى بكذا، كان للآخر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وغلط وما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الأمرين جرت السيرة من العلماء وغيرهم، إلا أن ابن إدريس أفرط، حيث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 كلام يضحك الثكلى</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كما أن الفاضل كذلك في رده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 مغرور معجب بنفسه لا يدري أين يذهب</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وهذان معاً إفراط، وخير الأمور أوسطها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مع بعض في مقام المناظرة فيخطئ بعضهم بعضاً وينسب كلامه إلى الخطأ والزلل، وهذا جرت عليه السيرة، ولا يدخل في اسم الغيبة لمكان الحضور</w:t>
      </w:r>
      <w:r>
        <w:rPr>
          <w:rFonts w:eastAsia="Amiri" w:cs="Amiri" w:ascii="Amiri" w:hAnsi="Amiri"/>
          <w:color w:val="111111"/>
          <w:sz w:val="28"/>
          <w:szCs w:val="28"/>
          <w:rtl w:val="true"/>
          <w:lang w:bidi="ar-SA"/>
        </w:rPr>
        <w:t xml:space="preserve">. </w:t>
      </w:r>
      <w:bookmarkStart w:id="143" w:name="pg19000_245178"/>
    </w:p>
    <w:p>
      <w:pPr>
        <w:pStyle w:val="BookText"/>
        <w:rPr/>
      </w:pPr>
      <w:bookmarkEnd w:id="143"/>
      <w:r>
        <w:rPr>
          <w:rFonts w:ascii="Amiri" w:hAnsi="Amiri" w:eastAsia="Amiri" w:cs="Amiri"/>
          <w:color w:val="111111"/>
          <w:sz w:val="28"/>
          <w:sz w:val="28"/>
          <w:szCs w:val="28"/>
          <w:rtl w:val="true"/>
          <w:lang w:bidi="ar-SA"/>
        </w:rPr>
        <w:t>ويجب الاستغفار عن المستغيب فوراً؛ لأنّ التوبة عن المعصية واجب فوري، والإصرار عليها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الاستغفار للمستغاب؟ في بعض الأخبار ما يدل على وجوبه، وأنّه كفارة للمستغيب كلّما ذكر المستغاب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مندوب؛ لعدم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طلب العفو من المستغاب وبراءة ذمة المستغيب؟ وجه، ولكن الأوجه ندبه؛ لأنّ الظاهر أنّ حق الغيبة من الحقوق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استماعها والإصغاء إليها؛ لما فيه من المعاونة على الإثم، وللأخبار الدالّة على ذلك </w:t>
      </w:r>
      <w:r>
        <w:rPr>
          <w:rStyle w:val="FootnoteAnchor"/>
          <w:rtl w:val="true"/>
        </w:rPr>
        <w:footnoteReference w:id="198"/>
      </w:r>
      <w:r>
        <w:rPr>
          <w:rFonts w:ascii="Amiri" w:hAnsi="Amiri" w:eastAsia="Amiri" w:cs="Amiri"/>
          <w:color w:val="111111"/>
          <w:sz w:val="28"/>
          <w:sz w:val="28"/>
          <w:szCs w:val="28"/>
          <w:rtl w:val="true"/>
          <w:lang w:bidi="ar-SA"/>
        </w:rPr>
        <w:t>، وفيها أنّه أعظم وزراً من المستغيب إذا لم يرد سبعين مرّةً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الرد على المستغيب للنهي عن المنكر، وللأخبار الخاصة الآمرة بذلك </w:t>
      </w:r>
      <w:r>
        <w:rPr>
          <w:rStyle w:val="FootnoteAnchor"/>
          <w:rtl w:val="true"/>
        </w:rPr>
        <w:footnoteReference w:id="200"/>
      </w:r>
      <w:r>
        <w:rPr>
          <w:rFonts w:ascii="Amiri" w:hAnsi="Amiri" w:eastAsia="Amiri" w:cs="Amiri"/>
          <w:color w:val="111111"/>
          <w:sz w:val="28"/>
          <w:sz w:val="28"/>
          <w:szCs w:val="28"/>
          <w:rtl w:val="true"/>
          <w:lang w:bidi="ar-SA"/>
        </w:rPr>
        <w:t>، فإن لم يسمع الردّكان ندباً، والأولى القيام عن ذلك المجلس</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3372218_1280447820"/>
      <w:bookmarkStart w:id="145" w:name="_Toc55"/>
      <w:bookmarkEnd w:id="144"/>
      <w:r>
        <w:rPr>
          <w:rtl w:val="true"/>
        </w:rPr>
        <w:t>الخامس والأربعون</w:t>
      </w:r>
      <w:r>
        <w:rPr>
          <w:rtl w:val="true"/>
        </w:rPr>
        <w:t xml:space="preserve">: </w:t>
      </w:r>
      <w:r>
        <w:rPr>
          <w:rtl w:val="true"/>
        </w:rPr>
        <w:t>في حرمة التكسّب بعمل السحر</w:t>
      </w:r>
      <w:bookmarkEnd w:id="145"/>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وأخذ المال بجهته أو بشرطه الضمني أو المصرح به أو الدفع لقلته عمل السحر ولو لتعلّمه وتعليمه بالعمل، غير ما يستثنى، وتعلّم السحر وتعليمه للعمل به غير ما يستثنى لحرمته كذلك في نفسه ضرورة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 والسنّة ما يقضي بكفر فاعله ومعلّمه لفعله، وأن ساحر المسلمين يُقتل </w:t>
      </w:r>
      <w:r>
        <w:rPr>
          <w:rStyle w:val="FootnoteAnchor"/>
          <w:rtl w:val="true"/>
        </w:rPr>
        <w:footnoteReference w:id="201"/>
      </w:r>
      <w:r>
        <w:rPr>
          <w:rFonts w:ascii="Amiri" w:hAnsi="Amiri" w:eastAsia="Amiri" w:cs="Amiri"/>
          <w:color w:val="111111"/>
          <w:sz w:val="28"/>
          <w:sz w:val="28"/>
          <w:szCs w:val="28"/>
          <w:rtl w:val="true"/>
          <w:lang w:bidi="ar-SA"/>
        </w:rPr>
        <w:t xml:space="preserve">، وقال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قابل السحرة اقبلني</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وفيه إشعار بأنّه أعظم من الكفر، 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يُفْلِحُ السَّاحِرُ حَيْثُ أَتَى</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فقد نفى عنه الفلاح على وجه العموم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له في الشرع حقيقة شرعيّة، ولم يبيّنه الشارع تمام البيان، فالمرجع فيه إلى العرف واللغة، فإن عرفناه منهما فلا كلام، وإلّا أمكن الأخذ بجميع تفاسيرهم على وجه الاشتراك اللفظي أو المعنوي، حيث لا يمكن حمل مطلقها على مقيدها؛ لأنّهم ليسوا بحكم متكلّم واحد</w:t>
      </w:r>
      <w:r>
        <w:rPr>
          <w:rFonts w:eastAsia="Amiri" w:cs="Amiri" w:ascii="Amiri" w:hAnsi="Amiri"/>
          <w:color w:val="111111"/>
          <w:sz w:val="28"/>
          <w:szCs w:val="28"/>
          <w:rtl w:val="true"/>
          <w:lang w:bidi="ar-SA"/>
        </w:rPr>
        <w:t xml:space="preserve">. </w:t>
      </w:r>
      <w:bookmarkStart w:id="146" w:name="pg19000_245179"/>
    </w:p>
    <w:p>
      <w:pPr>
        <w:pStyle w:val="BookText"/>
        <w:rPr/>
      </w:pPr>
      <w:bookmarkEnd w:id="146"/>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الترجيح بينها بأنواع التراجيح إن أمكن، فإن لم يمكن الترجيح عاد كالمجمل؛ لأنّ الحقّ لا يعدو الجميع ولا يخص بواحد، وقد حصل الاختلاف بينهم بأنّ كلّ واحدٍ منهم يدعي أنّ ما فسّره به هو معناه، كما هو ظاهر التفسير، أو لأنّ كلّ واحدٍ منهم أشار إلى بعض لوازمه، فالجميع يريدون معنى واحداً قد عبّروا عنه بتفاسير مختلفة، ولكن خفي علينا ما أراده الجميع فعاد كالمجمل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المجمل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التمسك بأصل البراءة حتّى يعلم تحقق الموضوع، إما لأن نوعه غير محصور فيلزم من التجنّب العسر والحرج، وإما لأن فرده غير محصورٍ فيلزم ذلك؛ لأنّ الأفعال لا حصر لها، وإما لأنّ ما يتجدد من الأفعال والأقوال لا يجري فيه حكم الشبهة المحصورة ؛ لاختصاصها بالموجودات الخارجيّة، وإما لأنّ المجمل إذا بان فرد منه على وجه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التمسك في الباقي بالأصل؛ لأنّه يعود للشك في التكليف لا في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حكمه فلزوم التجنّب؛ لأنّه من الشبهة المحصورة أنواعها، ولا عسر ولاحرج في تجنّب المشتبه؛ إذ لا ضرورة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الاحتياط يحكم في هذا وأمثاله بعد العلم بأنّ ما يحتاج إليه ليس منه</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3372220_1280447820"/>
      <w:bookmarkStart w:id="148" w:name="_Toc56"/>
      <w:bookmarkEnd w:id="147"/>
      <w:r>
        <w:rPr>
          <w:rtl w:val="true"/>
        </w:rPr>
        <w:t>السادس والأربعون</w:t>
      </w:r>
      <w:r>
        <w:rPr>
          <w:rtl w:val="true"/>
        </w:rPr>
        <w:t xml:space="preserve">: </w:t>
      </w:r>
      <w:r>
        <w:rPr>
          <w:rtl w:val="true"/>
        </w:rPr>
        <w:t>في بيان موضوع السحر</w:t>
      </w:r>
      <w:bookmarkEnd w:id="148"/>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 لا شكّ أنّ كلّ ما كان عادياً فعله وعادياً تأثيره، وليس من الأمور الغريبة ولا من الأحوال العجيبة، ولم يكن مبنياً على إخفاء العمل واستعمال الحيل لم يكن من السحر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كالاستشفاء بالدعاء وبملامسة جسد بعض الصلحاء، وبالتربة الحسينيّة، أو التعوّذ والتحصن بالحروف وبالتربة الشريفة، وبقضاء المطالب بحسن التوكل على اللّه والانقطاع، والدعاء، والمناجاة، وبطاعة 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عبدي أطعني تكن مثلي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والاستعانة على أمور الدنيا بنافلة الليل، وبالتهجد في الأسحار، وكثرة الاستغفار والتعقيب بعد الفرائض، وجلب الرزق البعيد حصوله بأدعية الرزق والطلب في أوقات معلومة من ربّ الخلق </w:t>
      </w:r>
    </w:p>
    <w:p>
      <w:pPr>
        <w:pStyle w:val="BookText"/>
        <w:rPr/>
      </w:pPr>
      <w:r>
        <w:rPr>
          <w:rFonts w:ascii="Amiri" w:hAnsi="Amiri" w:eastAsia="Amiri" w:cs="Amiri"/>
          <w:color w:val="111111"/>
          <w:sz w:val="28"/>
          <w:sz w:val="28"/>
          <w:szCs w:val="28"/>
          <w:rtl w:val="true"/>
          <w:lang w:bidi="ar-SA"/>
        </w:rPr>
        <w:t xml:space="preserve">وتحصيل الجاه والعزّ والاعتبار بمجرّد الانقياد للملك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خافته الناس</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وتيسير العسير من جهة التعلّق بالعليم القدير والانقطاع إليه، والالتفات عند الشدائد إليه والهيبة في عيون الخلق لمداومته على تهذيب النفس والوقار والصمت وحسن الخلق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آيات الكتاب المجيد كتابةً وقراءةً للشفاء والحفظ ولقضاء الحوائج، بل وللعزّ والهيبة والمحبّة؛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القرآن ما شئت لما شئت</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وَنُنَزِّلُ مِنَ القُرْآنِ مَا هُوَ شِفَاءٌ وَرَحْمَةٌ لِلْمُؤْمِنِينَ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خواص بعض الأسماء الحسنى وبعض الأوراد، وكذا خواص جملة من طلسمات الأعداد، وكذا خواص بعض الحروف التي لم يكن تأثيرها من عجائب المواقعات ولا فعلها من غرائب الحادثات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خواص بعض الأحجار العادية التأثير في نحو ذلك المضمار، كحجر الياقوت والمغناطيس، وكذا بعض المعادن كالذهب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وكذا خواص بعض الأدوية من المفردات والمركبات فيما كان التأثير من العاديات کالاستشفاء أو التمريض أو القتل كالسموم، أو الأدوية المفرحة أو المنشطة أو المبهية ولو كانت إفراطاً، أو النافعة للشعر أو القامعة أو المغيرة للون أو المبقية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ما استند إلى علوم النجوم من الإخبار بحوادث العالم، أو استند إلى قوة الحدس أو جلاء الفكر، أو استند إلى علم الجفر من ترتيب الحروف واستنطاقها، أو استند إلى علم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يستند إلى التفأل بالكتاب المجيد، وكذا الاستخارة الكاشفة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المغيّبات التي يخبر اللّه لعبده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فراسة المؤمن وحدسه، سيّما الذين تجردوا عن العلائق الدنيوية وعن الانغماس في الشهوات، واستعملوا الرياضات الشرعيَّة بالمداومة على الطاعة وتجنّب المعصية، خمص البطون عمش العيون، قد شدّوا حجر المجاعة على بطونهم، وقد تعلّقوا بالعالم الأعلى، فإنّ لهؤلاء حدساً صائباً وفكراً ثاقباً، وتسهيلاً لما أرادوا من الأمور العسيرة، وتيسيراً لما حاولوا من الأُمور الخطيرة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ليس منه الأعمال العادية وإن دقت وخفيت على غير أهلها، كبعض النساجة والحياكة، وعمل الساعات والصُّور الفاعلة للأعمال بالحركات والتركيبات والمسامير والبراغي والمراكب الدخانية والمشي السريع بآلاته وتركيباته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ذكرنا فالظاهر أنّه يرجع إلى عرف أهله؛ لأنّهم أعرف من غيرهم يعرفونه كما يعرف الطبيب الصحّة والمرض، وعامة الخلق لعدم استعمالهم إيّاه لا يميزونه تمام التمييز كما يرجع بمعرفة المعادن إلى أهلها ومعرفة العلماء إلى أهل الخبرة بالعلم، وبالصناعات إلى أهلها، فيميزون صنعةً عن أُخرى، فيعرفون أنّ هذا نساجة، وهذا تطريز، وهذا 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الحدادين، وهذا عمل الصائغين، وهذا عمل النجارين، ويعرفون أهل الخمر الخمر من غيره، وأهل الأواني الصيني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فأهل العرف إن دار الأمر بينهم كلّاً أو جُلاً رجع إليهم، وإن اختص به قوم دون قوم </w:t>
      </w:r>
      <w:r>
        <w:rPr>
          <w:rStyle w:val="FootnoteAnchor"/>
          <w:rtl w:val="true"/>
        </w:rPr>
        <w:footnoteReference w:id="208"/>
      </w:r>
      <w:r>
        <w:rPr>
          <w:rFonts w:ascii="Amiri" w:hAnsi="Amiri" w:eastAsia="Amiri" w:cs="Amiri"/>
          <w:color w:val="111111"/>
          <w:sz w:val="28"/>
          <w:sz w:val="28"/>
          <w:szCs w:val="28"/>
          <w:rtl w:val="true"/>
          <w:lang w:bidi="ar-SA"/>
        </w:rPr>
        <w:t>رجع إلى من اختص بذلك منهم، وكان مستعملاً فيما بينهم ومعروفاً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السحرالسابع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للّغويّين والفقهاء اختلاف في تفسير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فسّره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لطف مأخذه ودقّ</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فسّره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الشيء عن وجهه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الباطل بصورة الحقّ</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يتكلّم به أو يكتبه أو رقية، أو يعمل شيئاً يؤثر في بدن المسحور أو قلبه أو عقله من دون مباشرة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وزاد بعضهم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أو عقد</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و عزائم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بسببها ضرر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السحر بالكلام والكتابة والرقية والدخنة بعقاقير الكواكب وتصفية النفس والتصوير والعقد والنفث والأقسام والعزائم بما لا يفهم معناه ويضر بالغير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الملائكة والجن واستنزال الشياطين في كشف حال الغائب وعلاج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الاستحضار بتلبس الروح ببدن منفعل كالصبي والمرأة، وكشف حال الغائب عن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النيرنجات، وهي إظهار غرائب خواص الامتزاجات وأسرار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الطلسمات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تمزيج القوى العالية الفاعلة بالقوى السافلة المنفعلة ليحدث عنها فعل الغرائب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أن السحر عمل يحدث منه ملكة نفسانية يقتدر بها على أفعال غريبة وأسباب خفيّة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أنّه استحداث الخوارق بمجرد التأثيرات النفسانية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أن العزم على المصروع وإحضار الجن من الخرافات الباطلة ولا أصل لها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أن الاستخدام من الكهانة لا من السحر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أن إحداث الخوارق بالاستعانة بالفلكيات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دعوة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السحر، وكذا الاستعانة بتمزيج القوى السماويّة بالقوى الأرضيّة وهو الطلسمات، وكذا الاستعانة بالأرواح الساذجة هو العزائم، ويدخل فيه النير نجات، وكذا الاستعانة بخواصّ الأجسام السفليّة هو علم الخواص، وكذا الاستعانة بالنسب الرياضية هو علم الحيل وجرّ الأثقال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كالوالد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 إلى العرف، وفهم من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عبارة عن إيجاد شيءٍ تترتب عليه آثار غريبة وأحوال عجيبة بالنسبة إلى العادات، بحيث إنّها تشبه الكرامات، وتوهم أنّها من المعجزات من غير استناد إلى الشرعيات من حروز ودعوات ونحوها من المأثورات، وما أخذ من الشارع كالعُوذ والهياكل والطلسمات فليست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الشارع بحسم 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التدليس والتلبيس في الأسباب، كالمنع منهما في المسبّبات، وأن حدوث الأفعال من دون سبب يبين مخصوص برب العالمين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راجع إلى ما ذكرنا من الرجوع إلى عرف أهل الصناعة الذين يميزونه ويعرفونه، كما يعرف أهل الصنائع موضوعات صنائعهم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محصل لذلك ؛ لطول هذا العلم وكثرة أبوابه وشعبه، فلا يفهمه أهل العرف، ولأنّ كثيراً من علوم الجفر والهيئة والترارجية يحدث من عالمها آثار عجيبة وأفعال غريبة، ويكفيك ما يصنعه الإفرنج من الغرائب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كما ترى بعدما بينا أنّ الرجوع إلى أهله وأهل المعرفة به وكونه طويلاً عريضاً لا ينافي ضبطه بضبط موضوعه هَبْ أنّه كعلم الفقه وعمله، ودخول جملة من أفراده في علم آخر لا ينافي دخوله فيه بعد قضاء العرف به، ونلتزمه، ولا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أعمال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أعمال ذوات أسباب معلومة عادية وتأثيرات ومسببات عرفية، كإحداث البناء العجيب، والسرير الغريب، والحديد القاطع، والبارود، وبعض الأسلحة، وإذا ظهر حال الأسباب وأنها من جهة زيادة الأستادية والمعرفة بالأمور العملية بطل العجاب في جميع هذه الصنائع العادية، وقد رأينا أهل الطبخ يصنعون ألواناً في المآكل تحدث من تركيب المفردات بعضاً مع بعض لا يهتدي إليها أكثر الناس، وقد يترك الأوّل للآخر ما لا يصل إليه، وأعمال الإفرنج لو عملناها واستعملناها لكانت عندنا من سائر الأعمال العادية، ولكن البلاد غير البلاد والاستعداد غير الاستعداد، وأعمال الصين من الجيني ونحوه ممّا يشابه ذلك، فلا وجه لهذا الإيراد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الخواص حتّى خواص الحروف وما يحصل من رياضة النفس الذي يعد مثله كرامة؛ لدخوله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عبدي أطعني تكن مثلي</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وما يرجع منه إلى تركيب الأجسام على النسب الهندسية أو غيرها لم يثبت كونه سحراً، والأصل البراءة، ولو استلزم منها ضرر الغير وادعاء نبوّة حرم لذلك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كما ترى لا يطرد ولا ينعكس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فصلاً طويلاً حاصله أنّه أقسام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الكذّابين </w:t>
      </w:r>
      <w:r>
        <w:rPr>
          <w:rStyle w:val="FootnoteAnchor"/>
          <w:rtl w:val="true"/>
        </w:rPr>
        <w:footnoteReference w:id="226"/>
      </w:r>
      <w:r>
        <w:rPr>
          <w:rFonts w:ascii="Amiri" w:hAnsi="Amiri" w:eastAsia="Amiri" w:cs="Amiri"/>
          <w:color w:val="111111"/>
          <w:sz w:val="28"/>
          <w:sz w:val="28"/>
          <w:szCs w:val="28"/>
          <w:rtl w:val="true"/>
          <w:lang w:bidi="ar-SA"/>
        </w:rPr>
        <w:t xml:space="preserve">، وهُمْ عَبَدة الكواكب، ويزعمون أنّها المدبّرة للعالم، وهُمْ ثلاث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الكواكب واجبة الوجود لذاتها، وأنها الخالقة والمدبّرة لهذا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 العلّة التامة المؤثرة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حادثة، إلا أنّ خالقها خلقها عاقلة مختارة قد فوّض أمر العالم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والساحر عند هذه الفرق هو مَنْ عرف القوى العالية الفعّالة بسائطها ومركباتها، ويعرف ما يليق بالعالم السفلي، ويعرف معداتها ليعدها وعوائقها ليرفعها بحسب الطاقة البشرية، فيكون متمكناً من استجذاب ما يخرق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أهل الأوهام والنفوس القوية، وهو يكون بتجريد النفس عن الشواغل البدنية ومخالطة الخلق، فيحصل ما تريده النفس، وتوجد صورته في ذهنها، ويقتدر بها على خوارق العادة، وهي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منجذبة بنفسها إلى العالم السماوي حتّى كأنها من الأرواح السماوية، فلا يحتاج في تأثيرها إلى آلة وأداة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تحتاج إلى تصفية وعلاج، وقد تحتاج إلى الاستعانة على ذلك بالرقى والعزائم المعلومة ألفاظها، بل وغير المعلومة ؛ لحصول دهشة للنفس وحيرة، وقد يستعين في ذلك بالدخن الموضوعة للكواكب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فتأثير النفس إذا صفت تفعل خوارق العادة، إما لأنّها مخلوقة كذلك، وإمّا لأنّها تصير قابلةً لفيض الأنوار من الأرواح السماوية والنفوس الفلكية، فتتقوى بها على إحداث الأُمور الغريبة لانجذاب ما يشبهها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بالاستعانة بالأرواح السفلية، وهُم،الجن، ويكون بالتصفية والتجريد وبالدخن والعزائم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بالتخييلات والأخذ بالعيون، وبسببها الخفّة وسرعة الحركة في فعل يشتغل الناظر إليه، فينتقل إلى غيره كذلك، فيريهم العجب حيث وقع هذا الأمر الغريب بلا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 تركيب آلاتٍ على النسب الهندسية، أو على ضرورة الخلاء، فيحصل من ذلك آثار عجيبة، كتصوير فارسين يقتل أحدهما الآخر، وتصاوير الروم التي تصوّرها ضاحكة وباكية، وتصاوير صندوق الساعات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جرّ الأثقال بآلة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الأدوية المزيلة للعقل، والدخن المسكرة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القلب بالأكاذيب، كما يُري الناس أنّه يعرف الاسم الأعظم، وأن الجنّ تطيعه وتنقاد إليه الأمور، فيجذب إليه القلوب الضعيفة والعقول السخيفة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بالنميمة والتضرير بالوجوه الخفية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كله كما ترى منه ما لا محصل له وما له محصل لا يدخل في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السحر على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بمنزلة الطب، كما أن الأطباء وضعوا لكلّ داء دواء، فكذلك علماء السحر احتالوا لكلّ صحّة آفةً، ولكلّ عافيةٍ سُقْماً وعاهة، ولكلّ معنى حيلة، ونوع آخر منه خطفة وسرعة ومخاريق وخفّة، ونوع آخر منه ما يأخذ أولياء الشياطين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عرف الأطباء الطبّ، بعضه بتجربة، وبعضه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أيقدر الساحر أن يحوّل الإنسان بسحره في صورة الكلب والحمار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أعجز من ذلك، وأضعف من أن يغيّر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أبطل ما ركّبه اللّه وصوّره فغيّره فهو شريك اللّه تعالى في خلقه، ولو قدر الساحر على ما وصفت، لدفع عن نفسه الهرم والآفة، ولنفى البياض عن رأسه والفقر عن ساحته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بعضهم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السحر ما يؤثر المحبة والبغضاء، ويربط الرجل عن زوجته، كما صنع في عمارة بن الوليد، حيث نفخوا الزئبق في إحليله فصار مع الوحوش، فلمّا قبضوا عليه اضطرب حتّى مات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يذكر في كتب السحر وعند أهله الاختفاء عن الأعين، والطي والطيران، والدخول في الأرض والحائط، والمسخ بحسب الصورة لا الحقيقة، والدخول في النار، والمشي على الماء والدخول في الإبريق وفي الحيوان، وذبح الإنسان، وجرّ الأثقال، والمشي على الحبال، وأخذ عقول النساء والرجال واتباعهم لهم أبداً من غير شعور، وقلع الحصون والقصور بما لا يعلم سببه كي يبطل عجبه، وإدخال الحديد في البدن وإخراجه، والضرب بالسلاح منه وقيء الإبر، وإخراج الضوال، وجذب ما في البحر، وتجفيف النهر، والإضحاك والإبكاء، وتغير الألوان، وزرع الساعة، وبناء المدن دفعةً والدخول إليها فجأة، وإخراج الخيوط من بطنه، وإحراق ثياب صاحبه وجليسه، وإماتته مَنْ شاء على ما وقته من الأوقات، وتسخير السباع والوحوش والطيور، وتسخير الملوك، وإخراج الماء من الحصى، ووضع البيض تحت الإنسان، وجلب الدراهم وإحضار مَنْ يريد، وتشتيت الشمل من الإنسان، وابتلاع الجسيم وإخراج الفواكه من تحت الفراش وعمل الترْج وعمل الدخن، وقلب المعادن، وإجماد الماء، إلى غير ذلك، وإن كان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Style w:val="FootnoteAnchor"/>
          <w:rtl w:val="true"/>
        </w:rPr>
        <w:footnoteReference w:id="231"/>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ينبغي التأمل في الداخل منه في السحر والخارج عنه، ولو وُجد عندنا علماؤهم وأهل الخبرة منهم لميزوا بينه وبين غيره، كما يميّز أهل الصناعات صناعاتهم وأهل الحِرَف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بما دق ولطف من الأعمال وتراكيب الأغذية، ولا بما دق ولطف من مبتكرات دقائق الصناعات كالكيمياء وشبهها ولا بما دق ولطف من مبتكرات المسائل في العلوم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بما دق ولطف من ألسنة بعض الناس إذا تكلّموا في أمرٍ أنتجوه بحسن الكلام واللطائف بحيث لا يدرك منْ إليه الحاجة إلا قضاءها، وكم مَنْ يدركه الأسى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سحرني كلامه فقضيت له الأمر من غير شعورٍ ولا بما دق ولطف من الحيل في جلب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لا كلام فيه، ولعلنا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مما قدمنا يشارك السحر في الحكم لا في الاسم؛ لترتب الفساد عليه باعتبار خرق العادة بالفعل المشابه للمعجزة، الذي أراد اللّه تعالى رفعه وقطع مادته؛ لتأثير الخلل في النبوات وإظهار المعجزات، وربما يطلق على كثير مما تقدَّم لفظ السحر للمشابهة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أكثر السحر تخييلالثامن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السحر أكثره تخييل، بمعنى أن العين تراه على غير الواقع، وهو الأغلب بين الناس، كما يدلّ عليه عجزهم عما هو أضعف مما فعلوه من الغناء والاعتبار والقوة وحفظ أنفسهم من الغرق والقتل والضرب فدل على أن الأقوى فيه أنّه تخييل لا حاصل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 مِنْ سِحْرِهِمْ أَنَّهَا تَسْعَى</w:t>
      </w:r>
      <w:r>
        <w:rPr>
          <w:rStyle w:val="FootnoteAnchor"/>
          <w:rtl w:val="true"/>
        </w:rPr>
        <w:footnoteReference w:id="23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بِضَارِّينَ بِهِ مِنْ أَحَدٍ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يُفْلِحُ السَّاحِرُ</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لظهوره في نفي الفلاح في الدنيا والآخرة،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كَيْدُ سَاحِرٍ</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وظاهر المكيدة أنّها تخييل لاحاصل لها،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 أَعْيُنَ النَّاسِ</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لظهوره في أنّ السحر مؤثر في العين لا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تحقيق، ويشير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بِضَارِّينَ بِهِ مِنْ أَحَدٍ إِلَّا بِإِذْنِ اللّه</w:t>
      </w:r>
      <w:r>
        <w:rPr>
          <w:rStyle w:val="FootnoteAnchor"/>
          <w:rtl w:val="true"/>
        </w:rPr>
        <w:footnoteReference w:id="237"/>
      </w:r>
      <w:r>
        <w:rPr>
          <w:rFonts w:ascii="Amiri" w:hAnsi="Amiri" w:eastAsia="Amiri" w:cs="Amiri"/>
          <w:color w:val="111111"/>
          <w:sz w:val="28"/>
          <w:sz w:val="28"/>
          <w:szCs w:val="28"/>
          <w:rtl w:val="true"/>
          <w:lang w:bidi="ar-SA"/>
        </w:rPr>
        <w:t>بمعنى أنّ المضرّ منه إنّما يضر إذا لم يُبطل اللّه أثره، كما أبطل اللّه آثار نار إبراهيم،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لو ترك السبب والمسبب على مقتضى السببية لأثر السبب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سُحر عليه فأثر في بدنه فأنزل اللّه المعوّذتين </w:t>
      </w:r>
      <w:r>
        <w:rPr>
          <w:rStyle w:val="FootnoteAnchor"/>
          <w:rtl w:val="true"/>
        </w:rPr>
        <w:footnoteReference w:id="2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النَّفَّاثَاتِ فِى العُقَدِ</w:t>
      </w:r>
      <w:r>
        <w:rPr>
          <w:rStyle w:val="FootnoteAnchor"/>
          <w:rtl w:val="true"/>
        </w:rPr>
        <w:footnoteReference w:id="239"/>
      </w:r>
      <w:r>
        <w:rPr>
          <w:rFonts w:ascii="Amiri" w:hAnsi="Amiri" w:eastAsia="Amiri" w:cs="Amiri"/>
          <w:color w:val="111111"/>
          <w:sz w:val="28"/>
          <w:sz w:val="28"/>
          <w:szCs w:val="28"/>
          <w:rtl w:val="true"/>
          <w:lang w:bidi="ar-SA"/>
        </w:rPr>
        <w:t>وهي ظاهرة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بناء على أنّ من السحر تأثير النفوس الشريرة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ادعى أن تأثير السحر منافٍ لمنصب النبوة،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عنده دعوات وأحراز لا يمكن تسلّط السحر عليه معها، وأن النفس الشريرة لا يمكن أن تفعل بنفس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لخلوصها وتجردها، وإنما تفعل في النفوس القابلة للانفعال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السحر ما لم يكن في العقل وفي شيء تنفر الطباع منه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أن تأثير السحر فيه تنفر الطباع منه مطلقاً؛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منزه عن تسلّط الساحر عليه، حيث إن تسلّطه عليه ممّا يجوز تسلّطه على عقله ودينه، وتنفر عنه الطباع، ويقال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ممنوعة عند سلامة عقله ودينه وسمعه وبصره وحواسّه المضرّ فقدانها بنبوّته، فهو كتأثير السم والمرض والحديد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الأحراز والأدعية فقد تقتضي المصلحة بعدم استعمالها، أو استعمالها وعدم تأثيرها؛ لعدم إذن اللّه تعالى بذلك، كما وقع على الأوصياء من القتل والسم والحبس، مع أنّهم أهل علم الجفر والجامعة، وهم أهل الدعوات المستجابات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تأثير النفس الشريرة فمسلّم لو كان يخلّ بدين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كتسليط الشياطين أو ما يقضي بنقص نبوّته، وأما تأثيره بنفس جسمه فلا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فكون أنّ بعضه تحقيقيّ مشاهد بالوجدان والعيان، وربّما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رَجُلاً مَسْحُوراً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ودعوى أن السحر كله تخييل؛ لتأثيره بالوهم المنفعل، ظاهرة البطلان؛ لأنّه يؤثر فيمن لا يعلم كدعوى أن آثار الجنّ حقيقة قطعاً؛ لإمكان كون الجنّ وفعلهم كله تخييلاً، ولا أثر لذلك، كما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الخرافات </w:t>
      </w:r>
      <w:r>
        <w:rPr>
          <w:rStyle w:val="FootnoteAnchor"/>
          <w:rtl w:val="true"/>
        </w:rPr>
        <w:footnoteReference w:id="243"/>
      </w:r>
      <w:r>
        <w:rPr>
          <w:rFonts w:ascii="Amiri" w:hAnsi="Amiri" w:eastAsia="Amiri" w:cs="Amiri"/>
          <w:color w:val="111111"/>
          <w:sz w:val="28"/>
          <w:sz w:val="28"/>
          <w:szCs w:val="28"/>
          <w:rtl w:val="true"/>
          <w:lang w:bidi="ar-SA"/>
        </w:rPr>
        <w:t>، ولو سلمنا لكان ما يرى الجنّ تخييلاً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المسألة قليلة الثمرة، وإن أمكن ظهورها في القصاص؛ لأنّه على التخييل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قتل واقعاً، وإنّما يتراءى للناظر، فلو بطل السحر لعاد حيّاً، بل ولا دية، مع احتمال أن القتل الذي يقاربه ويؤخذ عليه الدية هو ما تراه العين ويترتب عليه آثار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فالتخييل في المؤثر لا ينافي القود بعد تحقق القتل بذلك التخييل، وأما التخييل في الموت وفي الأثر فلا قود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أقرّ أنّي قتلته بالسحر عمداً، أو أنّي قتلته خطاً، مع احتمال أنّه يؤخذ بإقراره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الثمرة في المقاصة في المال، وتظهر في إمكان إبطاله بعد القتل وتلف الشيء، فعلى التحقيق لا يتدارك، وعلى التخييل له جهة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يُقتل المسلم المستحل للسحرالتاسع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المسلم المستحلّ للسحر؛ لأنّه مستحلّ له ولو اجتمع معه كفر آخر، كاعتقاد ربوبية الكواكب أو خلقها وتدبيرها على سبيل الاختيار، وكذا لو اجتمع معه إهانة القرآن كوضعه في قاذورة، أو إهانة عظم نبي، أو سب الأنبياء، أو ذكر ما لا ينسب إلى جبار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الكافر الأصلي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 تفرّد للعمل فهل حدّه القتل أم لا؟ ظاهر الأخبار </w:t>
      </w:r>
      <w:r>
        <w:rPr>
          <w:rStyle w:val="FootnoteAnchor"/>
          <w:rtl w:val="true"/>
        </w:rPr>
        <w:footnoteReference w:id="244"/>
      </w:r>
      <w:r>
        <w:rPr>
          <w:rFonts w:ascii="Amiri" w:hAnsi="Amiri" w:eastAsia="Amiri" w:cs="Amiri"/>
          <w:color w:val="111111"/>
          <w:sz w:val="28"/>
          <w:sz w:val="28"/>
          <w:szCs w:val="28"/>
          <w:rtl w:val="true"/>
          <w:lang w:bidi="ar-SA"/>
        </w:rPr>
        <w:t xml:space="preserve">الأوّل؛ لإطلاق الكفر عليه، ولأنّه لو توقف القتل على الاستحلال لساوى بقيّة المعاصي، ولأنّ الساحر كآلة اللهو يلزم إتلافه؛ لمنافاته لمعاجز الأنبياء، وعود الفساد فيه لأرباب الشرع، ولما يظهر من بعض الأخبار </w:t>
      </w:r>
      <w:r>
        <w:rPr>
          <w:rStyle w:val="FootnoteAnchor"/>
          <w:rtl w:val="true"/>
        </w:rPr>
        <w:footnoteReference w:id="245"/>
      </w:r>
      <w:r>
        <w:rPr>
          <w:rFonts w:ascii="Amiri" w:hAnsi="Amiri" w:eastAsia="Amiri" w:cs="Amiri"/>
          <w:color w:val="111111"/>
          <w:sz w:val="28"/>
          <w:sz w:val="28"/>
          <w:szCs w:val="28"/>
          <w:rtl w:val="true"/>
          <w:lang w:bidi="ar-SA"/>
        </w:rPr>
        <w:t xml:space="preserve">ومن آية هاروت وماروت </w:t>
      </w:r>
      <w:r>
        <w:rPr>
          <w:rStyle w:val="FootnoteAnchor"/>
          <w:rtl w:val="true"/>
        </w:rPr>
        <w:footnoteReference w:id="246"/>
      </w:r>
      <w:r>
        <w:rPr>
          <w:rFonts w:ascii="Amiri" w:hAnsi="Amiri" w:eastAsia="Amiri" w:cs="Amiri"/>
          <w:color w:val="111111"/>
          <w:sz w:val="28"/>
          <w:sz w:val="28"/>
          <w:szCs w:val="28"/>
          <w:rtl w:val="true"/>
          <w:lang w:bidi="ar-SA"/>
        </w:rPr>
        <w:t xml:space="preserve">ومن كلام بعض العلماء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كفر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والآية تُحمل على المبالغة، كما ورد في تارك الصلاة </w:t>
      </w:r>
      <w:r>
        <w:rPr>
          <w:rStyle w:val="FootnoteAnchor"/>
          <w:rtl w:val="true"/>
        </w:rPr>
        <w:footnoteReference w:id="248"/>
      </w:r>
      <w:r>
        <w:rPr>
          <w:rFonts w:ascii="Amiri" w:hAnsi="Amiri" w:eastAsia="Amiri" w:cs="Amiri"/>
          <w:color w:val="111111"/>
          <w:sz w:val="28"/>
          <w:sz w:val="28"/>
          <w:szCs w:val="28"/>
          <w:rtl w:val="true"/>
          <w:lang w:bidi="ar-SA"/>
        </w:rPr>
        <w:t>وفي كثيرٍ من المعاصي، وإعراض الأصحاب عن ذلك أقوى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 لا يستدل به على الكفر؛ لعدم ثبوت كونهما معصومين؛</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خرجا عن العصمة لتغيّر خلقهما، حيث جعل اللّه فيهما القوة الشهوية فعشقا امرأةً وراوداها، فرفعها اللّه ومسخها الزهرة، وأنّهما أخذا في تعليم الناس السحر ببابل، وهما معلقان منكوسين بين السماء والأرض </w:t>
      </w:r>
      <w:r>
        <w:rPr>
          <w:rStyle w:val="FootnoteAnchor"/>
          <w:rtl w:val="true"/>
        </w:rPr>
        <w:footnoteReference w:id="249"/>
      </w:r>
      <w:r>
        <w:rPr>
          <w:rFonts w:ascii="Amiri" w:hAnsi="Amiri" w:eastAsia="Amiri" w:cs="Amiri"/>
          <w:color w:val="111111"/>
          <w:sz w:val="28"/>
          <w:sz w:val="28"/>
          <w:szCs w:val="28"/>
          <w:rtl w:val="true"/>
          <w:lang w:bidi="ar-SA"/>
        </w:rPr>
        <w:t>، أو يراد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استلزم الكفر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في هاروت وماروت أنّهما ملكان نزلا لتعلّم الناس السحر والنهي عنه؛ ولذا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فِتْنَةٌ</w:t>
      </w:r>
      <w:r>
        <w:rPr>
          <w:rStyle w:val="FootnoteAnchor"/>
          <w:rtl w:val="true"/>
        </w:rPr>
        <w:footnoteReference w:id="250"/>
      </w:r>
      <w:r>
        <w:rPr>
          <w:rFonts w:ascii="Amiri" w:hAnsi="Amiri" w:eastAsia="Amiri" w:cs="Amiri"/>
          <w:color w:val="111111"/>
          <w:sz w:val="28"/>
          <w:sz w:val="28"/>
          <w:szCs w:val="28"/>
          <w:rtl w:val="true"/>
          <w:lang w:bidi="ar-SA"/>
        </w:rPr>
        <w:t>ففعلهما كان للاختبار، أو كانا يميزان للناس السحر من غيره لمّا فشى السحر ببابل؛ لضعف الخبر الأول؛ لاشتماله على المسخ إلى نجم في السماء وبقاء الممسوخ على الدوام، ونسبة المعصية للملائكة، وكله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إن اتخذ صنعةً وديدناً أو ادّعى صاحبه ولايةً وسلطاناً شرعياً، كان حده القتل، وإلا فلا؛ جمعاً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أضر به قتل، وإلا فلا، درءاً للحدّ بالشبهة، ويختص القتل بالعمل لا بالعلم مطلقاً؛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يستثنى أُمور من السحر اسماً وحكماً أو حكماً فقطالخمسون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يستثنى من السحر اسماً وحكماً أو حكماً فقط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 وتعليمه لا بقصد العمل، بل بقصد أنّ العلم بالشيء خير من الجهل به، أو كان القصد لأصالة البراءة من حرمة تعلّمه وتعليمه وعلمه لمجرد الاطلاع، ولفظ صحيح؛ الساحر ينصرف إلى فاعله كالمغنّي وكذا سائر الصنائع بخلاف العلوم كالنحو والصرفي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لحل المعقود أو لإبطاله، فيُبطل سحراً بسحر ويداوي سحراً بسحر، وفي الأخبار ما يشعر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خبر عيسى بن شقفي الساحر أنّه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علل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الساحر أن يحلَّ ولا يعقد</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والحل في الأخبار إن أُريد به حلّ السحر كان دليلاً على حلية الإبطال، وإن أُريد به حل المربوط كان خاصاً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ملكين إلى نبي ذلك الزمان يذكرا ما يسحر به السحرة، وما يردّ به سحرهم ويبطل كيدهم، فتلقاه النبيّ عن الملكين وأدّاه إلى عباد الله، فأمر اللّه تعالى أن يتقوا به السحر ويبطلوا، ونهاهم عن أن يسحروا به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هاروت وماروت كانا ملكين علما الناس السحر ليحترزوا به من سحر السحرة، ويبطلوا كيدهم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يحلّون السحر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 ذلك أن الظاهر من تحريم السحر السحر المقصود به الضرر أو أُمور أُخر لا يرضى بها ربّ البشر، لدعوى نبوة، أو ردّ على نبي، أو تحصيل المال، أو التوصل إلى المحارم من نساء أو أولاد، أو كشف أسرار الخلق، أو الميل عليهم من غير حق، فلو قصد به الردّ على المتنبئ، أو إبطال سحر الساحر أو التوقي به أو رفع السحر عن المسحور بل ومجرّد العمل، لم يكن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السحر بنفسه حرام وكبيرة موبقة ولو خلا عن المقاصد الرديئة؛ العموم الأدلّة، ولكن لو اشتمل على مقصدٍ صحيح جاز؛ لإشعار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المجبورة بعمل الأكثر نقلاً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بجوازه عند دفع الضرر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لا يجوز لتحصيل نفع أو مجاناً؛ لأنّ فيه قبحاً نفسياً باعتبار التمويه والإغراء بالجهل، وربّما أورث الشكّ في آيات الله، وفي التصديق بأنبيائه أو أوصيائه، بل ربما كان فيه إظهار للشركة مع واجب الوجود في قدرته وصنعه وإماتته وإحيائه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أصحابنا مَنْ مَنَع منه مطلقاً </w:t>
      </w:r>
      <w:r>
        <w:rPr>
          <w:rStyle w:val="FootnoteAnchor"/>
          <w:rtl w:val="true"/>
        </w:rPr>
        <w:footnoteReference w:id="257"/>
      </w:r>
      <w:r>
        <w:rPr>
          <w:rFonts w:ascii="Amiri" w:hAnsi="Amiri" w:eastAsia="Amiri" w:cs="Amiri"/>
          <w:color w:val="111111"/>
          <w:sz w:val="28"/>
          <w:sz w:val="28"/>
          <w:szCs w:val="28"/>
          <w:rtl w:val="true"/>
          <w:lang w:bidi="ar-SA"/>
        </w:rPr>
        <w:t>لعموم أدلّة تحريمه، إلا إذا كان فيه رفع مفسدة أعظم من مفسدته، كإبطال نبوّة متنبئ، أو إحياء نفس محترمة، أو رفع شبهةٍ تقع في الإسلام أو الإيمان، وحمل الأخبار على الحلّ بغير السحر من القرآن والذكر، وأخبار الملكين على اختصاصهما أو اختصاص تلك الشريعة بذلك الحكم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حسن إن أمكن الإبطال والحلّ بغير السحر، فإن لم يمكن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الأخبار عن ظاهرها المقتضي أن الحل والإبطال به لا داعي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يقال بتحريمه النفسي مطلقاً حتّى في نقض نبوّة المتنبي، لأن اللّه تعالى تعهد بإبطاله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سَيُبْطِلُهُ</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يُفْلِحُ السَّاحِرُ</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في دفع الضرر، لأن الحرام لا يدفع بحرام آخر ولو قوي المدفوع حرمة على الدافع، ولا تتفاوت بالضرر المدفوع بين كونه سحراً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فعل الملكين على التعليم لا على العمل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تسبيحهما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الإنسان كذا وكذا لكان كذا، ولو يعالج بكذا وكذا لكان كذا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عوى أنّ إبطال السحر بالسحر واجب كفايةً ممنوعة، وإلا لوجب على الناس تعلّم السحر بل وعمله، ولا قائل بهنعم، قد يقال بوجوب التعلم والتعليم لو توقف عليه بيان النبيّ من المتنبئ كفاية بل عيناً؛ لتجدد وعمل السحر وتكثره في البلدان والأزمان، إلا أنّه لطفاً وكرماً منه تعالى قد أوضح الأمر، وضعف كيد الساحر وفضحه، وأردى كلمته وحقره في الأعين، فلا يجب الاستعداد له من فضل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علمه وتعليمه وتعلّمه لعمله السائغ شرعاً فلا بأس به، ويشعر به أخبار الملكين </w:t>
      </w:r>
      <w:r>
        <w:rPr>
          <w:rStyle w:val="FootnoteAnchor"/>
          <w:rtl w:val="true"/>
        </w:rPr>
        <w:footnoteReference w:id="261"/>
      </w:r>
      <w:r>
        <w:rPr>
          <w:rFonts w:ascii="Amiri" w:hAnsi="Amiri" w:eastAsia="Amiri" w:cs="Amiri"/>
          <w:color w:val="111111"/>
          <w:sz w:val="28"/>
          <w:sz w:val="28"/>
          <w:szCs w:val="28"/>
          <w:rtl w:val="true"/>
          <w:lang w:bidi="ar-SA"/>
        </w:rPr>
        <w:t xml:space="preserve">بناءً على انسحاب الحكم إلى شرعنا، بل ربما يجب إذا كان في تعلمه معرفة الفرق بين النبيّ والمتنبئ بل مجرّد العلم به إن لم يستلزم محرّماً من المحرّمات من المراتب العلية؛ لأن الأنبياء عالمون به وبأسراره وأطواره، وما ورد من النهي عن تعلمه </w:t>
      </w:r>
      <w:r>
        <w:rPr>
          <w:rStyle w:val="FootnoteAnchor"/>
          <w:rtl w:val="true"/>
        </w:rPr>
        <w:footnoteReference w:id="262"/>
      </w:r>
      <w:r>
        <w:rPr>
          <w:rFonts w:ascii="Amiri" w:hAnsi="Amiri" w:eastAsia="Amiri" w:cs="Amiri"/>
          <w:color w:val="111111"/>
          <w:sz w:val="28"/>
          <w:sz w:val="28"/>
          <w:szCs w:val="28"/>
          <w:rtl w:val="true"/>
          <w:lang w:bidi="ar-SA"/>
        </w:rPr>
        <w:t>محمول على إرادة العمل به، واستلزام تعلّمه للوقوع في المحرّم ممنوع قطعاً، وجميع ما جاء في ذم الساحر والسحرة منصرف للعاملين لا العالمين، كما لا بأس بالعلم بطرق الغناء واللهو وغيرها مع عدم العمل بها</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يدخل في السحر بعض أعمال القمار والمغالبة مما يدق ويخفي كالشطرنج واستخراج الدفين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بالسيمياءالواحد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وأخذ المال به السيمياء، وهي إحداث خيالات لا وجود لها في الحس للتأثير في شيءٍ آخر، وهي محرمة لذاتها؛ لأنّها إن لم تدخل في السحر اسماً فهى مثله حكماً ؛ لاشتمالها على التعمية والدقة والتدليس والتلبيس والحيلة والخديعة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يحرم التكسّب بالشعبذة؛ لدخولها في السحر اسماً، أو لأنّها مثله حكماً لظهور دخولها في الباطل فيشملها دليله، ولاشتمالها على الحيلة والتدليس والتلبيس، وللإجماع محصلاً فضلاً عن منقوله </w:t>
      </w:r>
      <w:r>
        <w:rPr>
          <w:rStyle w:val="FootnoteAnchor"/>
          <w:rtl w:val="true"/>
        </w:rPr>
        <w:footnoteReference w:id="263"/>
      </w:r>
      <w:r>
        <w:rPr>
          <w:rFonts w:ascii="Amiri" w:hAnsi="Amiri" w:eastAsia="Amiri" w:cs="Amiri"/>
          <w:color w:val="111111"/>
          <w:sz w:val="28"/>
          <w:sz w:val="28"/>
          <w:szCs w:val="28"/>
          <w:rtl w:val="true"/>
          <w:lang w:bidi="ar-SA"/>
        </w:rPr>
        <w:t xml:space="preserve">، وفي الخبر ما يدل على أنّها من السحر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تدخل في اللعب واللهو فيكون كاللعب بالآلات الخفية أسبابها في حصول 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على الظاهر سرعة الحركة أو الحركة السريعة بحيث يخفى على الحسّ انتقالاتها من شيءٍ إلى شبهه أو مغايره فيخفى على الرائي الفرق بين المنتقل عنه والمنتقل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بالقيافةالثاني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القيافة وهي الاستناد إلى علامات وتقادير يترتب عليها إلحاق بعض الناس ببعض، وقد تكون لبعض الناس ملكة فيها، وهي من العلوم الحدسية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واعتقادها والعمل بها والركون إليها حرام بالإجماع المنقول </w:t>
      </w:r>
      <w:r>
        <w:rPr>
          <w:rStyle w:val="FootnoteAnchor"/>
          <w:rtl w:val="true"/>
        </w:rPr>
        <w:footnoteReference w:id="265"/>
      </w:r>
      <w:r>
        <w:rPr>
          <w:rFonts w:ascii="Amiri" w:hAnsi="Amiri" w:eastAsia="Amiri" w:cs="Amiri"/>
          <w:color w:val="111111"/>
          <w:sz w:val="28"/>
          <w:sz w:val="28"/>
          <w:szCs w:val="28"/>
          <w:rtl w:val="true"/>
          <w:lang w:bidi="ar-SA"/>
        </w:rPr>
        <w:t>، بل قد يدعى تحصيله؛ لأنّها تشتمل على ما ينافي شريعة سيّد المرسلين من لحوق الولد بالفراش مع الوطء، وعدم الاعتناء بمشابهة الخَلْق والخُلْق، والإعراض عن ذلك؛ لتأديته إلى الفضيحة واختلال الأنساب والأنكحة والمواريث، وإلى إظهار الفاحشة؛ لعود القريب بعيداً أو البعيد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استعمالها في غير الإنسان من الحيوان قد يقال بجوازه ما لم يعارض دليلاً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 ونحوه، أو يكون استعمالها على سبيل الحدس من دون ترتب أثر فيصرح صاحبها بالحدس، ولكن ما لم يؤد إلى فضيحة أو فاحشة أو غيبة أو بيان عورة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أنّها إذا اتخذت صناعة لجلب الدراهم حرمت وإن أظهر صاحبها الحدس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تجوز لإظهار حق أو دفع باطل، وقد تجب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ذلك تُحمل الرواية الواردة في رجوع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القافة في إلحاق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Style w:val="FootnoteAnchor"/>
          <w:rtl w:val="true"/>
        </w:rPr>
        <w:footnoteReference w:id="266"/>
      </w:r>
      <w:r>
        <w:rPr>
          <w:rFonts w:ascii="Amiri" w:hAnsi="Amiri" w:eastAsia="Amiri" w:cs="Amiri"/>
          <w:color w:val="111111"/>
          <w:sz w:val="28"/>
          <w:sz w:val="28"/>
          <w:szCs w:val="28"/>
          <w:rtl w:val="true"/>
          <w:lang w:bidi="ar-SA"/>
        </w:rPr>
        <w:t>، أو على أنّه فَعَله إخوته ولم ينههم خوفاً من التهمة، أو على أن الأمر لما كان مقطوعاً به لم يجب نهي القافة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 الخبر من نسبة القضاء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267"/>
      </w:r>
      <w:r>
        <w:rPr>
          <w:rFonts w:ascii="Amiri" w:hAnsi="Amiri" w:eastAsia="Amiri" w:cs="Amiri"/>
          <w:color w:val="111111"/>
          <w:sz w:val="28"/>
          <w:sz w:val="28"/>
          <w:szCs w:val="28"/>
          <w:rtl w:val="true"/>
          <w:lang w:bidi="ar-SA"/>
        </w:rPr>
        <w:t xml:space="preserve">لم يثبت أنّه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وتعلمها أو علمها مع عدم قصد العمل بها أو الاعتقاد بها لا بأس به، والعلم خير من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العوض على تعليمها مع ذلك القصد محرَّم؛ لأنّ اللّه إذا حرم شيئاً حرم ثمنه ومقدمة الحرام وإن لم تكن من الموصلات إليها على سبيل الجزم؛ لجواز أن يفعل المقدمات وعند إرادة فعل الحرام يتركها، ولكنّ المقدّمة المنوي بها التوصل إلى الحرام تحرم من جهة تلك النية وإن لم يترتب عليها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بالعمل ببعض بالعلوم التي يدّعي أهلها دلالتها على أحوال الشخص وصفاتهالثالث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بالعمل ببعض العلوم التي يدعي أهلها أنّها تدلّ على أحوال الشخص وصفاته، وما يطرأ عليه من مستقبلاته من الأعراض والأمراض والتزويج والأولاد والأحفاد والغنى والفقر، وما أكن بنفسه وما انتقش في صحيفة خاطره، يخبر بذلك على سبيل القطع أو على سبيل الحدس ليكون مكسباً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ذلك من دون عمل أو لا بقصد العمل كان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أخبر مصرحاً بأنّه حدس قد استفاده من هذه العلوم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أخبر عن الملاحم أو عن محيي الدين بن عربي إن لم يكن كتبه كتب الضلال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فلا يعلم الغيب إلا اللّه تعالى، ولا يعلم ما في بطون الأرحام وما ينزل الغيث وما يقع في المستقبل غير اللّه تعالى، أو مَنْ خصّه بعلم الغيب من الأنبياء والأوصياء، فالاستعداد لذلك والتزيي بزي الأنبياء مما لا يرضى به ربّ السماء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ينكشف للأولياء بعض المغيبات فيخبرون بها، وتكون من الكرامات التي لا تنكر لأهل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ما ذكرنا يحرم التكسّب والعمل على نحو الصناعة أو الإخبار عن القطع في جملة من العلوم، كعلم الكفّ، وعلم هيئة تركيب الأعضاء بالإنسان، وعلم نفس الأعضاء باعتبار تركيبها وكبرها وصغرها، وكذا علم الدفّة الذي يدعون أنّهم يعرفون به أحوال السنة، وكذا علم ضرب الحصى وشبهه، وكذا علم التفوّل بالغراب ونحوه من الطيور، وكذا التفوّل بما يقع عند السؤال أو إرادة قضاء أمر من الأمور من سفر وغيره، وكذا التفوّل بما يقع من بعض الكلمات أو بعض السطور في كتب أو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المنصوص في 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يعتقده أو يتخذه مكسباً وصنعةً، ولا بدّ أن يسنده بحيث يرتفع الكذب عن إخباره، وكذا التفوّل بالاستخارة والإخبار بما يستشعر منها إلا إذا بان أنّه حدس ولم يتخذه مكسباً وصنعة، وكذا الاستناد إلى عالم الرؤيا فيخبر بالغيب من جهته سواء رآه ابتداءً أو عمل أعمالاً ليرى أحوالاً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في يد الأحلام لا أستفيده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ودَيْناً على الأيام لا أتقاضاه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ما يستخرجونه بالأشبار، وباستنطاق بعض قاصري العقول كأهل الخبل والأطفال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بالكهانةالرابع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التكسّب به الكهانة، وهي إما قسم من السحر، كما أُطلق عليها ذلك في الأخبار، وأن الكاهن ساحر </w:t>
      </w:r>
      <w:r>
        <w:rPr>
          <w:rStyle w:val="FootnoteAnchor"/>
          <w:rtl w:val="true"/>
        </w:rPr>
        <w:footnoteReference w:id="269"/>
      </w:r>
      <w:r>
        <w:rPr>
          <w:rFonts w:ascii="Amiri" w:hAnsi="Amiri" w:eastAsia="Amiri" w:cs="Amiri"/>
          <w:color w:val="111111"/>
          <w:sz w:val="28"/>
          <w:sz w:val="28"/>
          <w:szCs w:val="28"/>
          <w:rtl w:val="true"/>
          <w:lang w:bidi="ar-SA"/>
        </w:rPr>
        <w:t>، أو قسيم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وحكمها حكمه إجماعاً بقسميه </w:t>
      </w:r>
      <w:r>
        <w:rPr>
          <w:rStyle w:val="FootnoteAnchor"/>
          <w:rtl w:val="true"/>
        </w:rPr>
        <w:footnoteReference w:id="270"/>
      </w:r>
      <w:r>
        <w:rPr>
          <w:rFonts w:ascii="IRNazanin" w:hAnsi="IRNazanin" w:eastAsia="IRNazanin"/>
          <w:color w:val="111111"/>
          <w:sz w:val="28"/>
          <w:sz w:val="28"/>
          <w:szCs w:val="28"/>
          <w:rtl w:val="true"/>
          <w:lang w:bidi="fa-IR"/>
        </w:rPr>
        <w:t xml:space="preserve">، والأخبار </w:t>
      </w:r>
      <w:r>
        <w:rPr>
          <w:rStyle w:val="FootnoteAnchor"/>
          <w:rtl w:val="true"/>
        </w:rPr>
        <w:footnoteReference w:id="271"/>
      </w:r>
      <w:r>
        <w:rPr>
          <w:rFonts w:ascii="Amiri" w:hAnsi="Amiri" w:eastAsia="Amiri" w:cs="Amiri"/>
          <w:color w:val="111111"/>
          <w:sz w:val="28"/>
          <w:sz w:val="28"/>
          <w:szCs w:val="28"/>
          <w:rtl w:val="true"/>
          <w:lang w:bidi="ar-SA"/>
        </w:rPr>
        <w:t xml:space="preserve">ناطقة به، ويُقتل صاحبه من دون توقف على الاستحلال؛ لأنّه ساحر أو بحكمه فتوى ونصاً </w:t>
      </w:r>
      <w:r>
        <w:rPr>
          <w:rStyle w:val="FootnoteAnchor"/>
          <w:rtl w:val="true"/>
        </w:rPr>
        <w:footnoteReference w:id="272"/>
      </w:r>
      <w:r>
        <w:rPr>
          <w:rFonts w:ascii="Amiri" w:hAnsi="Amiri" w:eastAsia="Amiri" w:cs="Amiri"/>
          <w:color w:val="111111"/>
          <w:sz w:val="28"/>
          <w:sz w:val="28"/>
          <w:szCs w:val="28"/>
          <w:rtl w:val="true"/>
          <w:lang w:bidi="ar-SA"/>
        </w:rPr>
        <w:t xml:space="preserve">، ولو توقف على الاستحلال لم يكن فرق بينه وبين المعاصي الأُخر، والكاهن آلة للمحرّم كآلة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إتلافها وكسرها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تعليمها وتعلّمها لا بقصد العمل،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ينفكّ العلم هنا عن العمل </w:t>
      </w:r>
      <w:r>
        <w:rPr>
          <w:rStyle w:val="FootnoteAnchor"/>
          <w:rtl w:val="true"/>
        </w:rPr>
        <w:footnoteReference w:id="273"/>
      </w:r>
      <w:r>
        <w:rPr>
          <w:rFonts w:ascii="Amiri" w:hAnsi="Amiri" w:eastAsia="Amiri" w:cs="Amiri"/>
          <w:color w:val="111111"/>
          <w:sz w:val="28"/>
          <w:sz w:val="28"/>
          <w:szCs w:val="28"/>
          <w:rtl w:val="true"/>
          <w:lang w:bidi="ar-SA"/>
        </w:rPr>
        <w:t>، والمنع في الأخبار منصرف إلى العمل أو العلم بقصده، فيبقى مجرّد العلم داخلاً في أصل البراءة</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والكهانة بالكسر،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عمل يقتضي طاعة بعض الجان </w:t>
      </w:r>
      <w:r>
        <w:rPr>
          <w:rStyle w:val="FootnoteAnchor"/>
          <w:rtl w:val="true"/>
        </w:rPr>
        <w:footnoteReference w:id="274"/>
      </w:r>
      <w:r>
        <w:rPr>
          <w:rFonts w:ascii="Amiri" w:hAnsi="Amiri" w:eastAsia="Amiri" w:cs="Amiri"/>
          <w:color w:val="111111"/>
          <w:sz w:val="28"/>
          <w:sz w:val="28"/>
          <w:szCs w:val="28"/>
          <w:rtl w:val="true"/>
          <w:lang w:bidi="ar-SA"/>
        </w:rPr>
        <w:t>، وبالفتح 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تعاطي الأخبار عن الكائنات في مستقبل الزمان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الكهانة في العرب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الشياطين كانت تسترق السمع فتلقيه إليهم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الكاهن مَنْ كان له رئى </w:t>
      </w:r>
      <w:r>
        <w:rPr>
          <w:rStyle w:val="FootnoteAnchor"/>
          <w:rtl w:val="true"/>
        </w:rPr>
        <w:footnoteReference w:id="277"/>
      </w:r>
      <w:r>
        <w:rPr>
          <w:rFonts w:ascii="Amiri" w:hAnsi="Amiri" w:eastAsia="Amiri" w:cs="Amiri"/>
          <w:color w:val="111111"/>
          <w:sz w:val="28"/>
          <w:sz w:val="28"/>
          <w:szCs w:val="28"/>
          <w:rtl w:val="true"/>
          <w:lang w:bidi="ar-SA"/>
        </w:rPr>
        <w:t xml:space="preserve">من الجن يأتيه بالأخبار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الكهنة منهم مَنْ يزعم أنّ له تابعاً من الجنّ يُلقي إليه الأخبار، ومنهم من يعرف الأمور بمقدّمات أسباب يستدلّ بها على مواقعها من كلام مَنْ يسأله أو فعله أو حاله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النفوس ما تقوى على الاطلاع بما سيكون من الأمور، فإن كانت خيرةً فاضلةً فتلك نفوس الأنبياء والأولياء، وإن كانت شريرةً فهي نفوس الكهنة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مَنْ له دِرْية بعلوم الأسرار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المعاصي المنصوص عليها الإخبار بالمغيبات بغير قول نبي أو وصيّ نبي، سواء كان بالتنجيم أو بالكهانة أو القيافة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الإخبار على سبيل التفوّل من غير جزم فالظاهر جوازه؛ لأنّ أصل هذه العلوم حق ولكن الإحاطة بها لا تتيسر لكلّ أحدٍ، والحكم بها لا يوافق المصلحة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ويريد بجواز ذلك على سبيل التفوّل هو ما ذكرنا من أنّ الحدس إذا بينه أنّه حدس ولم يعتمد عليه ولم يتخذه صناعةً واكتساباً ولم يكن يداخله شيء من المحارم من سحرٍ وتسخير واستخدام كان جائزاً، ومتى كان عن صاحب من الجن كان الإخبار به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أنّ جنّيّاً صاحب إنسياً قهراً فأخبره بالمغيبات جاز للإنسي أن يخبر عنه مصرحاً بذلك غير قاطع بقوله ولا معتمداً على صدقه وحقية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يُنقل في هذه الأعصار أن بعض الناس يتزوّجون من الجن ويكلمونهم ويطؤون الزوجة ويولّدونها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أُحقق ذلك، فإن كذبوا فقد أثموا، وإن صدقوا فقد غنموا لو جوزنا نكاح الجن وإمكان وطئهم وولادتهم منّا، ودون إثبات ذلك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عن الرائد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إسناد الأمر إلى قوله ولو مع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والإخبار عن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 قطع ببعض العلوم كعلم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إذا جعله الإنسان دَيْدَناً له وصنعةً؛ لتأديته إلى الشكّ في النبوات وعصمة المعصومين، فيؤدي إلى اختلال عقائد العوام سيّما الطغام الذين ينعقون خلف كلّ ناعق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فعله الإنسان أحياناً لم يكن به بأس، كما يصنعه العلماء في بعض حساب من الغالب والمغلوب ومن ذكر أسمائهما وعددهما، أو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السيفين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استخراج بعض أعداد الحروف مع التصريح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لا بد من التأمل التام في مثل هذا المقام سيّما في مثل خرافات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وزخاريفه ونفئاته ووساوسه وخدعه ومكره،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بعلم النجوم وبذل المال لأجلهالخامس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بعلم النجوم وبذل المال لأجله تعلّماً وتعليماً وعملاً وعلماً غير مستند إلى تعليم وتعلّم مع اعتقاد تأثيرها؛ لأنّ العلم والتعلم والتعليم على ذلك الاعتقاد مما لا يرضى به ربّ العباد، سواء في ذلك علم تركيبها وهيئتها أو علم تأثيرها وأحكامها، أو العمل بأحكامها بسبب صدور الأفعال المقارنة للطوالع والمقارنات والمقابلات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قارن علمها تعلّماً أو تعليماً، أو علمها اعتقاد قدمها لذاتها، كان كفراً إنكارياً أو إشراكاً، أو اعتقاد قدمها لقِدَم علّتها أو حدوثها متصفةٌ بالعلوم والإدراكات والاختيار في خلق الكائنات، كان من كفر إنكار الضروريات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قارن اعتقاد تأثيرها بالاستقلال وإن كانت مخلوقةً لربّ العزة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كتأثير الإحراق للنار والضوء للشمس في رابعة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اعتقاد أنّها جزء سبب التأثير وإن كان بأمر البصير القدير، أو اعتقاد أنّها علامات قطعية وآثارها يقينية لاظنية ولا حدسية في غير ما كانت الآثار منها بديهيةً كان فسقاً؛ لمكان النهي عنه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الهيئة المبتني على معرفة تراكيب الفلك وسير النجوم ومعرفة البروج والمنازل والطوالع ومقادير السير ومعرفة الثوابت وصور النجوم وتشريح العالم العلوي ومعرفة الأرض وأقاليمها، وكذا العلم بالجواهر والأعراض في كتب الكلام من مادة العناصر وكيفية تراكيبها وتراكيب المواليد الثلاثة وما يحدث في العالم من الأمطار والزلازل، علمان معروفان مستعملان بين علماء الإسلام، يعلمونهما ويتعلمونهما من قديم الأزمنة من غير 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وفيهما ما هو قطعي مرجعه إلى الحسّ وفيهما ما يرجع إلى الحدس، وفيهما ما يرجع إلى الشرع ببيان الأنبياء والأوصياء، وفيهما ما لا نعلمه ولا نصل إليه ولا يصل إلينا،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الشمس مسكنها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الفؤاد عزاء جميلافلن تستطيع إليها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تستطيع إليك النزولا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وفيهما ما ورد من الشارع خلافه، كما يقول الحكماء وأهل الهيئة في حقيقة السماوات والأرض وفي الشرع خلافه، ويقولون في حقيقة الغيوم والأمطار والرعد والبرق وفي الشرع خلافه، ويقولون في الخسوف والكسوف وفي الشرع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يجوز علمه وتعليمه وأخذ الأجرة على تعليمه غير أن ما كان حدسياً لا يجوز القطع به والاخبار على البت به، وما خالف الشريعة المعلومة يُترك ويُعرض عنه، وما لم يُعلم حاله يؤخذ به على سبيل الاطلاع أو التقليد دون الاعتقاد والتصديق، وما أمكن فيه التوفيق بين الأخبار وما في كتبهم والجمع بينهما من دون خروج عن من دون خروج عن الظاهر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علم النجوم فما تعلّق منه بمعرفة الأهلة والطوالع والسوانح والمسير والمقابلة والمقارنة والسعود والنحوس والخسوف والكسوف وخروج نجم وغروب آخر والصعود والنزول ودخول القمر أو الشمس في البروج والخروج منها ودرجات الشمس والقمر والسيارة، حكمه كحكم علم الهيئة، جملة منها منه، وجملة منه منها، فيؤخذ بالمقطوع به، والحدسي منه يعود إلى الحدس، وما لم يعلم حاله يؤخذ به على سبيل الاطلاع أو التقليد، لا الإذعان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عارض ما ورد من الشارع ردّ إليه أو العكس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تعلّق بالأحكام المترتبة على تلك الموضوعات من الأعمال كالأسفار وابتداء الأمور والنكاح وقضاء الحوائج وملاقاة الملوك والنقل والتحويل، أو من الحوادث كالأمطار وزيادة الأنهار والرخص والغلاء والفتن والأمراض والأعراض، فهذه إن وافقت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القمر في العقرب </w:t>
      </w:r>
      <w:r>
        <w:rPr>
          <w:rStyle w:val="FootnoteAnchor"/>
          <w:rtl w:val="true"/>
        </w:rPr>
        <w:footnoteReference w:id="284"/>
      </w:r>
      <w:r>
        <w:rPr>
          <w:rFonts w:ascii="Amiri" w:hAnsi="Amiri" w:eastAsia="Amiri" w:cs="Amiri"/>
          <w:color w:val="111111"/>
          <w:sz w:val="28"/>
          <w:sz w:val="28"/>
          <w:szCs w:val="28"/>
          <w:rtl w:val="true"/>
          <w:lang w:bidi="ar-SA"/>
        </w:rPr>
        <w:t xml:space="preserve">وفي بعض الطوالع السعيدة والنحسة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وافقت التجربة عمل عليها، وما لم توافق الشرع ولم يُعلم حالها، فإن أخذ بها على سبيل التقليد والاحتياط، لا الإذعان والتصديق، فإن يك صاحبها كاذباً فعليه كذبه، وإن يك صادقاً يصبكم بعض الذي يعدكم كان حسناً، وعلى ذلك جرت سيرة العلماء وطريقتهم وتقرير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زمانهم وفعل أصحابهم وكثير ممن كان من العلماء في زمانهم ومن أتباعهم والمشاهير من خواصهم وكثير ممن بعدهم يتعاطون علم النجوم ويسكنون إليه، ويعملون بكثير من أحكامه، ويبشرون بكثير من آثاره، ولكن لا يذعنون به تصديقاً ولا يركنون إليه تحقيقاً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كثير من الأخبار جواز تعلّم هذا العلم وبيان أنّه من علوم الأنبياء، وأنّه يجوز الأخذ به والاعتماد عليه في كثير من الأحكام، وأن الأئمّة كانوا عالمين به وبأحكامه وبمواقعه، بل ربما يرجع إليه كثير من الأخبار الواردة في الأيام النحسة والسعيدة والكوامل وأيام السنة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ما ذكرنا لا ينبغي التأمل في جواز تعلّمه وتعليمه وأخذ المال عوض ذلك ولأجله، كما هي سيرة كثير من عدول الإمامية وتقريرهم عليها من العلماء الأعلام على مرور السنين والأيام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يجوز العمل به وأخذ الأجرة عليه، بأن ينظر على النحو المتقدم فيعمل بما هو حاصل من الزيج والدور الدائم والتقويم والروزنامه، ويخبر عن حدس مسند إلى ذلك العلم في الحدس بالحوادث والمواليد ما لم يتخذ الإخبار عن المغيبات صنعة له أو يجعل ذلك سنداً قاطعاً، كما يفعله أهل الملل الخارجة من اليهود ونحوهم من الاطلاع على الخفايا ومعرفة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يُحمل ما ورد في الأخبار </w:t>
      </w:r>
      <w:r>
        <w:rPr>
          <w:rStyle w:val="FootnoteAnchor"/>
          <w:rtl w:val="true"/>
        </w:rPr>
        <w:footnoteReference w:id="286"/>
      </w:r>
      <w:r>
        <w:rPr>
          <w:rFonts w:ascii="Amiri" w:hAnsi="Amiri" w:eastAsia="Amiri" w:cs="Amiri"/>
          <w:color w:val="111111"/>
          <w:sz w:val="28"/>
          <w:sz w:val="28"/>
          <w:szCs w:val="28"/>
          <w:rtl w:val="true"/>
          <w:lang w:bidi="ar-SA"/>
        </w:rPr>
        <w:t>عن المعصومين الأطهار من ذم علم النجوم</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والنهي عنه والاستهزاء به وعدم الركون إليه والإعراض عنه، وأنّه لا أصل له كما وقع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 اليهود وغيرهم من المنجمين على أن كثيراً مما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لبيان علمهم وقرب منزلتهم من حضرة ذي الجلال وأنّ علمهم من علمه، وأنّ علم النجوم من علم المحو والإثبات الذي قد يظهر في عالم الشهادة، ويكون في غيره في علم الغيب وفي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الأخبار </w:t>
      </w:r>
      <w:r>
        <w:rPr>
          <w:rStyle w:val="FootnoteAnchor"/>
          <w:rtl w:val="true"/>
        </w:rPr>
        <w:footnoteReference w:id="288"/>
      </w:r>
      <w:r>
        <w:rPr>
          <w:rFonts w:ascii="Amiri" w:hAnsi="Amiri" w:eastAsia="Amiri" w:cs="Amiri"/>
          <w:color w:val="111111"/>
          <w:sz w:val="28"/>
          <w:sz w:val="28"/>
          <w:szCs w:val="28"/>
          <w:rtl w:val="true"/>
          <w:lang w:bidi="ar-SA"/>
        </w:rPr>
        <w:t>فيها تخطئة المنجمين في معرفة الموضوعات، وتخطئتهم في أحكامهم إما من جهة عدم وصولهم، وإما من جهة المحو والإثبات من حيث إن اقتضاءها ليست لا بدّيّة لا يعتريها محو وإثبات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فالرجوع إلى المنجمين في المقطوع به من الموضوعات كمعرفة بروج الشمس والقمر ومعرفة منازلهما في الجملة، أو ما كان كالمقطوع به بحسب جريان السيرة عليه كمعرفة الأهلة والخسوفين، ومعرفة بعض المقارنات والمقابلات، ومعرفة منازل باقي السيارات ومقابلاتها ومقارناتها، ومعرفة بعض الأحكام المترتبة على تلك الموضوعات من سعدٍ ونحس وخير وشر فيما يتعلق بالأفعال الصادرة من نوع الإنسان، وكذا الأمور العادية من زيادة المياه ووقوع البرد وحدوث الأمطار ووقوع بعض الأمراض، كلّ ذلك لا بأس به إذا لم يكن الإخبار به على سبيل القطع في المظنون أو الموهوم، أو على سبيل الاعتقاد الفاسد، أو إظهار أنّه من الغيب الذي وصل إليه غير مستند إلى ذلك العلم ولو بقرينة أنّه منجم، أو اتخاذه صنعةً وحرفةً لأخذ الأعواض في غير ما جاء من الشرع أو شهدت به التجارب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كان من أحدهما فإنّه يجوز أخذ الجعالة على إخباره بما يمكن أن يعود نفعاً للطالب في بعض الأحكام الثابتة شرعاً أو عرفاً بالتجارب كما ذكرنا وإن ترتب على ظنّي وكانت ظنّية، كما وجدناهم يخطؤون في الهلال وفي الخسوفين وفي الأمطار وفي البرد والحرّ وفي كثيرٍ من الحوادث وفي كثير من الأحكام، لكن لابأس بذلك الخطأ، كما يخطأ الطبيب في علم الطبّ، وكثير من الأمور المبنية على الظن، أو أن الخطأ في الأحكام إنما يجيء من المحو والإثبات كما في الدعاء والصدقة، وما يرد في الأخبار من ترتب كثير من الأحكام على بعض الموضوعات ويقع خلافها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فالأخبار الدالة على حرمته </w:t>
      </w:r>
      <w:r>
        <w:rPr>
          <w:rStyle w:val="FootnoteAnchor"/>
          <w:rtl w:val="true"/>
        </w:rPr>
        <w:footnoteReference w:id="289"/>
      </w:r>
      <w:r>
        <w:rPr>
          <w:rFonts w:ascii="Amiri" w:hAnsi="Amiri" w:eastAsia="Amiri" w:cs="Amiri"/>
          <w:color w:val="111111"/>
          <w:sz w:val="28"/>
          <w:sz w:val="28"/>
          <w:szCs w:val="28"/>
          <w:rtl w:val="true"/>
          <w:lang w:bidi="ar-SA"/>
        </w:rPr>
        <w:t>متكاثرة، بل حكم بعض الأساطين أنّها متواترة</w:t>
      </w:r>
      <w:r>
        <w:rPr>
          <w:rStyle w:val="FootnoteAnchor"/>
          <w:rtl w:val="true"/>
        </w:rPr>
        <w:footnoteReference w:id="290"/>
      </w:r>
      <w:r>
        <w:rPr>
          <w:rFonts w:ascii="Amiri" w:hAnsi="Amiri" w:eastAsia="Amiri" w:cs="Amiri"/>
          <w:color w:val="111111"/>
          <w:sz w:val="28"/>
          <w:sz w:val="28"/>
          <w:szCs w:val="28"/>
          <w:rtl w:val="true"/>
          <w:lang w:bidi="ar-SA"/>
        </w:rPr>
        <w:t xml:space="preserve">، وفي بعضها عده من الآثام </w:t>
      </w:r>
      <w:r>
        <w:rPr>
          <w:rStyle w:val="FootnoteAnchor"/>
          <w:rtl w:val="true"/>
        </w:rPr>
        <w:footnoteReference w:id="291"/>
      </w:r>
      <w:r>
        <w:rPr>
          <w:rFonts w:ascii="Amiri" w:hAnsi="Amiri" w:eastAsia="Amiri" w:cs="Amiri"/>
          <w:color w:val="111111"/>
          <w:sz w:val="28"/>
          <w:sz w:val="28"/>
          <w:szCs w:val="28"/>
          <w:rtl w:val="true"/>
          <w:lang w:bidi="ar-SA"/>
        </w:rPr>
        <w:t xml:space="preserve">، وفي بعض من منافيات الإسلام </w:t>
      </w:r>
      <w:r>
        <w:rPr>
          <w:rStyle w:val="FootnoteAnchor"/>
          <w:rtl w:val="true"/>
        </w:rPr>
        <w:footnoteReference w:id="292"/>
      </w:r>
      <w:r>
        <w:rPr>
          <w:rFonts w:ascii="Amiri" w:hAnsi="Amiri" w:eastAsia="Amiri" w:cs="Amiri"/>
          <w:color w:val="111111"/>
          <w:sz w:val="28"/>
          <w:sz w:val="28"/>
          <w:szCs w:val="28"/>
          <w:rtl w:val="true"/>
          <w:lang w:bidi="ar-SA"/>
        </w:rPr>
        <w:t xml:space="preserve">، والإجماع منقوله في كلام بعض الأساطين </w:t>
      </w:r>
      <w:r>
        <w:rPr>
          <w:rStyle w:val="FootnoteAnchor"/>
          <w:rtl w:val="true"/>
        </w:rPr>
        <w:footnoteReference w:id="293"/>
      </w:r>
      <w:r>
        <w:rPr>
          <w:rFonts w:ascii="Amiri" w:hAnsi="Amiri" w:eastAsia="Amiri" w:cs="Amiri"/>
          <w:color w:val="111111"/>
          <w:sz w:val="28"/>
          <w:sz w:val="28"/>
          <w:szCs w:val="28"/>
          <w:rtl w:val="true"/>
          <w:lang w:bidi="ar-SA"/>
        </w:rPr>
        <w:t xml:space="preserve">ومحصله، بل في كلام بعض الأساطين أنّ مجموعه عرف بين المسلمين حتّى عُدّ من ضروريات المذهب بل الدين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الدالة على حلّينه متكثرة </w:t>
      </w:r>
      <w:r>
        <w:rPr>
          <w:rStyle w:val="FootnoteAnchor"/>
          <w:rtl w:val="true"/>
        </w:rPr>
        <w:footnoteReference w:id="295"/>
      </w:r>
      <w:r>
        <w:rPr>
          <w:rFonts w:ascii="Amiri" w:hAnsi="Amiri" w:eastAsia="Amiri" w:cs="Amiri"/>
          <w:color w:val="111111"/>
          <w:sz w:val="28"/>
          <w:sz w:val="28"/>
          <w:szCs w:val="28"/>
          <w:rtl w:val="true"/>
          <w:lang w:bidi="ar-SA"/>
        </w:rPr>
        <w:t xml:space="preserve">، حتّى ورد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وكثير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كانوا منجمين </w:t>
      </w:r>
      <w:r>
        <w:rPr>
          <w:rStyle w:val="FootnoteAnchor"/>
          <w:rtl w:val="true"/>
        </w:rPr>
        <w:footnoteReference w:id="296"/>
      </w:r>
      <w:r>
        <w:rPr>
          <w:rFonts w:ascii="Amiri" w:hAnsi="Amiri" w:eastAsia="Amiri" w:cs="Amiri"/>
          <w:color w:val="111111"/>
          <w:sz w:val="28"/>
          <w:sz w:val="28"/>
          <w:szCs w:val="28"/>
          <w:rtl w:val="true"/>
          <w:lang w:bidi="ar-SA"/>
        </w:rPr>
        <w:t xml:space="preserve">ولم ينكر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وكذا كثير من الفقهاء المتبحرين من المتقدمين والمتأخرين </w:t>
      </w:r>
      <w:r>
        <w:rPr>
          <w:rStyle w:val="FootnoteAnchor"/>
          <w:rtl w:val="true"/>
        </w:rPr>
        <w:footnoteReference w:id="297"/>
      </w:r>
      <w:r>
        <w:rPr>
          <w:rFonts w:ascii="Amiri" w:hAnsi="Amiri" w:eastAsia="Amiri" w:cs="Amiri"/>
          <w:color w:val="111111"/>
          <w:sz w:val="28"/>
          <w:sz w:val="28"/>
          <w:szCs w:val="28"/>
          <w:rtl w:val="true"/>
          <w:lang w:bidi="ar-SA"/>
        </w:rPr>
        <w:t xml:space="preserve">، وكذا كثير من عظماء الشيعة العاملين بأحكام الشريعة، ولم تزل العلماء ترجع إليهم بالسؤال عن أحوال القمر والنحس والسعد والطوالع فيما يتعلّق بالسفر والتزويج والانتقال وكثير من مهمات الأعمال، وورد أنّه علم إدريس وذو القرنين </w:t>
      </w:r>
      <w:r>
        <w:rPr>
          <w:rStyle w:val="FootnoteAnchor"/>
          <w:rtl w:val="true"/>
        </w:rPr>
        <w:footnoteReference w:id="298"/>
      </w:r>
      <w:r>
        <w:rPr>
          <w:rFonts w:ascii="Amiri" w:hAnsi="Amiri" w:eastAsia="Amiri" w:cs="Amiri"/>
          <w:color w:val="111111"/>
          <w:sz w:val="28"/>
          <w:sz w:val="28"/>
          <w:szCs w:val="28"/>
          <w:rtl w:val="true"/>
          <w:lang w:bidi="ar-SA"/>
        </w:rPr>
        <w:t>، وورد في الكتاب المجيد ما يؤذن بحليته،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رواية سعد اليماني ما يؤذن بجوازه، حيث إنّه أقره على علم النجوم لما ادعى أنّه أعلم علماء اليمن به، فبين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لا يعلمها في النجوم ولا سمعها، فتعجب من ذلك، والحديث طويل لا يخلو من اشتماله على الإعجاز،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ظننت أن أحداً يعلم هذا وما يدري ماكنهه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اليماني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رواية الدهقان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منعه عن الحرب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مثل هذا اليوم وجب على الحكيم الاختفاء، وذكر بعض الأحكام، 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أحكام لا يعرفها ولا سمعها وكان فيها سبب موت جاسوس الخوارج </w:t>
      </w:r>
      <w:r>
        <w:rPr>
          <w:rStyle w:val="FootnoteAnchor"/>
          <w:rtl w:val="true"/>
        </w:rPr>
        <w:footnoteReference w:id="302"/>
      </w:r>
      <w:r>
        <w:rPr>
          <w:rFonts w:ascii="Amiri" w:hAnsi="Amiri" w:eastAsia="Amiri" w:cs="Amiri"/>
          <w:color w:val="111111"/>
          <w:sz w:val="28"/>
          <w:sz w:val="28"/>
          <w:szCs w:val="28"/>
          <w:rtl w:val="true"/>
          <w:lang w:bidi="ar-SA"/>
        </w:rPr>
        <w:t xml:space="preserve">، ولا شك أن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وعدم إنكاره علیه دليل على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عن قيس بن سعد هذا بطريق آخر، وأنّ الذي منعه دهقان من دهاقين اليمن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بطريق ثالث عن الأصبغ بن نباتة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النجوم من علم الأنبياء،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 الناس به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علم نبي اللّه نوح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النجوم علم علمه اللّه لنبي من الأنبياء ليعلمه قومه، وأنهم عرفوه بالنظر إلى الماء الصافي النازل من المطر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النبيّ يوشع بن نون، وأنّ اللّه بعد ذلك خلط الليل والنهار عليهم فجهلوا ما علموا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آزر كان منجماً لنمرود، وقضية وقوعه على أهله وولادة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رويت بطرق عديدة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النجوم والعمل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 بدينك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بين له أحكاماً لا يعرفها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النجوم صحيح لولا رد الشمس ليوشع ولعليٍّ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أحكام كثيرة لهشام الخفاف من دون إنكار عليه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النجوم 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أصل صحيح </w:t>
      </w:r>
      <w:r>
        <w:rPr>
          <w:rStyle w:val="FootnoteAnchor"/>
          <w:rtl w:val="true"/>
        </w:rPr>
        <w:footnoteReference w:id="31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والجمع بين ما دلّ على المنع وما دلّ على الجواز هو أن تُحمل أدلة المنع على العمل به مع اعتقاد التأثير، أو اعتقاد الأحكام الغير المقطوع بها بحسب العادات، أوالإخبار بجميع أحكامه عن علم، أو التحدّي به واتخاذه معجزاً لصاحبه، أو حمل الناس على العمل به لحقيته وصدقه، أو تكذيب الأنبياء والأوصياء به، أو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يمحو ويثبت وعنده يمحو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العمل بالأحكام الشرعيَّة به، كإخراج السارق وولد الزنى والحلال والحرام، أو استخراج الأحكام منه، أو غير ذلك كما ذكرنا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بالقمار وبآلاته واقتناؤهاالسادس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بالقمار، وتعلّمه وتعليمه للعمل به، ويحرم التكسّب بآلاته، واقتناؤها وإبقاؤها، كلّ ذلك لحرمته عقلاً وشرعاً، كتاباً </w:t>
      </w:r>
      <w:r>
        <w:rPr>
          <w:rStyle w:val="FootnoteAnchor"/>
          <w:rtl w:val="true"/>
        </w:rPr>
        <w:footnoteReference w:id="316"/>
      </w:r>
      <w:r>
        <w:rPr>
          <w:rFonts w:ascii="Amiri" w:hAnsi="Amiri" w:eastAsia="Amiri" w:cs="Amiri"/>
          <w:color w:val="111111"/>
          <w:sz w:val="28"/>
          <w:sz w:val="28"/>
          <w:szCs w:val="28"/>
          <w:rtl w:val="true"/>
          <w:lang w:bidi="ar-SA"/>
        </w:rPr>
        <w:t xml:space="preserve">، وسنة </w:t>
      </w:r>
      <w:r>
        <w:rPr>
          <w:rStyle w:val="FootnoteAnchor"/>
          <w:rtl w:val="true"/>
        </w:rPr>
        <w:footnoteReference w:id="317"/>
      </w:r>
      <w:r>
        <w:rPr>
          <w:rFonts w:ascii="Amiri" w:hAnsi="Amiri" w:eastAsia="Amiri" w:cs="Amiri"/>
          <w:color w:val="111111"/>
          <w:sz w:val="28"/>
          <w:sz w:val="28"/>
          <w:szCs w:val="28"/>
          <w:rtl w:val="true"/>
          <w:lang w:bidi="ar-SA"/>
        </w:rPr>
        <w:t>وإجماعاً؛ لأنّه من اللهو واللعب بالباطل، والميسر الذي هو رجس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آلات معلومة معتادة يلعب بها كالشطرنج والنرد، ولعبة الأمير، والثلاثة، والأربعة عشر، والجوز، والبيض، والكعاب، والخاتم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الشطرنج حرام، وأكل ثمنه سحت واتخاذه كفر، واللعب به شرك، والسلام على اللاهي بها معصية وكبيرة،موبقة والخائض فيها يده كالخائض يده في لحم الخنزير لا صلاة له حتّى يغسل يده كما يغسلها من مس لحم الخنزير، والناظر إليها كالناظر إلى فرج أُمّه، والناظر إليها والمسلّم على اللاهي بها سواء معه في الإثم والجالس على اللعب بها يتبوّاً مقعده من النار، ومجلسها من المجالس التي باء أهلها بسخط من اللّه تعالى، يتوقعونه في كلّ ساعة فيعمك معهم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قائل بالفصل بين الشطرنج وبين غيره مما اعتيدت المقامرة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في هذا الخبر محمول على المبالغة والتشديد في عظم معصيتها، أو كناية عن النجاسة المعنوية، والغسل عن التوبة وبطلان الصلاة عن ضعف ثوابها، والشرك والكفر عن شدة الذنب، والسلام على اللاعب مع إرادة اللعب، أو الرضى بفعله والجلوس معه بنيّة اللهو معه، أو اللعب معه حرام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جلس منكراً لذلك بقلبه فلا بأس، مع احتمال لزوم القيام من ذلك المجلس ما لم يكن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جلس للتفرّج أو التنزه فالظاهر الحرمة؛ لأنّه من اللهو واللعب المنهي عنه؛ لأنّ اللاهي بالملاهي لو لم يعقد مجلسه بالسامعين والمريدين والباذلين لما صدر منه اللهو، فالجالس للهو هو أوّل اللاهين والمتلاهين عمّا هو نافع في الدنيا وفي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القمار إما أن يتخلّص للمغالبة بالآلات المعهودة من دون التواطؤ على مال وبذله في الحال أو المآل، وإما أن يكون مع التواطؤ على المال وبذله في الحال أو المآل، والظاهر تحريم كلا القسمين، وأشدّهما ما اشتمل على المال فيجب ردّه على مالكه المعلوم ولو ببذل مال لا يضر بالحال، أو مع ما يضر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يمكن إيصاله لتقيّة أو بُعْد، دفع إلى الحاكم الشرعي؛ لولايته على مثل ذلك، فإن أمكن الحاكم إيصاله وإلا فالصدقة به إن كان مؤمناً، وإن كان غير مؤمن احتملت الصدقة والإبقاء أمانةً، وعوده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لم يعلم مالكه في محصور كان مجهول المالك، فرضه الصدقة به إذا كان مؤمناً أو مجهول الحال، وفي الكافر بحث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محصور، احتملت القرعة، وكونه مجهول المالك، والتوزيع، والصلح بما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أكله المقامر وجب قيئه إن بقيت ماليته بعد قيئه، وإلا سقط وجوب القيء على الأظهر؛ لانتقاله إلى البدل ولزوم ذلك تعبداً بعيد، نعم، 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أكل من مال المقامرة شيئاً، فلمّا علم تقيأه </w:t>
      </w:r>
      <w:r>
        <w:rPr>
          <w:rStyle w:val="FootnoteAnchor"/>
          <w:rtl w:val="true"/>
        </w:rPr>
        <w:footnoteReference w:id="319"/>
      </w:r>
      <w:r>
        <w:rPr>
          <w:rFonts w:ascii="Amiri" w:hAnsi="Amiri" w:eastAsia="Amiri" w:cs="Amiri"/>
          <w:color w:val="111111"/>
          <w:sz w:val="28"/>
          <w:sz w:val="28"/>
          <w:szCs w:val="28"/>
          <w:rtl w:val="true"/>
          <w:lang w:bidi="ar-SA"/>
        </w:rPr>
        <w:t xml:space="preserve">، فيُحمل على الاحتياط إن جوزنا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الحرام من غير علمٍ</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لم يشتمل على المال فهو من اللهو واللعب الموجب للوبال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اللعب بالآلات الغير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عرفاً باللهو واللعب المعتادين اللذين يلزم منهما الفساد على كافة العباد، حرم، سواء اشتملت المغالبة به على مالٍ أو لم تشتمل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يدخل عرفاً باللهو الذي ما من شأنه الفساد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كالعراص والطراح والشباك وكسر الخشبة وخرق البساط وإظهار النشاط والسرعة في الذهاب والإياب وجودة ضرب السلاح وأبعاد الرمي وجودة الصنعة، أو الجدل فكلُّ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معي ووقع ذلك أو سيقع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فعله، والسيرة على ذلك، وعن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320"/>
      </w:r>
      <w:r>
        <w:rPr>
          <w:rFonts w:ascii="Amiri" w:hAnsi="Amiri" w:eastAsia="Amiri" w:cs="Amiri"/>
          <w:color w:val="111111"/>
          <w:sz w:val="28"/>
          <w:sz w:val="28"/>
          <w:szCs w:val="28"/>
          <w:rtl w:val="true"/>
          <w:lang w:bidi="ar-SA"/>
        </w:rPr>
        <w:t>فعل نظير ذلك، وأصالة البراءة تشهد به، وليس كلّ لعب حرام، وإلا لم يستقم نظام، وتنصرف النواهي للمعتاد من اللهو واللعب بالآلات المعتادة، أو بغيرها كالرقص والصفق بالإصبعين والدق بالرّجلين على النحو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قرنت هذه المغالبة بمال على وجه الشرطية أو العلّيّة، كان من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تناوله وحرم النذر عليه؛ لخروجه عن نذر الزجر والشكر، ودخوله في النذر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وعداً ومزحاً فدفع عطية وكانت المغالبة داعية من الدواعي أمكن جوازه، إلّا أنّ الأقوى المنع؛ للنهي عن الميسر </w:t>
      </w:r>
      <w:r>
        <w:rPr>
          <w:rStyle w:val="FootnoteAnchor"/>
          <w:rtl w:val="true"/>
        </w:rPr>
        <w:footnoteReference w:id="321"/>
      </w:r>
      <w:r>
        <w:rPr>
          <w:rFonts w:ascii="Amiri" w:hAnsi="Amiri" w:eastAsia="Amiri" w:cs="Amiri"/>
          <w:color w:val="111111"/>
          <w:sz w:val="28"/>
          <w:sz w:val="28"/>
          <w:szCs w:val="28"/>
          <w:rtl w:val="true"/>
          <w:lang w:bidi="ar-SA"/>
        </w:rPr>
        <w:t xml:space="preserve">المفسر بأنّه أكل المال بيسر </w:t>
      </w:r>
      <w:r>
        <w:rPr>
          <w:rStyle w:val="FootnoteAnchor"/>
          <w:rtl w:val="true"/>
        </w:rPr>
        <w:footnoteReference w:id="322"/>
      </w:r>
      <w:r>
        <w:rPr>
          <w:rFonts w:ascii="Amiri" w:hAnsi="Amiri" w:eastAsia="Amiri" w:cs="Amiri"/>
          <w:color w:val="111111"/>
          <w:sz w:val="28"/>
          <w:sz w:val="28"/>
          <w:szCs w:val="28"/>
          <w:rtl w:val="true"/>
          <w:lang w:bidi="ar-SA"/>
        </w:rPr>
        <w:t xml:space="preserve">، ولأنّه لا يُعد من التجارة عن تراض، بل يُعدّ من السفه والباطل، فما يضعه من الرهن والنذر عند المغالبة في عمل أو في بعض أمر، أو عدمه، أو في إحقاق مسألة وغير ذلك، كله لو دفع بعنوان أنّه يقضيه ولأجله حرام، ويدخل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يفعله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الغالب للمغلوب أن يدفع للمغلوب أمكن أن يكون نذر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يشتمل على الغشّالسابع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التكسّب به التكسّب المشتمل على غش، وحرمته إجماعيّة، والكتاب </w:t>
      </w:r>
      <w:r>
        <w:rPr>
          <w:rStyle w:val="FootnoteAnchor"/>
          <w:rtl w:val="true"/>
        </w:rPr>
        <w:footnoteReference w:id="323"/>
      </w:r>
      <w:r>
        <w:rPr>
          <w:rFonts w:ascii="Amiri" w:hAnsi="Amiri" w:eastAsia="Amiri" w:cs="Amiri"/>
          <w:color w:val="111111"/>
          <w:sz w:val="28"/>
          <w:sz w:val="28"/>
          <w:szCs w:val="28"/>
          <w:rtl w:val="true"/>
          <w:lang w:bidi="ar-SA"/>
        </w:rPr>
        <w:t xml:space="preserve">والسنّة </w:t>
      </w:r>
      <w:r>
        <w:rPr>
          <w:rStyle w:val="FootnoteAnchor"/>
          <w:rtl w:val="true"/>
        </w:rPr>
        <w:footnoteReference w:id="324"/>
      </w:r>
      <w:r>
        <w:rPr>
          <w:rFonts w:ascii="Amiri" w:hAnsi="Amiri" w:eastAsia="Amiri" w:cs="Amiri"/>
          <w:color w:val="111111"/>
          <w:sz w:val="28"/>
          <w:sz w:val="28"/>
          <w:szCs w:val="28"/>
          <w:rtl w:val="true"/>
          <w:lang w:bidi="ar-SA"/>
        </w:rPr>
        <w:t>قاضيان به لاشتماله على الظلم والإغراء بالجهل والخديعة والمنكر، ومَنْ غش المسلمين فليس منهم</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تحريمه لغيره؛ لأنّه لأمرٍ خارج مفارق، وهو الغش، فلا يقضى بفساد المعاملة المشتملة عليه، كما تقدَّم من أنّ النهي إذا لم يكن لذات المعاملة أو جزئها أو وصفها اللازم لم يقض بالفساد؛ لعدم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المغشوش لم يقصد وأنّ العقود تتبع القصود، ظاهرة الضعف؛ لحصول القصد قطعاً من المتعاملين كدعوى أنّه من تعارض الاسم والإشارة فالمنقول الاسم الظاهر في غير المغشوش والمدفوع هو المشار إليه فالعقد واقع على غير المعين؛ ضرورة أنّ الاسم والإشارة هنا واردان على واحدٍ، وإنّما وقع الاشتباه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أخرج الغش المشار إليه عن حقيقة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أن من العيوب ما يخرج به المعيب عن حقيقة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بعض الأخبار من النهي الصريح عن العقد المشتمل عليه </w:t>
      </w:r>
      <w:r>
        <w:rPr>
          <w:rStyle w:val="FootnoteAnchor"/>
          <w:rtl w:val="true"/>
        </w:rPr>
        <w:footnoteReference w:id="325"/>
      </w:r>
      <w:r>
        <w:rPr>
          <w:rFonts w:ascii="Amiri" w:hAnsi="Amiri" w:eastAsia="Amiri" w:cs="Amiri"/>
          <w:color w:val="111111"/>
          <w:sz w:val="28"/>
          <w:sz w:val="28"/>
          <w:szCs w:val="28"/>
          <w:rtl w:val="true"/>
          <w:lang w:bidi="ar-SA"/>
        </w:rPr>
        <w:t>فهو من الأصلي الغيري لا الأصلي النفسي، أو يُحمل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المغشوش نقله سفه مع عدم العلم، غلط واضح، إلا إذا خرج بالغش عن التموّل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الخيار فيه؛ لمكان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عيب، أو شرط ضمني، أو وصف، أو غبن، أو تدليس، وثبوت الخيار في العيب والوصف والتدليس دليل على صحّة بيع المغشوش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والغش قد يكون بفعل كمزج اللبن بالماء والشحم بالملح، وقد يكون بإخفاء عيب، وقد يكون بإظهار صفة حسن وإخفاء صفة قبح، وقد يكون بترك، كعدم إخراج الشيء من ظرفه لإخفاء عيبه، أو عدم بيانه في مقام يفتقر المشتري إلى بيانه، وفي حكم ذلك عرضه في زمانٍ كالليل أو مكان مظلم لأجل 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الشيء مما لا يخفى في حد ذاته جاز مزجه وإن خفي على المشتري لغفلة أو غباوة أو بلادة؛ لأن الإرشاد 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العيب الخفي، فإنّه لا يجب الإخبار به إذا خلا عن قصد الغش ومحاولة إخفائه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بتزين الرجل بزينة المرأةالثامن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تزين الرجل بزينة المرأة من ثياب وحلي وتحميرٍ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تخطيط ونتف ووشم وصبغ ولباس خاص ونحو ذلك؛ للأخبار الناهية عن لباس الشهرة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وبتنقيح المناط يشمل غير اللباس،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المتشبهين بالنساء والمتشبهات بالرجال</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ويعضده الشهرة المنقولة </w:t>
      </w:r>
      <w:r>
        <w:rPr>
          <w:rStyle w:val="FootnoteAnchor"/>
          <w:rtl w:val="true"/>
        </w:rPr>
        <w:footnoteReference w:id="328"/>
      </w:r>
      <w:r>
        <w:rPr>
          <w:rFonts w:ascii="Amiri" w:hAnsi="Amiri" w:eastAsia="Amiri" w:cs="Amiri"/>
          <w:color w:val="111111"/>
          <w:sz w:val="28"/>
          <w:sz w:val="28"/>
          <w:szCs w:val="28"/>
          <w:rtl w:val="true"/>
          <w:lang w:bidi="ar-SA"/>
        </w:rPr>
        <w:t xml:space="preserve">بل المحصلة، بل ربما يدعى نقل الإجماع عليه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يدخل في ذلك التأنيث للرجل باللسان والأطوار والحالات والصفات من المشي والقيام والتغنّج ووضع الشعر على هيئة وضع النساء وترخيم الأصوات وفعل ما يثير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التشبيه بلبس المحرّم من الحرير والذهب تضاعفت الحرمة واشتدت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التشبيه في مقام الحزن والكآبة لا في مقام الزينة، احتمل المنع؛ لدخوله تحت لباس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الجواز؛ لانصراف أدلّة المنع للزينة وما 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ترك ما يفعلونه في التعزية من التشبيه بالفاطميات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المحرم استعماله على سبيل الدوام أو الغالب ولو مرّةً واحدة ولو لغرض صحيح؟ وجهان، أحوطهما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لا يجب منع الولي للطفل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بذلك تشبيه المرأة بالرجل من هيئته ولباسه وسلاحه، بل وكلامه وأفعاله؛ لعموم اللعن المتقدم </w:t>
      </w:r>
      <w:r>
        <w:rPr>
          <w:rStyle w:val="FootnoteAnchor"/>
          <w:rtl w:val="true"/>
        </w:rPr>
        <w:footnoteReference w:id="330"/>
      </w:r>
      <w:r>
        <w:rPr>
          <w:rFonts w:ascii="Amiri" w:hAnsi="Amiri" w:eastAsia="Amiri" w:cs="Amiri"/>
          <w:color w:val="111111"/>
          <w:sz w:val="28"/>
          <w:sz w:val="28"/>
          <w:szCs w:val="28"/>
          <w:rtl w:val="true"/>
          <w:lang w:bidi="ar-SA"/>
        </w:rPr>
        <w:t xml:space="preserve">والشهرة المنقولة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وتُمنع الخنثى عن الأمرين معاً اجتناباً؛ للشبهة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ويختلف التشبيه باختلاف الأزمنة والأمكنة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والخمسون حرمة التكسّب بتدليس الماشطة للنساءالتاسع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تدليس الماشطة للنساء بفعل ما يظهر حسنها ويخفي قبحها ليرغب مشتريها ويهواها خاطبها، وكذا يحرم تدليسها نفسها؛ لدخول الجميع</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الغشّ والخدع والغبن، بل والكذب على بعض الوجوه، وللإجماع المحكي على حرمته </w:t>
      </w:r>
      <w:r>
        <w:rPr>
          <w:rStyle w:val="FootnoteAnchor"/>
          <w:rtl w:val="true"/>
        </w:rPr>
        <w:footnoteReference w:id="332"/>
      </w:r>
      <w:r>
        <w:rPr>
          <w:rFonts w:ascii="Amiri" w:hAnsi="Amiri" w:eastAsia="Amiri" w:cs="Amiri"/>
          <w:color w:val="111111"/>
          <w:sz w:val="28"/>
          <w:sz w:val="28"/>
          <w:szCs w:val="28"/>
          <w:rtl w:val="true"/>
          <w:lang w:bidi="ar-SA"/>
        </w:rPr>
        <w:t>، فيحرم أخذ المال على فعل ذلك؛ لأنّ اللّه إذا حرم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بيع المدلّس وتزويجه صحيح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الخاصة الناهية عن وصل الشعر بالشعر </w:t>
      </w:r>
      <w:r>
        <w:rPr>
          <w:rStyle w:val="FootnoteAnchor"/>
          <w:rtl w:val="true"/>
        </w:rPr>
        <w:footnoteReference w:id="333"/>
      </w:r>
      <w:r>
        <w:rPr>
          <w:rFonts w:ascii="Amiri" w:hAnsi="Amiri" w:eastAsia="Amiri" w:cs="Amiri"/>
          <w:color w:val="111111"/>
          <w:sz w:val="28"/>
          <w:sz w:val="28"/>
          <w:szCs w:val="28"/>
          <w:rtl w:val="true"/>
          <w:lang w:bidi="ar-SA"/>
        </w:rPr>
        <w:t>المحمول على حالة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حرمته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معلوماً للخاطب أو مفهوماً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الصلاة فيه، أو لحرمة النظر إليه، ممنوعة؛ لعدم تسليم حرمة الصلاة بشعر الإنسان، وحرمة النظر إلى الشعر مع الفصل؛ على أنّ ذلك مخصوص بشعر الأجنبية، فلا يعم شعر المحارم، فما دلّ على النهي عن وصل الشعر بالشعر </w:t>
      </w:r>
      <w:r>
        <w:rPr>
          <w:rStyle w:val="FootnoteAnchor"/>
          <w:rtl w:val="true"/>
        </w:rPr>
        <w:footnoteReference w:id="334"/>
      </w:r>
      <w:r>
        <w:rPr>
          <w:rFonts w:ascii="Amiri" w:hAnsi="Amiri" w:eastAsia="Amiri" w:cs="Amiri"/>
          <w:color w:val="111111"/>
          <w:sz w:val="28"/>
          <w:sz w:val="28"/>
          <w:szCs w:val="28"/>
          <w:rtl w:val="true"/>
          <w:lang w:bidi="ar-SA"/>
        </w:rPr>
        <w:t xml:space="preserve">محمول على الكراهة، كما دلّ على النهي عن جلي الوجه بالخرقة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النامصة والمنتمصة، والواشرة والموتشرة، والواصلة والمستوصلة، والواشمة والمستوشمة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أي التي تنتف الشعر، وتنشر أسنان المرأة وتحدّدها، وتصل شعر المرأة بشعر غيرها، وتغرز بدن المرأة بالابرة وتحشوه بالكحل أو النورة فيخضرّ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إن كان للتدليس حرم، وإن كان للزوج أو خلا عن التدليس كان مكروهاً، إلا إذا استلزم ألماً وأذيّةً للأطفال، أو نقصاً في المحاسن بعد ذلك، كانهدام الأسنان وتغير الألوان، فالظاهر لزوم استئذان الزوج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يجب على الإنسان عيناً أو كفايةًالستّون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الواجب على الإنسان عيناً أو كفاية، أو ما يندب كذلك مما لا يقبل النيابة؛ لأنّ وجوب المباشرة يمنع من الاستئجار والملك؛ لحرمة الفعل من غير المباشر نيابةً، وإذا حرم اللّه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الخطاب بإيجاد شيءٍ واجب أو مندوب إرادة فعله من الفاعل مباشرةً، سواء كان خالقيّاً أو مخلوقيّاً، ومنه الإجارة على الأعمال والأفعال، وسواء كان عبادة أم غيرها، ما لم يظهر من الخطاب إرادة مجرد وجوده في الخارج من أي مباشرٍ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وأنّه مكلف بإيجاده لا بمباشرته، أو تقوم قرينة على ذلك؛ لعدم إمكان صدوره منه بنفسه، ولا تمنع المباشرة الاستعانة بغير فعل المختار كالحيوان أو الآلات، ومَنْ يصدر الفعل منه بغير اختيار ؛ لأنّ المقصود بالمباشرة أن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ويشتد اشتراط المباشرة في العبادات التي تمخضت للعبودية ولم يعلم لها جهة مصلحة دنيوية، ويضاف إلى ذلك الظهور في العبادة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شك في شرطيته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ذكرناه فكلّ خطاب مطلق أو مشروط به المباشرة لا يصح التكسّب به؛ لعدم صحة نقله وانتقاله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خطاب دلّ الدليل على عدم اشتراط المباشرة فيه وصحة النيابة وإجزائها عن المخاطب به صح الاستئجار عليه؛ لأنّ الإجارة ملزمة للنيابة، فتصح الإجارة عن الأحياء في الحج الواجب عن المعضوب؛ لقيام الدليل على لزوم استنابته عند عدم تمكنه، ويتبعه صلاة الطواف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دلّ على جواز أن يوضئه غيره عند عدم قدرته، أو يطوف به غيره ويسعى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دلّ على جواز النيابة عن الأحياء في بعض المندوبات كالزيارة، ويتبعها ركعتاها والدعاء والطواف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دلّ على جواز النيابة عن الأموات في قضاء الصلوات والصيام والحج المندوب والواجب، وكذا الصلوات المندوبة عنه والتسبيحات وقراءة القرآن والأدعية والأذكار وغير ذلك مما دلّ على جواز النيابة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 ما دلّ على جواز إهداء الثواب بعد أن يكون العمل على العامل لنفسه لا بنيّة النيابة وإن توقفت صحته على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النيابة عن الأموات ليست من هذا المقام؛ لعدم تعلّق الخطاب بالميت بعد موته كي يكون الفاعل نائباً عنه، بل ما يفعله الحيّ حكم شرعي تعلّق بالحي بعد موت الميت، ولكنّه نظيره وقريب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فهذا كله يصح الاستئجار عليه؛ لدلالة الدليل على جواز النيابة فيه، لا لما قيل من أنّ عموم أدلّة الإجارة تشمله </w:t>
      </w:r>
      <w:r>
        <w:rPr>
          <w:rStyle w:val="FootnoteAnchor"/>
          <w:rtl w:val="true"/>
        </w:rPr>
        <w:footnoteReference w:id="337"/>
      </w:r>
      <w:r>
        <w:rPr>
          <w:rFonts w:ascii="Amiri" w:hAnsi="Amiri" w:eastAsia="Amiri" w:cs="Amiri"/>
          <w:color w:val="111111"/>
          <w:sz w:val="28"/>
          <w:sz w:val="28"/>
          <w:szCs w:val="28"/>
          <w:rtl w:val="true"/>
          <w:lang w:bidi="ar-SA"/>
        </w:rPr>
        <w:t>، فما ظهر من المباشرة في الخطاب يحكم عليها عموم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الإجارة، أو منع ظهور الخطاب في المباشرة؛ لأنّ أدلّة الإجارة مسوقة لبيان لزوم الإجارة والأجرة عند صحّة النيابة، وليست مسوقة لبيان كلّ عمل يصح الاستئجار عليه، وأين هذا من ذاك؟كما أنّ القول بأنّ الاستئجار على العمل المشروط بالقربة لا يصح؛ لمنافاة الإجارة للقربة؛ لصيرورة العمل في مقابلة الأُجرة المنافي للخلوص، ضعيف جداً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من جهة ورود النصّ به في بعض العبادات </w:t>
      </w:r>
      <w:r>
        <w:rPr>
          <w:rStyle w:val="FootnoteAnchor"/>
          <w:rtl w:val="true"/>
        </w:rPr>
        <w:footnoteReference w:id="338"/>
      </w:r>
      <w:r>
        <w:rPr>
          <w:rFonts w:ascii="Amiri" w:hAnsi="Amiri" w:eastAsia="Amiri" w:cs="Amiri"/>
          <w:color w:val="111111"/>
          <w:sz w:val="28"/>
          <w:sz w:val="28"/>
          <w:szCs w:val="28"/>
          <w:rtl w:val="true"/>
          <w:lang w:bidi="ar-SA"/>
        </w:rPr>
        <w:t>، وانعقاد الإجماع على صحّة النيابة عن الأموات في الصلوات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الاستئجار مما يؤكد القربة من حيثية الالتزام فيتضاعف بها أمر العلّام، لا مما ينافيها، ومن المعلوم أن العمل ليس للأجرة كعمل الأجير في الأعمال المباحة، بل العمل اللّه ولكن الأجرة ملزمة، فليست هي من الغايات المنوية، بل من الأسباب الشرعيَّة، كالنذر وشبهه، فالتقرّب بالعمل الموصل إليها، لا أنّ التقرّب بالتوصل إليها، فالعبد متقرب اللّه تعالى بسبب أجرته، وأجرته الملزمة له، لا أنّه متقرب لأجرته بحيث إن عمله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فما تعلّق الخطاب به ولم يعلم صحّة النيابة فيه أو التبرع لا يصح الاستئجار عليه، ومنه ردّ السلام والمعارف والعقائد والعلم الواجب بخلاف دفع الزكاة، وبر الوالدين، وبذل النفقة الواجبة، وأداء الدين، ووجوب قضاء الولد عن أبيه، والمستأجر لأمر يُفهم منه إرادة مجرد وجوده، فإنّ جميع ذلك مما يُفهم منه عدم اشتراط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يُعدّ منه الواجب الكفائي على قوم لم يشترط فيه المباشرة ولو بظاهر الخطاب، فإنّه يجوز استئجار مَنْ لم 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التكسّب بما يجب عليه على الأجير فعله عيناً أو كفايةًالواحد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بما يجب على الأجير فعله عيناً أو كفاية، سواء اشترك المستأجر معه في الكفاية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الواجب العيني فهو إجماعي نقلاً</w:t>
      </w:r>
      <w:r>
        <w:rPr>
          <w:rStyle w:val="FootnoteAnchor"/>
          <w:rtl w:val="true"/>
        </w:rPr>
        <w:footnoteReference w:id="339"/>
      </w:r>
      <w:r>
        <w:rPr>
          <w:rFonts w:ascii="Amiri" w:hAnsi="Amiri" w:eastAsia="Amiri" w:cs="Amiri"/>
          <w:color w:val="111111"/>
          <w:sz w:val="28"/>
          <w:sz w:val="28"/>
          <w:szCs w:val="28"/>
          <w:rtl w:val="true"/>
          <w:lang w:bidi="ar-SA"/>
        </w:rPr>
        <w:t>وتحصيلاً، ولأن الاستئجار سفه وعبث؛ لعود النفع فيه للأجير لا للمستأجر</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فرضنا عود نفع للمستأجر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استأجره على صلاته ليتعلم الصلاة بسبب ذلك أو التجويد أو الأفعال الواجبة أو المندوبة أو ليصلى خلفه، أو يصوم ليشتغل بخدمته فلا يزاحمه أكل ولا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نفع لا يُعتد به في باب المعاوضة، ولا يصلح مصححاً للمعاوضة، ولعدم القدرة على تسليم المستأجر ما فعله من الواجب عليه؛ لأن الواجب فعله عليه يعود نفعه إليه ويحتسب له لا للمستأجر، ولو وقع التسليم بنيّة أن الفعل له أو عنه، بطل العمل وفسدت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شأن الملك والتمليك قبوله للإبراء والتأجيل والإقالة والإعراض والنقل لغيره بحيث يترتب على ذلك فائدة، ولا يجري ذلك هنا؛ لأنّ الواجب مملوك اللّه سبحانه ومستحق له، فلا يمكن تمليكه لغيره ونقله إليه وإن أمكن تضاعف الالتزام به بنذر وشبهه، والفرق بين تضاعف الالتزام والملك والتمليك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فآثار التمليك الشرعي ولوازمه التي لا تنفك عنه شرعاً تنافي كونه واجباً خالقياً عليه، فإنّ العبد يملك مولاه جميع منافعه ولا يملك ما فرضه اللّه عليه، وكذا الأجير الخاص، فإنّه من البديهي استثناء ما فرضه اللّه عليه؛ ضرورة أن التمليك سلطنة وولاية وليس للإنسان سلطنة وولاية على ما وجب عليه، فالمنافاة بين الواجب وبين جواز نقله وتمليكه ذاتيّة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منافاة عقلية كمنافاة الزوج والفرد كي يستغرب ذلك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قد تتعدد أسبابه كالواجب المنذور، وقد تجتمع الجهات الشرعيَّة على واحد كتعدد جهات الخيار، وأنّه لا منافاة بين الوجوب والعوض؛ لاحترام عمل المسلم وماله، كإرضاع الأُمّ اللَّبأ </w:t>
      </w:r>
      <w:r>
        <w:rPr>
          <w:rStyle w:val="FootnoteAnchor"/>
          <w:rtl w:val="true"/>
        </w:rPr>
        <w:footnoteReference w:id="340"/>
      </w:r>
      <w:r>
        <w:rPr>
          <w:rFonts w:ascii="Amiri" w:hAnsi="Amiri" w:eastAsia="Amiri" w:cs="Amiri"/>
          <w:color w:val="111111"/>
          <w:sz w:val="28"/>
          <w:sz w:val="28"/>
          <w:szCs w:val="28"/>
          <w:rtl w:val="true"/>
          <w:lang w:bidi="ar-SA"/>
        </w:rPr>
        <w:t>الواجب عليها، وبذل الطعام للمضطر، وأخذ الوصيّ الجُغل على ما وجب عليه، وأخذ أهل الصنائع الأعواض والاستئجار للجهاد؛ لأنّ الفرق بين ما ذكرناه وهذه الأمثلة واضح بديهي؛ ضرورة أنّ جميع هذه الأشياء نفعها يعود للغير، وليس للواجب عليه نفع يعود له، فأمكن الجمع بين احترام عمل المسلم وبين الوجوب عليه بأنّه يلزمه الفعل ويطالب بعوضه بخلاف ما ذكرنا من الواجبات العينية العائد نفعها للمكلّف، على أن مرجع الوجوب يعود في هذه أنّه مشروط بالعوض ولو من جهة ظهور الخطاب بذلك أو من جهة الجمع المزبور</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أنّها وجبت مطلقاً فيملكها الغير بعد وجوبها بعوض يجب عليه دفعه، ليس له وجه يُعتد به على أنّ محلّ المسألة أن الواجب على شخص هل له أن يكتسب به بالاستئجار عليه أم لا ؟ وليس محلّها أنّه هل يوجب اللّه شيئاً ويجوز أخذ العوض عليه إذا عاد نفعه للغير، على أنّه من المعلوم البديهي أن أكثر هذه الواجبات مشروطة بالعوض، كما يدلّ عليه كلام الأصحاب والسيرة القطعية، وإلا لوجب على الإنسان الفعل أولاً ثم المطالبة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بذلك في الصنائع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فما جاء من الواجب مشروطاً بالعوض أو ظهر ذلك من الخطاب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كالعائد نفعه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فيه إنّما الكلام فيما عُلم إطلاقه أو شُكٍّ في إطلاقه فإنّه يُحمل على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للمرتضى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التكسّب به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الكفائي الذي يراد مجرّد إيجاده فيجوز لمن لم يجب عليه التكسّب به، وأمّا مَنْ وجب عليه فيمكن أن يقال بعدم الممانعة الذاتية؛ لجواز صدوره من الواجب عليه على نحوين و جهتين جهة أنّها فعله ويؤدّي عن نفسه امتثالاً لخطابه، وجهة أنّه يؤدّيه عن غيره؛ لعدم اشتراط المباشرة فيه، فإن لاحظ الجهة الأولى حرم عليه أن يؤجر نفسه لذلك، وإن لاحظ الجهة الثانية جاز ويكون مسقطاً عنه وعن غيره بعد صدور الفعل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 بالممانعة أيضاً؛ إذ كلّ ما يصدر عنه من ذلك الفعل فهو له ونفعه يعود إليه، والنية لا تؤثر المغايرة، فيكون بمنزلة إجارة الإنسان نفسه على أن يملك المنفعة العائدة إليه فيأخذ عوضاً على منفعة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فالإجماع منعقد على المنع وأدلّة الإجارة والعقود لا تنصرف إلى مثل هذا، وما جاء من أخذ الأعواض في الصناعات والضروريات في المعاش لنوع الإنسان كله من الواجب المشروط بالعوض لا من الواجب المطلق الجائز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للجهاد إنّما تصحّ عند قيام الغير بما يجب كفاية، أو أن أصل وجوبه متعلق بالبدن أو المال، فيفهم منه جواز أخذ الأجرة عليه، والخطاب الشرعي في الحقيقة هو الملك الشرعي؛ لأنّ الملك معناه السلطنة على الأداء والإلزام به ووجوب التأدية في الأعمال والحقوق المتعلقة بالذمم، فيعود إلى اجتماع المالكين على مملوك واحد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الخطاب الشرعي التابع المخلوقي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هنا تابع للملك المخلوقي على وجه الحكم التكليفي المجرّد، بخلاف الخطاب الأصلي فإنّه يشابه الملك، فكأنه قد تضمّن حكماً وضعيّاً لا يجتمع مع ملك آخر، على أنّ الخطاب الشرعي إن استحق الشارع به التأدية أوّلاً وكان سابقاً لم يمكن طروء الملك المخلوقي؛ لقوة الأوّل وضعف الثاني، وإن تعقب الملك المخلوقي أمكن اجتماعه معه؛ لأنّه تابع له والاستحقاق صار بسببه، ولأن الشارع يملك على الأجير أن يؤدّي الملك إلى أهله، لا يملك نفس العمل؛ لعدم تعلّق غرض للشارع به إلا تبعاً لحق 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قيل من أن الأمر الخالقي لا ينافي الضمان المخلوقي </w:t>
      </w:r>
      <w:r>
        <w:rPr>
          <w:rStyle w:val="FootnoteAnchor"/>
          <w:rtl w:val="true"/>
        </w:rPr>
        <w:footnoteReference w:id="342"/>
      </w:r>
      <w:r>
        <w:rPr>
          <w:rFonts w:ascii="Amiri" w:hAnsi="Amiri" w:eastAsia="Amiri" w:cs="Amiri"/>
          <w:color w:val="111111"/>
          <w:sz w:val="28"/>
          <w:sz w:val="28"/>
          <w:szCs w:val="28"/>
          <w:rtl w:val="true"/>
          <w:lang w:bidi="ar-SA"/>
        </w:rPr>
        <w:t>، مسلم فيما كان الفعل واصلاً للآمر وعائداً إليه وقد تسلّمه، فيُجمع حينئذٍ بين ما دلّ على الضمان وبين ما دلّ على وجوب الفعل من الخطاب الشرعي، ولكن محلّ المسألة هو الفعل الواجب على الشخص الذي قد أداه لخطاب الشارع به العائد إليه نفعه، وهو فراغ الذمة منه، فكلّ ما يفعله فهو له، وليس للمستأجر فيه نصيب، فهل مثل هذا يقبل النيابة ويقبل النقل إلى غيره أم لا؟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لا يقبل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فمحل البحث هو المعاوضة على الواجب، لا وجوب المعاوضة على العمل المتوقف عليه النظام، وإلا لزم الضمان مع بذل العمل والمال، فما يكون تعلق الأمر أو الإباحة به للغير من مال أو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كالإباحة في المارة، وبذل المال للمضطر، وإرضاع اللبأ، وعمل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الصنائع المحتاج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البحث فيها هو أنّ الأمر الشرعي والإباحة الشرعيَّة في المال والأعمال هل يظهر منهما رفع الضمان والمجان فلا يستحق الفاعل شيئاً، أو أنّه لا منافاة بين إباحة أخذ المال وضمانه وبين لزوم دفعه وأخذ العوض عليه فيستحق العامل وصاحب المال؟ وهذا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الواجب الكفائي فلا شكّ في جواز استئجار مَنْ وجب عليه إذا لم يفهم المباشرة مَنْ لا يجب عليه الكلام في استئجار من وجب عليه، والظاهر أنّه لا يخلو من ممانعة ذاتية أيضاً؛ لأنّ الواجب كفايةً واحد، وقد وجب على الموجر والمستأجر معاً، فكل ما فعله المؤجر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نفس ما وجب عليه، وليس الواجب اثنين، أحدهما فعله المؤجر عن المستأجر،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عليه، وأنّه قد سقط ما وجب عليه بفعل ما كان نائباً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الواجب الكفائي الإجماع على عدم جواز الاستئجار فيه محصلاً ومنقولاً </w:t>
      </w:r>
      <w:r>
        <w:rPr>
          <w:rStyle w:val="FootnoteAnchor"/>
          <w:rtl w:val="true"/>
        </w:rPr>
        <w:footnoteReference w:id="343"/>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من جواز الاستئجار فيه ليس ممّا وجب فجاز الاستئجار عليه، بل هو مما جاز الاستئجار عليه </w:t>
      </w:r>
      <w:r>
        <w:rPr>
          <w:rStyle w:val="FootnoteAnchor"/>
          <w:rtl w:val="true"/>
        </w:rPr>
        <w:footnoteReference w:id="344"/>
      </w:r>
      <w:r>
        <w:rPr>
          <w:rFonts w:ascii="Amiri" w:hAnsi="Amiri" w:eastAsia="Amiri" w:cs="Amiri"/>
          <w:color w:val="111111"/>
          <w:sz w:val="28"/>
          <w:sz w:val="28"/>
          <w:szCs w:val="28"/>
          <w:rtl w:val="true"/>
          <w:lang w:bidi="ar-SA"/>
        </w:rPr>
        <w:t>، فهذا يجب بعد الاستئجار والضمان، أو أنّهما شرعاً وقعا على النحو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يندب على المستأجر أو الأجير عيناالثاني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المندوب على المستأجر عيناً الذي لا يقبل المباشرة، والمندوب على الأجير عيناً الذي لا يعود للمستأجر نفع يُعتد به، والمندوب الكفائي الذي لا يعود للمستأجر نفع يُعتد به، أما ما عاد نفعه للمستأجر فإنّه يصح الاستئجار عليه وأخذ الجعالة فيه وبذل المال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الأجير مخاطباً بالمندوب والعمل من أعماله والفعل يقع امتثالاً لما خوطب به، إلا أنّه لما كان نفعه ممّا يعود للمستأجر ولا لزوم على الأجير شرعاً ولا استحقاق للشارع عليه بالتأدية حتماً، جاز أن يلزمه المستأجر بالعمل بطريق الإجارة وبذل المال فيؤديه فيصل نفعه للمستأجر وإن كان الخطاب والنفع عائداً للأجير 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ذكرنا يجوز الاستئجار على المندوب الكفائي إذا عاد النفع للمستأجر فيه وإن تضمنه الواجب، كالزائد الذي في تغسيل الأموات ودفنهم وتكفينهم والصلاة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استئجار المأمومين الإمام على الإمامة في صلاة الجماعة غير الجمعة، وكذا العكس؛ لأنّ نفع الإمامة لا يصل إلى المأمومين ولا نفع المأمومية يصل إلى الإمام وإن انتفع المأموم بإمامة الإمام لأن يقتدي به والإمام بمأمومية المأموم لأن يقتدى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التكسّب على الأذان وإن عاد نفع للمستأجر فيه؛ لمكان النصّ من الأخبار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المؤيّدة بفتوى المشهور نقلاً </w:t>
      </w:r>
      <w:r>
        <w:rPr>
          <w:rStyle w:val="FootnoteAnchor"/>
          <w:rtl w:val="true"/>
        </w:rPr>
        <w:footnoteReference w:id="346"/>
      </w:r>
      <w:r>
        <w:rPr>
          <w:rFonts w:ascii="Amiri" w:hAnsi="Amiri" w:eastAsia="Amiri" w:cs="Amiri"/>
          <w:color w:val="111111"/>
          <w:sz w:val="28"/>
          <w:sz w:val="28"/>
          <w:szCs w:val="28"/>
          <w:rtl w:val="true"/>
          <w:lang w:bidi="ar-SA"/>
        </w:rPr>
        <w:t xml:space="preserve">بل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المنقول على لسان الفحول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وإنكار دلالة الأخبار لا وجه له، كما أنّ اشتمالها على ما لا نقول به من تحريم أخذ الأجرة على تعليم القرآن لا يقدح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الأدلّة تعميم الحكم للأذان الإعلامي مع قصد الأذانية، والصلاتي، سواء كان في صلاة جماعة أو غيرها، وسواء عاد نفع للمستأجر فيه من الاجتزاء به عند سماعه، أو كان مما يقبل النيابة تبرّعاً أم لا، وسواء نواه لنفسه أو نواه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يخرج عن الحكم ما دخل في الاستئجار على الصلاة تبعاً من الأذان الصلاتي في إجارة الصلاة عن الأموات، ويخرج منه الأذان في أذن مَنْ لم يأكل اللحم أربعين يوماً، والأذان للصبي والمسافر، 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بدله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يفسد الأذان مع أخذ الأجرة المحرَّمة إذا خلصت القربة من المستأجر، كباقي العبادات التي يحرم أخذ الأجرة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حَكَم بالفساد أراد به عدم نية الخلوص وأن العمل في مقابلة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الأُجرة على الإقامة فمع صحّة النيابة فيها بحيث يعود نفعها للمستأجر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لعموم الأدلّة من غير معارض، والأولوية في التحريم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يتفاوت في الأجرة بين كونها من مال المستأجر، أو من بيت المال، أو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الأوقاف العامة للخيرات والمبرات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بالارتزاق من بيت المال أو من غيره معونةً على الطاعة، لا على جهة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مع القصد إلى أنّه من معونة الدين والتشييد لأحكام سيد المرسلين بين توقف الأذان عليه وعدمه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بالإمامة والمأمومية الواجبتين في الجمعة والعيدينالثالث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في الإمامة والمأمومية الواجبتين في الجمعة والعيدين؛ للإجماع بقسميه </w:t>
      </w:r>
      <w:r>
        <w:rPr>
          <w:rStyle w:val="FootnoteAnchor"/>
          <w:rtl w:val="true"/>
        </w:rPr>
        <w:footnoteReference w:id="350"/>
      </w:r>
      <w:r>
        <w:rPr>
          <w:rFonts w:ascii="Amiri" w:hAnsi="Amiri" w:eastAsia="Amiri" w:cs="Amiri"/>
          <w:color w:val="111111"/>
          <w:sz w:val="28"/>
          <w:sz w:val="28"/>
          <w:szCs w:val="28"/>
          <w:rtl w:val="true"/>
          <w:lang w:bidi="ar-SA"/>
        </w:rPr>
        <w:t xml:space="preserve">على الظاهر، وللشكّ في شمول أدلّة العقود لمثله، وكذا الإمامة والمأمومية المندوبتين؛ لظاهر الإجماع </w:t>
      </w:r>
      <w:r>
        <w:rPr>
          <w:rStyle w:val="FootnoteAnchor"/>
          <w:rtl w:val="true"/>
        </w:rPr>
        <w:footnoteReference w:id="351"/>
      </w:r>
      <w:r>
        <w:rPr>
          <w:rFonts w:ascii="IRNazanin" w:hAnsi="IRNazanin" w:eastAsia="IRNazanin"/>
          <w:color w:val="111111"/>
          <w:sz w:val="28"/>
          <w:sz w:val="28"/>
          <w:szCs w:val="28"/>
          <w:rtl w:val="true"/>
          <w:lang w:bidi="fa-IR"/>
        </w:rPr>
        <w:t xml:space="preserve">، ولإطلاق النصّ </w:t>
      </w:r>
      <w:r>
        <w:rPr>
          <w:rStyle w:val="FootnoteAnchor"/>
          <w:rtl w:val="true"/>
        </w:rPr>
        <w:footnoteReference w:id="352"/>
      </w:r>
      <w:r>
        <w:rPr>
          <w:rFonts w:ascii="Amiri" w:hAnsi="Amiri" w:eastAsia="Amiri" w:cs="Amiri"/>
          <w:color w:val="111111"/>
          <w:sz w:val="28"/>
          <w:sz w:val="28"/>
          <w:szCs w:val="28"/>
          <w:rtl w:val="true"/>
          <w:lang w:bidi="ar-SA"/>
        </w:rPr>
        <w:t>الشامل للواجب والمندوب، وللشك في شمول الأدلّة لمثله، سواء وقع التكسّب في صلاة الجماعة أو في تقدمه للإمامة أو تأخره للمأمومية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ذلك ما يظهر من الأخبار من أنّ الإمامة رتبة الإمام </w:t>
      </w:r>
      <w:r>
        <w:rPr>
          <w:rStyle w:val="FootnoteAnchor"/>
          <w:rtl w:val="true"/>
        </w:rPr>
        <w:footnoteReference w:id="353"/>
      </w:r>
      <w:r>
        <w:rPr>
          <w:rFonts w:ascii="Amiri" w:hAnsi="Amiri" w:eastAsia="Amiri" w:cs="Amiri"/>
          <w:color w:val="111111"/>
          <w:sz w:val="28"/>
          <w:sz w:val="28"/>
          <w:szCs w:val="28"/>
          <w:rtl w:val="true"/>
          <w:lang w:bidi="ar-SA"/>
        </w:rPr>
        <w:t>اللازم عليه اجتناب جميع المنفّرات ليزيد الاعتماد عليه والركون إليه، ولأنّ الجماعة من العبادات المطلوبة لنفس العامل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الاكتساب في تحمّل الشهادة وأدائها؛ لوجوب الأوّل كفاية أو عيناً مع الانحصار أو إذا دعي إليها، مع الحاجة إليها من الطالب في مقام الدعوى أو خوف الوقوع في الضرر دنيوي أو أخروي، بل من ترك حرفاً من الشهادة أحوجه اللّه إليه بل لا يبعد وجوب التحمّل مع الاستدعاء؛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 الشُّهَدَاءُ إِذَا مَا دُعُوا</w:t>
      </w:r>
      <w:r>
        <w:rPr>
          <w:rStyle w:val="FootnoteAnchor"/>
          <w:rtl w:val="true"/>
        </w:rPr>
        <w:footnoteReference w:id="354"/>
      </w:r>
      <w:r>
        <w:rPr>
          <w:rFonts w:ascii="Amiri" w:hAnsi="Amiri" w:eastAsia="Amiri" w:cs="Amiri"/>
          <w:color w:val="111111"/>
          <w:sz w:val="28"/>
          <w:sz w:val="28"/>
          <w:szCs w:val="28"/>
          <w:rtl w:val="true"/>
          <w:lang w:bidi="ar-SA"/>
        </w:rPr>
        <w:t>المفسر في الصحيح بالتحمّل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فلو تحمّل الواحد، ففي ارتفاع الكفاية به لانضمام اليمين إليه في الأموال فيصح أخذ الأجرة للباقين وجه، ولو تحمّل اثنان في غير الأموال أو أربعة في مقام الأربعة، كفى في ارتفاع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الوجوب مع الاستدعاء مطلقاً؛ لخوف الفوت والموت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أداؤها فهو واجب كفايةً قطعاً، وعيناً مع الانحصار؛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يَكْتُمْهَا فَإِنَّهُ آثِمٌ قَلْبُهُ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قام بالأداء مَنْ ثبت الحقّ به ولكن أراد المدعي زيادة التأكيد أو أقر المدعي بذلك ارتفع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ارتفاعه بقيام واحدٍ لكفاية المدعي به مع يمينه وجه في الأموال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الانتقال مع طالب الشهادة ما لم يتوقف على بذل مال يضر بالحال، ولو بذله الطالب لزم الانتقال معه ما لم يمنعه خوف أو تقيّة، ولو أمكن شاهد الفرع فلايبعد عدم وجوب شاهد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الأجرة على التوكيل في التزويج وعلى إجراء صيغة العقد أو الإيقاع أو الخطبة والرابع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الأجرة على التوكيل في التزويج، وعلى إجراء صيغة العقد أو الإيقاع أو الخطبة، وعلى السعاية في التزويج، أو الرجعة، أو التطليق، أو صيغة العتق لو بذلها العبد قبل عتقه في وجه، أو الكتابة أو التدبير، ولو بذلها المولى فلا كلام، سواء قلنا بوجوب ذلك مع الاحتياج كفاية أم لا، لأنّ وجوبها مشروط بالعوضين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الأجرة على تعليم العقد والإيقاع ففي منقول الإجماع </w:t>
      </w:r>
      <w:r>
        <w:rPr>
          <w:rStyle w:val="FootnoteAnchor"/>
          <w:rtl w:val="true"/>
        </w:rPr>
        <w:footnoteReference w:id="357"/>
      </w:r>
      <w:r>
        <w:rPr>
          <w:rFonts w:ascii="Amiri" w:hAnsi="Amiri" w:eastAsia="Amiri" w:cs="Amiri"/>
          <w:color w:val="111111"/>
          <w:sz w:val="28"/>
          <w:sz w:val="28"/>
          <w:szCs w:val="28"/>
          <w:rtl w:val="true"/>
          <w:lang w:bidi="ar-SA"/>
        </w:rPr>
        <w:t>المنع، واستدلّ عليه بوجوبه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الاستئجار على تعليم الأذكار والدعوات والزيارات والتعزيات، وعلى قراءة القرآن، بل على تعليم القرآن مطلقاً؛ لحصول الكفاية في العارفين به ومعلميه ومتعلّميه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يجب فعله في الصلاة من الفاتحة والسورة فإنّه يجب كفاية تعليمه للجاهل، ومع الانحصار عيناً، فلا يجوز أخذ الأجرة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تعليم الأفعال الواجبة من الصلاة والصوم حين احتياج الجاهل إليها؛ فإنّها واجبة كفاية بل عيناً مع الانحصار، فلا يجوز التكسّب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تعليم غير البالغ فلا بأس بأخذ الأجرة عليه؛ لعدم وجوبه على المتعلم والمعلّم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أخذ الأجرة على تعليم العقائد للمكلفين، ولا على الأمر بالمعروف والنهي عن المنكر ؛ لوجوب ذلك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أخذ الأجرة على تعليم الاستدلال للوصول إلى مرتبة الاجتهاد؛ لوجوب الاجتهاد كفايةً، ووجوب تعليم الطرق الموصلة إليها وتعلّمها، وليس في الموجودين ما يحصل الكفاية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فكلّ ما وجب على الجاهل تعلّمه من الغايات أو المقدمات كفايةً أو عيناً وجب على العالم تعليمه؛ لأنّ اللّه تعالى ما أوجب على الجُهّال التعلّم إلا أوجب على العلماء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التعليم، وحينئذٍ فيحرم التكسّب في التعليم الواجب مطلقاً، ولكن الفقيه لا بد له من التأمل في ذلك وتمييز الواجب من غيره، وتمييز ما وجب مطلقاً وما وجب مشروطاً بالعوض، وما شكّ فيه هل هو من المشروط أو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بالقضاءالخامس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بالقضاء الحقّ فضلاً عن الباطل، وكذا الإفتاء، وكذا قطع الخصومة بالصلح ما بين الخصمين أو بإحضار الشهود، والأمر بالمعروف والنهي عن المنكر بعد شهادتهما أو بالصلح بيمين المنكر أو المدعي إذا لم يكن هناك قاض، فوجب على عدول المسلمين قطع الخصومة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تفاوت في تحريم العوض بين دفعه من المتخاصمين جُعْلاً أو شرطاً أو إجارة أو من بيت مال المسلمين أو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متبرع، كلّ ذلك لوجوب ما ذكر عيناً مع الانحصار، أو كفايةً مع عدمه مع الحاجة وعدمها، وليس من الواجبات المشروطة ببذل العوض، كما هو ظاهر الأخبار </w:t>
      </w:r>
      <w:r>
        <w:rPr>
          <w:rStyle w:val="FootnoteAnchor"/>
          <w:rtl w:val="true"/>
        </w:rPr>
        <w:footnoteReference w:id="358"/>
      </w:r>
      <w:r>
        <w:rPr>
          <w:rFonts w:ascii="Amiri" w:hAnsi="Amiri" w:eastAsia="Amiri" w:cs="Amiri"/>
          <w:color w:val="111111"/>
          <w:sz w:val="28"/>
          <w:sz w:val="28"/>
          <w:szCs w:val="28"/>
          <w:rtl w:val="true"/>
          <w:lang w:bidi="ar-SA"/>
        </w:rPr>
        <w:t xml:space="preserve">والكتاب </w:t>
      </w:r>
      <w:r>
        <w:rPr>
          <w:rStyle w:val="FootnoteAnchor"/>
          <w:rtl w:val="true"/>
        </w:rPr>
        <w:footnoteReference w:id="359"/>
      </w:r>
      <w:r>
        <w:rPr>
          <w:rFonts w:ascii="Amiri" w:hAnsi="Amiri" w:eastAsia="Amiri" w:cs="Amiri"/>
          <w:color w:val="111111"/>
          <w:sz w:val="28"/>
          <w:sz w:val="28"/>
          <w:szCs w:val="28"/>
          <w:rtl w:val="true"/>
          <w:lang w:bidi="ar-SA"/>
        </w:rPr>
        <w:t>الآمرين بالحكم بين الناس والقضاء فيهم، الظاهرين في الوجوب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60"/>
      </w:r>
      <w:r>
        <w:rPr>
          <w:rFonts w:ascii="Amiri" w:hAnsi="Amiri" w:eastAsia="Amiri" w:cs="Amiri"/>
          <w:color w:val="111111"/>
          <w:sz w:val="28"/>
          <w:sz w:val="28"/>
          <w:szCs w:val="28"/>
          <w:rtl w:val="true"/>
          <w:lang w:bidi="ar-SA"/>
        </w:rPr>
        <w:t xml:space="preserve">ويجب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لعلو المنصب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361"/>
      </w:r>
      <w:r>
        <w:rPr>
          <w:rFonts w:ascii="Amiri" w:hAnsi="Amiri" w:eastAsia="Amiri" w:cs="Amiri"/>
          <w:color w:val="111111"/>
          <w:sz w:val="28"/>
          <w:sz w:val="28"/>
          <w:szCs w:val="28"/>
          <w:rtl w:val="true"/>
          <w:lang w:bidi="ar-SA"/>
        </w:rPr>
        <w:t>على المنع من بذل الجغل من المتخاصمين أو الأجرة، أو الأعم من المتخاصمين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الناهية عن ذلك </w:t>
      </w:r>
      <w:r>
        <w:rPr>
          <w:rStyle w:val="FootnoteAnchor"/>
          <w:rtl w:val="true"/>
        </w:rPr>
        <w:footnoteReference w:id="362"/>
      </w:r>
      <w:r>
        <w:rPr>
          <w:rFonts w:ascii="Amiri" w:hAnsi="Amiri" w:eastAsia="Amiri" w:cs="Amiri"/>
          <w:color w:val="111111"/>
          <w:sz w:val="28"/>
          <w:sz w:val="28"/>
          <w:szCs w:val="28"/>
          <w:rtl w:val="true"/>
          <w:lang w:bidi="ar-SA"/>
        </w:rPr>
        <w:t>، المؤيَّدة بفتوى الفحول والاعتبار، وأنّه من الواجبات المشكوك في شمول أدلة العقود والتكسب لمثلها، فيبقى على أصل المنع وعدم السببية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النقل والانتقال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على تحريم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Style w:val="FootnoteAnchor"/>
          <w:rtl w:val="true"/>
        </w:rPr>
        <w:footnoteReference w:id="363"/>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وللصحيح الدال على أنّ أخذ الرزق من السلطان سحت </w:t>
      </w:r>
      <w:r>
        <w:rPr>
          <w:rStyle w:val="FootnoteAnchor"/>
          <w:rtl w:val="true"/>
        </w:rPr>
        <w:footnoteReference w:id="364"/>
      </w:r>
      <w:r>
        <w:rPr>
          <w:rFonts w:ascii="Amiri" w:hAnsi="Amiri" w:eastAsia="Amiri" w:cs="Amiri"/>
          <w:color w:val="111111"/>
          <w:sz w:val="28"/>
          <w:sz w:val="28"/>
          <w:szCs w:val="28"/>
          <w:rtl w:val="true"/>
          <w:lang w:bidi="ar-SA"/>
        </w:rPr>
        <w:t>، فالأجرة بطريق أولى، أو أن المعنى الحقيقي إذا صرف كان أقرب مجازاته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جوّزنا الرزق مع الاحتياج أو مع الكفاية وتعينه للقضاء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والتكسب بمقدّمات القضاء كالتكسب به كسماع الشهادة والإقرار واليمين والتزكية والجرح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ليس منه الأخذ على كتابة الحكم والرشم </w:t>
      </w:r>
      <w:r>
        <w:rPr>
          <w:rStyle w:val="FootnoteAnchor"/>
          <w:rtl w:val="true"/>
        </w:rPr>
        <w:footnoteReference w:id="365"/>
      </w:r>
      <w:r>
        <w:rPr>
          <w:rFonts w:ascii="Amiri" w:hAnsi="Amiri" w:eastAsia="Amiri" w:cs="Amiri"/>
          <w:color w:val="111111"/>
          <w:sz w:val="28"/>
          <w:sz w:val="28"/>
          <w:szCs w:val="28"/>
          <w:rtl w:val="true"/>
          <w:lang w:bidi="ar-SA"/>
        </w:rPr>
        <w:t>، بل والإشهاد على حكمه، والخروج إلى منزل غير منزله، وبذل القرطاس والمداد والقلم وغير ذلك إلا أن هناك ما تنفر النفوس من استعمالها وما لا تنفر كطلب القرطاس والكاتب ونحوهما من العمال والخدام المباشرين لإتقان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سقط وجوب الحكم، كما لو حكم القاضي فطلب تنفيذ الأجرة، فلا يبعد جواز الأُجرة على تنفيذه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لو حكم فأريد التأكيد منه والتكرير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للقاضي والمفتي والمعلم والواعظ الآمر بالمعروف الناهي عن المنكر أخذ الرزق من بيت المال لا على جهة المعاوضة، مع التعيين وعدمه مع الحاجة وعدمها، وكذا من سهم سبيل الله، أو من متبرّع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قبول الهدية والوليمة، بل قد يجب الارتزاق عليه لحاجته وتوقف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من الأخبار على منع الارتزاق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 به بعض الأصحاب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أخذه بنيّة المعاوضة والأجرة، وكثيراً ما يُطلق على ذلك، كما أن مَنْ أجاز الأجرة من بيت المال أراد الارتزاق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عدل الحاكم من القضاء إلى الصلح، ففي جواز أخذ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وجوبه، ومن أنّه أحد الفردين المخيّر فيهما بين القضاء وبين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الحكم والقضاء في الأمور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كالهلال والكسوف والخسوف كالحكم في الأمور الخاصة في جهة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بتشبيب المرأة المعلومة عند القائل والسامعالسادس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 لحرمته في نفسه التشبيب بالمرأة المعلومة عند القائل والسامع، أو عند السامع فقط، أو عند القائل فقط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المعلومية الاسم أو الكنية المختصة بها، أو الإشارة في شعرٍ أو في نثر مسجع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التحريم مخالفاً للأصل لزم الاقتصار على المؤمنة، فلا بأس بباقي الفرق من المسلمين والكفّار من أهل الذمة وغيرهم المعتصمين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قبحه بالذات فيعم جميع الإناث ممنوعة، وإن كان الأحوط التجنّب؛ لما فيه من منافيات المروءة وإغراء الفسقة وإدخال الفضيحة في بعض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ولزم الاقتصار على البالغة، ولزم الاقتصار على الأنثى، دون الخنثى والرجل بل والأولاد المُرد </w:t>
      </w:r>
      <w:r>
        <w:rPr>
          <w:rStyle w:val="FootnoteAnchor"/>
          <w:rtl w:val="true"/>
        </w:rPr>
        <w:footnoteReference w:id="368"/>
      </w:r>
      <w:r>
        <w:rPr>
          <w:rFonts w:ascii="Amiri" w:hAnsi="Amiri" w:eastAsia="Amiri" w:cs="Amiri"/>
          <w:color w:val="111111"/>
          <w:sz w:val="28"/>
          <w:sz w:val="28"/>
          <w:szCs w:val="28"/>
          <w:rtl w:val="true"/>
          <w:lang w:bidi="ar-SA"/>
        </w:rPr>
        <w:t>، وإن كان التشبيب بهم منافياً للمروءة ومبعداً عن الله، ويلهي عن الطاعات سيّما لو جامعه تعشق وتشوّق حقيقي، وربما دخل في الفحش والسوء الذي لا يرضى اللّه بالجهر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التشبيب بالمبهم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اليوم غزلاً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سواء وقع على مذكّر أو مؤنث، وإن كان التعمق به مكروهاً، بل ربما ينافي المروءة لأهل الصلاح والعفة، وما لم يتعمق به فلا بأس به، بل هو في الشعر من الكمالات والآداب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بحبّ المشبب به وعشقه وأنّه أهل للعشق والحبّ، سواء جامعه ذكر الصفات المهيجة للعشق الباعثة عليه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تجرّد ذكر الصفات عن بيان العشق والحبّ جاز، إلا أن يشتمل على فحش أو هتك حرمة، كما يقع في شعر العرب كثيراً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تشبّب فالأظهر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محوه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وكتابته حرام كإنشائه، وأما إنشاده فلا حرمة فيه، إلّا إذا نواه لمن تشبّب فيها، أو استلزم فضيحة للمشبب فيها، أو فحشاً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تشبب بامرأةٍ بذكر أخلاقها الجميلة وسجاياها وجعل علة المحبة والشوق ذلك، احتمل الجواز كاحتمال جوازه بالمعلنات بالفجور وذوات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بالتطفيفالسابع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بالتطفيف، وهو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تنقيص الكيل والوزن في باب المعاوضة، أو تنقيص كلّ مقدر مع جهل القابض بنقصانه نقصاناً يخلّ في باب المعاوضة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أعطى، أما لو أخذ ورضي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والخيار يثبت للمدفوع إليه، وهو خيار تبعيض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بالخيانة والسرقةالثامن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بالخيانة والسرقة فيما لا يجوز فيه ذلك ثمناً ومثمناً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المخان فيه أو المسروق أحد ركني المعاوضة بطلت المعاملة، وكان حراماً مع قصد النقل أو الانتقال والتصرف، ولو تجرّد العقد من ذلك لم يحرم مجرّد اللفظ ؛ لأنّه ليس بتصرف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السارق السرقة ضماناً لا رجوع فيه بعد التأدية، وقبلها بالمثل إن كانت من المثليّات، أو القيمة إن كانت من القيميات قيمة يوم التلف على الأقوى، وضماناً يرجع فيه لو وصلت إليه من الغير بوجهٍ لا إقدام فيه على الضمان كهبة ونحوها، أو بوجه مضمونة عليه بنفسها دون ما يتبعها، كعارية مضمونة أو بيع أو شراء مع جهله بكونها مال الغير، فإنّه يرجع في الأوّل بجميع ما غرم من مثل العين وقيمتها وغيرها، وفي الثاني بما عدا مثل العين وقيمتها، دون نفس قيمة العين ومثلها فلا يرجع بهما، وفي الثالث مع جهل الدافع أيضاً بالثمن المدفوع لو دفعه إليه، وبما زاد على الثمن ممّا غرمه من قيمة العين وغيرها، سواء حصل له نفع في مقابلته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لم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فلإقدامه على الضمان فلا يكون مغروراً من جهته، فتبقى الأصول سليمة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بأنّ الإقدام على ضمان المبيع بالثمن في صحيح البيع إقدام على ضمان مطلق القيمة فلا يرجع بالزائد، وأنّ النفع المستوفى مال محترم وصل إليه فيضمن عوضه، ضعيف لا يعارض القاعدة المحكمة المنجبرة بفتوى الأصحاب وبعض الأخبار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مغرور قد اعتدي عليه، والمغرور يرجع إلى مَنْ غره،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أعْتَدَى عَلَيْكُمْ فَاعْتَدُوا عَلَيْهِ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أخذ عليه الضمان من دون رجوع على تقدير ظهور المالك، قوي عدم الرجوع؛ لعدم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مع الجهل، أما مع العلم فلا رجوع له بغير ما دفع إليه من العوض؛ لاستقرار الضمان عليه، وليس بمغرور من قبله، وما جاءه الغرر إلا من قبله والمباشر أقوى من السبب، وللإجماع بقسميه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دفعه من العوض فلا رجوع مع تلفه على الأظهر الأقوى، في ثمن أو مثمن، في بيع أو إجارة أو غيرهما على الأظهر للإجماع المنقول في ثمن بيع المغصوب </w:t>
      </w:r>
      <w:r>
        <w:rPr>
          <w:rStyle w:val="FootnoteAnchor"/>
          <w:rtl w:val="true"/>
        </w:rPr>
        <w:footnoteReference w:id="37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والمحصل والمنقول منه فى الغصب والفضولى مبنى على المثال</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ولتسليطه على إتلاف ماله ولهتك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مع بقائه فإن كان في غصب أو فضولي فقد قيل بعدم الرجوع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غرمه المالك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المنقول فيهما عن جماعةٍ </w:t>
      </w:r>
      <w:r>
        <w:rPr>
          <w:rStyle w:val="FootnoteAnchor"/>
          <w:rtl w:val="true"/>
        </w:rPr>
        <w:footnoteReference w:id="375"/>
      </w:r>
      <w:r>
        <w:rPr>
          <w:rFonts w:ascii="Amiri" w:hAnsi="Amiri" w:eastAsia="Amiri" w:cs="Amiri"/>
          <w:color w:val="111111"/>
          <w:sz w:val="28"/>
          <w:sz w:val="28"/>
          <w:szCs w:val="28"/>
          <w:rtl w:val="true"/>
          <w:lang w:bidi="ar-SA"/>
        </w:rPr>
        <w:t>، فيقتصر فيما خالف الأصل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الإجماع المنقول فيهما فتوى المشهور نقلاً </w:t>
      </w:r>
      <w:r>
        <w:rPr>
          <w:rStyle w:val="FootnoteAnchor"/>
          <w:rtl w:val="true"/>
        </w:rPr>
        <w:footnoteReference w:id="376"/>
      </w:r>
      <w:r>
        <w:rPr>
          <w:rFonts w:ascii="Amiri" w:hAnsi="Amiri" w:eastAsia="Amiri" w:cs="Amiri"/>
          <w:color w:val="111111"/>
          <w:sz w:val="28"/>
          <w:sz w:val="28"/>
          <w:szCs w:val="28"/>
          <w:rtl w:val="true"/>
          <w:lang w:bidi="ar-SA"/>
        </w:rPr>
        <w:t>أو تحصيلاً، والاعتبار بموافقة اللطف من سد باب الفساد على العباد، وعدم التجري على أموال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بتسرية الحكم إلى غيرهما؛ لأنّه كالهبة لدفعه بلا عوض، وكالتبرع بالعمل الذي لا يستحق صاحبه عوضاً، ولأنّه كالمال المعرض عنه يملكه قابضه؛ لخروجه عن ملك الأوّل بالإعراض ودخوله في ملك الثاني بحيازته وقبضه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لمنع كونه بمنزلة الهبة بعد بذله بالعوض الصوري من ظهور المجانية فيه، ومنع لزوم الهبة من غير الرحم أو المعوّضة حقيقة، ومنع حصول الإعراض من الدافع بعد أن كان الدفع على جهة المعاوضة الصورية، ومنع اللزوم في المال المعرض عنه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عدم الرجوع فلا يخلو المقام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ملك الدافع والدخول في ملك المدفوع إليه، فيكون حلالاً عليه وحراماً على الدافع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ملك الدافع ولا سلطان له عليه، ولكنّه حلال على المدفوع إليه، وإن فعل حراماً بأخذه ابتداءً ولكن المالك الأصلى حله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على المدفوع إليه لا يترتب عليه ضمان، وحرام على الدافع المطالبة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ملك الأوّل وعدم الدخول في ملك الثاني، فيكون كمال حجبه الشارع عن مالكه، فيرجع أمره إلى الحاكم، أو يكون بمنزلة المباحات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الرجوع إلى القواعد المحكمة شرعاً وعقلاً من تسليط الناس على أموالهم، وأصالة بقاء الملك لمالكه، وأصالة عدم النقل والانتقال وتبعيّة العقود للقصود، والتجارة عن التراضي، فيُحكم ببقاء الملك وحرمة التصرّف من المدفوع إليه، بل وضمانه له مع المطالبة به قبل تلفه، ويجب التخلية بينه وبين مالكه وإن لم يجب ردّه كرد المغصوب الذي 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يُحمل منقول الإجماع على عدم جواز المطالبة بردّه، وأخذ مال عوضه مع بقائهوعدم الوصول إليه لمكان الحيلولة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توجد عنده سرقة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غارم ما لم يأتِ على بائعها بشهود</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وأفتى بمضمونها في النهاية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بها أنّه لو ادعى المالك سرقتها، وادعى الآخر شراءها منه أو عدم الضمان، فلا رجوع من المالك إليه إذا أتى بالشهود على شرائها منه، أو أتى بالشهود على شرائها من غيره، فإنّه لا يغرم غرامة مستقرّة للمالك فيما لم يقدم على ضمانه؛ لضعف المباشر بعد أن أتى بالشهود على شرائها ممن غرّه، وكلُّ منهما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غصب مالاً فاشترى في الذمة فدفع المغصوب عوضاً لما في ذمته صح بيعه، وبقي مشغول الذمة ومطلوباً بالمغصوب، إلا إذا أجاز المالك دفعه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المشتري في شرائه أنّه يدفع المغصوب عوض الثمن الكلي في ذمته ابتداء،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والأحوط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بكتابة القرآن وكتب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وجوبهاالتاسع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التكسّب بكتابة القرآن وكتب الحديث والفقه والمقدمات المتوقف عليها علم الفقه وكتب العقائد والردّ على أهل الباطل مع وجوبها لو آلت إلى الاضمحلال والزوال والعياذ بالله تعالى؛ لوجوبها كفايةً حينئذٍ، فلا يجوز أخذ الأُجرة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وجوبها مشروط بالعوض ساقط لا نرتضيه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كانت الكفاية حاصلة بالموجود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مندوبة، ويصح التكسب بها، بل هي من أعظم القربات لجبار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الاضطرار إليها واحتياج الشريعة لنسخها فلا يبعد وجوب بذل المال لها للقادر على ذلك من مداد وقلم وقرطاس؛ لأنّ ذلك في معنى الجهاد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التكسّب بتصحيحها لو توقفت الأحكام الشرعيَّة والمعارف عليه ولم يكن في الموجود كفاية، ولا توقف الآن من منن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تصحيح الكتاب المجيد إذا خيف عليه من التحريف والنقص، ومع عدم ذلك فلا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يندب عيناً لكلّ ناظر؛ لموافقته التعظيم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نقل ما دخل في رسم المصحفالسبعون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نقل ما دخل في رسم المصحف للأخبار المتكثرة المعتبرة في ذاتها، والمعتبرة بموافقة الكتاب ممّا جاء في حرمته وتعظيمه، وبفتوى الأصحاب وعدم نقل المخالف والإسناد إلى الصحابة في نهاية الإحكام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منك الورق وما فيه من الأدم وحليته وما فيه من عمل يدك بكذا وكذا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كتاب الله، ولكن اشتر الحديد والورق والدفتين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الكتاب ولا تشتره وبع الورق والأديم والحديد</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المصاحف، إن بيعها حرام، واشتر منه الدفتين والحديد والغلاف، وإياك أن تشتري منه الورق وفيه القرآن مكتوب فيكون عليك حراماً وعلى مَنْ باعه حراماً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وظاهرها تعلّق المنع بنفس الكتابة جوهرية كانت أو عرضيّةً، كلمات أو حروف أو شدّات أو مدات مجتمعات أو متفرقات مستقلات أو منضمات إلى جلد أو ورق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 لفظ الجلالة منفرداً أو منضمّاً إلى الأسماء العَلَميّة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يخرج منه ما دخل في غيره من الكتب بحيث يصدق عليه وعلى غيره کتاب آخر كلفظ المغني، مع احتمال أنّه لو بيعت كتابة المغني لتبعضت الصفقة، وكذا كتب التفسير، ولو بيعت كتابتها لكان التبعيض فيها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بيع الجلد والورق وغيرهما مع الكتابة، تبعضت الصفقة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يتفاوت في حرمة نقل الرسم والكتابة بين البيع وغيره من الصلح، وشبهه المعاوضات حتّى لو أخذ شرطاً لفسد وأفسد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النواقل المجانية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والنذر والإعراض 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يقضي بجوازها، فدخول الكتابة في ملك المشتري بعد أن ملكها كاتبها بالكتابة ونحوها إما تبعاً قصدياً غير مصرح احتراماً أو حكماً شرعياً، أو بالإعراض من البائع والقبض من المشتري، أو هبة ضمنية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المتعلق ببيع القرآن أو كتابته منفردةً أو منضمّةً إلى غيرها أو منضمّاً غيرها إليها 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التجنّب عن جعل المعوّض ذلك لفظاً ؛ احتراماً للفظ القرآن وكتاب اللّه وكتابته، وإن كان المقصود أصالة بيع الكتابة والرسم، فيراد بما عداه من الألفاظ دخول الرسم فيه والقرينة من المتعاقدين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في المبيع ذكر اسمه بعد أن عُرفت إرادته وقصده في لفظ آخر أو ألفاظ أُخَر ضمناً، وهو نوع من الاستعمال ليس من الحقيقة ولا من المجاز</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الحرمة فالبيع فاسد؛ لتعلّق النهي بنفس المعاملة، بل لا يبعد فساد البيع مطلقاً لو اشتمل المبيع على الكتابة وغيرها، ولا تتبعض الصفقة،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تشتري الورق وفيه القرآن فيكون حراماً عليك وعلى مَنْ باعه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حكم جمع </w:t>
      </w:r>
      <w:r>
        <w:rPr>
          <w:rStyle w:val="FootnoteAnchor"/>
          <w:rtl w:val="true"/>
        </w:rPr>
        <w:footnoteReference w:id="386"/>
      </w:r>
      <w:r>
        <w:rPr>
          <w:rFonts w:ascii="Amiri" w:hAnsi="Amiri" w:eastAsia="Amiri" w:cs="Amiri"/>
          <w:color w:val="111111"/>
          <w:sz w:val="28"/>
          <w:sz w:val="28"/>
          <w:szCs w:val="28"/>
          <w:rtl w:val="true"/>
          <w:lang w:bidi="ar-SA"/>
        </w:rPr>
        <w:t xml:space="preserve">بكراهة بيع الرسم دون الحرمة؛ مستنداً للسيرة القاطعة، ولإطلاق الأدلّة وعموماتها، ولإطلاق المنع من بيعه على الكافر المؤذن بجواز بيعه على المسلم مطلقاً، ولقول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أشتري أحبّ إليَّ من أن أبيعه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ولو كان البيع محرماً لما حلّ الشراء،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فالسؤال في الرواية عن المصاحف من دون استفصالٍ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آخر عن شراء المصاحف، فأجابه بذلك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أن العقود تتبع القصود فلو حرم بيع الرسم حرم بيع غيره؛ إذ المقصود هو والباقي آلة أو ظرف له تابع له، وأنّه لو لم يدخل في البيع أصالة وصريحاً لما ثبت الخيار مع ظهور عيب في الرسم أو غبن أو خلاف رؤيةٍ أو وصف أو تدليس، ولما استحق الأرش المشتري، ولما رجع للبائع عند إقالة البيع أو الفسخ؛ لعدم دخوله في ملكه بذلك العقد، ولكان أمانة في يد المشتري مع عدم الإعراض، ولما صح بيع كتب الحديث والتفسير والنحو المشتملة على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دخولها في الاسم الآخر أخرجها عن الحكم بعيدة، إلا أن الأوّل أقوى؛ لقوة دليله، وعليه فالمشترك يدور مدار القصد، ولو وقع من غير قصد فإن كان من المختص بالقرآن لحقه حكمه، وإلا فيلحق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فالرسم بنفسه إذا كان معمولاً من الأجسام فيصح بيعه منفرداً ومنضماً، ويقدر على تسليمه بتسليم الورق، وكذا العكس، فيبقى الورق على ملك مالكه والكتابة لمشتريها، ويكون حكمه كحكم الشركاء في المهايأة وفي قسمته عند بيع الجميع بالنسبة، فيقوم حينئذٍ الرسم مكتوباً بورق فيه ملك الغير لا تجوز إزالته، وورق مكتوب فيه رسم للغير لا تجوز إزالته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يقسم مقابل الهيئة الاجتماعية على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الرسم عرضاً في القرطاس كما إذا كان النقش منه به لم يصح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يبعد أنّه يندب التجنّب عن اسم الرسم واسم ما اشتمل على الرسم في كتب الأدعية والأحاديث و نهج البلاغة، بل وكتب الفقهاء المعتبرة، فيعبّر عنه بالجلد والورق والحديد وما عملته اليد مريداً غير نفس النقوش من الزوائد والأعمال، كماهو المراد بالرواية المتقدّمة </w:t>
      </w:r>
      <w:r>
        <w:rPr>
          <w:rStyle w:val="FootnoteAnchor"/>
          <w:rtl w:val="true"/>
        </w:rPr>
        <w:footnoteReference w:id="389"/>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كله في البيع على المسلم، وأما بيع المصحف على الكافر فغير جائز، وهو باطل، سواء كان المبيع نفس الرسم أو المجموع أو الجلد والورق منفردات؛ لعدم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منضمات؛ للزوم الإهانة ومنافاة الحرمة، من غير فرق بين أقسام الكفّار، ولو كانوا معتقدين صحّة نزوله وثبوت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كفر المسلم زال حكم الملك عنه على الأظهر، ولا يجري عليه حكم العبد المسلم في قهر الكافر على بيعه؛ لثبوت ملكه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يبعد إلحاق كتب الأدعية والأحاديث بل والفقه في عدم جواز بيعها على الكافر، بل ولا يبعد عدم جواز بیع ما يستهان به عند غيرنا من الفرق كبيع التربة الحسينيّة والسُّبحة </w:t>
      </w:r>
      <w:r>
        <w:rPr>
          <w:rStyle w:val="FootnoteAnchor"/>
          <w:rtl w:val="true"/>
        </w:rPr>
        <w:footnoteReference w:id="390"/>
      </w:r>
      <w:r>
        <w:rPr>
          <w:rFonts w:ascii="IRNazanin" w:hAnsi="IRNazanin" w:eastAsia="IRNazanin"/>
          <w:color w:val="111111"/>
          <w:sz w:val="28"/>
          <w:sz w:val="28"/>
          <w:szCs w:val="28"/>
          <w:rtl w:val="true"/>
          <w:lang w:bidi="fa-IR"/>
        </w:rPr>
        <w:t>، وعاشوراء وأمثالها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فرق بين البيع وجميع النواقل معاوضة أو مجانية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على الكافر كتاباً وفيه آيات من القرآن بطل البيع أو تبعضت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بالقرآن أسماء اللّه تعالى الخاصة به؛ لأنّ تسليط الكافر على مسها وسلطانه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رجس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للكافر استئجار المسلم على كتابة القرآن؟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إن كان له لا لمسلم آخر، وأما العكس فجائز إن لم يستلزم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عيناً ومنفعةً بغير الكلاب الأربعة من الكلابالحادي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عيناً ومنفعةً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يدخل في رفع اليد من جهة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الكلاب الأربعة الآتية إن شاء الله؛ للإجماع المنقول </w:t>
      </w:r>
      <w:r>
        <w:rPr>
          <w:rStyle w:val="FootnoteAnchor"/>
          <w:rtl w:val="true"/>
        </w:rPr>
        <w:footnoteReference w:id="391"/>
      </w:r>
      <w:r>
        <w:rPr>
          <w:rFonts w:ascii="Amiri" w:hAnsi="Amiri" w:eastAsia="Amiri" w:cs="Amiri"/>
          <w:color w:val="111111"/>
          <w:sz w:val="28"/>
          <w:sz w:val="28"/>
          <w:szCs w:val="28"/>
          <w:rtl w:val="true"/>
          <w:lang w:bidi="ar-SA"/>
        </w:rPr>
        <w:t xml:space="preserve">بل ومحصله على الظاهر، وللأخبار الدالّة على تحريمها خصوصاً، وعلى تحريم بيع ما لا نفع فيه، وعلى بيع النجس، وعلى بيع السباع </w:t>
      </w:r>
      <w:r>
        <w:rPr>
          <w:rStyle w:val="FootnoteAnchor"/>
          <w:rtl w:val="true"/>
        </w:rPr>
        <w:footnoteReference w:id="392"/>
      </w:r>
      <w:r>
        <w:rPr>
          <w:rFonts w:ascii="IRNazanin" w:hAnsi="IRNazanin" w:eastAsia="IRNazanin"/>
          <w:color w:val="111111"/>
          <w:sz w:val="28"/>
          <w:sz w:val="28"/>
          <w:szCs w:val="28"/>
          <w:rtl w:val="true"/>
          <w:lang w:bidi="fa-IR"/>
        </w:rPr>
        <w:t>، ولأنّ مقابلته بالعوض سفه عرفاً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يجوز اقتناؤها بل ويجوز المعاوضة على رفع اليد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الصيد المعلم القابل له بالفعل، فإنّه لا كلام في جواز المعاوضة عليه وإجارته؛ لشمول أدلة العقود من غير معارض من جهة عدم الانتفاع به انتفاعاً يعتد به؛ ضرورة تحقق النفع التام فيه عادة، ولا مانع من جهة كونه نجساً عيناً؛ إذ النجاسة مع حصول الانتفاع الشرعي أو العادي فيه غير مانعةٍ في النقل والانتقال؛ لعدم منافاة النجاسة لمنفعته المعدة لها من الصيد، وإنّما تنافيها فيما اتَّخذ للأكل والشرب، أو الاستعمال المؤدي إلى الاستقدار والتنجيس، ولخصوص الروايات الدالّة على أنّ ثمن الكلب سحت إلا كلب الصيد وأن ثمن كلب الصيد لا بأس به </w:t>
      </w:r>
      <w:r>
        <w:rPr>
          <w:rStyle w:val="FootnoteAnchor"/>
          <w:rtl w:val="true"/>
        </w:rPr>
        <w:footnoteReference w:id="393"/>
      </w:r>
      <w:r>
        <w:rPr>
          <w:rFonts w:ascii="Amiri" w:hAnsi="Amiri" w:eastAsia="Amiri" w:cs="Amiri"/>
          <w:color w:val="111111"/>
          <w:sz w:val="28"/>
          <w:sz w:val="28"/>
          <w:szCs w:val="28"/>
          <w:rtl w:val="true"/>
          <w:lang w:bidi="ar-SA"/>
        </w:rPr>
        <w:t xml:space="preserve">، وللإجماعات المنقولة </w:t>
      </w:r>
      <w:r>
        <w:rPr>
          <w:rStyle w:val="FootnoteAnchor"/>
          <w:rtl w:val="true"/>
        </w:rPr>
        <w:footnoteReference w:id="394"/>
      </w:r>
      <w:r>
        <w:rPr>
          <w:rFonts w:ascii="Amiri" w:hAnsi="Amiri" w:eastAsia="Amiri" w:cs="Amiri"/>
          <w:color w:val="111111"/>
          <w:sz w:val="28"/>
          <w:sz w:val="28"/>
          <w:szCs w:val="28"/>
          <w:rtl w:val="true"/>
          <w:lang w:bidi="ar-SA"/>
        </w:rPr>
        <w:t>الدالة على جواز بيعه والشهرة المحصلة، بل ربما يدعى الإجماع المحصل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 الصيدية به لا يشترط فيها النية، فلو غفل عن القصد أو قصد عدمها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يلحق بالصائد فعلاً القابل ؟ له وجه والأوجه خلافه؛ بناءً على أن مبدأ الاشتقاق الفعل والقابلية بالفعل، لا أنّه يكون أو قابلاً لأن يكون، فلا يجري الحكم على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أنّه لا يكون لحقه حكم كلب الهراش من جواز اقتنائه واحترامه وعدمهما، والاختصاص به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زال عنه قابلية الصيد لكبر أو مرض لا يرجى عوده أو تغير طبيعةٍ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اقتناء المأمول للصيد، ولصاحبه الاختصاص به زيادةً على كلب الهراش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انتفى الصيد لعدم الحيوان الذي يصاد به فالظاهر بقاء حكم الصيد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كلب الصيد بين السلوقي وغيره، وبين البهيم الأسود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والسلوقي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منسوب إلى قرية سلوق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w:t>
      </w:r>
      <w:r>
        <w:rPr>
          <w:rStyle w:val="FootnoteAnchor"/>
          <w:rtl w:val="true"/>
        </w:rPr>
        <w:footnoteReference w:id="395"/>
      </w:r>
      <w:r>
        <w:rPr>
          <w:rFonts w:ascii="Amiri" w:hAnsi="Amiri" w:eastAsia="Amiri" w:cs="Amiri"/>
          <w:color w:val="111111"/>
          <w:sz w:val="28"/>
          <w:sz w:val="28"/>
          <w:szCs w:val="28"/>
          <w:rtl w:val="true"/>
          <w:lang w:bidi="ar-SA"/>
        </w:rPr>
        <w:t xml:space="preserve">، وفتاوى الأصحاب، فالقول باختصاص السلوقي بالمنع كالقول بالمنع في البهيم الأسود، ضعيف، وحينئذٍ فلا يتفاوت بين كلب الصيد السلوقي والبوجي أو غيرهما بعد أن يكون معلماً أو في أثناء التعليم، بل لا يبعد أنّه لو كان من صنف معروف بقابلية الصيد وقوته قريبة من الفعل كبعض الأصناف المعروفة عند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حكم كلب الصيد المعلّم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الماشية غنماً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الزرع في حائط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الحائط الدائر على الزرع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 كلب الدار والبيوت كبيوت العرب، وكلب الخان والسوق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يجعل المدار في الكلّ واحداً، وهو الكلب الحارس لما أُعد له من دار أو بستان أو زرع أو ماشية أو خان أو نفس محترمة كنفس صاحبه أو عرضه أو ماله، سواء حرس من حيوان أو إنسان أو كلب آخر، وسواء حرس بصوته أو بنهشه أو بنبحه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يجعل المدار على الكلب المنتفع به نفعاً يُعتد به فيشمل كلب الصيد، ولكن لما كان كلب الصيد مما لا كلام في جواز نقله وقع البحث في الباقي، ولذا عبر بعضهم بكلب الماشية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بكلب الزرع </w:t>
      </w:r>
      <w:r>
        <w:rPr>
          <w:rStyle w:val="FootnoteAnchor"/>
          <w:rtl w:val="true"/>
        </w:rPr>
        <w:footnoteReference w:id="397"/>
      </w:r>
      <w:r>
        <w:rPr>
          <w:rFonts w:ascii="IRNazanin" w:hAnsi="IRNazanin" w:eastAsia="IRNazanin"/>
          <w:color w:val="111111"/>
          <w:sz w:val="28"/>
          <w:sz w:val="28"/>
          <w:szCs w:val="28"/>
          <w:rtl w:val="true"/>
          <w:lang w:bidi="fa-IR"/>
        </w:rPr>
        <w:t xml:space="preserve">، وبعضهم زاد </w:t>
      </w:r>
      <w:r>
        <w:rPr>
          <w:rStyle w:val="FootnoteAnchor"/>
          <w:rtl w:val="true"/>
        </w:rPr>
        <w:footnoteReference w:id="398"/>
      </w:r>
      <w:r>
        <w:rPr>
          <w:rFonts w:ascii="IRNazanin" w:hAnsi="IRNazanin" w:eastAsia="IRNazanin"/>
          <w:color w:val="111111"/>
          <w:sz w:val="28"/>
          <w:sz w:val="28"/>
          <w:szCs w:val="28"/>
          <w:rtl w:val="true"/>
          <w:lang w:bidi="fa-IR"/>
        </w:rPr>
        <w:t xml:space="preserve">، وبعضهم نقص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وحينئذٍ فيخرج عن محلّ البحث الكلابُ السائبة التي لا نفع فيها، بل لا يحصل منها سوى الضرر، ولا يترتب على اقتنائها نفع يعتد به ولو لبطلان منفعتها لعارض من العوارض، سوى أن الماشية لو هلكت والزرع لو تلف لم يتغيّر الحكم؛ استصحاباً للحكم والاسم، والفرق بين زوال الأثر وبين عدم وجود ما يؤثر فيه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فهذه الكلاب الثلاثة وما يتبعها في الاسم أو الحكم ولو بتنقيح المناط</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التي وقع البحث في جواز بيعها وعدمه بعد الاتفاق على جواز اقتنائها وجواز المعاوضة على رفع يد المختص بها عنها، بل ويظهر من العلّامة وجماعة أنّه لا كلام في جواز إجارتها </w:t>
      </w:r>
      <w:r>
        <w:rPr>
          <w:rStyle w:val="FootnoteAnchor"/>
          <w:rtl w:val="true"/>
        </w:rPr>
        <w:footnoteReference w:id="400"/>
      </w:r>
      <w:r>
        <w:rPr>
          <w:rFonts w:ascii="Amiri" w:hAnsi="Amiri" w:eastAsia="Amiri" w:cs="Amiri"/>
          <w:color w:val="111111"/>
          <w:sz w:val="28"/>
          <w:sz w:val="28"/>
          <w:szCs w:val="28"/>
          <w:rtl w:val="true"/>
          <w:lang w:bidi="ar-SA"/>
        </w:rPr>
        <w:t xml:space="preserve">، بل ويظهر من بعض آخر </w:t>
      </w:r>
      <w:r>
        <w:rPr>
          <w:rStyle w:val="FootnoteAnchor"/>
          <w:rtl w:val="true"/>
        </w:rPr>
        <w:footnoteReference w:id="401"/>
      </w:r>
      <w:r>
        <w:rPr>
          <w:rFonts w:ascii="Amiri" w:hAnsi="Amiri" w:eastAsia="Amiri" w:cs="Amiri"/>
          <w:color w:val="111111"/>
          <w:sz w:val="28"/>
          <w:sz w:val="28"/>
          <w:szCs w:val="28"/>
          <w:rtl w:val="true"/>
          <w:lang w:bidi="ar-SA"/>
        </w:rPr>
        <w:t>أنّه لا كلام في ملكها واحترامها؛ لثبوت الدية على متلفها، وجواز نقلها مجاناً وبهبة ونحوها، ولا كلام في المعاوضة عليها بغير البيع والصلح، كجعلها مهراً في النكاح بقسميه، أو ثمن خلع، أو عوض منفعة، أو أنّه يجوز وقفها والوصية بها، بل ويجوز جعلها ثمن مبيع قد تسلّط البيع على غيرها؛ لأنّ الممنوع أن تكون مبيعاً لا أن تكون ثمناً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هذا القائل غفل عن قاعدة مساواة الثمن للمثمن في الأحكام، وغفل عن أن نواقل العين متساوية في المنع في هذه المقامات المعللة بالنجاسة والخبث، وغفل عن أن الإجارة لا تستلزم جواز نقل العين كأم الولد والحُرّ، وغفل عن أنّ الملك لا يستلزم جواز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الخاص وما لا يتموّل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فقيل بالمنع عن بيع هذه الكلاب بل نقلها مطلقاً </w:t>
      </w:r>
      <w:r>
        <w:rPr>
          <w:rStyle w:val="FootnoteAnchor"/>
          <w:rtl w:val="true"/>
        </w:rPr>
        <w:footnoteReference w:id="402"/>
      </w:r>
      <w:r>
        <w:rPr>
          <w:rFonts w:ascii="Amiri" w:hAnsi="Amiri" w:eastAsia="Amiri" w:cs="Amiri"/>
          <w:color w:val="111111"/>
          <w:sz w:val="28"/>
          <w:sz w:val="28"/>
          <w:szCs w:val="28"/>
          <w:rtl w:val="true"/>
          <w:lang w:bidi="ar-SA"/>
        </w:rPr>
        <w:t xml:space="preserve">استناداً إلى عموم ما جاء أن ثمن الكلب سحت عدا ما استثني </w:t>
      </w:r>
      <w:r>
        <w:rPr>
          <w:rStyle w:val="FootnoteAnchor"/>
          <w:rtl w:val="true"/>
        </w:rPr>
        <w:footnoteReference w:id="403"/>
      </w:r>
      <w:r>
        <w:rPr>
          <w:rFonts w:ascii="Amiri" w:hAnsi="Amiri" w:eastAsia="Amiri" w:cs="Amiri"/>
          <w:color w:val="111111"/>
          <w:sz w:val="28"/>
          <w:sz w:val="28"/>
          <w:szCs w:val="28"/>
          <w:rtl w:val="true"/>
          <w:lang w:bidi="ar-SA"/>
        </w:rPr>
        <w:t xml:space="preserve">، وإلى عموم ما دلّ على منع بيع النجاسات وخصوص السباع </w:t>
      </w:r>
      <w:r>
        <w:rPr>
          <w:rStyle w:val="FootnoteAnchor"/>
          <w:rtl w:val="true"/>
        </w:rPr>
        <w:footnoteReference w:id="404"/>
      </w:r>
      <w:r>
        <w:rPr>
          <w:rFonts w:ascii="Amiri" w:hAnsi="Amiri" w:eastAsia="Amiri" w:cs="Amiri"/>
          <w:color w:val="111111"/>
          <w:sz w:val="28"/>
          <w:sz w:val="28"/>
          <w:szCs w:val="28"/>
          <w:rtl w:val="true"/>
          <w:lang w:bidi="ar-SA"/>
        </w:rPr>
        <w:t xml:space="preserve">، خرج الكلب الصيود وبقي الباقي، ورداً على القول بالجواز بأن رواية الجواز </w:t>
      </w:r>
      <w:r>
        <w:rPr>
          <w:rStyle w:val="FootnoteAnchor"/>
          <w:rtl w:val="true"/>
        </w:rPr>
        <w:footnoteReference w:id="405"/>
      </w:r>
      <w:r>
        <w:rPr>
          <w:rFonts w:ascii="Amiri" w:hAnsi="Amiri" w:eastAsia="Amiri" w:cs="Amiri"/>
          <w:color w:val="111111"/>
          <w:sz w:val="28"/>
          <w:sz w:val="28"/>
          <w:szCs w:val="28"/>
          <w:rtl w:val="true"/>
          <w:lang w:bidi="ar-SA"/>
        </w:rPr>
        <w:t xml:space="preserve">مردودة بالإرسال، وأصلهم مقطوع، وعموماتهم مخصصة بما مرّ من الاستدلال، وتضعف الشهرة بوقوع الاختلاف في عباراتهم؛ لأنّها بين جامع للثلاثة </w:t>
      </w:r>
      <w:r>
        <w:rPr>
          <w:rStyle w:val="FootnoteAnchor"/>
          <w:rtl w:val="true"/>
        </w:rPr>
        <w:footnoteReference w:id="406"/>
      </w:r>
      <w:r>
        <w:rPr>
          <w:rFonts w:ascii="Amiri" w:hAnsi="Amiri" w:eastAsia="Amiri" w:cs="Amiri"/>
          <w:color w:val="111111"/>
          <w:sz w:val="28"/>
          <w:sz w:val="28"/>
          <w:szCs w:val="28"/>
          <w:rtl w:val="true"/>
          <w:lang w:bidi="ar-SA"/>
        </w:rPr>
        <w:t xml:space="preserve">، وبين مقتصر على الحائط والماشية </w:t>
      </w:r>
      <w:r>
        <w:rPr>
          <w:rStyle w:val="FootnoteAnchor"/>
          <w:rtl w:val="true"/>
        </w:rPr>
        <w:footnoteReference w:id="407"/>
      </w:r>
      <w:r>
        <w:rPr>
          <w:rFonts w:ascii="Amiri" w:hAnsi="Amiri" w:eastAsia="Amiri" w:cs="Amiri"/>
          <w:color w:val="111111"/>
          <w:sz w:val="28"/>
          <w:sz w:val="28"/>
          <w:szCs w:val="28"/>
          <w:rtl w:val="true"/>
          <w:lang w:bidi="ar-SA"/>
        </w:rPr>
        <w:t>، وبين مقتصر عليهما مع الزرع</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والاحتجاج بثبوت الدية لها مردود بأنّه غير ظاهر في الملك إن لم يكن ظاهراً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الغرامة أعم من الدية فلعلها عقوبة، وجواز الإجارة محلّ بحث، وجوازها لا يدلّ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ملك العين فضلاً عن جواز بيعه وتمليكه، وملك المنفعة لا يلزم منه جواز تمليكها فضلاً عن ملك العين وجواز تمليكه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بجواز بيعها </w:t>
      </w:r>
      <w:r>
        <w:rPr>
          <w:rStyle w:val="FootnoteAnchor"/>
          <w:rtl w:val="true"/>
        </w:rPr>
        <w:footnoteReference w:id="409"/>
      </w:r>
      <w:r>
        <w:rPr>
          <w:rFonts w:ascii="Amiri" w:hAnsi="Amiri" w:eastAsia="Amiri" w:cs="Amiri"/>
          <w:color w:val="111111"/>
          <w:sz w:val="28"/>
          <w:sz w:val="28"/>
          <w:szCs w:val="28"/>
          <w:rtl w:val="true"/>
          <w:lang w:bidi="ar-SA"/>
        </w:rPr>
        <w:t xml:space="preserve">استناداً للشهرة المنقولة </w:t>
      </w:r>
      <w:r>
        <w:rPr>
          <w:rStyle w:val="FootnoteAnchor"/>
          <w:rtl w:val="true"/>
        </w:rPr>
        <w:footnoteReference w:id="410"/>
      </w:r>
      <w:r>
        <w:rPr>
          <w:rFonts w:ascii="Amiri" w:hAnsi="Amiri" w:eastAsia="Amiri" w:cs="Amiri"/>
          <w:color w:val="111111"/>
          <w:sz w:val="28"/>
          <w:sz w:val="28"/>
          <w:szCs w:val="28"/>
          <w:rtl w:val="true"/>
          <w:lang w:bidi="ar-SA"/>
        </w:rPr>
        <w:t xml:space="preserve">والمحصلة، وإلى ظاهر بعض ما يؤذن بالإجماع نقلاً </w:t>
      </w:r>
      <w:r>
        <w:rPr>
          <w:rStyle w:val="FootnoteAnchor"/>
          <w:rtl w:val="true"/>
        </w:rPr>
        <w:footnoteReference w:id="411"/>
      </w:r>
      <w:r>
        <w:rPr>
          <w:rFonts w:ascii="Amiri" w:hAnsi="Amiri" w:eastAsia="Amiri" w:cs="Amiri"/>
          <w:color w:val="111111"/>
          <w:sz w:val="28"/>
          <w:sz w:val="28"/>
          <w:szCs w:val="28"/>
          <w:rtl w:val="true"/>
          <w:lang w:bidi="ar-SA"/>
        </w:rPr>
        <w:t xml:space="preserve">، وإلى جواز إجارتها كما هو ظاهر الأصحاب، وإذا جازت جاز بيعها كما هو ظاهر الأصحاب من الملازمة بينهما، وإلى الرواية الدالة على جواز بيع كلب الماشية والحائط </w:t>
      </w:r>
      <w:r>
        <w:rPr>
          <w:rStyle w:val="FootnoteAnchor"/>
          <w:rtl w:val="true"/>
        </w:rPr>
        <w:footnoteReference w:id="412"/>
      </w:r>
      <w:r>
        <w:rPr>
          <w:rFonts w:ascii="Amiri" w:hAnsi="Amiri" w:eastAsia="Amiri" w:cs="Amiri"/>
          <w:color w:val="111111"/>
          <w:sz w:val="28"/>
          <w:sz w:val="28"/>
          <w:szCs w:val="28"/>
          <w:rtl w:val="true"/>
          <w:lang w:bidi="ar-SA"/>
        </w:rPr>
        <w:t xml:space="preserve">، والفرق بينه وبين كلب الزرع منفي بظواهر الأدلّة العامة الدالة على التسوية وفتوى المشهور،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بأنّ مفهومه إن لم يحرّم لم يحرم، والانتفاع بهذه الكلاب في الجهة المعدة لها واقتناؤها حلال فثمنها حلال من تلك الجهة، وإلى العمومات الدالة على صحّة التكسّب بما فيه نفع للعباد </w:t>
      </w:r>
      <w:r>
        <w:rPr>
          <w:rStyle w:val="FootnoteAnchor"/>
          <w:rtl w:val="true"/>
        </w:rPr>
        <w:footnoteReference w:id="414"/>
      </w:r>
      <w:r>
        <w:rPr>
          <w:rFonts w:ascii="Amiri" w:hAnsi="Amiri" w:eastAsia="Amiri" w:cs="Amiri"/>
          <w:color w:val="111111"/>
          <w:sz w:val="28"/>
          <w:sz w:val="28"/>
          <w:szCs w:val="28"/>
          <w:rtl w:val="true"/>
          <w:lang w:bidi="ar-SA"/>
        </w:rPr>
        <w:t xml:space="preserve">، والنهي عن التكسّب بنجس العين </w:t>
      </w:r>
      <w:r>
        <w:rPr>
          <w:rStyle w:val="FootnoteAnchor"/>
          <w:rtl w:val="true"/>
        </w:rPr>
        <w:footnoteReference w:id="415"/>
      </w:r>
      <w:r>
        <w:rPr>
          <w:rFonts w:ascii="Amiri" w:hAnsi="Amiri" w:eastAsia="Amiri" w:cs="Amiri"/>
          <w:color w:val="111111"/>
          <w:sz w:val="28"/>
          <w:sz w:val="28"/>
          <w:szCs w:val="28"/>
          <w:rtl w:val="true"/>
          <w:lang w:bidi="ar-SA"/>
        </w:rPr>
        <w:t>خاص بغيرها؛ لاشتمالها على نفع يعتد به عادة، ولا ينافيه نجاسة عينها، ولو نافى ذلك لنافي إجارتها وهبتها وإعارتها وديتها واحترامها ونقلها بعوض خلع أو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عموم ما دلّ على أن ثمن الكلب سحت </w:t>
      </w:r>
      <w:r>
        <w:rPr>
          <w:rStyle w:val="FootnoteAnchor"/>
          <w:rtl w:val="true"/>
        </w:rPr>
        <w:footnoteReference w:id="416"/>
      </w:r>
      <w:r>
        <w:rPr>
          <w:rFonts w:ascii="Amiri" w:hAnsi="Amiri" w:eastAsia="Amiri" w:cs="Amiri"/>
          <w:color w:val="111111"/>
          <w:sz w:val="28"/>
          <w:sz w:val="28"/>
          <w:szCs w:val="28"/>
          <w:rtl w:val="true"/>
          <w:lang w:bidi="ar-SA"/>
        </w:rPr>
        <w:t>فمنه ضعيف لا يستند إليه، ومنه مخصوص بما ذكرنا من الأدلّة، ومنه ما يراد به الكراهة كما عبّر بذلك في باب مكروهات الصنائع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يستند أيضاً إلى ظواهر بعض كلمات أصحابنا، الدالّة على التسوية بين كلب الصيد وغيره، وأنّ من أجاز بيع ذلك أجاز بيع هذه، وإلى ظواهر بعض إجماعات منقولة على أنّ كلّ ما فيه نفع يعتد به محلّل يصح التكسّب به </w:t>
      </w:r>
      <w:r>
        <w:rPr>
          <w:rStyle w:val="FootnoteAnchor"/>
          <w:rtl w:val="true"/>
        </w:rPr>
        <w:footnoteReference w:id="417"/>
      </w:r>
      <w:r>
        <w:rPr>
          <w:rFonts w:ascii="Amiri" w:hAnsi="Amiri" w:eastAsia="Amiri" w:cs="Amiri"/>
          <w:color w:val="111111"/>
          <w:sz w:val="28"/>
          <w:sz w:val="28"/>
          <w:szCs w:val="28"/>
          <w:rtl w:val="true"/>
          <w:lang w:bidi="ar-SA"/>
        </w:rPr>
        <w:t>، وإلى ظاهر خبر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فيه مصلحة من مصالح العباد يجوز التكسّب به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القائلين بالجواز من المتأخرين قد أفرط بالتشنيع على القائلين بالمنع، وذكر جملة من عبائر الفقهاء المجوّزين وجملة مما ذكرنا من الأدلّة الدالة على الجواز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معذور؛ حيث غلبت عليه عبارات الفقهاء وعمومات أدلة الجواز، فحسب أنّهم لم يطلعوا عليها، وكيف لم يطلعوا وهي بمرأى منهم ومسمع وبيانها لهم كناقل التمر إلى هجر، ولكنهم غلبت عليهم متانة الفقاهة المأخوذة من قواعد المنع وعموماته وخصوصاته المخصصة لأدلة الجواز، والقادحة في ظواهر بعض الإجماعات وظاهر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دليل المنع جريان سيرة المسلمين على عدم بيعها، كما لا يبيعون السنور ونحوه، ولو كان لبان ولتداولوا به؛ لعظم نفعه وكثرة تداوله وزيادة محصوله، فلا شك أن دليل المنع أقوى وأحوط، وهو شاهد قوي للمتأمل الذكي، وإن كان القول بالجواز قوياً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الفقهاء أنّ لكلب الصيد ديةً عند قتله أربعون درهماً، وللثلاثة الباقية عشرون، وتخيّل بعضهم أنّها قيم لها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جنى عليها جان، احتمل الرجوع لتقسيط الدية، واحتمل الرجوع لتفاوت القيمة مطلقاً وإن لم تزد على الدية، ويجيء الكلام في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بطريق الرشوة في حكم قضائي أو إفتائي من المتخاصمين أو غيرهماالثاني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بطريق الرشوة في حكم قضائي أو إفتائي، من المتخاصمين أو من غيرهما على أن يقضي لأحدهما على كلّ تقدير باطل أو حق، أو يفتي لأحدهما كذلك، أو يقضي لأحدهما بالباطل، أو يفتي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بين أن يكون المدفوع مالاً أو عملاً له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والتبسّم والملاطفة وتقبيل اليد والتواضع والمواعيد الحسنة لا تدخل في اسمها وإن شاركتها كثيراً في حكمها، والمراعاة في القرض وبيع المحاباة ونحوها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بينها وبين الأجرة أنّ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تُدفع للحكم بالحق بعد معرفة أنّه الحق، سواء دفعها المحكوم له أو المحكوم عليه أو هما معاً أو أجنبي من بيت المال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لا تُدفع بنيّة المعاوضة، بل بنيّة استجلاب الحكم من الحاكم وبعثه عليه، فهي كالداعي المحرّك وكالعوض الملزم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تنافي الأجرة بعد استجلاب القاضي، فتدفع للقاضي لأن يحكم بالأجرة أو مجاناً، وقد تجتمع معها، فتكون رشوة بالأُجرة وأُجرة بالرشوة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الأجرة مقاطعة بقدرٍ معلوم ملزم من الطرفين، بخلاف الرشوة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آخر وهو أنّ الأجرة يستدعيها الحاكم غالباً، والرشوة يبذلها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الأجرة يحكم الحاكم بها، وهي محرمة على الدافع بتلك النية، سواء أثر ما نواه فتابعه الحاكم على مقتضى نيته، أم لم يؤثر، كما إذا لم يحكم له، أو حكم بالحق على خلاف غرضه، وكذا على المدفوع له لو علم بنيّة الدافع وإن كان عزمه لا يحكم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يعلم المدفوع له فأخذها بعنوان الهدية فلا ضمان عليه ولا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أخذها بنيّة الرشوة حرمت عليه وضمن وإن كانت نية الدافع أنّها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عدم الضمان هنا قوي، بل احتمال عدم الضمان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لتسليط الدافع المدفوع له على ماله مجاناً، ولأنّها شبه المعاوضة، وما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دفع المال عن المتخاصمين عند الخصومة هو الرشوة </w:t>
      </w:r>
      <w:r>
        <w:rPr>
          <w:rStyle w:val="FootnoteAnchor"/>
          <w:rtl w:val="true"/>
        </w:rPr>
        <w:footnoteReference w:id="421"/>
      </w:r>
      <w:r>
        <w:rPr>
          <w:rFonts w:ascii="Amiri" w:hAnsi="Amiri" w:eastAsia="Amiri" w:cs="Amiri"/>
          <w:color w:val="111111"/>
          <w:sz w:val="28"/>
          <w:sz w:val="28"/>
          <w:szCs w:val="28"/>
          <w:rtl w:val="true"/>
          <w:lang w:bidi="ar-SA"/>
        </w:rPr>
        <w:t>، لا الهدية سيما ممن ليست عادته 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تجنّب الهدية أيضاً في مقام الخصومة؛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هدايا العُمّال غلول</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وهذا أسوأ حالاً من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يُدفع بنيّة الرشوة لدعوة مستقبلة فهو كما يدفع للحالة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يُدفع مصانعة بتلك النية لاحتمال وقوعه في دعوى ورجوعه إلى ذلك فيستجلبه من الآن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بالرشوة إن لم يكن اسماً فحكماً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الهدايا لحكّام الشرع لأجل المثوبة، أو لاستجلاب دعائهم، أو لتحصيل الرئاسة والوجاهة بالقرب إليهم، أو لدفع المظالم من الظلمة بالدنو إليهم وبالسعي في حوائجهم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وإنفاذ مطالبهم،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أعظم القربات وأفضل الطاعات حتّى لو كان بنيّة الرشوة لا بنيّة 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الرشوة لقُضاة الجور فهي من الحرام المتضاعف مرتين، إلا إذا كانت بحق وتوقف عليها استخلاص الحقّ فتدفع بنيّة الاستخلاص لا بنيّة أنّها مصانعة على الحكم، كما تدفع للعشار وقاطعى الطريق ومَنْ لهم قوانين على المتردّدين ظلماً وعدواناً، ولا شك أن الفرار من دفع المضار بالحلال مهما أمكن يلزم تقديمه على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وتحريم الرشوة دلّ عليه الإجماع والأخبار </w:t>
      </w:r>
      <w:r>
        <w:rPr>
          <w:rStyle w:val="FootnoteAnchor"/>
          <w:rtl w:val="true"/>
        </w:rPr>
        <w:footnoteReference w:id="424"/>
      </w:r>
      <w:r>
        <w:rPr>
          <w:rFonts w:ascii="Amiri" w:hAnsi="Amiri" w:eastAsia="Amiri" w:cs="Amiri"/>
          <w:color w:val="111111"/>
          <w:sz w:val="28"/>
          <w:sz w:val="28"/>
          <w:szCs w:val="28"/>
          <w:rtl w:val="true"/>
          <w:lang w:bidi="ar-SA"/>
        </w:rPr>
        <w:t xml:space="preserve">، وقد لعن الراشي والمرتشي </w:t>
      </w:r>
      <w:r>
        <w:rPr>
          <w:rStyle w:val="FootnoteAnchor"/>
          <w:rtl w:val="true"/>
        </w:rPr>
        <w:footnoteReference w:id="425"/>
      </w:r>
      <w:r>
        <w:rPr>
          <w:rFonts w:ascii="Amiri" w:hAnsi="Amiri" w:eastAsia="Amiri" w:cs="Amiri"/>
          <w:color w:val="111111"/>
          <w:sz w:val="28"/>
          <w:sz w:val="28"/>
          <w:szCs w:val="28"/>
          <w:rtl w:val="true"/>
          <w:lang w:bidi="ar-SA"/>
        </w:rPr>
        <w:t xml:space="preserve">، وأنّها سحت </w:t>
      </w:r>
      <w:r>
        <w:rPr>
          <w:rStyle w:val="FootnoteAnchor"/>
          <w:rtl w:val="true"/>
        </w:rPr>
        <w:footnoteReference w:id="426"/>
      </w:r>
      <w:r>
        <w:rPr>
          <w:rFonts w:ascii="Amiri" w:hAnsi="Amiri" w:eastAsia="Amiri" w:cs="Amiri"/>
          <w:color w:val="111111"/>
          <w:sz w:val="28"/>
          <w:sz w:val="28"/>
          <w:szCs w:val="28"/>
          <w:rtl w:val="true"/>
          <w:lang w:bidi="ar-SA"/>
        </w:rPr>
        <w:t xml:space="preserve">وكفر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وكلام أهل اللغة فيها مضطرب، وليس لها حقيقة شرعيّة، فلا بد فيها من الرجوع إلى العرف، وأهل الشرع أعرف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وظنّى أنّها تكون محرّمةً ومحلّلةً، وتكون للحكم والقضاء، وتكون للإفتاء، وتكون لجلب نصرة الظالم على المظلوم، وبالعكس، وتكون للحكم بالحق، وتكون للحكم بالباطل، وتكون لما هو أعم، وتكون لجلب التزويج وتكون لجلب الأموال، وتكون لجلب العز والوقار، وتكون لدفع المضار، كرشوة الوزراء والأمراء، وتكون بين الزوجين، وتكون بين الأخوين، وتكون لجلب الحرام كاللواط والزنى، وتكون للاستقامة بالأمر بالمعروف والنهي عن المنكر، وتكون بعكس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فهي المصانعة بمال ونحوه لاستجلاب ما يريده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المتداول من معناها في لسان الشرع والمتشرّعة وأهل العرف أنّه ما يعطى للحكم باطلاً، أو حقاً وباطلاً، أو حقاً فقط في مقام يحكم المدفوع إليه بالحق، ولكن لا يبديه إلا برشوة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الثلاثة محرمة، أما الأولان فظاهر،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واجب كفائي لا يؤخذ عليه عوض، ولا يفعل لأجل العوض، ولا يجوز أن يدفع له عوض أو شبه العوض بحيث يكون هو الداعي لفعله كما تقدم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الثالث عن معناها بعض الأساطين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ما حرّرناه أن بعض أهل اللغة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الوصلة إلى الحاجة بالمصانعة، والراشي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يعطي الذي يعينه على الباطل، والمرتشي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والرائش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يسعى بينهما، يستزيد لهذا وينقص لهذا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قلّما تُستعمل إلا فيما يتوصل به إلى إبطال حقٍّ أو تمشية باطل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يعطيه الشخص للحاكم وغيره ليحكم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يحمله على ما يريد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الجعل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للحكم حقاً أو باطلاً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الأساطين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تُدفع للحكم الباطل، أو الحكم من حيث هو صدر حقاً أو باطلاً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مجموع ما ذكر ما ذكرناه من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توصل بها إلى محرّم كالرشوة عليه، أو كانت هي محرمةً، كالرشوة على الواجب عيناً أو كفائياً، حرمت، وإن توصل بها إلى محلّل حلّت، ويبقى شك في بعض أفرادها، كهدايا القُضاة ممّن ليست عادته الهدية وكانت العلة هي مظنّة الرجوع إليه في القضاء والفتوى، فهل هي حلال؟ للأصل، ولعموم دليل الهديّة </w:t>
      </w:r>
      <w:r>
        <w:rPr>
          <w:rStyle w:val="FootnoteAnchor"/>
          <w:rtl w:val="true"/>
        </w:rPr>
        <w:footnoteReference w:id="435"/>
      </w:r>
      <w:r>
        <w:rPr>
          <w:rFonts w:ascii="Amiri" w:hAnsi="Amiri" w:eastAsia="Amiri" w:cs="Amiri"/>
          <w:color w:val="111111"/>
          <w:sz w:val="28"/>
          <w:sz w:val="28"/>
          <w:szCs w:val="28"/>
          <w:rtl w:val="true"/>
          <w:lang w:bidi="ar-SA"/>
        </w:rPr>
        <w:t xml:space="preserve">، أو حرام؟ لما دلّ على أن هدايا العُمّال سحت </w:t>
      </w:r>
      <w:r>
        <w:rPr>
          <w:rStyle w:val="FootnoteAnchor"/>
          <w:rtl w:val="true"/>
        </w:rPr>
        <w:footnoteReference w:id="436"/>
      </w:r>
      <w:r>
        <w:rPr>
          <w:rFonts w:ascii="Amiri" w:hAnsi="Amiri" w:eastAsia="Amiri" w:cs="Amiri"/>
          <w:color w:val="111111"/>
          <w:sz w:val="28"/>
          <w:sz w:val="28"/>
          <w:szCs w:val="28"/>
          <w:rtl w:val="true"/>
          <w:lang w:bidi="ar-SA"/>
        </w:rPr>
        <w:t xml:space="preserve">والباعث للمهدي هو عمل القاضي وهو من العُمّال أو أعرف منهم، وما يبذل لمن يسعى بالصلح بين المتخاصمين ليجبر واحداً ويكسر آخر، أو ما يبذل لتأكيد الحكم وإنفاذه بعد صدوره؟ وما يبذل لتعجيله والاهتمام به وغير ذلك من أصالة الجواز، ومن عموم النهي عن الرشوة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خرج بالدليل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مصروف للقُضاة، أو للقُضاة والولاة الذين يتوصل بهم الراشي إلى ما لا يرضي جبار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الرشوة عقداً كبيع أو تزويج أو إجارة ففي فسادها وجهان لمكان النهي، وأنّه لأمر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بالمال المدفوع من موص أو موكل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يدفعه لواحدٍ غير معيّن ولكنّه موصوف بوصف يشاركه المدفوع إليه فيهالثالث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أخذه والتكسب به المال المدفوع من موص أو موكل أو وليّ أمرٍ أو ملتمس لآخر على أن يدفعه لواحدٍ غير معين، ولكنه موصوف بوصف يشاركه المدفوع إليه فيه،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هذا لعالم أو صالح أو 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معينين محصورين ليشاركهم المدفوع إليه،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هذا لمن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محصورين،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هذا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أو منكراً،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 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المدفوع إليه منهم، أو لطائفة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هذا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المدفوع إليه منهم غير محصورين، أو محصورين،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هذا لأولاد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المدفوع إليه منهم، ومثله أمر الآمر بالدفع بأن يفرّقه، أو يضعه، أو يقسمه، أو يصله، أو يعطيه، أو يبيعه، أو يوقفه، أو يتصدق به، أو يزوّجها، أو يعطيه عبادات من زيارات وصيام وصلوات ومبرّات، ففي جميع ذلك لا يجوز أن يأخذ لنفسه ويملكه ويكتسب به ما لم يكن الخطاب عاماً صريحاً بحيث يشمله أو تقوم قرينة حالية أو مقالية على إرادة دخوله ولو لظهور إرادة صرفه لمستحقه على أي طريقٍ من غير ملاحظة الخصوصية؛ كلّ ذلك للأصل، وحرمة التصرّف بمال الغير من دون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المدفوع إليه في صنف المأمور به لغةً لا يجدي بعد حكم العرف بخروج المأمور عمّا أُمر به؛ لظهور الخطاب بالمغايرة، وأنّ الموجب غير القابل؛ لأنّ الظاهر أن الوكيل بمنزلة الموكل، فلا يدفع إليه شيئاً مما دفعه إلى وكيله وإن كان متصفاً ذلك الموكل بذلك الوصف وكان الأخذ له جائزاً، كما إذا كانت زكاة مولّى عليه، أو من حقوق لا تخص الدافع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ولصحيحة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المسندة في التحرير </w:t>
      </w:r>
      <w:r>
        <w:rPr>
          <w:rStyle w:val="FootnoteAnchor"/>
          <w:rtl w:val="true"/>
        </w:rPr>
        <w:footnoteReference w:id="438"/>
      </w:r>
      <w:r>
        <w:rPr>
          <w:rFonts w:ascii="Amiri" w:hAnsi="Amiri" w:eastAsia="Amiri" w:cs="Amiri"/>
          <w:color w:val="111111"/>
          <w:sz w:val="28"/>
          <w:sz w:val="28"/>
          <w:szCs w:val="28"/>
          <w:rtl w:val="true"/>
          <w:lang w:bidi="ar-SA"/>
        </w:rPr>
        <w:t xml:space="preserve">، المضمرة في غيره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لمن أُعطي مالاً ليقسمه في محاويج أو مساكين وهو محتاج أن يأخذ لنفسه شيئاً حتّى يأذن له صاحبه</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فلا يجوز أخذ الكلّ في مقام الإطلاق، ولا أخذ الأكثر لو فرق ذلك بنظره، ولا المساوي ولا الأقلّ، وكذا لو عين الدافع له المقدار، على أن الدافع إذا لم يعيّن المقدار له كان أخذه مثل ما يعطي مشكلاً؛ لأنّه قد يفرّق الألف على مائة عشرة عشرة فيأخذ مثلها، وقد يعطي واحداً خمسمائةً فيأخذ هو مثله، وبناءً على جواز أخذ الأكثر له أن يفرّق عشرةً على تسعة وتسعين ويأخذ الباقي، وحينئذٍ فالقول بأنّه يأخذ مثلهم أو أزيد منهم لا بد أن يُحمل على أنّه ينظر إلى المال فيرى كيف يقسمه لو كان غير داخل فيدخل نفسهعوض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تقسيم المال مرجعه إلى فهم المأمور من جهة قدر المال زيادةً ونقصاً، كما أن التفاضل بحسب الفقر وزيادة العيلولة ممّا يلاحظه الدافع غالباً، فيعمل المأمور على ما يفهمه، وإلا فالأصل التسوية، كالإقرار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الأكثر أو المشهور نقلاً </w:t>
      </w:r>
      <w:r>
        <w:rPr>
          <w:rStyle w:val="FootnoteAnchor"/>
          <w:rtl w:val="true"/>
        </w:rPr>
        <w:footnoteReference w:id="440"/>
      </w:r>
      <w:r>
        <w:rPr>
          <w:rFonts w:ascii="Amiri" w:hAnsi="Amiri" w:eastAsia="Amiri" w:cs="Amiri"/>
          <w:color w:val="111111"/>
          <w:sz w:val="28"/>
          <w:sz w:val="28"/>
          <w:szCs w:val="28"/>
          <w:rtl w:val="true"/>
          <w:lang w:bidi="ar-SA"/>
        </w:rPr>
        <w:t xml:space="preserve">بل تحصيلاً إلى الجواز؛ استناداً إلى أن الوكالة مطلقة والشمول مستفاد من الإطلاق ولا مقيّد لها وإلى الروايات الصحيحة المشتملة في بعضها على الإذن في الأخذ لمن أعطي الزكاة ليقسمها </w:t>
      </w:r>
      <w:r>
        <w:rPr>
          <w:rStyle w:val="FootnoteAnchor"/>
          <w:rtl w:val="true"/>
        </w:rPr>
        <w:footnoteReference w:id="441"/>
      </w:r>
      <w:r>
        <w:rPr>
          <w:rFonts w:ascii="Amiri" w:hAnsi="Amiri" w:eastAsia="Amiri" w:cs="Amiri"/>
          <w:color w:val="111111"/>
          <w:sz w:val="28"/>
          <w:sz w:val="28"/>
          <w:szCs w:val="28"/>
          <w:rtl w:val="true"/>
          <w:lang w:bidi="ar-SA"/>
        </w:rPr>
        <w:t xml:space="preserve">، وفي بعضها الإذن لمن أُعطي مالاً يفرّقه فيمن يحلّ له أن يأخذ منه مثل ما يعطي غيره </w:t>
      </w:r>
      <w:r>
        <w:rPr>
          <w:rStyle w:val="FootnoteAnchor"/>
          <w:rtl w:val="true"/>
        </w:rPr>
        <w:footnoteReference w:id="442"/>
      </w:r>
      <w:r>
        <w:rPr>
          <w:rFonts w:ascii="Amiri" w:hAnsi="Amiri" w:eastAsia="Amiri" w:cs="Amiri"/>
          <w:color w:val="111111"/>
          <w:sz w:val="28"/>
          <w:sz w:val="28"/>
          <w:szCs w:val="28"/>
          <w:rtl w:val="true"/>
          <w:lang w:bidi="ar-SA"/>
        </w:rPr>
        <w:t xml:space="preserve">، وفي بعضها الإذن لمن أعطي الدراهم ليقسمها ويضعها مواضعها وهو ممن تحلّ له الصدقة أن يأخذ لنفسه كما يعطي غيره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يجاب عن هذه الروايات بأنّ 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إذن منه للسائل في ذلك؛ لعود الحقوق إليه من دون ملاحظة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يُحمل على فهم العموم والدخول في الزمن السابق من قرائن لفظية أو حالية أو من نفس الخطاب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حكماً شرعيّاً بالنسبة إلى مطلقات هذه الخطابات، لا انصرافياً خطابياً، والنزاع في الثاني لا في الأوّل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تقييدها بالإذن من المالك صريحاً أو ضمناً، كما دلّت عليه الصحيحة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الجمود على ما في هذه الأخبار من غير سريانٍ إلى غيرها، فيقتصر فيها على العموم ودخول المأمور فيه، دون المطلق بحيث يأخذه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إلغاء الفارق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ظهور الإذن في هذه الأخبار من الدافع باعتبار كونها زكاة وصدقةً وأنّه يريد أن يضعها في مواضعها،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الجواز فيها لبيان قدر المأخوذ وأنّه مثل ما يعطي غيره، وأما بيان أصل الجواز فقد كان بالإذن من الدافع صريحاً أو فحوى كما يجاب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مقيد بحسب التركيب الخطابي بخروج المأمور عن مقتضى الأمر خروج الآمر وإن دخل في الصنف أو الوصف أو القبيلة، فلا يدخل في الأمر بالدفع إليهم، ولا أقل من أنّه لا يدخل ولا يخرج، والأصل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الخروج أنا لا نفهم من أوامر اللّه تعالى بدفع المال للفقراء أو التصدق عليهم سوى خروج المأمور عن مقتضى الأمر، سواء كان الأمر بدفع ماله أو بدفع مال الغير، فالأوّل كالزكاة والخمس، والثانى كالصدقة بمجهول المالك واللقطة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الأوّل يتساوى أمر الخالق والمخلوق فلو أمر شخص شخصاً بأن يدفع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مالاً لم يدخل المأمور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يقال بالفرق بين قول الآمر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هذا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 وفرّقه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مردّ مظالم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نذر للفقراء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زكاة أو خمس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ثلث مالي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 الفقراء مصرف لثلثه،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ثلث مالي في وجوه الخير والمبرات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أُريده 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ففي جميع هذا يُفهم عدم الخصوصيّة، وعدم إرادة التقسيم والتفريق، فيجوز للوصي أن يكون مصرفاً لجميعه أو لبعضه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بالجواز فإن قلنا للإذن الشرعي بالأخذ عند عدم نهي المالك، فلا بد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الاقتصار على التسوية لما قدره المالك أو قدّره الوكيل بنظره، ولا يجوز أخذ الزائد؛ لحرمة التصرف بمال الغير في غير المقطوع به شرعاً، ولنقل إجماع المجوّزين </w:t>
      </w:r>
      <w:r>
        <w:rPr>
          <w:rStyle w:val="FootnoteAnchor"/>
          <w:rtl w:val="true"/>
        </w:rPr>
        <w:footnoteReference w:id="445"/>
      </w:r>
      <w:r>
        <w:rPr>
          <w:rFonts w:ascii="Amiri" w:hAnsi="Amiri" w:eastAsia="Amiri" w:cs="Amiri"/>
          <w:color w:val="111111"/>
          <w:sz w:val="28"/>
          <w:sz w:val="28"/>
          <w:szCs w:val="28"/>
          <w:rtl w:val="true"/>
          <w:lang w:bidi="ar-SA"/>
        </w:rPr>
        <w:t xml:space="preserve">في الاقتصار على ذلك، ولظاهر الرواية المتقدّمة </w:t>
      </w:r>
      <w:r>
        <w:rPr>
          <w:rStyle w:val="FootnoteAnchor"/>
          <w:rtl w:val="true"/>
        </w:rPr>
        <w:footnoteReference w:id="446"/>
      </w:r>
      <w:r>
        <w:rPr>
          <w:rFonts w:ascii="Amiri" w:hAnsi="Amiri" w:eastAsia="Amiri" w:cs="Amiri"/>
          <w:color w:val="111111"/>
          <w:sz w:val="28"/>
          <w:sz w:val="28"/>
          <w:szCs w:val="28"/>
          <w:rtl w:val="true"/>
          <w:lang w:bidi="ar-SA"/>
        </w:rPr>
        <w:t>، فالمدفوع إليه إن كان محصوراً أو فهم منه الأفراد اقتضى إعطاء الجميع، وإلا اقتضى الدفع بما يفهم من حال الدافع بحسب قدر المال،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توزيعها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خمسين والخمسون توزيعها على خمسة أو ستة، والزيادة والنقصان الجزئي يكون بنظر الدافع، ولا يجوز أن يعطي الجميع من مال واحد أو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 للإذن المالكية والأخبار كاشفة عن العرف في فهم الخطاب، فالظاهر عدم وجوب المساواة إذا تعلقت الوكالة فى تقسيم المصارف كخمس وزكاة؛ لأنّ الظاهر من غرض المُلّاك براءة الذمة مما تعلّق التكليف لهم به، وإن لم يكن من المصارف كتقسيم الرجل على أرحامه وأقاربه فالظاهر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الحصر، فإن تعدّد المالك فلا كلام، وإلا فالإطلاق يقضي بجواز التفاضل له ولغيره كثيراً أو قليلاً، بل يقضي بجواز أخذ الكلّ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أو ادفعه لمستحقيه،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ونحوها، وإن كان الاحتياط يقضي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مثل هذا اليوم في خصوص المدفوع للحاكم أن أمره إليه لا يُقيّد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أن أخذ الزائد منهي عنه بالرواية ممنوعة؛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يعطي</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يعطي غيره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يحتمل أن يراد به التشبيه في أصل الأخذ، أو يراد به أن لا يزيد على الجميع، لا أن لا يزيد على أفراد السهام، أو يراد بالتشبيه إقامة الدليل على جواز الأخذ؛ لدخول الجميع تحت المطلق، فلا دلالة فيه على منع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القائلين بالجواز </w:t>
      </w:r>
      <w:r>
        <w:rPr>
          <w:rStyle w:val="FootnoteAnchor"/>
          <w:rtl w:val="true"/>
        </w:rPr>
        <w:footnoteReference w:id="449"/>
      </w:r>
      <w:r>
        <w:rPr>
          <w:rFonts w:ascii="Amiri" w:hAnsi="Amiri" w:eastAsia="Amiri" w:cs="Amiri"/>
          <w:color w:val="111111"/>
          <w:sz w:val="28"/>
          <w:sz w:val="28"/>
          <w:szCs w:val="28"/>
          <w:rtl w:val="true"/>
          <w:lang w:bidi="ar-SA"/>
        </w:rPr>
        <w:t xml:space="preserve">حملوا رواية عبد الرحمن الدالة على المنع </w:t>
      </w:r>
      <w:r>
        <w:rPr>
          <w:rStyle w:val="FootnoteAnchor"/>
          <w:rtl w:val="true"/>
        </w:rPr>
        <w:footnoteReference w:id="450"/>
      </w:r>
      <w:r>
        <w:rPr>
          <w:rFonts w:ascii="Amiri" w:hAnsi="Amiri" w:eastAsia="Amiri" w:cs="Amiri"/>
          <w:color w:val="111111"/>
          <w:sz w:val="28"/>
          <w:sz w:val="28"/>
          <w:szCs w:val="28"/>
          <w:rtl w:val="true"/>
          <w:lang w:bidi="ar-SA"/>
        </w:rPr>
        <w:t>على الكراهة في الأخذ والاحتياط بعدمه؛ استضعافاً للرواية، فلا تصلح للمعارضة لرواية راويها الجواز في</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أخرى </w:t>
      </w:r>
      <w:r>
        <w:rPr>
          <w:rStyle w:val="FootnoteAnchor"/>
          <w:rtl w:val="true"/>
        </w:rPr>
        <w:footnoteReference w:id="451"/>
      </w:r>
      <w:r>
        <w:rPr>
          <w:rFonts w:ascii="Amiri" w:hAnsi="Amiri" w:eastAsia="Amiri" w:cs="Amiri"/>
          <w:color w:val="111111"/>
          <w:sz w:val="28"/>
          <w:sz w:val="28"/>
          <w:szCs w:val="28"/>
          <w:rtl w:val="true"/>
          <w:lang w:bidi="ar-SA"/>
        </w:rPr>
        <w:t xml:space="preserve">، ولإضمارها في غير التحرير، ولقوة روايات الجواز </w:t>
      </w:r>
      <w:r>
        <w:rPr>
          <w:rStyle w:val="FootnoteAnchor"/>
          <w:rtl w:val="true"/>
        </w:rPr>
        <w:footnoteReference w:id="452"/>
      </w:r>
      <w:r>
        <w:rPr>
          <w:rFonts w:ascii="Amiri" w:hAnsi="Amiri" w:eastAsia="Amiri" w:cs="Amiri"/>
          <w:color w:val="111111"/>
          <w:sz w:val="28"/>
          <w:sz w:val="28"/>
          <w:szCs w:val="28"/>
          <w:rtl w:val="true"/>
          <w:lang w:bidi="ar-SA"/>
        </w:rPr>
        <w:t xml:space="preserve">لتعددها وانجبارها بفتوى المشهور، أو على المنع به؛ لظهور المنع من المالك في الرواية، ويفيد ذلك أن الظاهر من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مساكين خاصة، ولكن الراوي حسب أن مع ذلك يجوز له الأخذ لأنّه بصفتهم، فسأل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أو على المنع من أخذ الزائد، كما تفيده روايات الجواز، ونفوا القدح من روايات الجواز من حيث الضعف بانجبارها بالشهرة وأنّ محمّد بن عيسى ويونس ثقتان معتبران، فلا ينافي حديثهما الصحّة؛ وأن قوله في رواية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يقسمها في أصحابه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الظاهرة في خروج المدفوع إليه منهم، فلا بد من طرحها، أو يراد به ما يشمله معنى المحتاجين، أو ممن هو محلّ لها فهم كناية عن ذلك فتعود شاهداً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نقول 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ظواهر الخطابات لا تقضي بدخول المأمور في الأمر،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المأمور في تبليغ الأحكام للناس، إلا بالإجماع، وعموم ما دلّ على التسوية في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وحرامه، ولا تقضي بدخول الوكيل أو الوليّ أو الوصي فيما أُمروا به لصنفٍ أو وصف يشملهم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بقرائن قطعيّة، أو بدلالة لفظ ولو ظنّية، أو بشاهد الحال من الأفعال والأحوال المفيدة للظنّ التي جرت السيرة على جواز العمل بها في ملك أو تمليك أو نقل أو انتقال، ولا يشترط في صحّة النقل والانتقال في مال الغير بعد القطع برضاه بنقله له أو للناقل توكيله في ذلك، بل القطع بالرضى أقوى منه، ولا يتفاوت بين كون الرضى تحقيقيّاً أو تقديرياً، مع احتمال أنّ القطع بالرضى يبيح التصرفات الخالية من النقل والانتقال، كالأكل والشرب والإتلاف مع عدم الضمان، دون ما اشتملت على النقل والانتقال؛ لتوقفهما على الكلام في صيغتهما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صحتهما لو وقعا عن الغير كلفظ الوكالة والاستنابة والإجازة ونحو ذلك، وهو احتمال قوي يحسن البناء عليه، ونرى أهل العرف ينكرون على مَنْ وُكِّل على عمل على الإطلاق فأقدم على أخذ الأموال كلّاً أو بعضاً محتجاً بذلك، وينفون عنه صفة الأمانة، ويتوقفون على الإذن من المالك، ولو كان غائباً كاتبوه، ولم يزل المتفقهون يخصون المرسول إليه أو يأذنوا له بالأخذ مطلقاً أو قدراً خاصاً، ولو كانت هناك إذن شرعيّة غير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يبعد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خصوص المقام، أو إذن مالكية تظهر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خفيت؛ لشدّة الاحتياج إليها، ولكانت من الواضحات ولما احتاج عُمّال الزكاة إلى سهم مخصوص، ولما فرّق أحد مالاً أوكل أمره إليه إلا مع النصّ بخروجه لزيادة الطمع في الإنسان على الورع، ولجرى ذلك في خطابات الأمراء والوزراء، بل خطابات جبار السماء، والكل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وروايات الجواز منها ما لا يصلح للاستدلال كالموثق </w:t>
      </w:r>
      <w:r>
        <w:rPr>
          <w:rStyle w:val="FootnoteAnchor"/>
          <w:rtl w:val="true"/>
        </w:rPr>
        <w:footnoteReference w:id="454"/>
      </w:r>
      <w:r>
        <w:rPr>
          <w:rFonts w:ascii="Amiri" w:hAnsi="Amiri" w:eastAsia="Amiri" w:cs="Amiri"/>
          <w:color w:val="111111"/>
          <w:sz w:val="28"/>
          <w:sz w:val="28"/>
          <w:szCs w:val="28"/>
          <w:rtl w:val="true"/>
          <w:lang w:bidi="ar-SA"/>
        </w:rPr>
        <w:t>، ومنه ما لا يقاوم دليل المنع، فلا بدّ أن يكون كاشفاً عن العرف في زمن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إنسان مالاً لآخر يريد دفعه للفقراء ملاحظةً لجهة الفقر، ولكنه زعم أن المدفوع إليه غنيّ فأخرجه بزعمه، جاز للمدفوع إليه أن يأخذ؛ لأنّه خطأ في الزعم، لا تخصيص في القصد، وهذا باب واسع يدخل فيه المنع لجهةٍ أخطأ صاحبها، والدفع لجهةٍ أخطأ صاحبها، فينفى الجواز في الأوّل والمنع في الثاني، إلا أنّه يشكل فيما يقع غالباً من الدفع والإكرام لمن يُظهر لآخر المودة والصداقة وهو ليس كذلك، وكثيراً ما يقع ذلك منا مع أعدائنا ديناً أو دنياً، فينبغي التجنّب والاحتياط عن قبول ذلك ممّن نكرهه وننافقه، إلا أن السيرة على خلاف ذلك، فيحصل من جهتها الفرق بين المنع والدفع، أو أنّه في الحالة الأولى يصاحب الرضى الباطني التقديري فيصح الأخذ، وفي الثانية يصاحب الكراهة التقديرية ولا اعتبار فيها، بل الاعتبار على الرضى الظاهري؛ لصدق أن نفسه قد طابت ظاهراً، كما أنّه في الأولى طابت باطناً، والعمدة السيرة، ولزوم العسر والحرج لولا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 المالك قوماً فدفع إلى غيرهم ولو خطأ ضمن ولا يضمن المدفوع إليه مع جهله ضماناً مستقراً، بل لو رجع إليه رجع إلى الدافع؛ لأنّه مغرور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الوكيل لعياله وأولاده جاز ما لم يفهم إرادة التوزيع على الأنفس المعيلة وأنّه مما لا يرضى بذلك، كما جرت العادة بأنّ الموكل لا يرضى أن يجعل المال كله في أولاد رجل واحد وعياله، فيكون في الحيل التي يلزم تجنّبها وتُسمّى خيانةً فلا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بالولايات من حكام الجور في غير ما استثنىالرابع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بالولايات من حُكّام الجور في غير ما استثني ممّا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 فيه الولايات، كما يجوز التكسّب بالولايات من حاكم العدل في غير ما وجب كفاية مطلقاً غير ملاحظ فيه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القول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والأمور العامة العائدة إلى مصالح الأيتام والمجانين والقاصرين والغائبين والسياسات ومجاهدة الكفار والمخالفين، والأمر بالمعروف والنهي عن المنكر، وأخذ السبي، وأموال الزكاة والخمس والخراج ومجهول المالك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 من نائبه الخاص والعام فلا بأس بها، والغالب ندبها، وربما تجب عيناً مع طلب إمام الأصل شخصاً خاصاً لخصوصيّةٍ فيه، أو انحصر تأدية المأمور به في شخص خاص فإنّها تجب عيناً، ويجب السعي في تحصيل مقدماتها؛ لأنّها من الواجب المطلق، لا المشروط الذي لا يجب السعي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فوجوب آثارها مطلق كالأمر بالمعروف والقضاء ونحوه فيجب مقدمة لتلك، لا أن تلك لا تجب إلا على المتولّي، فبدون الولاية لا يجب عليه شيء، فالولاية كالقدرة لا يجب تحصيلها؛ لأنّ الظاهر أنّ تلك واجبة مطلقة، فلو توقفت على الولاية لوجبت تحصيلاً لها، فهي مقدمة وجود لا وجوب، وإن لم يتمكن منها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للناصب أن يعزل المنصوب، سواء نصبه عن نفسه أو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نصبه عن الإمام لم ينعزل بموت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للحاكم أن يعزل منصوب حاكم آخر قد نصبه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ولو نصبه عن نفسه فوجد الآخر فيه فساداً جاز عزله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الولاية 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منصب ينبئ عن سلطنة التصرف والتفويض واستبداده بالأمر والنهي، بخلاف الوكالة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الولاية عن الحاكم الجائر عموماً أو خصوصاً بحيث يتعلّق في خاص محلّل، وكقبض بعض الحقوق، أو في خصوص الأيتام، أو الخراج أو القضاء لأهله، أو الأمر بالمعروف، أو خاص محرّم، أو خاص محرم ومحلّل، أو عام بحيث يختص بالمحلل، أو عام بحيث يشمل المحرم والمحلل معاً، أو بحيث لا يتعلّق في أمرٍ من الأمور بل مجرد اسم لتحصيل السمعة والاعتبار من غير إصدار أثرٍ من الآثار، فلأصحابنا فيه اضطراب؛ لاضطراب الأخبار وما صدر من الأئمّة الأطهار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يرى أنّ الولاية محرمة بنفسها ذاتاً، سواء صدرت عنها آثار محللة أو محرمة، سوى ما أوجبها الاضطرار من تقيّة، أو كانت هناك مصلحة تزيد على ما فيها من القبح الذاتي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جَعَلها محلّلةً فيما لو كانت في محلّل ومحرّمةً لو كانت في محرّم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جَعَلها محرّمةً فيما لو اشتملت على محرّم ومحلّل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بعضهم أنّها محرّمة من جهة ومحللة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أنّها تنقسم بانقسام الأحكام الخمسة، فتجب لو توقف عليها الواجب، و تندب لو كانت لآثار مندوبة، وتباح لو كانت لآثار،مباحة، وتكره لو ترتبت عليها آثار مكروهة، وتحرم لو ترتبت عليها آثار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بعضهم أنّها مكروهة في المباح والمكروه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جَعَلها مندوبةً فيما لو توقف عليها واجب؛ لسقوط الوجوب قبلها؛ لأنّه واجب مشروط بها، فهي مندوبة للترغيب عليها، وبعد حصولها يجب أداء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أنّها مباحة إذا أمن المحرم، وحرام إذا لم يأمن ارتكاب الحرمة، ومكروهة عند عدم الظن بالوجود والعدم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أنّها مندوبة إذا أمن الدخول في المحرم وقدر على الأمر بالمعروف؛ لوجوبها بحسب القاعدة، ولكن رفع الوجوب نواهي الدخول في أعمالهم والركون إليهم فلا أقل من الندب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وبعض </w:t>
      </w:r>
      <w:r>
        <w:rPr>
          <w:rStyle w:val="FootnoteAnchor"/>
          <w:rtl w:val="true"/>
        </w:rPr>
        <w:footnoteReference w:id="458"/>
      </w:r>
      <w:r>
        <w:rPr>
          <w:rFonts w:ascii="Amiri" w:hAnsi="Amiri" w:eastAsia="Amiri" w:cs="Amiri"/>
          <w:color w:val="111111"/>
          <w:sz w:val="28"/>
          <w:sz w:val="28"/>
          <w:szCs w:val="28"/>
          <w:rtl w:val="true"/>
          <w:lang w:bidi="ar-SA"/>
        </w:rPr>
        <w:t xml:space="preserve">احتمل أن الندب جاء من تعارض نواهي الدخول في أعمالهم والأمر بالبعد عنهم، ومن وجوب الأمر بالمعروف فيُحكم بالتخيير، ويدلّ على الندب ما جاء في الترغيب لها في جملة من الأخبار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الأخبار فمنها ما يدلّ على الحرمة الذاتية للولاية </w:t>
      </w:r>
      <w:r>
        <w:rPr>
          <w:rStyle w:val="FootnoteAnchor"/>
          <w:rtl w:val="true"/>
        </w:rPr>
        <w:footnoteReference w:id="460"/>
      </w:r>
      <w:r>
        <w:rPr>
          <w:rFonts w:ascii="Amiri" w:hAnsi="Amiri" w:eastAsia="Amiri" w:cs="Amiri"/>
          <w:color w:val="111111"/>
          <w:sz w:val="28"/>
          <w:sz w:val="28"/>
          <w:szCs w:val="28"/>
          <w:rtl w:val="true"/>
          <w:lang w:bidi="ar-SA"/>
        </w:rPr>
        <w:t>المنجبرة بظاهر الآية الناهية</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الركون إليهم </w:t>
      </w:r>
      <w:r>
        <w:rPr>
          <w:rStyle w:val="FootnoteAnchor"/>
          <w:rtl w:val="true"/>
        </w:rPr>
        <w:footnoteReference w:id="461"/>
      </w:r>
      <w:r>
        <w:rPr>
          <w:rFonts w:ascii="Amiri" w:hAnsi="Amiri" w:eastAsia="Amiri" w:cs="Amiri"/>
          <w:color w:val="111111"/>
          <w:sz w:val="28"/>
          <w:sz w:val="28"/>
          <w:szCs w:val="28"/>
          <w:rtl w:val="true"/>
          <w:lang w:bidi="ar-SA"/>
        </w:rPr>
        <w:t xml:space="preserve">والناهية عن الموادة لمن حاد اللّه </w:t>
      </w:r>
      <w:r>
        <w:rPr>
          <w:rStyle w:val="FootnoteAnchor"/>
          <w:rtl w:val="true"/>
        </w:rPr>
        <w:footnoteReference w:id="462"/>
      </w:r>
      <w:r>
        <w:rPr>
          <w:rFonts w:ascii="Amiri" w:hAnsi="Amiri" w:eastAsia="Amiri" w:cs="Amiri"/>
          <w:color w:val="111111"/>
          <w:sz w:val="28"/>
          <w:sz w:val="28"/>
          <w:szCs w:val="28"/>
          <w:rtl w:val="true"/>
          <w:lang w:bidi="ar-SA"/>
        </w:rPr>
        <w:t>، والمؤيّدة بالاعتبار؛ لاشتمالها على التذلل والخشوع والخضوع والتبعية والركون والتقويم وإعلاء الشأن والرفعة والتبعية لمن يجب نفي ذلك عنه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يتضاعف الإثم بتضمنها ظلم الرعية في نفوسهم وأعراضهم وأموالهم وإدخال الرعب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تحف العقول المتضمّن لحرمة الولاية من الوالي الجائر، وولاية الرئيس منهم وأتباع الوالي، والعمل لهم، والكسب معهم بجهة الولاية منهم؛ لأنّ كلّ شيء له جهة المعونة معصية كبيرة من الكبائر، وذلك لأنّ في ولاية الوالي الجائر دروس الحقّ كله، وإحياء الباطل كله، وإظهار الظلم والجور والفساد وإبطال الكتب، وقتل الأنبياء، وهدم المساجد، و تبديل سنن اللّه تعالى وشرائعه، فلذلك حرم العمل معهم ومعونتهم والكسب معهم، إلا بجهة الضرورة نظير الضرورة إلى الدم والميتة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سوّد اسمه في ديوان ولد سابع </w:t>
      </w:r>
      <w:r>
        <w:rPr>
          <w:rStyle w:val="FootnoteAnchor"/>
          <w:rtl w:val="true"/>
        </w:rPr>
        <w:footnoteReference w:id="464"/>
      </w:r>
      <w:r>
        <w:rPr>
          <w:rFonts w:ascii="Amiri" w:hAnsi="Amiri" w:eastAsia="Amiri" w:cs="Amiri"/>
          <w:color w:val="111111"/>
          <w:sz w:val="28"/>
          <w:sz w:val="28"/>
          <w:szCs w:val="28"/>
          <w:rtl w:val="true"/>
          <w:lang w:bidi="ar-SA"/>
        </w:rPr>
        <w:t>حشره اللّه تعالى خنزيراً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لأن أسقط من حالق فأتقطع قطعةً قطعةً أحبّ إليَّ من أن أتولّى لأحدٍ منهم عملاً أو أطأ بساط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لتفريج كربة مؤمن أو فك أسره أو قضاء دَيْنه، يا زياد، إنّ أهون ما يصنع اللّه عزّ وجلّ بمن تولّى عملاً أن يضرب عليه سرادق من نار إلى أن يفرغ اللّه من حساب الخلائق</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عام لجميع الأعمال ولو من غير الولاية، كقضاء حوائجهم والسعي في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طلب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يسعى له في الولاية من بعض هؤلاء طلباً للمعاش وقد حلف له بالطلاق والعتاق أنّه لا يظلم أحداً وأنّه يعدل،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للنهي عن الدخول في أعمالهم وأن أحداً لا يصيب من دنياهم شيئاً إلا أصابوا من دينه مثله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دلّ على أنّ المنصب منصبهم والولاية لهم، وأنّ غيرهم قد غصبهم حقهم ووضع نفسه في مواضعهم ومراتبهم التي رتبهم اللّه فيها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الأخبار بعمومها تدلّ على حرمة الولاية بنفسها وعلى حرمتها ولو اقتصر المتولّي على الأعمال المحللة، فيُفهم منها بطريق أولى حرمة ما لو كانت محرّمةً أو مختلطةً،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وَآخَرَ سَيِّئاً</w:t>
      </w:r>
      <w:r>
        <w:rPr>
          <w:rStyle w:val="FootnoteAnchor"/>
          <w:rtl w:val="true"/>
        </w:rPr>
        <w:footnoteReference w:id="470"/>
      </w:r>
      <w:r>
        <w:rPr>
          <w:rFonts w:ascii="Amiri" w:hAnsi="Amiri" w:eastAsia="Amiri" w:cs="Amiri"/>
          <w:color w:val="111111"/>
          <w:sz w:val="28"/>
          <w:sz w:val="28"/>
          <w:szCs w:val="28"/>
          <w:rtl w:val="true"/>
          <w:lang w:bidi="ar-SA"/>
        </w:rPr>
        <w:t>وتدلّ على حرمة الولاية لمن لم يأمن على نفسه من الوقوع في المحرَّم بطريق أولى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جواز الولاية لتفريج كربة المؤمن أو فك أسره أو قضاء دينه </w:t>
      </w:r>
      <w:r>
        <w:rPr>
          <w:rStyle w:val="FootnoteAnchor"/>
          <w:rtl w:val="true"/>
        </w:rPr>
        <w:footnoteReference w:id="471"/>
      </w:r>
      <w:r>
        <w:rPr>
          <w:rFonts w:ascii="Amiri" w:hAnsi="Amiri" w:eastAsia="Amiri" w:cs="Amiri"/>
          <w:color w:val="111111"/>
          <w:sz w:val="28"/>
          <w:sz w:val="28"/>
          <w:szCs w:val="28"/>
          <w:rtl w:val="true"/>
          <w:lang w:bidi="ar-SA"/>
        </w:rPr>
        <w:t xml:space="preserve">، بناءً على رجوع القيد في الخبر المتقدّم </w:t>
      </w:r>
      <w:r>
        <w:rPr>
          <w:rStyle w:val="FootnoteAnchor"/>
          <w:rtl w:val="true"/>
        </w:rPr>
        <w:footnoteReference w:id="472"/>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وفيه دلالة على جوازها مطلقاً؛ لاستبعاد أن تكون محرّمة الذات فتحلّ لقضاء دَيْن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جوازها مطلقاً كالخبر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ابن أبي السماك أن يخرج شباب الشيعة فيكفونه ما يكفيه الناس، ويعطيهم ما يعطي الناس</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وأخبار الاعتذار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وقبول العهد بولاية يوسف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الإجماع عن الراوندي أنّ الولاية جائزة إذا تمكن المتولي من إيصال الحقّ إلى مستحقّيه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الحثّ والترغيب فيها إذا كان فيها دفع مظلمة أو إصلاح شيء من أمور المسلمين وإدخال السرور على المؤمن، وأنّ الولاة وشبههم من الداخلين معهم أمناء اللّه في أرضه، وهم المؤمنون حقاً ويزهر نورهم لأهل السماوات كما تزهر الكواكب الدرية لأهل الأرض، تضيء منهم القيامة، وخُلقوا للجنة وخُلقت الجنّة لهم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ما يدل على أن الدخول في أمرهم مكروه، وقليله خير من كثيره،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دخل لإدخال المكروه على عدوّ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لكان أجراً ثواباً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وخلاصة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في نفسها اختياراً من غير اضطرار وإكراه وإجبار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يترتب عليها أثر عام أو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تُسمّى ولايةً عرفاً بحيث يلبس عليها خلعة أو يدفع له خرجاً محرّمةً على فاعلها؛ لأنّها من أعظم الركون وأشدّ شيء في القرب وتعظيم الشعائر لهم وتكثير السواد، وكلّه ممنوع عقلاً ونقلاً كتاباً </w:t>
      </w:r>
      <w:r>
        <w:rPr>
          <w:rStyle w:val="FootnoteAnchor"/>
          <w:rtl w:val="true"/>
        </w:rPr>
        <w:footnoteReference w:id="479"/>
      </w:r>
      <w:r>
        <w:rPr>
          <w:rFonts w:ascii="Amiri" w:hAnsi="Amiri" w:eastAsia="Amiri" w:cs="Amiri"/>
          <w:color w:val="111111"/>
          <w:sz w:val="28"/>
          <w:sz w:val="28"/>
          <w:szCs w:val="28"/>
          <w:rtl w:val="true"/>
          <w:lang w:bidi="ar-SA"/>
        </w:rPr>
        <w:t xml:space="preserve">وسنةً </w:t>
      </w:r>
      <w:r>
        <w:rPr>
          <w:rStyle w:val="FootnoteAnchor"/>
          <w:rtl w:val="true"/>
        </w:rPr>
        <w:footnoteReference w:id="480"/>
      </w:r>
      <w:r>
        <w:rPr>
          <w:rFonts w:ascii="Amiri" w:hAnsi="Amiri" w:eastAsia="Amiri" w:cs="Amiri"/>
          <w:color w:val="111111"/>
          <w:sz w:val="28"/>
          <w:sz w:val="28"/>
          <w:szCs w:val="28"/>
          <w:rtl w:val="true"/>
          <w:lang w:bidi="ar-SA"/>
        </w:rPr>
        <w:t>، وإجماعاً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وتشتد حرمتها لو كان القصد بإظهار الولاية جلب الدراهم والرشا من الخلق؛ لأنّهم لو عرفوا ذلك منه دفعوا إليه أموالهم رغبةً ورهبةً وأكرموه وعظموه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من ذلك حرمةً ما لو قصد بها الوصول إلى المحرّمات من قتل ونهب وسبي ونحو ذلك، سواء تخلّص قصده لذلك أو قصد معها بعض المباحات والطاعات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أنّها تكون بمنزلة ولايتين مستقلتين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ومحللة فيجري على كلّ حكمها، ضعيف؛ لأنّها واحدة وقد نهي عنها لدخول المحرم فيها، فلا تكون مأذوناً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مَنْ لم يقصد المحرَّم ولكن لم يعتمد على نفسه بتركه ولم يأمن من نفسه الوقوع فيه لو عرض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حكمه حكم من قصد المحرَّم؛ لأنّه بمنزلة مَنْ أعد نفسه لفعله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ولايته، وأما في العمل الصادر منه فإن كان حراماً فلا كلام في اشتداد حرمته؛ حيث إنّه قد أسنده لولايته، فهو إن اعتقد شرعيته فهو مشرع حقيقةً، وإلا فهو مشرع صورة؛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قادم على أنّ الفعل له سلطنة عليه وله سلطان فيه، وإن كان حلالاً فإن نوى أن ذلك سلطانه وولايته كان مشرّعاً أيضاً إما حقيقة أو صورةً، وإن كان لا بنيّة ذلك كان حلالاً ما لم يكن ذلك الحلال لا سلطان له على فعله، كقبض مجهول المالك ومال الغائب واليتيم، ومثله الخراج على الأظهر؛ لأنّ الخراج وإن وجب دفعه لكنّه يحرم على المدفوع إليه ما لم يكن حاكماً شرعياً ووكيلاً عنه، بل يحرم على الوكيل الجائر قبض الخراج ما لم يكن بطيب نفس الدافع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أجاز الحاكم الشرعي هذه الأفعال بعد صدورها موافقةً لرأيه صحت وارتفع ضمان الفاعل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 المتولّى لو فعل الحلال بنيّة أنّه عن الولاية كالقضاء والأمر بالمعروف وسياسة المسلمين ونظام أمور الدين كان مشرعاً ومنهياً عما فعل وإن كان صحيحاً في غير العبادات، مع احتمال أنّ النهي إنّما يتسلّط على الولاية دون الفعل، ونية أن الفعل منها تكون لاغية، فلا تؤثر تحريماً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فيما لو كان الفاعل مختاراً في ولايته ابتداءً واستدامة، أما لو كان مختاراً في الابتداء مقهوراً في الاستدامة فوجهان من أنّ ما بالاختيار لا ينافي الاختيار؛ لأنّه باختياره صار منهم وملك ذمامه لهم، ومن أنّه الآن مقهور لا يستطيع الترك فالله أولى بعذره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مجبوراً على الولاية نفسها، أو عليها وعلى أعمالها محللة أو محرّمة، فهي جائزة له بل وقد تكون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العقل والنقل كتاباً </w:t>
      </w:r>
      <w:r>
        <w:rPr>
          <w:rStyle w:val="FootnoteAnchor"/>
          <w:rtl w:val="true"/>
        </w:rPr>
        <w:footnoteReference w:id="481"/>
      </w:r>
      <w:r>
        <w:rPr>
          <w:rFonts w:ascii="Amiri" w:hAnsi="Amiri" w:eastAsia="Amiri" w:cs="Amiri"/>
          <w:color w:val="111111"/>
          <w:sz w:val="28"/>
          <w:sz w:val="28"/>
          <w:szCs w:val="28"/>
          <w:rtl w:val="true"/>
          <w:lang w:bidi="ar-SA"/>
        </w:rPr>
        <w:t xml:space="preserve">وسنةٌ </w:t>
      </w:r>
      <w:r>
        <w:rPr>
          <w:rStyle w:val="FootnoteAnchor"/>
          <w:rtl w:val="true"/>
        </w:rPr>
        <w:footnoteReference w:id="482"/>
      </w:r>
      <w:r>
        <w:rPr>
          <w:rFonts w:ascii="Amiri" w:hAnsi="Amiri" w:eastAsia="Amiri" w:cs="Amiri"/>
          <w:color w:val="111111"/>
          <w:sz w:val="28"/>
          <w:sz w:val="28"/>
          <w:szCs w:val="28"/>
          <w:rtl w:val="true"/>
          <w:lang w:bidi="ar-SA"/>
        </w:rPr>
        <w:t xml:space="preserve">وإجماعاً، وأدلّة نفي الضرر </w:t>
      </w:r>
      <w:r>
        <w:rPr>
          <w:rStyle w:val="FootnoteAnchor"/>
          <w:rtl w:val="true"/>
        </w:rPr>
        <w:footnoteReference w:id="483"/>
      </w:r>
      <w:r>
        <w:rPr>
          <w:rFonts w:ascii="Amiri" w:hAnsi="Amiri" w:eastAsia="Amiri" w:cs="Amiri"/>
          <w:color w:val="111111"/>
          <w:sz w:val="28"/>
          <w:sz w:val="28"/>
          <w:szCs w:val="28"/>
          <w:rtl w:val="true"/>
          <w:lang w:bidi="ar-SA"/>
        </w:rPr>
        <w:t xml:space="preserve">ونفي العسر والحرج </w:t>
      </w:r>
      <w:r>
        <w:rPr>
          <w:rStyle w:val="FootnoteAnchor"/>
          <w:rtl w:val="true"/>
        </w:rPr>
        <w:footnoteReference w:id="484"/>
      </w:r>
      <w:r>
        <w:rPr>
          <w:rFonts w:ascii="Amiri" w:hAnsi="Amiri" w:eastAsia="Amiri" w:cs="Amiri"/>
          <w:color w:val="111111"/>
          <w:sz w:val="28"/>
          <w:sz w:val="28"/>
          <w:szCs w:val="28"/>
          <w:rtl w:val="true"/>
          <w:lang w:bidi="ar-SA"/>
        </w:rPr>
        <w:t xml:space="preserve">، وأخبار التقيّة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وخصوص رواية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 بني العباس وأخذ ما يتمكن من أموالهم،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المدخل فيه بالجبر والقهر فاللّه قابل العذر</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بالتقيّة هنا ما تعمّ المخالف والموافق وجميع أهل الأديان، وهو ما يخشى على نفسه أو عرضه أو ماله مالاً يعتد به إن لم يفعل ما ألزم به من الولاية أو من آثارها المحرمة، بحيث لا يقدر على التخلّص من دون ضرر عليه فيما تقدم، ومن دون مشقةٍ لا تُتحمّل عادةً بنقل نفسه أو عياله من بلد إلى بلد أو اختفائه خفاء يضر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الفرق بين الجبر على الولاية فقط فتجوز للخوف على اليسير من المال ولأدنى مشقة تلحقه في التخلّص والفرار، بخلاف الأعمال العائدة إلى الخلق فلا تجوز إلا مع الخوف والضرر الكثير والمشقة التي لا تتحمّل عادةً بحيث يصدق عليها عدم القدرة على التخلّص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وجيه وإن كان الأظهر في الأدلّة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يصدر من الجائر إلزام بالفعل الذي يخشى من تركه الضرر المتقدم فذلك ليس من التقيّة، كمن يعلم أن الجائر يأخذ ماله أو عرضه أو يقتله ولكن يدري أنّه لو سرق له مال زيد أو أعطاه امرأة زيد لعفى عنه، فإنّه لا يجوز له أن يفعل ذلك؛ لأن الضرر لا يندفع بضررٍ آخر عليه لم تنبئ نصوص التقيّة عنه، ولم يظهر من الأخبار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علمتُ أنّ السارق يسرق مالي إن لم أفده بمال غيري، أو علمتُ أنّ الأسد يقتل فرسي إن لم أفدها بفرس الغير، وهكذا في غير الأُناسين من جميع من جميع المؤذيات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يجوز للإنسان أن يفدي ماله بمال غيره، ولا نفسه ولا عرضه من دون أن يأمر بالشيء نفسه فيخاف إن لم يفعله على نفسه أو ماله أو عرضه، فلو فعل المأمور به كان الضمان على 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يحتمل أنّه مع الخوف على النفس خوفاً يُعتد به يسوغ تناول مال الغير مع ضمانه له ودفعه فداء، كتناول المضطر في المخمصة فيأكله مع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فتسويغ المحرّم للتقيّة على سبيل الوجوب إن كان الخوف على النفس، وعلى سبيل الجواز إن كان الخوف على المال؛ لأنّه مسلّط على ماله فله أن يبذله لمن يتقيه وفي العرض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يلحظ المعادلة، فإن كان عرضاً بعرض جاز ولم يجب، وإن كان عرضاً بمال وجب حفظ العرض وجاز نهب المال، بل الأحوط ملاحظة المعادلة من باب الإكراه مطلقاً، مالاً بمال أو مالاً بعرض أو عرضاً بمال، كثرة وقلة، نوعاً وصنفاً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تعلّق بنفس المُكرَه أو عرضه أو ماله أو ما يعود إليه من أهله وولده وزوجته، فلو تعلّق بغيره من الأجانب فخاف على نفسه أو ماله أو عرضه، فإن افتدى به ودخل في شيمته ومروءته جاز على الأظهر، وإلا ففي جواز ذلك نظر ظاهر؛ لأنّ ضرر شخص لا يُجبر بضرر شخص آخر، سواء تعادلا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يحتمل في النفوس ذلك، فيجوز لو خيف على دماء المؤمنين أن تؤخذ أموال الآخرين، بل وهتك أعراضهم، وإن خيف من هتك أعراض المؤمنين جاز نهب أموال آخرين، وأما غير المؤمن فيضعف الاحتمال فيه نفساً ومالاً وعرضاً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استثنى أصحابنا من التقيّة المبيحة لفعل المحرَّم الدماء؛ لما ورد من الأخبار المتكثّرة أنّه لا تقيّة في الدماء، وأنّه إذا بلغ الدم فلا تقيّة </w:t>
      </w:r>
      <w:r>
        <w:rPr>
          <w:rStyle w:val="FootnoteAnchor"/>
          <w:rtl w:val="true"/>
        </w:rPr>
        <w:footnoteReference w:id="487"/>
      </w:r>
      <w:r>
        <w:rPr>
          <w:rFonts w:ascii="Amiri" w:hAnsi="Amiri" w:eastAsia="Amiri" w:cs="Amiri"/>
          <w:color w:val="111111"/>
          <w:sz w:val="28"/>
          <w:sz w:val="28"/>
          <w:szCs w:val="28"/>
          <w:rtl w:val="true"/>
          <w:lang w:bidi="ar-SA"/>
        </w:rPr>
        <w:t xml:space="preserve">لأنّها شُرّعت لحفظه، فعلى ذلك لا يجوز قتل النفس للخوف على نفس أو عرض أو مال؛ إجماعاً في المؤمن، عدا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فهناك كلام، وفي المخالف وجهان بل قولان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لو كانت نفساً بنفس؛ لحرمة نفس المؤمن، وهوان نفس المخالف، وعدمه لو كانت نفساً بعرض أو مال سيّما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المؤمن مستحقاً للقتل بحد، احتمل جواز قتله للتقيّة على النفس؛ لقلة احترامها حينئذٍ، وأما المستحق قصاصاً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بين الصغير والكبير والصحيح والمريض ما لم يكن قبل ولوج الروح فيه؛ فإنّ الأقوى عدم دخوله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لو كانت نفساً بنفس، أما لو كان بمال فلا يبعد عدم إجراء حكم التقيّة فيه، وفي العرض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إلحاق الجرح بالقتل وجهان من شمول الدماء له، ولأنّه لا يأمن السراية فينفتح باب القتل؛ ومن انصراف الدماء للقتل، والاقتصار في تخصيص أدلّة التقيّة على المقطوع بمنعه؛ مع احتمال ملاحظة المعادلة فيسوغ جرحاً بقتل وبجرح دون عرض ومال، ويحتمل إلحاق العرض بالأوّل دون الثاني، والاحتياط في هذه الموارد لازم، والركون إلى ما جاز تحمله 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الولاية لنفسها أو المنضم إليها ما يحرم فقط أو ما يحرم ويحل أو مباح غير راجح،</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الولاية المقصود بها غاية راجحة، كنشر الحقّ في القضاء والأمر بالمعروف وتشييد دين الإمامية، أو كان المقصود منها التوصل إلى أمواله المغصوبة وحقوقه الفائتة، أو التوصل إلى استخلاص الشيعة من ربقة الذلّ، أو استخلاص المؤمنين من التخفي في الدين، أو إعلاء كلمة المؤمنين وإظهار عزّهم وإعلاء شأنهم، أو تفريج كربهم وإعانة مظلومهم وإغاثة ملهوفهم، أو نشر العلم وإظهار الفتاوى، أو قبض حقوق الفقراء من خمس أو زكاة، أو خراج أرض من أراضي المسلمين ينفقها بنظره أو بنظر الحاكم الشرعي، فالولاية في جميع ذلك راجحة وقد تجب عند الخوف على ذهاب كلمة الإمامية ودين الشيعة وظهور المنكر وخفاء المعروف، وتسلّط أرباب الفساد على الأخيار من العباد، وقد تكون مندوبة في أعلى مراتب الندب وأرفع درجات القرب فيما لو اشتمل على تفريج الكرب وإغاثة الملهوف وإعانة الضعيف وقضاء حوائج الشيعة، ونحو ذلك مما جاءت به الأخبار </w:t>
      </w:r>
      <w:r>
        <w:rPr>
          <w:rStyle w:val="FootnoteAnchor"/>
          <w:rtl w:val="true"/>
        </w:rPr>
        <w:footnoteReference w:id="488"/>
      </w:r>
      <w:r>
        <w:rPr>
          <w:rFonts w:ascii="Amiri" w:hAnsi="Amiri" w:eastAsia="Amiri" w:cs="Amiri"/>
          <w:color w:val="111111"/>
          <w:sz w:val="28"/>
          <w:sz w:val="28"/>
          <w:szCs w:val="28"/>
          <w:rtl w:val="true"/>
          <w:lang w:bidi="ar-SA"/>
        </w:rPr>
        <w:t>وجرت عليه سيرة الإمامية من العلماء والأخيار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الولاية باقي الأعمال من الاتصال بهم، والقرب إليهم، والمودة لهم، والأخذ منهم، والدفع إليهم، وإكرامهم، والركون إليهم، والتملّق والمصانعة معهم في الدخول والخروج، حتّى بتقبيل أيديهم والقول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لكم الفداء، وبأبي أنتم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الدخول في أعمالهم الراجعة إلى معاشهم كتحسينهم، وغسل ثيابهم، وخدمة أبدانهم، والخياطة، والحياكة، والصباغة، والطبخ، وإيجار نفسه لخدمتهم، وإيجارهم دواب أو دوراً، والاستئجار منهم، فكلّ ذلك لا بأس به، إلا أنّه مكروه في حد ذاته، وقد يرجح للحاجة وبعض العوارض، وقد يحرم إذا قصد به المعونة لهم من حيثيّة ظلمهم وخروجهم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بجوائز الظالم وهباته المعلوم حرمتهاالخامس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الظالم وهباته ومبيعاته وأثمانه إذا علم أنّها حرام مغصوبة حرم التكسّب بها وقبضها وتقبيضها، وأمّا المجرّد عن القبض والإقباض فلا يحرم إلا من جهة التشريع لو اعتقد صحّة النقل والانتقال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في الظالم بين أن يكون سلطاناً جائراً أو عاملاً له أو والياً من قبله أو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مرتياً أو مرتشياً أو سارقاً أو ناهباً أو خائناً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ووجب إرجاع المال على من استولت يده عليه إلى أهله مع العلم بأهله بأعيانهم، مع علمه قبل القبض وجهله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بذل الأجرة على إيصاله مطلقاً على الأظهر، سوى أنّه مع الجهل يرجع بالأجرة على مَنْ غرّه، ويضمنها مع التلف أو غصب غاصب لها بالمثل في المثلي وبالقيمة في القيمي، مع جهله وعلمه لو كان القبض باختياره؛ لأنّه من الأيدي المتعاقبة على المغصوب، وإن كان له الرجوع على مَنْ غرّه مع جهله فيما لم يقدم على ضمانه، وكذا لو كان القبض من دون اختياره ولكنه قصر استدامة بالتعدي عليها أو التفريط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يأخذها من يد غاصب، كما إذا أطارت الريح ثوباً مغصوباً إليه أو ألقاه أحد عليه، فإنّه لا ضمان عليه؛ لعدم صدق أنّ يده أخذت، ولعدم تلقيها عن يد حكم الشرع بضمانها، وحينئذٍ فالقول بعدم ضمان القابض لو قبضها جاهلاً من الغاصب مع التلف أو غصبها منه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أمكنه إيصالها إلى أهلها، وإن لم يمكن لبُعْدِ أو تقيّةٍ بحيث يئس من ذلك، دفعها إلى الحاكم، أو تصدق بها في وجه، أو لزمه حفظها والإيصاء بها في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 بأهله، فإن اشتبهوا في محصور دفعه إليهم إن تصالحوا عليه اختياراً، أو إلى الحاكم فيصالحهم قهراً، أو يرجع أمره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التوزيع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اشتبهوا في غير محصور، تخيّر بين دفعه للحاكم وبين الصدقة بها وضمانه لو خرج أهله ولم يرضوا به، والصدقة نوع إيصال لهم؛ لأنّها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لزوم حفظها وإبقائها والوصية بها، ولكنه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ضمان عليه لو دفعها إلى الحاكم بعنوان الولاية، لا بعنوان الوكالة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أنّها لو كانت لكافرٍ أو مخالف تعين دفعها للحاكم؛ لعدم وصول الصدقة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لزوم إبقائها والوصية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جواز نيّة التصدق بها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جواز الصدقة بها عن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في أصل المجهول بين كونه عيناً فالصدقة به، وبين صيرورته ديناً فيسلّم إلى الحاكم؛ لأن الدين لا يتعيّن لصاحبه إلا بعد قبضه أو قبض وكيله أو وليه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الحاكم فإن أبقاه بقي عنده أمانة، وإن تصدق به فظهر صاحبه فلاضمان عليه؛ لولايته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ضمانه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الصدقة بعد 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يجري هنا حكم اللقطة؛ للأخبار الدالة على الأمر بالصدقة </w:t>
      </w:r>
      <w:r>
        <w:rPr>
          <w:rStyle w:val="FootnoteAnchor"/>
          <w:rtl w:val="true"/>
        </w:rPr>
        <w:footnoteReference w:id="489"/>
      </w:r>
      <w:r>
        <w:rPr>
          <w:rFonts w:ascii="Amiri" w:hAnsi="Amiri" w:eastAsia="Amiri" w:cs="Amiri"/>
          <w:color w:val="111111"/>
          <w:sz w:val="28"/>
          <w:sz w:val="28"/>
          <w:szCs w:val="28"/>
          <w:rtl w:val="true"/>
          <w:lang w:bidi="ar-SA"/>
        </w:rPr>
        <w:t>من دون تعريف في مجهول المالك، ولفتوى الأصحاب، فلا فرق بين قليله وكثيره في حرمة التصرف به إلى حدّ اليأس طال أم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وضمان المتصدق للصدقة لو ظهر أهلها لا يجري حكم الدين في حياته، ولا يجب أن يوصي به ويعزل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ظهر أهلها بعد موته وقبل تلف التركة، قوي جواز الرجوع إلى التركة والأخذ منها، وأمّا بعد التلف فلا يبعد سقوط حق الرجوع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الظالم نفسه فيرجع عليه بما أخذه عيناً مع وجود أهله، ولو أتلفه رجعوا عليه بمثله أو قيمته حيّاً أو ميتاً، ويكون دَيْناً عليه كسائر الديون وإن كان مجهولاً رجع الحاكم عليه في حياته، وأما بعد موته فالأظهر أنّه لا يؤخذ من تركته، ولا يحسب كديونه الخاصة بحيث تقدَّم على وصاياه ومواريثه، بل لو أوصى بها خرجت من الثلث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احتمال تسرية هذا الحكم حتّى للمعلوم أهله؛ للسيرة الدالة على ذلك مطلقاً بعيد کاحتمال الرجوع مطلقاً؛ فإنّه أبعد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قبض قابض من الغاصب شيئاً بنيّة إرجاعه إلى أهله كان محسناً، ولاضمان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شيئاً لاستخلاصه بنيّة الرجوع لمالكه مع عدم حضوره، فإن كان بإذن الحاكم قوي الرجوع عليه، وإلا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 المدفوع إليه بحرمة الجوائز بعينها بل علم أنّ في ماله حراماً وحلالاً وقد اشتبه، فإن علم أنّه مشتبه عند الجائر أيضاً وأتى به مشتبهاً ودفعه على اشتباهه، قوي القول بحرمته أيضاً مطلقاً من جائرٍ أو غيره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أنّه من الجائر حلال؛ لإطلاق الأخبار في حلّيّة جوائزه </w:t>
      </w:r>
      <w:r>
        <w:rPr>
          <w:rStyle w:val="FootnoteAnchor"/>
          <w:rtl w:val="true"/>
        </w:rPr>
        <w:footnoteReference w:id="490"/>
      </w:r>
      <w:r>
        <w:rPr>
          <w:rFonts w:ascii="Amiri" w:hAnsi="Amiri" w:eastAsia="Amiri" w:cs="Amiri"/>
          <w:color w:val="111111"/>
          <w:sz w:val="28"/>
          <w:sz w:val="28"/>
          <w:szCs w:val="28"/>
          <w:rtl w:val="true"/>
          <w:lang w:bidi="ar-SA"/>
        </w:rPr>
        <w:t>، دون ما كان من غيره؛ لوجوب التجنّب عن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الفرق بين دخول المحرّم في جنس المدفوع كظروف دهن دخل فيها محرم فأجاز ظرفاً منها، وبين ما لم يعلم أنّه ذلك الجنس، كما إذا علم بدخول مأكول محرم في بيته لا يعلمه الدافع ولا المدفوع إليه أو لا يعلمه المدفوع إليه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علم أنّ المدفوع ممتزج بالحرام، فالأقوى حرمته، كالمعلوم حرمته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أنّه من الجائر حلال لنا المهنا، وعليه الوزر، وربما يظهر من بعض الأخبار </w:t>
      </w:r>
      <w:r>
        <w:rPr>
          <w:rStyle w:val="FootnoteAnchor"/>
          <w:rtl w:val="true"/>
        </w:rPr>
        <w:footnoteReference w:id="491"/>
      </w:r>
      <w:r>
        <w:rPr>
          <w:rFonts w:ascii="IRNazanin" w:hAnsi="IRNazanin" w:eastAsia="IRNazanin"/>
          <w:color w:val="111111"/>
          <w:sz w:val="28"/>
          <w:sz w:val="28"/>
          <w:szCs w:val="28"/>
          <w:rtl w:val="true"/>
          <w:lang w:bidi="fa-IR"/>
        </w:rPr>
        <w:t xml:space="preserve">وبعض فتاوى الفقهاء </w:t>
      </w:r>
      <w:r>
        <w:rPr>
          <w:rStyle w:val="FootnoteAnchor"/>
          <w:rtl w:val="true"/>
        </w:rPr>
        <w:footnoteReference w:id="492"/>
      </w:r>
      <w:r>
        <w:rPr>
          <w:rFonts w:ascii="Amiri" w:hAnsi="Amiri" w:eastAsia="Amiri" w:cs="Amiri"/>
          <w:color w:val="111111"/>
          <w:sz w:val="28"/>
          <w:sz w:val="28"/>
          <w:szCs w:val="28"/>
          <w:rtl w:val="true"/>
          <w:lang w:bidi="ar-SA"/>
        </w:rPr>
        <w:t>ذلك، فيظهر الفرق بين الجائر وغيره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في المشتبه والممزوج إذا دفعهما الجائر الفرق بين ما يعلم صاحبه فيحرم، وبين ما يجهل صاحبه فيحل؛ أخذاً بإطلاق الأخبار، واقتصاراً في المنع على 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يعلم أنّه ممزوج ولا مشتبه عند صاحبه، فإن أخبر بحليته، فالأقوى والأظهر حليته من غير كلام، وكذا لو ناوله بيده، أو باعه فأذن في قبضه، أو أذن بقبضه لمن أجازه وأعطاه، أو كان متصرفاً فيه بحيث دخل تحت يده فأدخله في خزانته، فإنّ الذي وردت به الأخبار </w:t>
      </w:r>
      <w:r>
        <w:rPr>
          <w:rStyle w:val="FootnoteAnchor"/>
          <w:rtl w:val="true"/>
        </w:rPr>
        <w:footnoteReference w:id="493"/>
      </w:r>
      <w:r>
        <w:rPr>
          <w:rFonts w:ascii="Amiri" w:hAnsi="Amiri" w:eastAsia="Amiri" w:cs="Amiri"/>
          <w:color w:val="111111"/>
          <w:sz w:val="28"/>
          <w:sz w:val="28"/>
          <w:szCs w:val="28"/>
          <w:rtl w:val="true"/>
          <w:lang w:bidi="ar-SA"/>
        </w:rPr>
        <w:t xml:space="preserve">المتكاثرة ونُقل عليه الإجماع </w:t>
      </w:r>
      <w:r>
        <w:rPr>
          <w:rStyle w:val="FootnoteAnchor"/>
          <w:rtl w:val="true"/>
        </w:rPr>
        <w:footnoteReference w:id="494"/>
      </w:r>
      <w:r>
        <w:rPr>
          <w:rFonts w:ascii="Amiri" w:hAnsi="Amiri" w:eastAsia="Amiri" w:cs="Amiri"/>
          <w:color w:val="111111"/>
          <w:sz w:val="28"/>
          <w:sz w:val="28"/>
          <w:szCs w:val="28"/>
          <w:rtl w:val="true"/>
          <w:lang w:bidi="ar-SA"/>
        </w:rPr>
        <w:t xml:space="preserve">وجرت به السيرة القطعية ودار عليه أمر النظام والمعاش وصدر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هو الحل وجواز الأخذ ولا يجب السؤال، بل لنا المهنا وعليه 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غير الجائر هنا كحكمه؛ لظهور بعض الأخبار </w:t>
      </w:r>
      <w:r>
        <w:rPr>
          <w:rStyle w:val="FootnoteAnchor"/>
          <w:rtl w:val="true"/>
        </w:rPr>
        <w:footnoteReference w:id="495"/>
      </w:r>
      <w:r>
        <w:rPr>
          <w:rFonts w:ascii="Amiri" w:hAnsi="Amiri" w:eastAsia="Amiri" w:cs="Amiri"/>
          <w:color w:val="111111"/>
          <w:sz w:val="28"/>
          <w:sz w:val="28"/>
          <w:szCs w:val="28"/>
          <w:rtl w:val="true"/>
          <w:lang w:bidi="ar-SA"/>
        </w:rPr>
        <w:t xml:space="preserve">في ذلك، وجريان السيرة والعسر والحرج بتركه في الجميع، حتّى ادعى بعضهم أنّ ذلك من الشبهة الغير المحصورة </w:t>
      </w:r>
      <w:r>
        <w:rPr>
          <w:rStyle w:val="FootnoteAnchor"/>
          <w:rtl w:val="true"/>
        </w:rPr>
        <w:footnoteReference w:id="496"/>
      </w:r>
      <w:r>
        <w:rPr>
          <w:rFonts w:ascii="Amiri" w:hAnsi="Amiri" w:eastAsia="Amiri" w:cs="Amiri"/>
          <w:color w:val="111111"/>
          <w:sz w:val="28"/>
          <w:sz w:val="28"/>
          <w:szCs w:val="28"/>
          <w:rtl w:val="true"/>
          <w:lang w:bidi="ar-SA"/>
        </w:rPr>
        <w:t>نظراً إلى أن جميع أفراد الغاصبين وجميع أموالهم المختلطة وجميع غيرهم وغير الأموال المختلطة مما لا ينحصر المخلوط فيه، بل ويستهلك، فتكون الأموال المختلطة بالحرام غير منحصرة</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ضعيف؛ لأنّه يؤدّي إلى اضمحلال حكم الشبهة المحصورة بفرض جمع باقي المشتبه معها فيعود غير محصور، ولا قائل به بل المدار هنا على كلّ مالٍ متميز مفروزِ عند أهله قد اختلط معه محرم فيشتبه الفرد المحرَّم مع تلك الأفراد المحصورة، وهذا هو الظاهر من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فسرنا غير المحصور بما لزم من اجتنابه العسر والحرج، اتجه ذلك،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المسألة في الأموال الخارجة عن أيدي الظلمة في البلدان بحيث نعلم أنّ في الأسواق والخانات كثيراً من دراهمهم وغلاتهم وفيها الحرام قطعاً، فإنّ ذلك لا يلزم اجتنابه، وإلا لم يبقَ للمسلمين سوق ولا بيع ولا 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كان المال المشتبه في دار الجائر أو خانه ولم يأذن فيه أو دفعه بيده، فهل يجري عليه حكم الحلال فتجوز المقاصة منه، والأكل من مرفوع الجناح منه </w:t>
      </w:r>
      <w:r>
        <w:rPr>
          <w:rStyle w:val="FootnoteAnchor"/>
          <w:rtl w:val="true"/>
        </w:rPr>
        <w:footnoteReference w:id="497"/>
      </w:r>
      <w:r>
        <w:rPr>
          <w:rFonts w:ascii="Amiri" w:hAnsi="Amiri" w:eastAsia="Amiri" w:cs="Amiri"/>
          <w:color w:val="111111"/>
          <w:sz w:val="28"/>
          <w:sz w:val="28"/>
          <w:szCs w:val="28"/>
          <w:rtl w:val="true"/>
          <w:lang w:bidi="ar-SA"/>
        </w:rPr>
        <w:t>، والأخذ بإذن الفحوى أو بالمارّة، أو لا يجري عليه ذلك اقتصاراً في الجائر على 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يبعد الفرق هنا بين كونه من مال الجائر فيجري عليه أحكام الحل؛ لإطلاق الأخبار </w:t>
      </w:r>
      <w:r>
        <w:rPr>
          <w:rStyle w:val="FootnoteAnchor"/>
          <w:rtl w:val="true"/>
        </w:rPr>
        <w:footnoteReference w:id="498"/>
      </w:r>
      <w:r>
        <w:rPr>
          <w:rFonts w:ascii="Amiri" w:hAnsi="Amiri" w:eastAsia="Amiri" w:cs="Amiri"/>
          <w:color w:val="111111"/>
          <w:sz w:val="28"/>
          <w:sz w:val="28"/>
          <w:szCs w:val="28"/>
          <w:rtl w:val="true"/>
          <w:lang w:bidi="ar-SA"/>
        </w:rPr>
        <w:t>في الجائر، وامتيازه عن غيره في لسان الفقهاء، وبين غيره فيجري عليه حكم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بين كونه قد دخل بخزانته بإذنه وبدون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الجائر مالاً دائراً بين كونه حراماً على المدفوع إليه أو حلالاً بعد العلم بأنّه محرم على الدافع قطعاً؛ لأنّه إما من مال الخراج أو من المغصوب،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يد الجائر مال علم أنّه قد أتى به من غير أمواله المختلطة بل ومن خارج فلا كلام حليته، سواء أخبر بها أم لا، وسواء دفعه بيده أم لا، وجرى عليه حكم الفحوى والمارة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لم يعلم أنّه أتى به من أمواله المختلطة أم غيرها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مَنْ في خزانته وبيته أموال مختلطة وجاء بمالٍ آخر لم يعلم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هذا المال بضمه إلى المختلط يكون مختلطاً فيجري حكم الشبهة المحصورةعلى جميعه، بعيدة؛ لعدم تسليم أنّه بالانضمام يكون الجميع من المشتبه المحصور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فلا شكّ أنّ يد المسلمين تقضي بالحلّ، وفعلهم يقضي بالصحّة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المسلم لا يبالي بالحرام لا يترتب عليه حكم الحرمة قطعاً، ولهذا خصصنا محلّ الكلام فيما لو أتى الجائر بمال من المخلوط في بيته أو خزانته أو عند عماله فدفعه أو باعه أو أذن فيه أو وهبه فإنّه حلال تغليباً لجانب الصحّة والأخبار، فيبطل حكم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ويلحق به كلّ مَنْ جمع حلالاً وحراماً فدفع فرداً من المجموع، وليس للجائر خصوصية، إلا فيما لو لم يدفع هو بل أخذ منه بإذن الفحوى وشبهها، فإنّه يمكن أن يكون للجائر خصوصية، فيحلّ ما كان عنده ويحرم غيره، أو في الممتزج فإنّه من الجائر يجوز تناوله من دون إخراج الخمس، وإن ندب ذلك كما تشعر به بعض الروايات </w:t>
      </w:r>
      <w:r>
        <w:rPr>
          <w:rStyle w:val="FootnoteAnchor"/>
          <w:rtl w:val="true"/>
        </w:rPr>
        <w:footnoteReference w:id="499"/>
      </w:r>
      <w:r>
        <w:rPr>
          <w:rFonts w:ascii="Amiri" w:hAnsi="Amiri" w:eastAsia="Amiri" w:cs="Amiri"/>
          <w:color w:val="111111"/>
          <w:sz w:val="28"/>
          <w:sz w:val="28"/>
          <w:szCs w:val="28"/>
          <w:rtl w:val="true"/>
          <w:lang w:bidi="ar-SA"/>
        </w:rPr>
        <w:t>، ومن غيره يجب إخراج الخمس منه كي يحلّ الباقي، أو في المخلوط المشتبه إذا علم أنّ في المخلوط ما يحرم؛ فإنّه يمكن تحليله من دون إخراج الخمس لو كان من الجائر، ومع إخراج الخمس أو الصدقة بما يتيقنه لو كان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الحكم بهذين مشكل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ما دلّت عليه الأخبار هنا كصحيح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يلي أعمال السلطان وليس له مكسب سوى أعمالهم، فيأمر له بالدراهم والكسوة؟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وكُل، لك المهنا وعليه الوزر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الآخر في العامل يجيزني بالدراهم آخذها؟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وحج بها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السلطان ليس بها بأس</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وغيرها ممّا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حلال حتّى تعرف الحرام منه بعينه فتدعه</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وما جاء من قبول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معاوية والرشيد</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ردّها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والموثق في عمل السلطان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فإن صار في يده شيء فليبعث بخمسه إلى أهل البيت</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فيمن استحلّ من مال الوقف الذي بيده لا يتورع من أخذه فيحضر طعامه فيدعوني إليه فإن لم آكل من طعامه عاداني، فهل يجوز لي أن أكل وأتصدق بصدقة؟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دالّة بعمومها وإطلاقها على حلّيّة ما يؤخذ من الجائر، من دون تفصيل بين الإتيان به من المخلوط في خزائنه أو وكلائه أو داره أو بيته، وبين الإتيان به من خارج، وبين ما لم يعلم وجهه، بل وبين الممزوج بالحرام المجهول وبين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الإجماع إن ثبت إجماع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دفعه بيده وبين كونه مطروحاً، وبين كونه من الجائر وبين كونه من غيره، كما تدلّ عليه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حرام وحلال</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المهنا وعليه الوزر</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فيكون مورد الشبهة المحصورة غير هذا ممّا يختلط عند صاحبه أو يشتبه، ولم يكن بيد جائر أو غاصب جامع للمال بين الحرام والحلال، وأما ما كان منهم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الأخبار الأخيرة على الكراهة، ومع ذلك فالأقوى تجنّب المجتمع من الحلال والحرام مطلقاً ما لم يدفعه الجامع بيده أو يخبر بأنّه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وتشتد القوة في اجتناب الممزوج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مجهولاً مالكه فيجري عليه حكم مجهول المالك، بل الاحتياط والورع يقضي بتجنّب ما يدفعه بيده أو يأذن فيه، بل الاحتياط تجنّب الأخذ ممن لا يتورع وإن أتى به من بلدٍ آخر ولم يعلم أنّه دفعه من خزائنه؛ للأمر بالاحتياط وتجنب موارد الشبهات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بمال الخراج والزكاة والخمس على السلطان الباطل وعماله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السلطان وعُمّاله وكلّ متغلب على مال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سلطان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بمال الخراج والتصرّف فيه وقبضه ودفعه، وكذا كلّ ما يأخذه باسم الزكاة والخمس وميراث مَنْ لا وارث له والجزية على الرؤوس ومجهول المالك، وكلّ ما يقبضه بالولاية الشرعيَّة زاعماً أن الولاية وأُمور المسلمين راجعة إليه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تصرف فيه فباعه على مؤمن أو وهبه إيّاه أو أحاله به ولم يكن من عُمّاله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التصرّف من قبله، وكان باطلاً نقله وانتقاله، وحلّ بالنسبة إلى المشتري، وصح نقله وانتقاله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ذلك أنّ الإيجاب محرّم باطل والقبول حلال صحيح؛ لأن العقد لا يتبعض، بل معناه أن العقد كلّه صحيح بالنسبة إلى المشتري فيملك المبيع الذي هو مال الخراج، وينتقل عنه الثمن، ويجب عليه دفعه للبائع، وكلّه فاسد بالنسبة إلى البائع الجائر فلا ينتقل المبيع عنه؛ لأنّه ليس له، ولا بيع إلا في ملك أو ولاية ولا ينتقل إليه الثمن، فالعقد يكون من قبيل الأسباب الشرعيَّة المملكة للمشتري والناقلة عنه الثمن للمسلمين المالكين للمبيع، فيكون قبض الثمن للبائع الجائر حراماً كالمثمن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الجائر هنا فضولي عن المسلمين في البيع وقبض الثمن، والإجازة حاصلة من جانب الشرع بنقله إلى المشتري، كما أن دفع الثمن الذي هو للمسلمين جائز دفعه للبائع الجائر، ومبرئ لذمة المشتري بإذن الشارع بذلك وأمره، بل يقوى القول بحرمة سرقة مال الخراج وخيانته، والامتناع من تسليمه أو تسلّم ثمنه بعد شرائه إما له خاصة أو مخيّراً بينه وبين حاكم العدل، وإن حرم على الجائر قبضها أو التصرف فيها؛ لأنّه غاصب لمنصب أهل الحقّ وآثم، والدفع إليه إعانة على إثمه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جملة من النصوص </w:t>
      </w:r>
      <w:r>
        <w:rPr>
          <w:rStyle w:val="FootnoteAnchor"/>
          <w:rtl w:val="true"/>
        </w:rPr>
        <w:footnoteReference w:id="511"/>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512"/>
      </w:r>
      <w:r>
        <w:rPr>
          <w:rFonts w:ascii="Amiri" w:hAnsi="Amiri" w:eastAsia="Amiri" w:cs="Amiri"/>
          <w:color w:val="111111"/>
          <w:sz w:val="28"/>
          <w:sz w:val="28"/>
          <w:szCs w:val="28"/>
          <w:rtl w:val="true"/>
          <w:lang w:bidi="ar-SA"/>
        </w:rPr>
        <w:t xml:space="preserve">بل والشهرة المحصلة دالة على لزوم ذلك، وكأنّه لحكمة رفع الفساد عن العباد، وحفظ الطرق، ودفع الناس بعضهم عن بعض، وحفظ بيضة الإسلام؛ لأنّه مع غيبة الإمام لو لم يقم الجائر بهذا النظام ويستمد من مال الخراج وشبهه لجنده وعساكره لاقتتل الأنام، وعلا الأشرار على الأخيار واللئام على الكرام، ولما بقي حرم ولا حرمة ولا احترام للعزيز العلام، ولكان كلّ فردٍ غاصباً لمنصب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فأقل القبيحين هو الترتيب الباطل، فصر فهم أموال المسلمين صرفاً في مصالح المسلمين صدقاً، وإن لم يكن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الذي أمرنا باتباعه </w:t>
      </w:r>
      <w:r>
        <w:rPr>
          <w:rStyle w:val="FootnoteAnchor"/>
          <w:rtl w:val="true"/>
        </w:rPr>
        <w:footnoteReference w:id="513"/>
      </w:r>
      <w:r>
        <w:rPr>
          <w:rFonts w:ascii="Amiri" w:hAnsi="Amiri" w:eastAsia="Amiri" w:cs="Amiri"/>
          <w:color w:val="111111"/>
          <w:sz w:val="28"/>
          <w:sz w:val="28"/>
          <w:szCs w:val="28"/>
          <w:rtl w:val="true"/>
          <w:lang w:bidi="ar-SA"/>
        </w:rPr>
        <w:t>تعبداً ورقاً</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بالجائر والسلطان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المتغلب بجنوده وأتباعه، ذا طبل أو جمعة أو عيد أو لا، تحت يد سلطانٍ آخر أم لا، وولاته حكمهم حكمه مؤمناً أو مخالفاً، مستحلاً أم لا، كان من مذهبه أخذ الخراج أم لا؛ لعموم جملةٍ من الروايات </w:t>
      </w:r>
      <w:r>
        <w:rPr>
          <w:rStyle w:val="FootnoteAnchor"/>
          <w:rtl w:val="true"/>
        </w:rPr>
        <w:footnoteReference w:id="514"/>
      </w:r>
      <w:r>
        <w:rPr>
          <w:rFonts w:ascii="IRNazanin" w:hAnsi="IRNazanin" w:eastAsia="IRNazanin"/>
          <w:color w:val="111111"/>
          <w:sz w:val="28"/>
          <w:sz w:val="28"/>
          <w:szCs w:val="28"/>
          <w:rtl w:val="true"/>
          <w:lang w:bidi="fa-IR"/>
        </w:rPr>
        <w:t xml:space="preserve">وبعض منقول الإجماعات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استولى الكفّار على بلاد المسلمين فعاملوهم معاملة سلاطين المسلمين لم يجر الحكم عليهم كذلك؛ لعدم سلطان الكافر على المسلم ونفي السبيل عنه؛ مع احتمال إمضاء تصرفاته وهباته، سوى أنّه لا يجب دفع الخراج له إلّا خوفاً، ويكون المرجع الحاكم الشرعي أو عدول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يتفاوت فيما يأخذه السلطان الجائر وأتباعه بين كونه من حاصل الأرض باسم المقاسمة من غلات أو غيرها، أو باسم الخراج من نقود أو عروض عن حق الأرض بتوزيع النقود عليها أو على زرعها أو أشجارها، في أرض خراجية أو أرض صولح أهلها عليها، جرياً على العادة في الأخذ وإن أكثر مرّةً وأنقص أخرى بحسب المعاملة والمراعاة، ما لم يفرّط بالتعدي، فإن أفرط احتمل جريان حكم المعتاد عليه مطلقاً، واحتمل لزوم تجنّبه مطلقاً، واحتمل جريان حكم المعتاد عليه إلى أن يبقى قدر الزيادة معيّناً أو مشاعاً فيبقى من المشاع ما علمت زيادته، ولو شكّ في التعدي وعدمه فالأصل،عدمه، أو يأخذه باسم الزكاة من الأنعام مما يتعلق به الزكاة في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يوافق مذهب الحق، دون العكس في وجه، أو يأخذه من الدميين جزيةً على رؤوسهم، أو من غيرهم من محترمي المال باسم الشروط أو ما يأخذه من الأرض العائدة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الأنفال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خلافه؛ لانصراف أدلّة الخراج وحلّيّته ودفعه وقبضه إلى الأرض التي يضرب عليها الخراج عادة من ولاة المسلمين، كالمفتوحة عنوة والمصالح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لمن أحياها حتّى لا يجب الرجوع فيها إلى سلطان الحقّ فضلاً عن سلطان الجور، وحينئذٍ فالاستدلال بإطلاقات الأخبار وعموماتها الشاملة لكلّ ما يأخذه الجائر من أيّ أرض بعنوان الخراج ضعيف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الأراضي الخراجية وفوائدها ومصارفهاوخلاصة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الخراجية من المفتوحة عنوةً وغيرها يجب دفع خراجها في حال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 يجوز الامتناع من دفعه ولو كان المخاطب به مصرفاً من مصارفه، كما إذا كان مؤمناً عالماً محتاجاً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أخبار التحليل </w:t>
      </w:r>
      <w:r>
        <w:rPr>
          <w:rStyle w:val="FootnoteAnchor"/>
          <w:rtl w:val="true"/>
        </w:rPr>
        <w:footnoteReference w:id="516"/>
      </w:r>
      <w:r>
        <w:rPr>
          <w:rFonts w:ascii="Amiri" w:hAnsi="Amiri" w:eastAsia="Amiri" w:cs="Amiri"/>
          <w:color w:val="111111"/>
          <w:sz w:val="28"/>
          <w:sz w:val="28"/>
          <w:szCs w:val="28"/>
          <w:rtl w:val="true"/>
          <w:lang w:bidi="ar-SA"/>
        </w:rPr>
        <w:t xml:space="preserve">خاصة بالمناكح والمساكن والمتاجر مما يؤخذ ممن لا يخمس؛ إذ لا قائل بعمومها، أو بأرض الأنفال العائدة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الغيبة، أو متروك، أو منزل على حلّيّة مال الخراج،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أحللنا له شيئاً أصابه من أعمال الظالمين فهو له حلال، وما حرمنا من ذلك فهو حرام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يعيشون في فضل مظلمتنا، إلّا أنا أحللنا شيعتنا ذلك</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أو منزّل على الولاية والتصرّف وأنّ أمر الأرض راجع إليهم،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حيث سأله عمّا لكم من الأرض؟ فتبسم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خرق بإبهامه ثمانية أنهار في الأرض،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جيحون وسيحون وصيحان والخشوع ومهران ونيل مصر ودجلة والفرات، فما سقت أو استقت فهو لنا، وما كان لنا فهو لشيعتنا، وليس لعدوّنا منه شيء</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أو على ما يؤخذ من دار الحرب وما يكون من الأنفال وما يعامل به المخالف،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في بطونهم وفروجهم؛ لأنّهم لم يؤدوا إلينا حقنا، ألا وإن شيعتنا وآباءهم من ذلك في حل</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فيمن سأله عن خادم يشتريه، أو امرأة يتزوجها أو ميراث يصيبه، أو تجارة أو شيء أعطيه؟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لشيعتنا حلال الشاهد منهم والغائب، والميت منهم والحي، وما تولّد منهم إلى يوم القيامة، فهو لهم حلال</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كثيرة بذلك، حتّى أن بعضهم أسقط من جهتها الخمس مطلقاً </w:t>
      </w:r>
      <w:r>
        <w:rPr>
          <w:rStyle w:val="FootnoteAnchor"/>
          <w:rtl w:val="true"/>
        </w:rPr>
        <w:footnoteReference w:id="522"/>
      </w:r>
      <w:r>
        <w:rPr>
          <w:rFonts w:ascii="Amiri" w:hAnsi="Amiri" w:eastAsia="Amiri" w:cs="Amiri"/>
          <w:color w:val="111111"/>
          <w:sz w:val="28"/>
          <w:sz w:val="28"/>
          <w:szCs w:val="28"/>
          <w:rtl w:val="true"/>
          <w:lang w:bidi="ar-SA"/>
        </w:rPr>
        <w:t xml:space="preserve">، ومنهم مَنْ أسقط نصيب الإمام فقط </w:t>
      </w:r>
      <w:r>
        <w:rPr>
          <w:rStyle w:val="FootnoteAnchor"/>
          <w:rtl w:val="true"/>
        </w:rPr>
        <w:footnoteReference w:id="523"/>
      </w:r>
      <w:r>
        <w:rPr>
          <w:rFonts w:ascii="Amiri" w:hAnsi="Amiri" w:eastAsia="Amiri" w:cs="Amiri"/>
          <w:color w:val="111111"/>
          <w:sz w:val="28"/>
          <w:sz w:val="28"/>
          <w:szCs w:val="28"/>
          <w:rtl w:val="true"/>
          <w:lang w:bidi="ar-SA"/>
        </w:rPr>
        <w:t>، ولكنا لا نقول بهما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 يجوز الامتناع من دفعه لا يجوز أن يتولّى مصارفه بنفسه إلا على سبيل الفضولي؛ للأمر بدفعه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يجزئ دفعه للجائر ويبرأ ذمته منه، أما مع التقيّة الفعلية فلا كلام، وبدونها كذلك على الأقوى؛ للأخبار </w:t>
      </w:r>
      <w:r>
        <w:rPr>
          <w:rStyle w:val="FootnoteAnchor"/>
          <w:rtl w:val="true"/>
        </w:rPr>
        <w:footnoteReference w:id="524"/>
      </w:r>
      <w:r>
        <w:rPr>
          <w:rFonts w:ascii="Amiri" w:hAnsi="Amiri" w:eastAsia="Amiri" w:cs="Amiri"/>
          <w:color w:val="111111"/>
          <w:sz w:val="28"/>
          <w:sz w:val="28"/>
          <w:szCs w:val="28"/>
          <w:rtl w:val="true"/>
          <w:lang w:bidi="ar-SA"/>
        </w:rPr>
        <w:t>وكلام الأصحاب حتّى كاد أن يكون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يتفاوت بين كونه مؤمناً أو مخالفاً من أيّ فِرَق المسلمين ما عدا الكافر؛ لإطلاق الأخبار </w:t>
      </w:r>
      <w:r>
        <w:rPr>
          <w:rStyle w:val="FootnoteAnchor"/>
          <w:rtl w:val="true"/>
        </w:rPr>
        <w:footnoteReference w:id="525"/>
      </w:r>
      <w:r>
        <w:rPr>
          <w:rFonts w:ascii="IRNazanin" w:hAnsi="IRNazanin" w:eastAsia="IRNazanin"/>
          <w:color w:val="111111"/>
          <w:sz w:val="28"/>
          <w:sz w:val="28"/>
          <w:szCs w:val="28"/>
          <w:rtl w:val="true"/>
          <w:lang w:bidi="fa-IR"/>
        </w:rPr>
        <w:t xml:space="preserve">ومنقول الإجماع </w:t>
      </w:r>
      <w:r>
        <w:rPr>
          <w:rStyle w:val="FootnoteAnchor"/>
          <w:rtl w:val="true"/>
        </w:rPr>
        <w:footnoteReference w:id="526"/>
      </w:r>
      <w:r>
        <w:rPr>
          <w:rFonts w:ascii="Amiri" w:hAnsi="Amiri" w:eastAsia="Amiri" w:cs="Amiri"/>
          <w:color w:val="111111"/>
          <w:sz w:val="28"/>
          <w:sz w:val="28"/>
          <w:szCs w:val="28"/>
          <w:rtl w:val="true"/>
          <w:lang w:bidi="ar-SA"/>
        </w:rPr>
        <w:t>، ولأن الغالب إيمان ولاة السلاطين كسلاطين العجم، وكذلك أتباعهم والمتولين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ذلك بالمخالفين؛ نظراً إلى حلّيّة الخراج لهم في معتقدهم، بخلاف المؤمن فإنّه يعتقد أنّه ظالم غاصب، فيعامل الأوّل على معتقده ويلزم بما ألزم به نفسه، ونظراً إلى الاقتصار في لزوم دفع الخراج على المقطوع به يومئذ وهو المخالف، ونظراً إلى أنّ حلّيّة أخذه من غير مَنْ يعتقد حلّيّة قبضه ودفعه موقوف على المقطوع به وهو المخالف، ونظراً إلى أنّ السؤال في الأخبار عنهم إما تصريحاً أو تلويحاً بقرائن الأزمنة والأحوال، فيبتني عموم الجواب عليه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بعد البناء على أنّ لزوم دفع الخراج للجائر إنما كان لإيصاله إلى أهله بحسب الإمكان؛ لأنّهم أقرب مجاز للحقيقة بعد الغيبة وعدم بسط يد الحاكم الشرعي لتكفّلهم بحفظ الطرق وسد الثغور ومنع السُّرّاق والعُصاة وإن كانوا منهم، وأن جواز أخذه للمؤمنين منهم أيضاً إنما كان توصلاً إلى حقهم مهما أمكن، ولاستقامة النظام بذلك، وللزوم الحرج على المؤمنين لو تجنبوا عن ذلك، ولا مدخل هنا للاعتقاد وعدمه؛ إذ ليس هذا من أموالهم كالميراث بالعصبة ونحوه، حيث يؤخذ منهم إلزاماً لهم بما ألزموا به أنفسهم، وأمّا خصوص السؤال فلا يحكم على عموم الجواب على أنّ دعوى القرائن ممنوعة غاية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فقد الجائر أجزاً دفعه لسلطان الحق؛ لأنّه أهله، ولو لم يكن حاضراً رفع إلى النائب العام، فلو لم يكن دفع إلى عدول المؤمنين المسلمين، بل يقوى القول بجواز الدفع</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الحاكم الشرعي مع وجود الجائر إذا لم يتق منه؛ لما دلّ على عموم ولايته </w:t>
      </w:r>
      <w:r>
        <w:rPr>
          <w:rStyle w:val="FootnoteAnchor"/>
          <w:rtl w:val="true"/>
        </w:rPr>
        <w:footnoteReference w:id="528"/>
      </w:r>
      <w:r>
        <w:rPr>
          <w:rFonts w:ascii="IRNazanin" w:hAnsi="IRNazanin" w:eastAsia="IRNazanin"/>
          <w:color w:val="111111"/>
          <w:sz w:val="28"/>
          <w:sz w:val="28"/>
          <w:szCs w:val="28"/>
          <w:rtl w:val="true"/>
          <w:lang w:bidi="fa-IR"/>
        </w:rPr>
        <w:t>من غير معارض، سوی ما دلّ على لزوم دفعه للجائر، وهو منزّل على عدم التمكن يومئذ من إيصاله إلى السلطان الشرعي للتقيّة، فلو تمكن حينئذٍ كان مخيراً في دفعه بين هذا وبين هذا، ولا منافاة بين جواز دفعه للجائر وإن تمكّن من دفعه لسلطان الحقّ عند بسط يده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لو بسطت يد سلطان الحقّ بالجنود والعساكر وتصدّى لمصالح المسلمين، لزم دفعه إليه 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الجائر هو المتسلّط على الأرض تسلّط السلطنة العرفية، لا كسلطنة الخوارج التي كالفيء الزائل، ولا كسلطنة المتشخصين بنسبهم بحيث لم يبق لهم سوى رسم أو اسم بلا حقيقة ولا سلطان آخر في مملكة أخرى بحيث يدفع خراج خراسان لسلطان الروم وإن لم يتق من سلطان الفرس؛ اقتصاراً على 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يدفع الخراج صاحبه بقي دَيناً عليه يؤديه، فإن مات ففي إجراء حكم الديون عليه بحيث يخرج من تركته،إشكال والسيرة على عدم معاملته معاملة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للجائر إسقاط الخراج عن صاحبه وتخفيفه؛ لما يظهر من الأخبار أنّ أمره يعود إليه، فكما يجوز إعطاؤه يجوز إسقاطه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يحلّ لنا في زمن الغيبة أن نأخذه من يد الجائر هبةً وشراء وأُجرةً وتحويلاً على مشغول الذمة به من غير تفاوت بين فقيرنا وغنيّنا وبين مَنْ كان من مصارفه وبين مَنْ لم يكن حتّى الزكاة على ما سيجيء </w:t>
      </w:r>
      <w:r>
        <w:rPr>
          <w:rStyle w:val="FootnoteAnchor"/>
          <w:rtl w:val="true"/>
        </w:rPr>
        <w:footnoteReference w:id="529"/>
      </w:r>
      <w:r>
        <w:rPr>
          <w:rFonts w:ascii="Amiri" w:hAnsi="Amiri" w:eastAsia="Amiri" w:cs="Amiri"/>
          <w:color w:val="111111"/>
          <w:sz w:val="28"/>
          <w:sz w:val="28"/>
          <w:szCs w:val="28"/>
          <w:rtl w:val="true"/>
          <w:lang w:bidi="ar-SA"/>
        </w:rPr>
        <w:t xml:space="preserve">إن شاء الله، كلّ ذلك لإطلاق الأخبار </w:t>
      </w:r>
      <w:r>
        <w:rPr>
          <w:rStyle w:val="FootnoteAnchor"/>
          <w:rtl w:val="true"/>
        </w:rPr>
        <w:footnoteReference w:id="530"/>
      </w:r>
      <w:r>
        <w:rPr>
          <w:rFonts w:ascii="Amiri" w:hAnsi="Amiri" w:eastAsia="Amiri" w:cs="Amiri"/>
          <w:color w:val="111111"/>
          <w:sz w:val="28"/>
          <w:sz w:val="28"/>
          <w:szCs w:val="28"/>
          <w:rtl w:val="true"/>
          <w:lang w:bidi="ar-SA"/>
        </w:rPr>
        <w:t xml:space="preserve">المتكاثرة بل المتواترة، والإجماعات المنقولة </w:t>
      </w:r>
      <w:r>
        <w:rPr>
          <w:rStyle w:val="FootnoteAnchor"/>
          <w:rtl w:val="true"/>
        </w:rPr>
        <w:footnoteReference w:id="531"/>
      </w:r>
      <w:r>
        <w:rPr>
          <w:rFonts w:ascii="Amiri" w:hAnsi="Amiri" w:eastAsia="Amiri" w:cs="Amiri"/>
          <w:color w:val="111111"/>
          <w:sz w:val="28"/>
          <w:sz w:val="28"/>
          <w:szCs w:val="28"/>
          <w:rtl w:val="true"/>
          <w:lang w:bidi="ar-SA"/>
        </w:rPr>
        <w:t>، والسيرة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في بعض الأخبار من الإشعار بأنّ الآخذ إنّما يأخذ نصيبه من بيت المال </w:t>
      </w:r>
      <w:r>
        <w:rPr>
          <w:rStyle w:val="FootnoteAnchor"/>
          <w:rtl w:val="true"/>
        </w:rPr>
        <w:footnoteReference w:id="532"/>
      </w:r>
      <w:r>
        <w:rPr>
          <w:rFonts w:ascii="Amiri" w:hAnsi="Amiri" w:eastAsia="Amiri" w:cs="Amiri"/>
          <w:color w:val="111111"/>
          <w:sz w:val="28"/>
          <w:sz w:val="28"/>
          <w:szCs w:val="28"/>
          <w:rtl w:val="true"/>
          <w:lang w:bidi="ar-SA"/>
        </w:rPr>
        <w:t>، فما لم يكن له نصيب ولا حق له فيه لم يشمله دليل الإذن القاطع لدليل المنع؛ لعدم مقاومته لتلك الأدلّة، محمول على أنّ بيت المال للمؤمنين ولهم النصيب فيه وقد منعوهم عنه</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والأحوط اقتصار الآخذ على ما جاز أخذه له لو كان بيد سلطان الحق؛ اقتصاراً في الجواز على 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زكاة الأنعام والطعام يجب دفعها مع مطالبة الجائر والتقيّة منه، وبعد دفعها يحلّ أخذها منه ولا يجب دفعها إلى أربابها، ويصح شراؤها واتهابها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الفرق بينهما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يتق ويخشى الضرر لم يجب الدفع للجائر، بل ولا يندب من حيث إنّها زكاة، بل يدفعها بنفسه، أو إلى سلطان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إجزائها عن زكاته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لأنّ امتثال الأمر يقضي به، وللزوم الضرر على المالك بدفعها مرتين، فهي كالخراج لا يؤدى إلا مرّةً واحدة، ولأن أخذ الجائر لها بمنزلة عزل المالك لها ثمّ تُغصب بعد ذلك فإنّ ذلك مجزئ، ولأن الجائر بمنزلة الغاصب لحصة الشريك فيكون ما قبضه متعيّناً للزكاة، وللأخبار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أخذه منكم بنو أُمية فاحتسبوا به، فإنّ المال لا يبقى على هذا أن تزكيه مرتين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وعلى أن صدقة المال يأخذها السلطان،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أمرك أن تعيد</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وأن المال لا يزكّى في عام مرتين </w:t>
      </w:r>
      <w:r>
        <w:rPr>
          <w:rStyle w:val="FootnoteAnchor"/>
          <w:rtl w:val="true"/>
        </w:rPr>
        <w:footnoteReference w:id="535"/>
      </w:r>
      <w:r>
        <w:rPr>
          <w:rFonts w:ascii="Amiri" w:hAnsi="Amiri" w:eastAsia="Amiri" w:cs="Amiri"/>
          <w:color w:val="111111"/>
          <w:sz w:val="28"/>
          <w:sz w:val="28"/>
          <w:szCs w:val="28"/>
          <w:rtl w:val="true"/>
          <w:lang w:bidi="ar-SA"/>
        </w:rPr>
        <w:t>، وعدمه؛ لاستصحاب شغل الذمة، ولاحتمال حمل الأخبار على حالة عزلها وأخذها بعد ذلك، أو على التقيّة، أو على إجازة الإمام، أو على وصولها لأهلها ومستحقيها مع علم المالك وبنية القربة، وللخبر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المصدّقين يأتونا فيأخذون منا الصدقة فنعطيهم إياها، أتجزئ؟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هؤلاء قوم،غصبوكم، أو ظلموكم، وإنّما الصدقة لأهلها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قوة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بإجزائها زكاةً يشترط فيها كون الآخذ مخالفاً، وكونه لا يزيد عليها في مذهبه، فلو زادت احتسب المساوي زكاة، إلا أنّه يحرم أخذها وشراؤها لمكان الإشاعة، وأن يصرفها في أهلها على مذهبه مع احتمال منع الاشتراط في جميع ذلك، إلا في الزيادة المتميزة؛ لأنّها ظلم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فيها نيّة القربة عند دفعها للجائر ؟ وجه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أعادها الجائر إليه بهبة، ففى وجوب دفعها مرّةً أُخرى على القول بإجزائها وجه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أنّ بعض أصحابنا </w:t>
      </w:r>
      <w:r>
        <w:rPr>
          <w:rStyle w:val="FootnoteAnchor"/>
          <w:rtl w:val="true"/>
        </w:rPr>
        <w:footnoteReference w:id="537"/>
      </w:r>
      <w:r>
        <w:rPr>
          <w:rFonts w:ascii="Amiri" w:hAnsi="Amiri" w:eastAsia="Amiri" w:cs="Amiri"/>
          <w:color w:val="111111"/>
          <w:sz w:val="28"/>
          <w:sz w:val="28"/>
          <w:szCs w:val="28"/>
          <w:rtl w:val="true"/>
          <w:lang w:bidi="ar-SA"/>
        </w:rPr>
        <w:t>حرموا تناول الخراج على المؤمنين؛ استناداً إلى حرمة التصرف بمالٍ أُخذ من أهله ظلماً من غير حقٌّ ولم يأذن أهله فيه ولم يعرضوا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ويردهم الإجماع والسيرة القطعية، ولزوم العسر والحرج، والأخبار المتكثّرة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يشتري من السلطان إبل الصدقة وغنمها وهو يعلم أنّهم يأخذون أكثر من الحقّ الذي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والغنم إلا مثل الحنطة والشعير وغير ذلك لا بأس به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المراد بالحنطة والشعير هو مال المقاسمة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الزيادة المشاعة لا تمنع الشراء حتّى يعلم الحرام بعينه مفصولاً معزولاً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ابن أبي سماك أن يبعث إليك بعطائك، أما علم أنّ لك في بيت المال نصيباً؟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 فيمن يشتري من العامل وهو يظلم؟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منه ما لم يظلم فيه أحداً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 العامل الشيء وأنا أعلم أنّه يظلم؟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فيجيئني مَنْ يتظلم؟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يتقبّل بخراج الرجال وجزية رؤوسهم، وخراج النخل والشجر والآجام والمصائد والسمك والطير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من ذلك شيئاً واحداً قد أدرك فاشتره وتقبل منه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إليه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يتقبل الرجل الأرض وأهلها من السلطان ومزارعة أهل الخراج بالربع والنصف والثلث؟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استأجر من السلطان أرض الخراج بدراهم مسمّاة أو بطعام مسمّى ثم آجرها؟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حفر لهم نهراً أو عمل لهم شيئاً يعينهم بذلك فله ذلك</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يتقبل الأرض ثمّ يؤاجرها؟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وإجارتها بعد استئجارها بمنزلة أخذ الخراج من 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هذه الأخبار كثير، كأخبار قبول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جوائز أهل الجور </w:t>
      </w:r>
      <w:r>
        <w:rPr>
          <w:rStyle w:val="FootnoteAnchor"/>
          <w:rtl w:val="true"/>
        </w:rPr>
        <w:footnoteReference w:id="548"/>
      </w:r>
      <w:r>
        <w:rPr>
          <w:rFonts w:ascii="Amiri" w:hAnsi="Amiri" w:eastAsia="Amiri" w:cs="Amiri"/>
          <w:color w:val="111111"/>
          <w:sz w:val="28"/>
          <w:sz w:val="28"/>
          <w:szCs w:val="28"/>
          <w:rtl w:val="true"/>
          <w:lang w:bidi="ar-SA"/>
        </w:rPr>
        <w:t xml:space="preserve">، ومن المعلوم أنّ غالب دفعهم من الخراج وشبهه، وقبول جوائز الخلفاء الثلاثة والأمويين والعباسيين لأصحاب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يُنكر ولا يُحصر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شراء الخيانة والسرقة ؟ فقال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من متاع السلطان</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أنّه كذلك فلا إلا أن يكون شيئاً اشتريته من العامل</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يندب إرجاع مال الخراج إلى مستحقيه من المؤمنين كما كان يفعل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أموال الشيعة</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محمول على الندب، أو على ما أُخذ حراماً أو ظلماً من الزيادات،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الخراج من علمائهم والتابعين لهم وأهل الجرايات والوظائف حكمهم حكمهم؛ للسيرة، وإطلاق جملة من الأخبار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المخالف من المخالف كأخذ الموافق ما لم يكن عاملاً وفي تملكه؛ لأنّ الخراج للمسلمين، فيصح تناوله للمخالف ولو كان من الموافق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عدمه؛ لأنّه لأهل الحقّ وليسوا من أهله، ولأنّ تحليله إرفاقاً بالشيعة للزوم الحرج عليهم، ولامتناع وصولهم إلى حقوقهم، فأذن الشارع بتناوله لهم دفعاً للمشقة وإيصالاً لهم لما يستحقونه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بين أخذ المخالف من المخالف فيجري عليه حكم الخراج للمؤمنين وبين أخذه من الموافق فلا يجري؛ لأنّه دفعه بخلاف معتقده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مصرف الخراج على مصالح المسلمين العامة عند تمكن الحاكم الشرعي، كبناء القناطر والمساجد وتعمير الأوقاف وكتابة الكتب وإعانة أهل العلم لطلب العلم، وللفقراء، وللمجاهدين، ولبناء المدارس والقلاع عند خوف هجوم العدوّ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دفعه للفقراء من حيثية الفقر ففي بعض الأخبار </w:t>
      </w:r>
      <w:r>
        <w:rPr>
          <w:rStyle w:val="FootnoteAnchor"/>
          <w:rtl w:val="true"/>
        </w:rPr>
        <w:footnoteReference w:id="554"/>
      </w:r>
      <w:r>
        <w:rPr>
          <w:rFonts w:ascii="Amiri" w:hAnsi="Amiri" w:eastAsia="Amiri" w:cs="Amiri"/>
          <w:color w:val="111111"/>
          <w:sz w:val="28"/>
          <w:sz w:val="28"/>
          <w:szCs w:val="28"/>
          <w:rtl w:val="true"/>
          <w:lang w:bidi="ar-SA"/>
        </w:rPr>
        <w:t>ما يشعر به، ولكن الأظهر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زمن الغيبة لو دفعه الجائر للفقراء فلا يبعد جواز قبوله، سيّما لو لم يصرف في المصالح ولم يمكن أو لم يكن محلّ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 الخراج بنظر سلطان الحقّ على ما يراه مما يكون عوضا عن منافع الأرض، وهو يختلف زماناً ومكاناً وعملاً وعاملاً، كما تدلّ عليه بعض الروايات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ضربه من الحاكم الجور، ما لم يرد في الظلم بحيث يتجاوز العادات بالنسبة للمعاوضات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أقطع سلطاناً جاز لمن بعده نقضه، وكذا لو زاد أو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آجر سنين متعدّدة، ففي مضيّها على الذي بعده وانتهائها بعزل الأوّل أو موته وجهان، ولا يبعد أن للثاني نقض الإجارة وإمضاءها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كانت ولايته من السلطان سنة، فالظاهر عدم مضيّ إجارته في الزائد عليها، إلا مع إجازة الثاني؛ لأنّ الظاهر أنّ السنة الأولى ظرف للولاية والتصرف، لا ظرف للولاية وإن زاد التصرّف على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ضرب الخراج لا يفتقر إلى رضى المضروب عليه، بل يكفي ضرب السلطان في شغل الذمة بالقدر ووجوب أدائه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والخراج إذا لم يتعيّن جنسه انصرف إلى الدراهم والدنانير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المقاسمة فهي من حاصل الأرض فيكون شريكاً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والمقاسمة والزكاة من مؤن المال، فيحسب ما سواها ويدفع زكاته إن بلغ النصاب، أو إن لم يبلغ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المتقبلين للأرض من الجائر قد يكونون مستأجرين أو مشترين، وقد يكونون ولاة يُسمّون باسم المستأجرين ولكنّهم رأس الظالمين والمعتدين، فيحرم عليهم حينئذٍ التصرّف بالأرض وأخذ خراجها من الفلاحين والزراعين، وقد يكونون ذوي جهتين، فهم قادمون على إجارة الأرض وقبالتها، وقادمون على الولاية والرئاسة والنهب والغصب والإعانة للسلطان وتقويته كباقي جنوده، والغالب في هذا الزمان جمعهما بولاية واحدة والتزامهما بقول واحد، فيدخلون حينئذٍ في حكم الجائرين، ويحرم عليهم ما يحرم عليهم، حتّى لو اشترى وال من وال أو عامل له منه ففي صحّة الشراء إشكال؛ لأنّ المتيقن في الانتقال هو ما لم يكن منهم ويصرفه في مصارفهم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جرد نفسه عن الولاية فاشترى لقوته ولعياله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جائران فوهب أحدهما شخصاً ومَنَع الآخر فلا يبعد تقديم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بالمال الحلال المختلط بالحرام على نحو القبض والإقباض والتصرّفالسابع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بالمال المختلط حلاله بحرامه على نحو القبض والإقباض والتصرف، وإن تبعضت الصفقة بالنسبة إلى العقد فيصح في الحلال ويفسد في الحرام، بل يحرم العقد لو نوى السلطنة في النقل والانتقال؛ لمكان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الاختلاط إما أن يكون على وجه المزج الذي يدخل بعضه في بعض فلا يتميّز، كماء وماء، ودبس ودبس وعسل وعسل، ودهن ودهن، أو على وجه الاشتباه، مثل الحبوب المتشابهة كالحنطة والشعير والدراهم والدنانير المتماثلة إذا اختلطت ولم يمكن تمييزها إذا اختلط نوع بمثله، ويلحق به الظروف والأواني إذا تشابهت واختلطت ولم تتميّز، أو على وجه الجهالة به، كما إذا دخل محرم للدار لم أعرفه ما هو، ولو عرفته لم يشتبه بغيره من جهة المماثلة إذ لا مماثل له يختلط به بخلاف الحبوب فإنّك لو عرفتها قبل الخلط لم تعرفها بعده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من هذه الأقسام موجب للشركة على نسبة قيمة المال، والقسم الثاني إن أمكن تمييزه بالقرعة لم يوجب الشركة وإلا أوجبها والقسم الثالث إن لم يمكن استخراجه بالقرعة فالطريق إلى الخلاص منه بالصلح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يعلم أهله كلاً أو بعضاً، أو لا يعلم، ثمّ إمّا أن يعلم قدره أم لا، ومعلوم القدر إما في الجملة أو على التحقيق، والمجهول أهله إمّا فيما لا ينحصر أو فيما ينحصر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فالمختلط بالحرام إذا كان أهله مجهولين أصلاً ولا يمكن استعلامهم ما دام المال باقياً ولا يرجى ذلك ولم يعلم قدره أصلاً، أخرج خمسه للإجماع المنقول </w:t>
      </w:r>
      <w:r>
        <w:rPr>
          <w:rStyle w:val="FootnoteAnchor"/>
          <w:rtl w:val="true"/>
        </w:rPr>
        <w:footnoteReference w:id="556"/>
      </w:r>
      <w:r>
        <w:rPr>
          <w:rFonts w:ascii="Amiri" w:hAnsi="Amiri" w:eastAsia="Amiri" w:cs="Amiri"/>
          <w:color w:val="111111"/>
          <w:sz w:val="28"/>
          <w:sz w:val="28"/>
          <w:szCs w:val="28"/>
          <w:rtl w:val="true"/>
          <w:lang w:bidi="ar-SA"/>
        </w:rPr>
        <w:t xml:space="preserve">، والأخبار الدالة على الخمس </w:t>
      </w:r>
      <w:r>
        <w:rPr>
          <w:rStyle w:val="FootnoteAnchor"/>
          <w:rtl w:val="true"/>
        </w:rPr>
        <w:footnoteReference w:id="557"/>
      </w:r>
      <w:r>
        <w:rPr>
          <w:rFonts w:ascii="Amiri" w:hAnsi="Amiri" w:eastAsia="Amiri" w:cs="Amiri"/>
          <w:color w:val="111111"/>
          <w:sz w:val="28"/>
          <w:sz w:val="28"/>
          <w:szCs w:val="28"/>
          <w:rtl w:val="true"/>
          <w:lang w:bidi="ar-SA"/>
        </w:rPr>
        <w:t xml:space="preserve">، ودفع لبني هاشم؛ لظاهر لفظ الخمس وخلطه مع المعادن والغنيمة والغوص والاقتصار على المتيقن كلّها تقضي أنّه لبني هاشم، ولفظ التصدق </w:t>
      </w:r>
      <w:r>
        <w:rPr>
          <w:rStyle w:val="FootnoteAnchor"/>
          <w:rtl w:val="true"/>
        </w:rPr>
        <w:footnoteReference w:id="558"/>
      </w:r>
      <w:r>
        <w:rPr>
          <w:rFonts w:ascii="Amiri" w:hAnsi="Amiri" w:eastAsia="Amiri" w:cs="Amiri"/>
          <w:color w:val="111111"/>
          <w:sz w:val="28"/>
          <w:sz w:val="28"/>
          <w:szCs w:val="28"/>
          <w:rtl w:val="true"/>
          <w:lang w:bidi="ar-SA"/>
        </w:rPr>
        <w:t>وإن ظهر منه أنّه لغيرهم لا يحكم على ما هو أظهر منه، وحلّ الباقي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علم قدره في الجملة، فإن علم زيادته على الخمس احتمل أن إخراج الخمس محلل للباقي أيضاً؛ أخذاً بالإطلاق، وإن علم نقصه أخرج الخمس تعبداً كذلك؛ 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لزوم الصلح مع الحاكم فى مقام الزيادة، ثمّ التصدق به، أو التصدق بكل المحتمل من دون صلح أو بالمتيقن، أو إخراج الخمس والتصدق بما يحتمل زيادته أو بالمتيقن زيادته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 النقيصة احتمل الصدقة بجميع المحتمل، والصدقة بالمتيقن، أو الصلح مع الحاكم ثم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 معلومية الخمس احتمل التصدّق به، واحتمل كونه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قدر الزيادة على الخمس بطل الصلح، وجاءت الوجوه المتقدّمة، وكذا إن علم قدر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أهله معلومين احتمل لزوم دفع ما تيقن فراغ،ذمته، واحتمل لزوم دفع ما تيقن شغل ذمته به واحتمل التنصيف إن كان الحرام لواحد والتثليث إن كان الحرام لاثنين، لا لليد؛ لأن اليد واحدة كما هو مفروض المسألة، بل لأصالة عدم التفاضل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أن ما تحت اليد ملك لأهله إلا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لزوم الصلح مع التراضي أو القهري مع عدمه؛ لأن دفع يقين البراءة إجحاف بالدافع، ودفع المتيقن إجحاف بالمدفوع إليه، والصلح قاطع للنزاع، فيقهر من طلب الزيادة والإجحاف إلى ما يراه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اجتمعت أموال محرّمة لأفراد معلومين احتمل التسوية لما ذكر، واحتمل لزوم الصلح مع الرضى أو القهري لو امتنع أحدهم فطلب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المال تحت يد أهله فاشتبه قدره تساووا فيه؛ لموجب اليد، وأصالة عدم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أهل المال مشتبهين في محصور قوي استخراج صاحبه بالقرعة، واحتمل التوزيع، واحتمل كونه كالمجهول من غير المحصور يعود للحاكم، وفي منع الجميع دفع المستحق عن استحقاقه، وفي التوزيع دفع مال شخص إلى آخر، وفي القرعة وصول الحقّ إلى أهله بطريق شرعيّ، والعلم بجهة الحرام كخمس وزكاة علم بالأرباب، والمتولي لجميع تلك المالك، وإلا فوليه، وإلا فالحاكم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صورة الامتزاج بالوقف يتعيّن الصلح ويجعل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المشتبه به وقفاً وغيره جرى على كلّ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مَنْ ينعتق على صاحب المال في الحرام، فإن أخرج خمسه حلّ الباقي ولا ينعتق عليه أحد؛ لاحتمال أنّه في المدفوع، والأصل في الانعتاق العدم، واحتمل تحكيم القرعة قبل الخمس واحتمل بعده، فإن حكمها قبل فعرف نقصان الحرام عن الخمس جاء الحكم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اجتمعت أموال محرّمة مختلطة فعُرف صاحب لبعضها، كان من الحلال المختلط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ملك بعضها أحدٌ مشاعاً بصلح مع الحاكم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اشتبه الحلال باللقطة، صولح عليها الحاكم وعرّف إن أمكن، وإن لم يمكن التعريف رجع إلى حكم دفع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خمس المال فتبين صاحبه، ضمن لصاحبه، ولا يضمن المدفوع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تصدق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دفع الخمس إلى الحاكم أو صالح الحاكم فدفع إليه مال الصلح أو دفع إليه مال الصدقة لولايته، لم يضمن الدافع ولا المدفوع إليه ولا الحاكم، ويحتمل عود الضمان على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المختلط وقفاً عاماً وخاصاً مختلف أهله وجهته فاختلط بوقف عام أو خاص حلال، احتمل إجزاء دفع الخمس فيحلّ له الباقي فيكون وقفاً، وينفسخ الوقف بالنسبة إلى الخمس، واحتمل هنا لزوم الصلح وإعطاء كلّ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عند شخص أموال مختلطة من وجوه وقف متعدد لا يعرف أهلها ولا يميّز مصرفها ولا يميز بعضها عن بعض، احتمل انفساخ الوقف، وتكون صدقةً، وبقاؤه وقفاً في الجملة، والصدقة بنمائه مطلقاً، أو الفرق بين العام فالصدقة بنمائه، والخاص فالصدقة بعينه، ويصالح الحاكم على تعيين العام من الخاص عند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بيده مجهول المالك لا يجوز له دفعه لمن ادعاه إلا ببينة، فإن لم يكن بيد أحد فلا تجوز معارضة مَنْ يدعيه ويؤخذ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اختلط في الزكاة أو الخمس أموال محرّمة مجهولة القدر والصاحب، احتمل إخراج خمسها، ويحلّ الباقي زكاة، واحتمل لزوم الصدقة بجميعها، وفي الخمس يحتمل لزوم الصلح، ويحتمل عوده خمساً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في ذمته أموال من قرض أو غصبٍ لا يعرف أهلها ولا قدرها صالح الحاكم ودفعها إليه، ويحتمل جواز الدفع بيده وإن كان ما يقطع بفراغ به أحوط، وما تيقن شغل ذمّته به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منها معلوم أهله صالحهم، أو دفع المقطوع بالفراغ به، أو المقطوع بشغل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بمال الأرحام والأزواج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الإنسان التكسّب بمال أبيه وأُمه وولده وأخيه وأخته وأصدقائه وأزواجها وزوجاته وأعمامه وعمّاته وأخواله وخالاته وسائر أرحامه، سوى ما استثني من البيوت من الأكل فيها ما لم يظهر من المالك نهي صريح أو فحوى أو ظنّ قويّ بعدم الرضى من الأمارات والفرق بين المستثنى وبين غيره توقف غيره على الإذن الصريحة أو الظن الحاصل من دلالة قول أو فعل على الرضى بالأكل أو الأخذ أو التكسّب به؛ لحرمة مال الغير عقلاً ونقلاً </w:t>
      </w:r>
      <w:r>
        <w:rPr>
          <w:rStyle w:val="FootnoteAnchor"/>
          <w:rtl w:val="true"/>
        </w:rPr>
        <w:footnoteReference w:id="559"/>
      </w:r>
      <w:r>
        <w:rPr>
          <w:rFonts w:ascii="Amiri" w:hAnsi="Amiri" w:eastAsia="Amiri" w:cs="Amiri"/>
          <w:color w:val="111111"/>
          <w:sz w:val="28"/>
          <w:sz w:val="28"/>
          <w:szCs w:val="28"/>
          <w:rtl w:val="true"/>
          <w:lang w:bidi="ar-SA"/>
        </w:rPr>
        <w:t>إلا ما دلّ الدليل على حلّيته</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الضرورة في المخمصة، فإنّه يجوز التناول قرضاً وإن لم يرض المالك لمن لا يتمكن من دفع العوض في الحال، والأحوط الإذن من الحاكم، وإذا أمكن دفع العوض في الحال وجب، وإن لم يمكن الأمران جاز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واجب النفقة، فإنّه يتناول مقدار نفقته عند الامتناع، والأحوط الرجوع للحاكم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ويستثنى من ذلك الزوجة الدائمة، دون المتعة والرجعية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أمر الرجل إليها في بيته، بأن لا يكون لها بيت آخر، أو ناشزة في المأدوم من ملح أو خَلٌّ أو دهن أو لحم على إشكال في الأخيرين، كالإشكال في الخبز والفاكهة، بأن تتصدق به بشرط كونه يسيراً، وليس من المقومات عند أهل الأموال، ولا قليلاً سواه، ويشترط أن يكون جامعاً لشرائط الصدقة، وأن لا ينهاها صريحاً أو 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اتجر بمال الطفل ولم يكن أباً وإن علا كان الربح لليتيم إن لم يكن ولياً وإن نواه لنفسه، وكذا لو كان ولياً ولكنّه غير ملي، فإن لم يربح المال بطل العقد من غير الولي وغير الولي الملي؛ لحصول الإجازة السماوية في الأوّل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للولي الملي أن يتجر مع الملاءة بمال اليتيم لنفسه، ويكون قرضاً عليه، ولا يشترط الرهن عليه والضمين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ذلك في الأجنبي، ويشترط الغبطة في التصرف من الأجنبي بل ومن الولي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الأب والجد للأب فيجوز له التكسّب بمال ابنه الصغير لنفسه وللصغير، ولا يشترط فيه الملاءة ولا الغبطة ولا الاقتراض مع العسر واليسر وله أن يشتري من مال ولده الصغير والمجنون والسفيه المستمرّ سفهه نقداً ونسيئةً فيكون موجباً قابلاً وأن يقوم جارية ولده عليه فيطأها معاطاة، أو بلفظ البيع ونحوه، أو بلفظ التقويم وله أن يتناول نفقته مع عسره من ماله من دون استئذان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الكبير الذي لا ولاية له عليه فيجوز له الأكل من بيته مع عدم النهي، ويجوز له تناول نفقته منه إن كان معسراً والولد موسر مع عدم حضوره، ولا يفتقر إلى الرجوع إلى الحاكم،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الأخذ ولو مع حضوره مقتصراً على ما يجب على الولد بذله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بدون ذلك فلا يجوز للأب التصرف والتكسب بمال ولده، إلا مع الضرورة أو الإذن؛ للأصل وعمومات الأدلّة، وخصوص الأخبار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مصروف عن حقيقته،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قضية في واقعة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والقول بجواز تصرّف الوالد بمال ولده الكبير مطلقاً </w:t>
      </w:r>
      <w:r>
        <w:rPr>
          <w:rStyle w:val="FootnoteAnchor"/>
          <w:rtl w:val="true"/>
        </w:rPr>
        <w:footnoteReference w:id="563"/>
      </w:r>
      <w:r>
        <w:rPr>
          <w:rFonts w:ascii="Amiri" w:hAnsi="Amiri" w:eastAsia="Amiri" w:cs="Amiri"/>
          <w:color w:val="111111"/>
          <w:sz w:val="28"/>
          <w:sz w:val="28"/>
          <w:szCs w:val="28"/>
          <w:rtl w:val="true"/>
          <w:lang w:bidi="ar-SA"/>
        </w:rPr>
        <w:t xml:space="preserve">، أو في خصوص حج الإسلام </w:t>
      </w:r>
      <w:r>
        <w:rPr>
          <w:rStyle w:val="FootnoteAnchor"/>
          <w:rtl w:val="true"/>
        </w:rPr>
        <w:footnoteReference w:id="564"/>
      </w:r>
      <w:r>
        <w:rPr>
          <w:rFonts w:ascii="Amiri" w:hAnsi="Amiri" w:eastAsia="Amiri" w:cs="Amiri"/>
          <w:color w:val="111111"/>
          <w:sz w:val="28"/>
          <w:sz w:val="28"/>
          <w:szCs w:val="28"/>
          <w:rtl w:val="true"/>
          <w:lang w:bidi="ar-SA"/>
        </w:rPr>
        <w:t xml:space="preserve">، أو في خصوص وطء الجارية </w:t>
      </w:r>
      <w:r>
        <w:rPr>
          <w:rStyle w:val="FootnoteAnchor"/>
          <w:rtl w:val="true"/>
        </w:rPr>
        <w:footnoteReference w:id="565"/>
      </w:r>
      <w:r>
        <w:rPr>
          <w:rFonts w:ascii="IRNazanin" w:hAnsi="IRNazanin" w:eastAsia="IRNazanin"/>
          <w:color w:val="111111"/>
          <w:sz w:val="28"/>
          <w:sz w:val="28"/>
          <w:szCs w:val="28"/>
          <w:rtl w:val="true"/>
          <w:lang w:bidi="fa-IR"/>
        </w:rPr>
        <w:t xml:space="preserve">؛ للأخبار </w:t>
      </w:r>
      <w:r>
        <w:rPr>
          <w:rStyle w:val="FootnoteAnchor"/>
          <w:rtl w:val="true"/>
        </w:rPr>
        <w:footnoteReference w:id="566"/>
      </w:r>
      <w:r>
        <w:rPr>
          <w:rFonts w:ascii="Amiri" w:hAnsi="Amiri" w:eastAsia="Amiri" w:cs="Amiri"/>
          <w:color w:val="111111"/>
          <w:sz w:val="28"/>
          <w:sz w:val="28"/>
          <w:szCs w:val="28"/>
          <w:rtl w:val="true"/>
          <w:lang w:bidi="ar-SA"/>
        </w:rPr>
        <w:t>الواردة في ذلك، ضعيف لا يقاوم ما قدمنا، فتطرح أو تحمل على الاضطرار، أو الإذن الفحوائية، أو على الأخذ من النفقة في بعض، أو على القرض من مال الطفل في بعض آخر، أو على الإرشاد إلى الندب لإذن الولد في ذلك لو فعل الأب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للزوج لو دفعت إليه الزوجة مالاً ليتجر به لنفسه أن يفعل ما فيه غضاضة عليها، فيجعله مهراً لامرأةٍ أخرى، أو عطيّة لضرتها، أو يشتري جاريةٌ ليطأها، وربما يسري الحكم لكلّ مدفوع إليه إذا فعل فيه ما يشين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بما يأخذه الإنسان من ثمرة نخل أو شجر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بها اتفاقاًالتاسع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بما يأخذه الإنسان من ثمرة نخل أو شجر أو زرع أو خضر إذا مر بها اتفاقاً من دون قصد، فلا يجوز له نقل ما يأخذه إلا للأكل، ولا يجوز بيعه على أهله، ولا على مَنْ مرّ مثله، ولا على آخر ثالث سواء كان المبيع قدر أكله أو زائداً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يباح الأكل له مع شاهد الحال من وضع البساتين، أو من عادة أهلها في البساتين المنصوبة في الطرق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الجواز ما لم يعلم النهي ؛ للأخبار </w:t>
      </w:r>
      <w:r>
        <w:rPr>
          <w:rStyle w:val="FootnoteAnchor"/>
          <w:rtl w:val="true"/>
        </w:rPr>
        <w:footnoteReference w:id="567"/>
      </w:r>
      <w:r>
        <w:rPr>
          <w:rFonts w:ascii="Amiri" w:hAnsi="Amiri" w:eastAsia="Amiri" w:cs="Amiri"/>
          <w:color w:val="111111"/>
          <w:sz w:val="28"/>
          <w:sz w:val="28"/>
          <w:szCs w:val="28"/>
          <w:rtl w:val="true"/>
          <w:lang w:bidi="ar-SA"/>
        </w:rPr>
        <w:t xml:space="preserve">والإجماعات المنقولة </w:t>
      </w:r>
      <w:r>
        <w:rPr>
          <w:rStyle w:val="FootnoteAnchor"/>
          <w:rtl w:val="true"/>
        </w:rPr>
        <w:footnoteReference w:id="5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بشرط أن لا يقصد المرور للأكل، ولا يفسد بالأكل أو بالمرور فيهدم حائطاً أو يكسر شجرة أو يلقي ثمرها إلى الأرض، ولا يجحف ولو بعد أكل الغير منه، كما إذا بقي ما إن أكله لم يبق شيء منه، وقد ذكرنا المسألة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بمنافع الأجير الخاصّالثمانون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بمنافع الأجير الخاص، وهو المأخوذ عليه المباشرة لعمل مطلق أو معين في وقت معين منطبق على العمل بتمامه وقتاً أو فوريةً أو في أوّله أو وسطه أو آخره، بأن يكون أجيراً لغير المستأجر في ذلك الوقت بعمل مشروط عليه مباشرته بنفسه ينافي العمل الأوّل ويضاده؛ لعدم سلطانه على نفسه، ولعدم القدرة على تسليم منافعه المملوكة للغير، وللزوم اجتماع مالكين على مملوك واحد، أو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مَنْ خُوطب بعمل معيّن في وقت معين، كصوم شهر رمضان أو نذر أو حج استؤجر في وقت خاص، فإنّه لا يجوز له إجارة نفسه على عمل يضاده، ولا أن يفعله تبرّعاً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ويفسد حيث يكون عبادة؛ لعدم إمكان توجه الأمر بعد حرمة الاستيفاء، ولامتناع تعلّق الإجارة الثانية بالمحال، ولاستحالة التكليف بالمحال، وللزوم التشريع، ولتعلّق النهي؛ بناءً على أنّ الأمر بالشيء يقضي بالنهي عن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في غير العبادة؛ لأنّه ظلم وعدوان لاستيفاء مال الغير ومنفعته، وباستعمال الجوارح التي تعلّق بها حق الأوّل تعلّق الرهانة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وللإجماع محصلاً ومنقولاً، والأخبار في بعض الموارد، وتعمّ بتنقيح المناط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والإجارة المطلقة لا تقضي بالفورية على الأظهر بالنسبة إلى العمل وإن اقتضت الحلول في النقل والانتقال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وللقول باقتضاء الفورية عرفاً للطالب وجه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تقضي بالمباشرة ما لم يظهر من الخطاب ذلك أو من قرائن الأحوال؛ لأن المقصود في الإجارة مجرّد إيقاع ما استؤجر عليه في الخارج من دون ملاحظة المباشرة، فالمقصود في الإجارة أن يملك عليه العمل بحيث يوجده في الخارج بنفسه أو بوكيله أو بأجير 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أوامر الشارع في العبادات المقصود منها مجرد العبودية والخضوع؛ فإنّ الأصل فيها المباشرة، ولذلك ينعكس الحكم في أمر الشارع به وفهمنا منه إرادة مجرد وجوده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الأجير الخاص لو عمل لغيره فإما أن يكون بأجرةٍ مسمّاة أو تبرّعاً، أو بأجرة المثل من دون ملاحظة المسمّى، والعمل إما عبادة أو غيرها، والجميع إما مجانس أو مخالف، والجميع وقوعه إما عمداً أو سهواً، فإن تماثل العملان أو دخل أحدهما في الآخر وأجاز المستأجر الأوّل الإجارة الثانية استحق المسمّى في الثانية وأعطى الأجير أجرته، وإن لم يجزها، أو لم يكن مسمّى، أو كانت مطلقةً وقد استوفى الثاني تمام المدة، تخيّر بين الرجوع على الأجير أو المستوفي بأجرة مثل العمل المستوفى أو الفائت، أو الفسخ، ومع الرجوع على المستوفي بأجرة الفائت يرجع المستوفي على الأجير بالتفاوت إن كان مغروراً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 على الأجير بأجرة المستوفي رجع الأجير إليه مع عدم غروره بالتفاوت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فسخ فأجاز الأجير الثانية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إجازة مَنْ نقل شيئاً ثمّ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الثانية ولزم المسمّى للآخر، وإن لم يُجِزْ أو لم يَجُز ذلك فليس للأجير على الثاني سوى أُجرة المستوفى دون المسمّى مع عدم غروره، ومع غروره أقل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شرك في العمل بين المستأجر وغيره تسلّط المستأجر على الفسخ؛ لتبعيض الصفقة أو الإمضاء، فيرجع بأجرة المستوفى على مَنْ شاء من الأجير وغيره، أو أجرة المدة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الأجير العمل لهما انفسخت الإجارة و الكلام في الرجوع بالمقبوض من مال الإجارة مبني على تعيين من استحقه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تضادت الإجارتان فسدت الأولى مع الإجازة، وصحت الثانية وعاد مسمّاها للأجير؛ لأنّ الثانية لا مانع من صحتها سوى تعلّق حق المستأجر الأوَّل، فإذا أجاز صحت الثانية وبطلت الأولى؛ لعدم إمكان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الثانية عبادةً، احتمل صحتها؛ لأنّ النهي عن الضد لا يقضي بالفساد، واحتمل فسادها؛ لأنّه تصرف بملك الغير في الجملة، وله فيها تعلّق الرهانة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الإجازة فللأوّل الرجوع على مَنْ شاء منهما بالفائت، فإن رجع على المستأجر رجع المستأجر على الأجير بالتفاوت مع غروره، وليس للأجير مع الرجوع إليه سوى الأقل من أجرة المستوفى أو المسمّى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صحّة الثانية وإن لم يجز، غايته انه منهي عنه والنهي لا يقضي بالفساد؛ لأنّه من النهي عن الضد، وحينئذٍ لا رجوع للمستأجر الأوّل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يرجع للأجير؛ لمكان التفويت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إجارة الأجير المطلق مطلقاً وخاصاً وإجارة الخاص مطلقاً، ولو فهمنا من إجارة العبادات الفورية امتنعت المطلقتان والمطلقة في الوقت الخاص، إلا أن يكون من باب المطلق والمقيد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تضيقت المطلقة، لم تجز الإجارة الخاصة وقت التضيق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تضيقت المطلقتان اختار المستأجر أيهما شاء، وضمن الثانية بأجرة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استأجر على مضيقتين دفعةً بطل العقد، وإلا لزم الترجيح من دون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والأخذ والنقل بما يقدّم للضيف من الطعام والإكرام للأكلالواحد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والأخذ والنقل بما يقدّم للضيف من الطعام والإكرام للأكل، إلّا إذا قضت العادة بجواز حمله ونقله وإباحة التصرّف فيه، فيكون أخذه والتصرف فيه بالإذن الفحوائية ولو ظنّيّة؛ لقيام السيرة على ذلك، وحينئذٍ لو حمله فباعه صح بيعه؛ لإباحة التصرف فيه، ويملك الثمن ناقله بتمام صيغة البيع أو معاطاته، فيملك المبيع آناً ما بصيغة البيع فيملك الثمن، ويمكن أن لا يكون بين الملكين تقدَّم زماني، بل تقدَّم ذاتي كتقدم العلة على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 يحلّ أخذ ما ينثر أو يقدم في الأعراس أو يرمى للنهب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جملةٍ ممّا يحرم التكسّب بهاالثاني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بعين الحُرّ في جميع المعاوضات، ويحرم نقله في جميع المجانيات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التكسّب بعين أُمّ الولد في جميع عقود المعاوضات، سوى ما استثني، وكذا يحرم نقلها بجميع المجانيات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بعين الوقف العام أو الخاص سوى ما استثني، وكذا نقله بجميع المجانيات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التكسّب في نقل المصحف إلى الكافر، وكذا نقله في العقود المجانيات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التكسّب بالأرض الخراجيّة عيناً أو منفعة لغير الحاكم الشرعي أو الجائر، إلا ما ملك فيها تبعاً لآثار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عيناً ومنفعةٌ في المباحات قبل ملكها أو حيازتها أو الاختصاص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نقلها بالنواقل المجانية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في عقود المعاوضات في غير المقدور على تسليمه عيناً أو منفعةً، حتى الصلح في أقوى الوجهين، وحتى في المهور وعوض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فيما لا يتموّل في عقود المعاوضات حتّى في الصلح والمهر وعوض الخلع، والظاهر أن العين والمنفعة سواء، ولا يلحق بها هنا العقود المجانية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التكسّب فيما تعلّق اللّه فيه حقٌّ من نذر أو عهد أو يمين زجراً أو شكراً، وكذا العقود المجانية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بما تعلّق فيه للميت حقٌّ وإن بقي على الملك كالكفن وشبهه، وكذا العقود المجانية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بالمال المتعلّق به حق الغير من دون إذنه، كالرهن وتركة الميت المستغرقة في الدين من دون إذن الغريم أو إيفائه من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بمال الزكاة والخمس لغير الحاكم قبل قبضه وملكه لمستحقه وغيره إلا للمالك مع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بالمعدوم في غير ما استثني من البيع والإجارة في وجه، وفي الصلح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بالمبهم الذي لا وجود له، كأحد الأشياء، وكلّ ما لا يؤول إلى العلم واقعاً ولا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التكسّب بالمجهول في خصوص البيع وإن آل إلى العلم، وكذا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جميعها ويلحقها جملة أُخرى تركنا الكلام عليها؛ لأنّها تذكر في كتاب البيع والإجارة وفي كتاب القرض وغيرها، ويأتي جملة منها في الشرائط، ومنها في الصرف، ومنها في السلم وفي الخيارات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مستثنيات حرمة التكسّب بمال الغير من غير إذنهالثالث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حرمة التكسّب بمال الغير من غير إذنه، ونذكر هنا بعض المستثنيات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المعرض عنه من مالكه، فإنّه يحلّ أخذه لمن تسلّط عليه وقبضه بنيّة التملك أو بدونها، إلا أنّه مع نية التملك يملكه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يخرج عن ملك الأوّل بالإعراض ويدخل في ملك الثاني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له، أو أنّه يخرج عن ملك الأوّل ويدخل في ملك الثاني بتملكه؟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أعرض عن ماله لجهة خاصة أو لقوم خاصين ففي تحقق الإعراض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والإعراض عن الوقف لا يُخرجه عن الوقفية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وجد المعرض ماله فهل هو أحق به؟ 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يفتقر الإعراض إلى نيّة، بل لو كان حال المال ممّا يعرض عنه تحقق 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أعرض عن هذا المال، ففي نفوذه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وحلّيّة المال المعرض عنه يشهد 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بطيب نفسه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وإنّه من قبيل إباحة المالك فحوى، وما جاء في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في غير كلأ وماء وكان مريضاً</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ما دون الدرهم في غير الحرم، فإنّه يصح أخذها وتملكها والتكسب بها، وكذا اللقطة مطلقاً بعد التعريف سنةً، فإنّه له كذلك وإن ضمن لصاحبها في المقامين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الضالة لو وُجدت في الفلاة من جهد في غير كلاً ومرعى فإنّه يجوز تملكها والتكسب بها، ولا ضمان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إرجاع عينها لو طالبها المالك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البعير والفرس والحمار سواء، وكذا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وصغار تلك الحيوانات لو وجدت في الفلاة فإنّه يجوز تملكها والتكسب بها، سواء كانت في كلأ ومرعى أم لا، وفي ضمانها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إجراء حكم المال الصامت على غير الشاة مطلقاً حتّى الدجاج، وكذا كلّ حيوان لا يمتنع بنفسه من السباع لضعفه أو صغره، والأحوط إجراء حكم لقطة الصامت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التقاط الحيوان مطلقاً في العمران، كما سيجيء في اللقطة إن شاء اللّه تعالى، فلو التقطه عرّف به سنةً إذا بلغ الدرهم، وفيما لا يبلغ وجهان إلا الشاة، فإنّه يحبسها ثلاثة أيام، فإن ظهر صاحبها وإلا باعها وتصدق بثمنها وضمن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تملك الشاة ولا غيرها ولو بعد التعريف سنةً على الأظهر؛ لحرمة التقاطها، مع احتمال إجراء حكم لقطة المال الصامت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المحياة لشخص لو ملكها بالإحياء ثمّ ترك عمارتها حتّى خربت فإنّه يجوز التصرف بها للثاني والتكسب بها وإن لم يرضَ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عليه أن يؤدّي للأوّل طسقها، ولو قلنا بملكية الثاني لها خرجت عن موضوع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الأنهار المملوكة في طريق المسلمين، فإنّه يجوز التصرف بها بوضوء وغُسل وغسل، بل والاكتساب بما أخذ منه ما لم يمنع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المتسعة التي يلزم من اجتنابها العسر والحرج، فإنّه يجوز لغير غاصبها التصرف بها وإن لم يجز التكسّب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لمن له عليه دين فامتنع عن وفائه، فإنّه يجوز أخذه وتملكه والتكسب به مقاصةً عمّا عليه، وأحكامه كثيرة في باب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الودعي لو علم تعلق الحج برقبة المستودع فمات جاز له أن يأخذ من الوديعة ما يستأجر به للحج من الميقات لنفسه أو غيره مع علمه بمنع الوارث، واستئذان الحاكم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يؤخذ ممّن امتنع من دفع زكاة أو خمس أو نذر أو كفارة بإذن الحاكم مهما أمكن، ويجوز أن يتملكه إذا كان من أهله ويكتسب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للمحسن أن يأخذ ويتصرف في مال المحسن إليه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Style w:val="FootnoteAnchor"/>
          <w:rtl w:val="true"/>
        </w:rPr>
        <w:footnoteReference w:id="573"/>
      </w:r>
      <w:r>
        <w:rPr>
          <w:rFonts w:ascii="Amiri" w:hAnsi="Amiri" w:eastAsia="Amiri" w:cs="Amiri"/>
          <w:color w:val="111111"/>
          <w:sz w:val="28"/>
          <w:sz w:val="28"/>
          <w:szCs w:val="28"/>
          <w:rtl w:val="true"/>
          <w:lang w:bidi="ar-SA"/>
        </w:rPr>
        <w:t>وذلك في مواضع، وسيجيء جملة منها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 تشترك فيها أكثر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العقود تتبع القصودالقاعدة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تتبع القصود؛ لأنّ القصد هو المقوم للعقد وهو المتبادر منه لغةٌ وشرعاً، فينصرف إليه لفظ العقد ولفظ أنواعه من بيع وإجارة وغيرهما، ويدخل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وهو الذي يبتني عليه التراضي الذي هو شرط في التجارة، فلو خلا عن قصد اللافظ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كالهازل والعابث والنائم والسكران والمغلوب على اختياره كالغضبان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من استمرار القصد من ابتداء الإيجاب إلى تمام القبول للموجب ومن ابتداء الإيجاب إلى تمام القبول للقابل، فلو لم يسمع القابل الإيجاب أو لم يعقله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لسكر أو إغماء لم ينفعه القبول بعد ذلك، ولو سمع الإيجاب غير عازم على القبول أو ردّ الإيجاب، ففي صحّة القبول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في العقود اللازمة، وأما الجائزة فقد يتسامح فيها ما لا يتسامح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التراضي في العقودالقاعدة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شرط في العقود؛ لانصراف العقد إليه لغة وشرعاً،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يشترط هنا استمرار الرضى من ابتداء الإيجاب إلى تمام القبول، وكذا القابل، بل لو أوقع الإيجاب مكرهاً عند القبول أو بعده، أو أوقع القابل القبول راضياً بعد الإكراه حين الإيجاب صح العقد؛ لأنّ الرضى الواقع بعد الصيغة كالمقارن؛ استناداً إلى دخول العقد بعد حصول الرضى تحت أدلة العقود 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الأفراد التي يشكّ في شمولها له؛ لفهم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الفقهاء دخوله فيها وهم أعرف بمداليل الألفاظ الشرعيَّة، ولعدم ندرته كي ينصرف الإطلاق إلى غيره، وللإجماع المنقول </w:t>
      </w:r>
      <w:r>
        <w:rPr>
          <w:rStyle w:val="FootnoteAnchor"/>
          <w:rtl w:val="true"/>
        </w:rPr>
        <w:footnoteReference w:id="577"/>
      </w:r>
      <w:r>
        <w:rPr>
          <w:rFonts w:ascii="Amiri" w:hAnsi="Amiri" w:eastAsia="Amiri" w:cs="Amiri"/>
          <w:color w:val="111111"/>
          <w:sz w:val="28"/>
          <w:sz w:val="28"/>
          <w:szCs w:val="28"/>
          <w:rtl w:val="true"/>
          <w:lang w:bidi="ar-SA"/>
        </w:rPr>
        <w:t>على صحته، والشهرة المحصلة على نفوذه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ذهب إليه بعض </w:t>
      </w:r>
      <w:r>
        <w:rPr>
          <w:rStyle w:val="FootnoteAnchor"/>
          <w:rtl w:val="true"/>
        </w:rPr>
        <w:footnoteReference w:id="578"/>
      </w:r>
      <w:r>
        <w:rPr>
          <w:rFonts w:ascii="Amiri" w:hAnsi="Amiri" w:eastAsia="Amiri" w:cs="Amiri"/>
          <w:color w:val="111111"/>
          <w:sz w:val="28"/>
          <w:sz w:val="28"/>
          <w:szCs w:val="28"/>
          <w:rtl w:val="true"/>
          <w:lang w:bidi="ar-SA"/>
        </w:rPr>
        <w:t>من عدم تأثير الرضى المتأخر؛ للأصل والشك في شمول دليل العقد له، والإجماع المنقول، ضعيف لا يقاوم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على ما اخترناه في حق المختار ولا يجوز له الفسخ حتّى يرضى المكره أو يرد بعد زوال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طال الزمان احتمل لزوم الوقف؛ لأن الضرر أدخله المختار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جواز الفسخ، واحتمل الرجوع إلى الحاكم ولو طال زمن الجبر لزم الوقف فإن تعقبه الرضى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كلّ ما تصح فيه النيابة تصح فيه الولايةالقاعدة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تصحّ فيه النيابة تصحّ فيه الولاية في مقام الولاية الإجبارية وفي ولاية الحاكم وتصح فيه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تصحّ فيه الوكالة تصحّ فيه الفضولية لو تعقبها الإجازة وهو الرضى المتأخر، فيصح العقد الفضولي مع تعقب الإجازة، ويوقف حتّى يدّ المالك أو يجيز، ويلزم من طرف الأصيل، وعليه الانتظار وإن طال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الإجازة كاشفة أو ناقلة؟ بحث يأتي في محله </w:t>
      </w:r>
      <w:r>
        <w:rPr>
          <w:rStyle w:val="FootnoteAnchor"/>
          <w:rtl w:val="true"/>
        </w:rPr>
        <w:footnoteReference w:id="579"/>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ويشمل الفضولي العقود اللازمة والجائزة، والمعاوضة وغيرها المنوي بها القربة وغيرها؛ لشمول دليله لجميع ذلك، وما جاء في فضولي البيع والنكاح </w:t>
      </w:r>
      <w:r>
        <w:rPr>
          <w:rStyle w:val="FootnoteAnchor"/>
          <w:rtl w:val="true"/>
        </w:rPr>
        <w:footnoteReference w:id="580"/>
      </w:r>
      <w:r>
        <w:rPr>
          <w:rFonts w:ascii="Amiri" w:hAnsi="Amiri" w:eastAsia="Amiri" w:cs="Amiri"/>
          <w:color w:val="111111"/>
          <w:sz w:val="28"/>
          <w:sz w:val="28"/>
          <w:szCs w:val="28"/>
          <w:rtl w:val="true"/>
          <w:lang w:bidi="ar-SA"/>
        </w:rPr>
        <w:t>من الأخبار الدالة على الصحّة يدلّ على غيرها بالأولوية أو بتنقيح المناط، ولأنّ العقد الفضولي مشمول للأدلة جنساً ونوعاً، وجامع للشرائط بعد حصول الرضى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بين المقارن والمتأخر، وشرطيّة المقارنة الأصل،عدمها، وليس من النادر الذي لا ينصرف إليه إطلاق العقد، بل السيرة القطعية تؤذن باستعماله في الجملة، ونقل الإجماع على عدم القول بالفرق </w:t>
      </w:r>
      <w:r>
        <w:rPr>
          <w:rStyle w:val="FootnoteAnchor"/>
          <w:rtl w:val="true"/>
        </w:rPr>
        <w:footnoteReference w:id="581"/>
      </w:r>
      <w:r>
        <w:rPr>
          <w:rFonts w:ascii="Amiri" w:hAnsi="Amiri" w:eastAsia="Amiri" w:cs="Amiri"/>
          <w:color w:val="111111"/>
          <w:sz w:val="28"/>
          <w:sz w:val="28"/>
          <w:szCs w:val="28"/>
          <w:rtl w:val="true"/>
          <w:lang w:bidi="ar-SA"/>
        </w:rPr>
        <w:t>، وكثير من الأبواب المتفرّقة تشعر بصحته، ذكرناها في بحث الفضولي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الفضولي بين أن ينقل ناوياً لنفسه أو لغيره أو للمالك، فإن أجاز المالك لنفسه عاد له ولغت نية الخلاف، وإن أجاز على طبق ما نوى صح، وينتقل إلى غير المالك بنفس الصيغة فيملك الثمن،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وينبعث من ذلك جواز بيع الإنسان مال نفسه لغيره فيجيز الغير ويملكه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استبعاد نفوذ إجازة من تصرف بشيء ثم ملكه بعد ذلكالقاعدة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نفوذ إجازة من تصرف بشيءٍ من نقل أو انتقال أو مضاربة أو عارية أو رهن أو إجارة، ثمّ ملكه بعد ذلك على القول بأن الإجازة ناقلة، وعلى القول بالكشف يشكل من لزوم صحته عدمها؛ لأنّه لو صح النقل الأوّل لما انتقل، فلو أثر انتقاله بصحة الأوّل للزم عدم انتقاله،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اشترطنا في الإجازة مطلقاً قابليّة المجيز للإجازة في الحال لم يكن لذلك وجه صحة، ولكن لا نشترط؛ لما يرشد إليه الفضولي عن الصغيرين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ما لو باع الفضولي مال كامل فنقص الكامل، فصار وليه أو مات فكان وارثه، أو غاب فتولاه الحاكم الشرعي، أو آجر نفسه مملوكاً فصار حُراً، أو أجيراً خاصاً بإجارةٍ خاصة، أو باع مرهوناً ففكّ الرهن فتقايل مع الأوّل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البلوغ والعقل في صحة العقود من الموجب والقابلالقاعدة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العقود البلوغ من الموجب، وكذا القابل حين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بلوغ القابل عند إيجاب الموجب؟ الظاهر جوازه إذا كان مميزاً للإيجاب حين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العقل من الموجب إلى تمام الصيغة والقبض فيما شرطه القبض، ومن القابل من ابتداء الإيجاب إلى تمام الصيغة وشرطها، فلا عبرة بعقد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معاطاة أو غيرها، قليلاً أو كثيراً، ولا عبرة بإذنه وإباحته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ظنّ إذن الولي له جازت معاملته في الحقير، ويكون من قبيل الإباحة من الأولياء أو من الشارع؛ لقيام السيرة على ذلك، كما إذا أذن الصبي بدخول الدار أو أوصل الهدية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فتصرف الصبي وعقده وإيقاعه لا يفيد ملكاً ولا تمليكاً؛ لعدم دخوله في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المخاطبين، ولعدم دخول عقده في العقود جنساً ونوعاً، ولعدم ترتب الحكم الشرعي اللازم للمالك والتمليك عليه؛ لرفع القلم عنه، وللإجماع المنقول </w:t>
      </w:r>
      <w:r>
        <w:rPr>
          <w:rStyle w:val="FootnoteAnchor"/>
          <w:rtl w:val="true"/>
        </w:rPr>
        <w:footnoteReference w:id="583"/>
      </w:r>
      <w:r>
        <w:rPr>
          <w:rFonts w:ascii="IRNazanin" w:hAnsi="IRNazanin" w:eastAsia="IRNazanin"/>
          <w:color w:val="111111"/>
          <w:sz w:val="28"/>
          <w:sz w:val="28"/>
          <w:szCs w:val="28"/>
          <w:rtl w:val="true"/>
          <w:lang w:bidi="fa-IR"/>
        </w:rPr>
        <w:t xml:space="preserve">والأخبار </w:t>
      </w:r>
      <w:r>
        <w:rPr>
          <w:rStyle w:val="FootnoteAnchor"/>
          <w:rtl w:val="true"/>
        </w:rPr>
        <w:footnoteReference w:id="584"/>
      </w:r>
      <w:r>
        <w:rPr>
          <w:rFonts w:ascii="Amiri" w:hAnsi="Amiri" w:eastAsia="Amiri" w:cs="Amiri"/>
          <w:color w:val="111111"/>
          <w:sz w:val="28"/>
          <w:sz w:val="28"/>
          <w:szCs w:val="28"/>
          <w:rtl w:val="true"/>
          <w:lang w:bidi="ar-SA"/>
        </w:rPr>
        <w:t xml:space="preserve">المتكثّرة على عدم صحّة عقوده، والشهرة محصلة فضلاً عن أن تكون منقولةٌ </w:t>
      </w:r>
      <w:r>
        <w:rPr>
          <w:rStyle w:val="FootnoteAnchor"/>
          <w:rtl w:val="true"/>
        </w:rPr>
        <w:footnoteReference w:id="585"/>
      </w:r>
      <w:r>
        <w:rPr>
          <w:rFonts w:ascii="Amiri" w:hAnsi="Amiri" w:eastAsia="Amiri" w:cs="Amiri"/>
          <w:color w:val="111111"/>
          <w:sz w:val="28"/>
          <w:sz w:val="28"/>
          <w:szCs w:val="28"/>
          <w:rtl w:val="true"/>
          <w:lang w:bidi="ar-SA"/>
        </w:rPr>
        <w:t>مؤيدة للأخبار وكلام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قبول شهادته في الجراح ووصيته وإسلامه وإحرامه وتدبيره لو قلنا به فللدليل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بلوغه عندها أو على الإناث، أو مطرحة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يراد بها الصور والحقائق من الولي، أو اختبار نفس البلوغ، أو الاختبار بعد البلوغ، أو الاختبار بغير أموالهم على صورة ولو أتلفوها، أو وعلى ما يصح منهم كالوصية والحيازة، أو بالسؤال والبحث أو بالأمانة فيدفع لهم المال لأن يكونوا خُزاناً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اتفاق القصدين والرضاءين من الموجب والقابلالقاعدة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اتفاق القصدين والرضاءين من الموجب والقابل، فلو اختلف قصدهما، كما إذا قصد أحدهما تمليك البيع فقصد بالقبول أنّه قبول صلح، أو قصد الموجب </w:t>
      </w:r>
      <w:r>
        <w:rPr>
          <w:rStyle w:val="FootnoteAnchor"/>
          <w:rtl w:val="true"/>
        </w:rPr>
        <w:footnoteReference w:id="588"/>
      </w:r>
      <w:r>
        <w:rPr>
          <w:rFonts w:ascii="Amiri" w:hAnsi="Amiri" w:eastAsia="Amiri" w:cs="Amiri"/>
          <w:color w:val="111111"/>
          <w:sz w:val="28"/>
          <w:sz w:val="28"/>
          <w:szCs w:val="28"/>
          <w:rtl w:val="true"/>
          <w:lang w:bidi="ar-SA"/>
        </w:rPr>
        <w:t xml:space="preserve">وقصد القابل الإطلاق أو بالعكس، أو قصد الموجب الخيار وقصد القابل اللزوم، أو قصد الموجب شرطاً فقصد القابل خلافه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قرن القابل قبوله بخيار أو شرط أو أجل فرضي به الموجب بعد قبول القابل بلا فصل، فلا يبعد الصحّة واللزوم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قصدهما فيما لا يقوم المعاوضة فلا بأس، كما إذا قصد أحدهما أنّه مرابحة والآخر مواضعة، أو أحدهما البيع المطلق والآخر السلمية بعد فرض ذكر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اختلف رضاهما، كما إذا رضي الموجب بالمطلق وأكره على الشرط ورضي القابل بهما، بطل العقد من غير إجازة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أُجبر الموجب على الشرط فرضي القابل بالمطلق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والمجبور على أحد الأشياء مجبور، والمجبور على معيّن فعدل إلى غيره صحيح، والمجبور على أحد الأمرين من الواجب عليه والمباح ليس مجبوراً، كما إذا أُجبر على أن ينفق أو يطلق أو يصلّي أو يبيع ونحو ذلك، والمجبور على أنّه لو باع لا يبيع إلا بعشر ليس مجبوراً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اتفاق قصد الاسم والإشارة في المعقود عليهالقاعدة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اتفاق قصد الاسم والإشارة في المعقود عليه، فلو قصد العقد على ذهب وأشار إلى فضة قاصداً العقد عليها أيضاً زاعماً أنّها الذهب، أو عقد على مشار إليه زاعماً أنّه ذهب وسمّاه به فتبيّن أنّه فضة فلا يبعد،البطلان، مع احتمال تقديم أقوى القصدين، واحتمال تقديم الاسم مطلقاً، واحتمال الإشارة مطلقاً، واحتمال البناء على ما تواطئا عليه أوّلاً بحيث كان هو المقصود أصالة، وغيره إنّما جاء به الاشتباه تبعاً، وهو قوي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اختلف قصد الموجب والقابل بطل العقد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في العقود هو اللفظ الخاص بالصيغة الخاصة الصريحةالقاعدة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العقد سيّما اللازم هو اللفظ الخاص بالصيغة الخاصة الصريحة؛ للأصل، ولانصراف العقد إليه، بل لانصراف أدلّة أنواع العقود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لمن زعم أن خلق الأخبار عن الصيغ دليل على عدم لزوم ذكرها حال الصدور، فلا تكون هي الشائعة، بل ترك البيان بيان العدم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لأنا نقطع باستعمال الصيغ يومئذ، كما هو المجزوم به عند الفقهاء إذا أرادوا التدقيق، وإن كفتهم المعاطاة في كثير عند المسامحة، والفقهاء أدرى بذلك؛ لأنّ أهل مكة أدرى بشعابها، وترك بيانها في الأخبار استغناء عنه بظهورها، فهي المتعارفة من العقد جنساً ونوعاً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والصيغ الخاصة الصريحة هي الدالة على الإيجاب المأخوذة من مصدر ذلك النوع الماضوية العربية من العربي، ويقوم مقامها العجميّة من العجمي عند عدم قدرته على العربية، وعلى توكيل العربي أو مطلقاً في وجه والدالة على الرضى أو القبول لذلك الإيجاب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هنا جواز العجمية وإن تمكن من العربية، بل جوازها للعربي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تقارنهما عرفاً بحيث لا يفصل بينهما فاصل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ينعقد العقد بالأفعال الخالية عن الأقوال أو المجامعة ولكن كان المقصود منها الانتقال دون الأقوال </w:t>
      </w:r>
      <w:r>
        <w:rPr>
          <w:rStyle w:val="FootnoteAnchor"/>
          <w:rtl w:val="true"/>
        </w:rPr>
        <w:footnoteReference w:id="591"/>
      </w:r>
      <w:r>
        <w:rPr>
          <w:rFonts w:ascii="Amiri" w:hAnsi="Amiri" w:eastAsia="Amiri" w:cs="Amiri"/>
          <w:color w:val="111111"/>
          <w:sz w:val="28"/>
          <w:sz w:val="28"/>
          <w:szCs w:val="28"/>
          <w:rtl w:val="true"/>
          <w:lang w:bidi="ar-SA"/>
        </w:rPr>
        <w:t xml:space="preserve">، كالإشارة والكتابة وغيرهما؛ لما ذكرنا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قصد بمجموع الفعل واللفظ الانتقال أشكل الحال من أصالة العدم، ومن أن المركب من الداخل والخارج خارج، ومن حصول السبب فتلغى الضميمة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 بغير الصريح من الحقائق المهجورة والمجازات البعيدة والكنايات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وينعقد بالمشترك المعنوي، والمجاز القريب المعروف والمشترك اللفظي مع مصاحبته للقرينة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 اللحن بالإعراب، ويخلّ بالبنية المغيرة لهيئة الكلمة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يشترط تقديم الإيجاب على القبول وإن كان أولى، إلا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مما هو غير تام عند تقديمه،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ولمانع أن يمنع التقديم بنيّة القبول؛ لأنّ قبول ما لا يقع لا يقع، فيشك في شمول العقد له، ولأن الانفعال لا يتقدّم الفعل إلا إذا عاد القبول متضمناً معنى الإيجاب للثمن ونقله له، فيكون كلّ منهما موجباً قابلاً، فالمشتري ناقل للثمن بدارٍ قابلها عند انتقالها إليه، والبائع ناقل داراً بثمن قابله عند انتقاله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المعاطاة في العقود اللازمة والجائزةالقاعدة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صلاحية الأفعال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في العقود اللازمة والجائزة المعاوضة وغيرها، ما عدا ما خرج بالدليل، كالنكاح والوقف وشبههما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قائمة مقام العقود اللفظيَّة، شاملة أنواعها لها في التسمية العرفية، متعارفة في المعاملة من قديم الزمان إلى هذا الآن، جارية عليها السيرة في جميع الأقطار والأمصار من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إنكار، وتفيد فائدة العقود اللفظيَّة القائمة مقامها، وتعطي جميع أحكامها، سوى اللزوم؛ حيث إنّها جائزة فيما لزم العقد فيه بلفظه ؛ لأصالة عدم اللزوم، وللإجماع، ولانصراف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Style w:val="FootnoteAnchor"/>
          <w:rtl w:val="true"/>
        </w:rPr>
        <w:footnoteReference w:id="593"/>
      </w:r>
      <w:r>
        <w:rPr>
          <w:rFonts w:ascii="Amiri" w:hAnsi="Amiri" w:eastAsia="Amiri" w:cs="Amiri"/>
          <w:color w:val="111111"/>
          <w:sz w:val="28"/>
          <w:sz w:val="28"/>
          <w:szCs w:val="28"/>
          <w:rtl w:val="true"/>
          <w:lang w:bidi="ar-SA"/>
        </w:rPr>
        <w:t>للعقود اللفظيَّة، والاستصحاب لا يفيد اللزوم؛ لأنّه من استصحاب المجمل بعد العلم أن العقود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القول بأنّها عقد مستقلّ يقوم مقام العقود، فلا يشترط فيه شرائطها من العلم والصرف والسَّلَم وغيرها، ويكون عمدة دليلها السيرة القاضية بالملك والتمليك في الأعيان والمنافع حيث إنّهم يجرون عليها آثارهما بديهة والأثر دليل 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بأنها تفيد إباحة التصرّف بعيد مخالف لضرورة المعاملة الجارية بين المسلمين منذ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حيث إنّهم لا يقصدون سوى الملك، ولا يرتبون أثراً سوى أثره، ولا يلاحظون الإباحة، فكيف يقع غير ما قصدوا وخلاف ما سلكوا، هل هذا إلا مجازفة؟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اتفق الجميع على لزومها بالتلف والتصرّف الناقل والمتغيّر تغيّراً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المعاطاة الدفع من جانب واحد كما عليه السيرة، وتلزم بتلف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المعاطاة ذكرناه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الإشارة مقام اللفظ للأخرس وأمثالهالقاعدة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القول الإشارة لمن لا يمكنه اللفظ، كالأخرس وشبهه؛ للأخبار </w:t>
      </w:r>
      <w:r>
        <w:rPr>
          <w:rStyle w:val="FootnoteAnchor"/>
          <w:rtl w:val="true"/>
        </w:rPr>
        <w:footnoteReference w:id="594"/>
      </w:r>
      <w:r>
        <w:rPr>
          <w:rFonts w:ascii="Amiri" w:hAnsi="Amiri" w:eastAsia="Amiri" w:cs="Amiri"/>
          <w:color w:val="111111"/>
          <w:sz w:val="28"/>
          <w:sz w:val="28"/>
          <w:szCs w:val="28"/>
          <w:rtl w:val="true"/>
          <w:lang w:bidi="ar-SA"/>
        </w:rPr>
        <w:t>والإجماع، ويكتفى من التمتام والفأفاء والألتغ والألثغ بما تيسر منهما، ولا تجزئ الإشارة، والأحوط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اصطلح المتعاقدان على لفظ يفيد البيع حتّى يفهم بينهما من دون قرينة، ففي إجزائه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الإحدى عشرة في عدم صحة عقد المعاوضة على ما لا يتموّل عيناً أو منفعةالقاعدة الإحدى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عقد المعاوضة على ما لا يتموّل عيناً أو منفعةً؛ لأنّه سفه، ولعدم انصراف لفظ المال والعقد المطلق إلى العقد عليه ثمناً أو مثمناً، ولخروجه عن دليل التكسب، كما في خبر تحف العقول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نقل بشرط الانضمام إلى ما يتموّل أو إلى مثله حتّى يصير الجميع متمولاً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عقد المعاوضة على ما لا يقدر على تسليمه وتسلّمهالقاعدة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عقد المعاوضة على ما لا يقدر على تسليمه وتسلّمه ولا يرجى القدرة عليه بعد ذلك ولا ينتفع به وهو بحاله؛ لدخولها تحت السفه و تحت نهي خبر تحف العقول </w:t>
      </w:r>
      <w:r>
        <w:rPr>
          <w:rStyle w:val="FootnoteAnchor"/>
          <w:rtl w:val="true"/>
        </w:rPr>
        <w:footnoteReference w:id="596"/>
      </w:r>
      <w:r>
        <w:rPr>
          <w:rFonts w:ascii="Amiri" w:hAnsi="Amiri" w:eastAsia="Amiri" w:cs="Amiri"/>
          <w:color w:val="111111"/>
          <w:sz w:val="28"/>
          <w:sz w:val="28"/>
          <w:szCs w:val="28"/>
          <w:rtl w:val="true"/>
          <w:lang w:bidi="ar-SA"/>
        </w:rPr>
        <w:t>، ولعدم انصراف المطلق إلى العقد المشتمل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رجى القدرة عليه، أو انتفع به في موضعه، أو كان ضميمة غير مقصودة أصالة في المعاوضة صح نقله على بعض الوجوه، وامتنع على بعض آخر، ويأتي الكلام عليه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الإثم والضمان على المحسنينالقاعدة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الإحسان جاء بها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Style w:val="FootnoteAnchor"/>
          <w:rtl w:val="true"/>
        </w:rPr>
        <w:footnoteReference w:id="597"/>
      </w:r>
      <w:r>
        <w:rPr>
          <w:rFonts w:ascii="Amiri" w:hAnsi="Amiri" w:eastAsia="Amiri" w:cs="Amiri"/>
          <w:color w:val="111111"/>
          <w:sz w:val="28"/>
          <w:sz w:val="28"/>
          <w:szCs w:val="28"/>
          <w:rtl w:val="true"/>
          <w:lang w:bidi="ar-SA"/>
        </w:rPr>
        <w:t>وظاهره نفي الإثم والضمان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ويدور الإحسان مدار الواقع وإن كان رافعاً للإثم لو كان بحسب نظر المحسن فقط، كما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إِنَّ اللّه يُحِبُّ الْمُحْسِنِينَ</w:t>
      </w:r>
      <w:r>
        <w:rPr>
          <w:rStyle w:val="FootnoteAnchor"/>
          <w:rtl w:val="true"/>
        </w:rPr>
        <w:footnoteReference w:id="5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إلا أن بينها وبين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ضامن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عموماً من وجه، فلا بد للفقيه من النظر في العمومين عند اجتماعهما في موردٍ واحد كي ينظر إلى ترجيح أحد العامين على الآخر إما بالأخبار، أو بالإجماع، أو بفتوى المشهور، أو بإخراج المتلف عن وصف الإحسان الواقعي فيشمله دليل الضمان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أمور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تولّى مال الأيتام والمجانين مع بعد الحاكم، وتولّى حفظها وتنميتها بنيّة الرجوع بالأُجرة على مالهم جاز له ذلك ونفذت تصرفاته، وأخذ الأجرة وأكل بالمعروف، ولو تلف شيء تحت يده فلا ضمان عليه، ولو أتلفه بيده من غير تعد فوجهان</w:t>
      </w:r>
      <w:r>
        <w:rPr>
          <w:rFonts w:eastAsia="Amiri" w:cs="Amiri" w:ascii="Amiri" w:hAnsi="Amiri"/>
          <w:color w:val="111111"/>
          <w:sz w:val="28"/>
          <w:szCs w:val="28"/>
          <w:rtl w:val="true"/>
          <w:lang w:bidi="ar-SA"/>
        </w:rPr>
        <w:t xml:space="preserve">. </w:t>
      </w:r>
      <w:bookmarkStart w:id="149" w:name="pg19000_245286"/>
    </w:p>
    <w:p>
      <w:pPr>
        <w:pStyle w:val="BookText"/>
        <w:rPr/>
      </w:pPr>
      <w:bookmarkEnd w:id="14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على مال الغائب من التلف ولم يمكن الرجوع إلى الحاكم، جاز حفظه وإصلاحه ولو بنقل بعض عينه أو كلّها منفعة أو عيناً، ونفذت تصرفاته، ولو نوى الأجرة جاز له أخذها، ولو تلف تحت يده فلا ضمان ولو أتلفه بيده من غير تعد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الودعي لو ادعى الردّ قبل قوله فيه على الأظهر؛ لأنّه محسن بقبوله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أكره على واجب أو ترك محرم فتسبب من ذلك تلف مال أو نفس، لم يكن المكره فاعلهما،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بنى مسجداً أو قنطرةً أو حفر بئراً للمسلمين فتسبب عن ذلك تلف نفس أو مال بوقوع حائط أو سقف،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تصدق بمجهول المالك، لم يضمن لو لم يظهر صاحبه، وكذا اللقطة، وإن ظهر ضمن إن لم يرض بالصدقة؛ للنص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اللقطة لو قبضها للتعريف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إحدى الأمانات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يضمنها إذا تلفت بيده من غير تعد ولا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دفع بنيّة الرجوع مالاً لتخليص مال الغائب من يد الغاصب، كان له الرجوع عليه في وجه؛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أنقذ غريقاً بمال حيث لا يمكن مباشرته، جاز له الرجوع عليه به في وجه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3372222_1280447820"/>
      <w:bookmarkStart w:id="151" w:name="_Toc57"/>
      <w:bookmarkEnd w:id="150"/>
      <w:r>
        <w:rPr>
          <w:rtl w:val="true"/>
        </w:rPr>
        <w:t xml:space="preserve">القاعدة الرابعة عشر </w:t>
      </w:r>
      <w:r>
        <w:rPr>
          <w:rtl w:val="true"/>
        </w:rPr>
        <w:t xml:space="preserve">: </w:t>
      </w:r>
      <w:r>
        <w:rPr>
          <w:rtl w:val="true"/>
        </w:rPr>
        <w:t>بيان الفرق بين قاعدة العدوان وقاعدة المحرمات</w:t>
      </w:r>
      <w:bookmarkEnd w:id="1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اعْتَدَى عَلَيْكُمْ فَاعْتَدُوا عَلَيْهِ بِمِثْلِ مَا اعْتَدَى عَلَيْكُمْ﴾ </w:t>
      </w:r>
      <w:r>
        <w:rPr>
          <w:rStyle w:val="FootnoteAnchor"/>
          <w:rtl w:val="true"/>
        </w:rPr>
        <w:footnoteReference w:id="605"/>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وبين هذه القاعدة وقاعدة المحرمات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فلا بد من الترجيح فيما تقدَّم فيه القاعدة المقاصة في الأموال، والقصاص في الأنفس والجروح، ويلزم الاقتصار على المثل، إلا إذا توقف التوصل إليه على إتلاف شيءٍ أو قبض زائد فيأخذ حقه ويرد الزائد</w:t>
      </w:r>
      <w:r>
        <w:rPr>
          <w:rFonts w:eastAsia="Amiri" w:cs="Amiri" w:ascii="Amiri" w:hAnsi="Amiri"/>
          <w:color w:val="111111"/>
          <w:sz w:val="28"/>
          <w:szCs w:val="28"/>
          <w:rtl w:val="true"/>
          <w:lang w:bidi="ar-SA"/>
        </w:rPr>
        <w:t xml:space="preserve">. </w:t>
      </w:r>
      <w:bookmarkStart w:id="152" w:name="pg19000_245287"/>
    </w:p>
    <w:p>
      <w:pPr>
        <w:pStyle w:val="BookText"/>
        <w:rPr/>
      </w:pPr>
      <w:bookmarkEnd w:id="152"/>
      <w:r>
        <w:rPr>
          <w:rFonts w:ascii="Amiri" w:hAnsi="Amiri" w:eastAsia="Amiri" w:cs="Amiri"/>
          <w:color w:val="111111"/>
          <w:sz w:val="28"/>
          <w:sz w:val="28"/>
          <w:szCs w:val="28"/>
          <w:rtl w:val="true"/>
          <w:lang w:bidi="ar-SA"/>
        </w:rPr>
        <w:t>ولا تجري القاعدة فيما قوي عليه من المحرمات، فلا يسبّ مَنْ سبّه، أو يزني بمن زنى به، أو يستغيب مَنْ يستغيبه أو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الإحسان والعدوان واقعيان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فعل الإحسان بزعم العدوان لم يترتب عليه أحكام الإحسان ولا العدوان، ولو فعل العدوان بنيّة الإحسان لم يترتب عليه أحكام العدوان ولاالإحسان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3372224_1280447820"/>
      <w:bookmarkStart w:id="154" w:name="_Toc58"/>
      <w:bookmarkEnd w:id="153"/>
      <w:r>
        <w:rPr>
          <w:rtl w:val="true"/>
        </w:rPr>
        <w:t xml:space="preserve">القاعدة الخامسة عشر </w:t>
      </w:r>
      <w:r>
        <w:rPr>
          <w:rtl w:val="true"/>
        </w:rPr>
        <w:t xml:space="preserve">: </w:t>
      </w:r>
      <w:r>
        <w:rPr>
          <w:rtl w:val="true"/>
        </w:rPr>
        <w:t>لزوم جزاء فاعل الإحسان إن لم ينو التبرع</w:t>
      </w:r>
      <w:bookmarkEnd w:id="154"/>
    </w:p>
    <w:p>
      <w:pPr>
        <w:pStyle w:val="BookText"/>
        <w:rPr/>
      </w:pPr>
      <w:r>
        <w:rPr>
          <w:rFonts w:ascii="Amiri" w:hAnsi="Amiri" w:eastAsia="Amiri" w:cs="Amiri"/>
          <w:color w:val="111111"/>
          <w:sz w:val="28"/>
          <w:sz w:val="28"/>
          <w:szCs w:val="28"/>
          <w:rtl w:val="true"/>
          <w:lang w:bidi="ar-SA"/>
        </w:rPr>
        <w:t xml:space="preserve">القاعدة الخامسة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للإحسان يلزم جزاؤه لو كان عمله مما له قيمة ما لم ينو التبرع، سواء نوى الرجوع بأجرة العمل أم لم ينو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ناوي الرجوع بالأجرة ليس محسناً؛ لمقابلة عمله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الفعل مع نية الرجوع بالأجرة لو حصلت من المحسن إليه، وبين الفعل للأجرة المتقدّمة، فربّما يُعدّ ذلك إحساناً ولا يُعدّ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دفع المال في المخمصة أو دفع المال لتخليص نفس من القتل فلا شك أنّه إحسان؛ لأن القرض كلّه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المتلف إذا كان أجيراً فيضمن، كالقصار والطبيب والحجام وغيرهم، وبين مَنْ كان ملتمساً قادماً إما متبرعاً أو غير شارطٍ للأجرة فلا يضمن الأجير وإن دفعت إليه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أتلف المحسن مالاً للمحسن إليه في طريق الإحسان، احتمل تحكيم قاعدة الإحسان، واحتمل تحكيم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فعليه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 مالاً لغير المحسن إليه، كان ضمانه على المحسن، مع احتمال أن ضمانه على مَنْ أُحسن إليه، وكذا لو كان المتلوف مال المحسن احتمل عوده إلى المحسن إليه، ولكن الأظهر هنا تقديم قاعدة الضمان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فقاعدة الإحسان شاملة لنفي الإثم والضمان، سواء كان ضمان يد أو ضمان مباشرة أو ضمان تسبيب وغاية ما يخصص بها دليل ضمان اليد أو التسبيب، وأما ضمان المباشرة، فظاهر الفقهاء أنّه أقوى</w:t>
      </w:r>
      <w:r>
        <w:rPr>
          <w:rFonts w:eastAsia="Amiri" w:cs="Amiri" w:ascii="Amiri" w:hAnsi="Amiri"/>
          <w:color w:val="111111"/>
          <w:sz w:val="28"/>
          <w:szCs w:val="28"/>
          <w:rtl w:val="true"/>
          <w:lang w:bidi="ar-SA"/>
        </w:rPr>
        <w:t xml:space="preserve">. </w:t>
      </w:r>
      <w:bookmarkStart w:id="155" w:name="pg19000_245288"/>
    </w:p>
    <w:p>
      <w:pPr>
        <w:pStyle w:val="BookText"/>
        <w:rPr/>
      </w:pPr>
      <w:bookmarkEnd w:id="155"/>
      <w:r>
        <w:rPr>
          <w:rFonts w:ascii="Amiri" w:hAnsi="Amiri" w:eastAsia="Amiri" w:cs="Amiri"/>
          <w:color w:val="111111"/>
          <w:sz w:val="28"/>
          <w:sz w:val="28"/>
          <w:szCs w:val="28"/>
          <w:rtl w:val="true"/>
          <w:lang w:bidi="ar-SA"/>
        </w:rPr>
        <w:t>ولو نته جاهلاً أو غافلاً أو أيقظ نائماً أو هدى ضالاً أو ذكر ناسياً قاصداً للإحسان للزوم الضرر عليه في غفلته أو نومه أو جهله أو نسيانه، فإن ترتب الفساد عليه بعد ذلك فلا ضمان؛ لبطلان حكم السببية، وإن وقع الفساد بنفس ذلك الفعل قوي دليل الضمان كمن ضرب أسداً لتخليص إنسان فوقعت الضربة بالإنسان، فإنّه لا تسقط عنه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طلب الفاعل لتلك أُجرةً على ما عمل احتمل دخوله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3372226_1280447820"/>
      <w:bookmarkStart w:id="157" w:name="_Toc59"/>
      <w:bookmarkEnd w:id="156"/>
      <w:r>
        <w:rPr>
          <w:rtl w:val="true"/>
        </w:rPr>
        <w:t xml:space="preserve">القاعدة السادسة عشر </w:t>
      </w:r>
      <w:r>
        <w:rPr>
          <w:rtl w:val="true"/>
        </w:rPr>
        <w:t xml:space="preserve">: </w:t>
      </w:r>
      <w:r>
        <w:rPr>
          <w:rtl w:val="true"/>
        </w:rPr>
        <w:t>الأصل في العقود التنجيز</w:t>
      </w:r>
      <w:bookmarkEnd w:id="157"/>
    </w:p>
    <w:p>
      <w:pPr>
        <w:pStyle w:val="BookText"/>
        <w:rPr/>
      </w:pPr>
      <w:r>
        <w:rPr>
          <w:rFonts w:ascii="Amiri" w:hAnsi="Amiri" w:eastAsia="Amiri" w:cs="Amiri"/>
          <w:color w:val="111111"/>
          <w:sz w:val="28"/>
          <w:sz w:val="28"/>
          <w:szCs w:val="28"/>
          <w:rtl w:val="true"/>
          <w:lang w:bidi="ar-SA"/>
        </w:rPr>
        <w:t>القاعدة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التنجيز، فلا تقبل التعليق، ولو علقت فسدت؛ لأنّ الإنشاء لا يعلّق، ولعدم انصراف أدلّة العقود جنساً ونوعاً للمعلق، فلا يعلق النقل ولا الانتقال في عين أو منفعة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372228_1280447820"/>
      <w:bookmarkStart w:id="159" w:name="_Toc60"/>
      <w:bookmarkEnd w:id="158"/>
      <w:r>
        <w:rPr>
          <w:rtl w:val="true"/>
        </w:rPr>
        <w:t xml:space="preserve">القاعدة السابعة عشر </w:t>
      </w:r>
      <w:r>
        <w:rPr>
          <w:rtl w:val="true"/>
        </w:rPr>
        <w:t xml:space="preserve">: </w:t>
      </w:r>
      <w:r>
        <w:rPr>
          <w:rtl w:val="true"/>
        </w:rPr>
        <w:t>الأصل في العقود الحلول</w:t>
      </w:r>
      <w:bookmarkEnd w:id="159"/>
    </w:p>
    <w:p>
      <w:pPr>
        <w:pStyle w:val="BookText"/>
        <w:rPr/>
      </w:pPr>
      <w:r>
        <w:rPr>
          <w:rFonts w:ascii="Amiri" w:hAnsi="Amiri" w:eastAsia="Amiri" w:cs="Amiri"/>
          <w:color w:val="111111"/>
          <w:sz w:val="28"/>
          <w:sz w:val="28"/>
          <w:szCs w:val="28"/>
          <w:rtl w:val="true"/>
          <w:lang w:bidi="ar-SA"/>
        </w:rPr>
        <w:t xml:space="preserve">القاعدة 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الحلول، بمعنى حلول أثر النقل والانتقال وهو الملك، إلا ما خرج بالدليل، كتأخير الملك في الوصية إلى ما بعد الموت، وتأخير الملك في الوقف إلى ظهور البطن الثاني فيتلقى من الواقف، وبالجملة، فالملك لا يتأخر عن سببه إلا بدليل يدلّ عليه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3372230_1280447820"/>
      <w:bookmarkStart w:id="161" w:name="_Toc61"/>
      <w:bookmarkEnd w:id="160"/>
      <w:r>
        <w:rPr>
          <w:rtl w:val="true"/>
        </w:rPr>
        <w:t>القاعدة الثامنة عشر</w:t>
      </w:r>
      <w:r>
        <w:rPr>
          <w:rtl w:val="true"/>
        </w:rPr>
        <w:t xml:space="preserve">: </w:t>
      </w:r>
      <w:r>
        <w:rPr>
          <w:rtl w:val="true"/>
        </w:rPr>
        <w:t>الأصل في العقود حلول تسليم متعلّق الملك</w:t>
      </w:r>
      <w:bookmarkEnd w:id="161"/>
    </w:p>
    <w:p>
      <w:pPr>
        <w:pStyle w:val="BookText"/>
        <w:rPr/>
      </w:pPr>
      <w:r>
        <w:rPr>
          <w:rFonts w:ascii="Amiri" w:hAnsi="Amiri" w:eastAsia="Amiri" w:cs="Amiri"/>
          <w:color w:val="111111"/>
          <w:sz w:val="28"/>
          <w:sz w:val="28"/>
          <w:szCs w:val="28"/>
          <w:rtl w:val="true"/>
          <w:lang w:bidi="ar-SA"/>
        </w:rPr>
        <w:t>القاعدة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حلول تسليم متعلّق الملك من ثمن أو مثمن، إلا ما أُجل بدليل كالنسيئة والسَّلَم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3372232_1280447820"/>
      <w:bookmarkStart w:id="163" w:name="_Toc62"/>
      <w:bookmarkEnd w:id="162"/>
      <w:r>
        <w:rPr>
          <w:rtl w:val="true"/>
        </w:rPr>
        <w:t xml:space="preserve">القاعدة التاسعة عشر </w:t>
      </w:r>
      <w:r>
        <w:rPr>
          <w:rtl w:val="true"/>
        </w:rPr>
        <w:t xml:space="preserve">: </w:t>
      </w:r>
      <w:r>
        <w:rPr>
          <w:rtl w:val="true"/>
        </w:rPr>
        <w:t>الأصل وجود المملوك في العقود إلّا ما خرج بالدليل</w:t>
      </w:r>
      <w:bookmarkEnd w:id="163"/>
    </w:p>
    <w:p>
      <w:pPr>
        <w:pStyle w:val="BookText"/>
        <w:rPr/>
      </w:pPr>
      <w:r>
        <w:rPr>
          <w:rFonts w:ascii="Amiri" w:hAnsi="Amiri" w:eastAsia="Amiri" w:cs="Amiri"/>
          <w:color w:val="111111"/>
          <w:sz w:val="28"/>
          <w:sz w:val="28"/>
          <w:szCs w:val="28"/>
          <w:rtl w:val="true"/>
          <w:lang w:bidi="ar-SA"/>
        </w:rPr>
        <w:t>القاعدة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وجود المملوك في العقود، إلا ما خرج بالدليل، كبيع المعدوم، وإجارة العمل أو المنفعة المتأخرة، مع أنّ الجميع موجودة بالقوة؛ لقيام الأوّل بأصله، وقيام الثاني بالأجير، والثالث بالعين المستأجرة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أن المعدوم لا يملك ولكنّه يملك أن يملك بعد وجوده، فصفة الملك ليست قائمةً به، بل بملكيته بعد ذلك</w:t>
      </w:r>
      <w:r>
        <w:rPr>
          <w:rFonts w:eastAsia="Amiri" w:cs="Amiri" w:ascii="Amiri" w:hAnsi="Amiri"/>
          <w:color w:val="111111"/>
          <w:sz w:val="28"/>
          <w:szCs w:val="28"/>
          <w:rtl w:val="true"/>
          <w:lang w:bidi="ar-SA"/>
        </w:rPr>
        <w:t xml:space="preserve">. </w:t>
      </w:r>
      <w:bookmarkStart w:id="164" w:name="pg19000_245289"/>
    </w:p>
    <w:p>
      <w:pPr>
        <w:pStyle w:val="Heading5"/>
        <w:numPr>
          <w:ilvl w:val="4"/>
          <w:numId w:val="1"/>
        </w:numPr>
        <w:rPr/>
      </w:pPr>
      <w:bookmarkStart w:id="165" w:name="__RefHeading___Toc13372234_1280447820"/>
      <w:bookmarkStart w:id="166" w:name="_Toc63"/>
      <w:bookmarkEnd w:id="164"/>
      <w:bookmarkEnd w:id="165"/>
      <w:r>
        <w:rPr>
          <w:rtl w:val="true"/>
        </w:rPr>
        <w:t>القاعدة العشرون</w:t>
      </w:r>
      <w:r>
        <w:rPr>
          <w:rtl w:val="true"/>
        </w:rPr>
        <w:t xml:space="preserve">: </w:t>
      </w:r>
      <w:r>
        <w:rPr>
          <w:rtl w:val="true"/>
        </w:rPr>
        <w:t>الأصل في العقود قبولها للشروط</w:t>
      </w:r>
      <w:bookmarkEnd w:id="166"/>
    </w:p>
    <w:p>
      <w:pPr>
        <w:pStyle w:val="BookText"/>
        <w:rPr/>
      </w:pPr>
      <w:r>
        <w:rPr>
          <w:rFonts w:ascii="Amiri" w:hAnsi="Amiri" w:eastAsia="Amiri" w:cs="Amiri"/>
          <w:color w:val="111111"/>
          <w:sz w:val="28"/>
          <w:sz w:val="28"/>
          <w:szCs w:val="28"/>
          <w:rtl w:val="true"/>
          <w:lang w:bidi="ar-SA"/>
        </w:rPr>
        <w:t>القاعدة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قبولها للشروط؛ لعموم أدلة الشروط، ولأنها من مواردها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في اللازم لازم، وفي الجائز جائز، وفائدته في اللازم الإلزام به مطلقاً، فإن لم يمكن حصوله تسلّط المشتري على الفسخ وفائدته في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 ما لم يفسخ الجائز أو ينفسخ، وأيضاً لو لزم الجائز جاز من جهة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ويفسد العقد لو كان الشرط حراماً، أو غير مقدور، أو مخالفاً لكتاب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حرم حلالاً، أو غير حكماً شرعياً، أو منافياً لمقتضى ذات العقد ووضعه، فسد وفسد العقد بفساده، ولو كان سفهاً أو لغواً فلا يبعد عدم الفساد، ولو نافى مقتضى إطلاقه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واشتراط الخيار في العقد اللازم قضى به الإجماع والدليل، والكلام فيه يأتي في محلّه </w:t>
      </w:r>
      <w:r>
        <w:rPr>
          <w:rStyle w:val="FootnoteAnchor"/>
          <w:rtl w:val="true"/>
        </w:rPr>
        <w:footnoteReference w:id="609"/>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5"/>
        <w:numPr>
          <w:ilvl w:val="4"/>
          <w:numId w:val="1"/>
        </w:numPr>
        <w:rPr/>
      </w:pPr>
      <w:bookmarkStart w:id="167" w:name="__RefHeading___Toc13372236_1280447820"/>
      <w:bookmarkStart w:id="168" w:name="_Toc64"/>
      <w:bookmarkEnd w:id="167"/>
      <w:r>
        <w:rPr>
          <w:rtl w:val="true"/>
        </w:rPr>
        <w:t>القاعدة الإحدى والعشرون</w:t>
      </w:r>
      <w:r>
        <w:rPr>
          <w:rtl w:val="true"/>
        </w:rPr>
        <w:t xml:space="preserve">: </w:t>
      </w:r>
      <w:r>
        <w:rPr>
          <w:rtl w:val="true"/>
        </w:rPr>
        <w:t>الأصل في العقود الجزم</w:t>
      </w:r>
      <w:bookmarkEnd w:id="168"/>
    </w:p>
    <w:p>
      <w:pPr>
        <w:pStyle w:val="BookText"/>
        <w:rPr/>
      </w:pPr>
      <w:r>
        <w:rPr>
          <w:rFonts w:ascii="Amiri" w:hAnsi="Amiri" w:eastAsia="Amiri" w:cs="Amiri"/>
          <w:color w:val="111111"/>
          <w:sz w:val="28"/>
          <w:sz w:val="28"/>
          <w:szCs w:val="28"/>
          <w:rtl w:val="true"/>
          <w:lang w:bidi="ar-SA"/>
        </w:rPr>
        <w:t>القاعدة الإحدى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العقود الجزم؛ لعدم انصراف العقد إلى غير المجزوم به، ولظاهر الإجماع، فلو 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ردّد بين كون البيع هذا وهذا أو أحدهما، أو بين هذا الثمن أو هذا أو أحدهما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صالح على مشاهد وردّد في كيله أو وزنه، أو على معين فردّد في اسمه فلا بأس</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3372238_1280447820"/>
      <w:bookmarkStart w:id="170" w:name="_Toc65"/>
      <w:bookmarkEnd w:id="169"/>
      <w:r>
        <w:rPr>
          <w:rtl w:val="true"/>
        </w:rPr>
        <w:t>القاعدة الثانية والعشرون</w:t>
      </w:r>
      <w:r>
        <w:rPr>
          <w:rtl w:val="true"/>
        </w:rPr>
        <w:t xml:space="preserve">: </w:t>
      </w:r>
      <w:r>
        <w:rPr>
          <w:rtl w:val="true"/>
        </w:rPr>
        <w:t xml:space="preserve">قاعدة </w:t>
      </w:r>
      <w:r>
        <w:rPr>
          <w:rtl w:val="true"/>
        </w:rPr>
        <w:t>«</w:t>
      </w:r>
      <w:r>
        <w:rPr>
          <w:rtl w:val="true"/>
        </w:rPr>
        <w:t>ما يضمن بصحيحه يضمن بفاسده</w:t>
      </w:r>
      <w:r>
        <w:rPr>
          <w:rtl w:val="true"/>
        </w:rPr>
        <w:t xml:space="preserve">» </w:t>
      </w:r>
      <w:r>
        <w:rPr>
          <w:rtl w:val="true"/>
        </w:rPr>
        <w:t>وعكسها وبيان المراد من الضمان فيها</w:t>
      </w:r>
      <w:bookmarkEnd w:id="170"/>
    </w:p>
    <w:p>
      <w:pPr>
        <w:pStyle w:val="BookText"/>
        <w:rPr/>
      </w:pPr>
      <w:r>
        <w:rPr>
          <w:rFonts w:ascii="Amiri" w:hAnsi="Amiri" w:eastAsia="Amiri" w:cs="Amiri"/>
          <w:color w:val="111111"/>
          <w:sz w:val="28"/>
          <w:sz w:val="28"/>
          <w:szCs w:val="28"/>
          <w:rtl w:val="true"/>
          <w:lang w:bidi="ar-SA"/>
        </w:rPr>
        <w:t>القاعدة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من العقود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يعكس في لسان جمع من الفقهاء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بالضمان في مبدأ الفقرة هو الإقدام على العوض من طرف الموجب ثمناً ومن طرف القابل مثمناً، ويراد به بآخر الفقرة الضمان بالمثل أو القيمة لا المسمّى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ويساعد الفقرة الأولى أدلّة الضمان الشاملة للعلم والجهل متفقين أو مختلفين</w:t>
      </w:r>
      <w:r>
        <w:rPr>
          <w:rFonts w:eastAsia="Amiri" w:cs="Amiri" w:ascii="Amiri" w:hAnsi="Amiri"/>
          <w:color w:val="111111"/>
          <w:sz w:val="28"/>
          <w:szCs w:val="28"/>
          <w:rtl w:val="true"/>
          <w:lang w:bidi="ar-SA"/>
        </w:rPr>
        <w:t xml:space="preserve">. </w:t>
      </w:r>
      <w:bookmarkStart w:id="171" w:name="pg19000_245290"/>
    </w:p>
    <w:p>
      <w:pPr>
        <w:pStyle w:val="BookText"/>
        <w:rPr/>
      </w:pPr>
      <w:bookmarkEnd w:id="171"/>
      <w:r>
        <w:rPr>
          <w:rFonts w:ascii="Amiri" w:hAnsi="Amiri" w:eastAsia="Amiri" w:cs="Amiri"/>
          <w:color w:val="111111"/>
          <w:sz w:val="28"/>
          <w:sz w:val="28"/>
          <w:szCs w:val="28"/>
          <w:rtl w:val="true"/>
          <w:lang w:bidi="ar-SA"/>
        </w:rPr>
        <w:t>ويشكل في الفقرة الثانية المنافع فإنّها غير مضمونة في صحيح العقد، مع أنّها مضمونة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مضمونة تبعاً؛ لأنّها ملحوظة في معاوضة الأعيان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أيضاً في بيع المحاباة، فإنّ الزائد لم يقابل بالعوض مع أنّه مضمون على قابضه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العوض كان على المجموع، فالمنتقل إليه قادم على ضمانه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في المغصوب في العين المستأجرة فإنّ صحيح الإجارة لا يضمن العين فيها من دون تعد أو تفريط، وكذا في العقود المجانية، كالوقف والهبة والعارية والوديعة والمضاربة، فإنّ الغاصب يأخذ المثل أو القيمة ممن استولت يده عليه مع أن صحيحها لا ضمان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بأنّ عدم الضمان للعاقد لا ينافي الضمان لغيره لو كان مالكاً، فالمضون له غير العاقد والعاقد غير 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يستقر على الغار في صورة جهل المتعاقدين أو جهل المدفوع له، فالرجوع على المغرور موجب لرجوعه على الغار، ومع الرجوع على الغار يعود ضمانه كلا ضمان، وأما مع العلم فضمانه لغير العاقد، فلا يقدح أنّ ما لا يضمن بصحيحه للعاقد لا يُضمن بفاسده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3372240_1280447820"/>
      <w:bookmarkStart w:id="173" w:name="_Toc66"/>
      <w:bookmarkEnd w:id="172"/>
      <w:r>
        <w:rPr>
          <w:rtl w:val="true"/>
        </w:rPr>
        <w:t>القاعدة الثالثة والعشرون</w:t>
      </w:r>
      <w:r>
        <w:rPr>
          <w:rtl w:val="true"/>
        </w:rPr>
        <w:t xml:space="preserve">: </w:t>
      </w:r>
      <w:r>
        <w:rPr>
          <w:rtl w:val="true"/>
        </w:rPr>
        <w:t xml:space="preserve">قاعدة </w:t>
      </w:r>
      <w:r>
        <w:rPr>
          <w:rtl w:val="true"/>
        </w:rPr>
        <w:t>«</w:t>
      </w:r>
      <w:r>
        <w:rPr>
          <w:rtl w:val="true"/>
        </w:rPr>
        <w:t>المغرور يرجع على من غرّه</w:t>
      </w:r>
      <w:r>
        <w:rPr>
          <w:rtl w:val="true"/>
        </w:rPr>
        <w:t>»</w:t>
      </w:r>
      <w:bookmarkEnd w:id="173"/>
    </w:p>
    <w:p>
      <w:pPr>
        <w:pStyle w:val="BookText"/>
        <w:rPr/>
      </w:pPr>
      <w:r>
        <w:rPr>
          <w:rFonts w:ascii="Amiri" w:hAnsi="Amiri" w:eastAsia="Amiri" w:cs="Amiri"/>
          <w:color w:val="111111"/>
          <w:sz w:val="28"/>
          <w:sz w:val="28"/>
          <w:szCs w:val="28"/>
          <w:rtl w:val="true"/>
          <w:lang w:bidi="ar-SA"/>
        </w:rPr>
        <w:t>القاعدة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الفقهاء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الدليل عليه حديث الضرر </w:t>
      </w:r>
      <w:r>
        <w:rPr>
          <w:rStyle w:val="FootnoteAnchor"/>
          <w:rtl w:val="true"/>
        </w:rPr>
        <w:footnoteReference w:id="611"/>
      </w:r>
      <w:r>
        <w:rPr>
          <w:rFonts w:ascii="Amiri" w:hAnsi="Amiri" w:eastAsia="Amiri" w:cs="Amiri"/>
          <w:color w:val="111111"/>
          <w:sz w:val="28"/>
          <w:sz w:val="28"/>
          <w:szCs w:val="28"/>
          <w:rtl w:val="true"/>
          <w:lang w:bidi="ar-SA"/>
        </w:rPr>
        <w:t xml:space="preserve">المنجبر بفتوى الأصحاب،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فيرجع على الغار كي لا يذهب مال امرئ مسلم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لأخيه بئراً وقع فيها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والرجوع إلى الغار من العدل، ولأنّ الغار عادٍ فيشمله دليل العدوان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المغرور في العقود المجانية بانتقال مال الغير ولم يقدم على ضمانه لو أدى لمالكه رجع إلى الغار، وكذا الزائد على المسمّى في عقود المعاوضة في وجهِ قوي، وكذا الغرامات المبذولة على المال التي لا يقابلها نفع وصل للمغرور</w:t>
      </w:r>
      <w:r>
        <w:rPr>
          <w:rFonts w:eastAsia="Amiri" w:cs="Amiri" w:ascii="Amiri" w:hAnsi="Amiri"/>
          <w:color w:val="111111"/>
          <w:sz w:val="28"/>
          <w:szCs w:val="28"/>
          <w:rtl w:val="true"/>
          <w:lang w:bidi="ar-SA"/>
        </w:rPr>
        <w:t xml:space="preserve">. </w:t>
      </w:r>
      <w:bookmarkStart w:id="174" w:name="pg19000_245291"/>
    </w:p>
    <w:p>
      <w:pPr>
        <w:pStyle w:val="Heading5"/>
        <w:numPr>
          <w:ilvl w:val="4"/>
          <w:numId w:val="1"/>
        </w:numPr>
        <w:rPr/>
      </w:pPr>
      <w:bookmarkStart w:id="175" w:name="__RefHeading___Toc13372242_1280447820"/>
      <w:bookmarkStart w:id="176" w:name="_Toc67"/>
      <w:bookmarkEnd w:id="174"/>
      <w:bookmarkEnd w:id="175"/>
      <w:r>
        <w:rPr>
          <w:rtl w:val="true"/>
        </w:rPr>
        <w:t>القاعدة الرابعة والعشرون</w:t>
      </w:r>
      <w:r>
        <w:rPr>
          <w:rtl w:val="true"/>
        </w:rPr>
        <w:t xml:space="preserve">: </w:t>
      </w:r>
      <w:r>
        <w:rPr>
          <w:rtl w:val="true"/>
        </w:rPr>
        <w:t xml:space="preserve">عموم </w:t>
      </w:r>
      <w:r>
        <w:rPr>
          <w:rtl w:val="true"/>
        </w:rPr>
        <w:t>«</w:t>
      </w:r>
      <w:r>
        <w:rPr>
          <w:rtl w:val="true"/>
        </w:rPr>
        <w:t>على اليد ما أخذت حتى تؤدّي</w:t>
      </w:r>
      <w:r>
        <w:rPr>
          <w:rtl w:val="true"/>
        </w:rPr>
        <w:t>»</w:t>
      </w:r>
      <w:bookmarkEnd w:id="176"/>
    </w:p>
    <w:p>
      <w:pPr>
        <w:pStyle w:val="BookText"/>
        <w:rPr/>
      </w:pPr>
      <w:r>
        <w:rPr>
          <w:rFonts w:ascii="Amiri" w:hAnsi="Amiri" w:eastAsia="Amiri" w:cs="Amiri"/>
          <w:color w:val="111111"/>
          <w:sz w:val="28"/>
          <w:sz w:val="28"/>
          <w:szCs w:val="28"/>
          <w:rtl w:val="true"/>
          <w:lang w:bidi="ar-SA"/>
        </w:rPr>
        <w:t>القاعدة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من القواعد المسلّمة المنجبرة بالفتوى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والأخذ يعمّ التلف فيدخل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ضامن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والتأدية تعم المثل والقيمة لو تلفت؛ لأنّه نوع تأدية وإيصال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بينها وبين قاعدة الغرور، كما أنّها قد تقدَّم على قاعدة الإحسان إذا قويت عليها بفتوى الأصحاب أو بأخبار خاصة، أو إذا ضعف الإحسان، وكذا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اعتبارها واشتهارها فيترتب عليها ضمان المقبوض بالسوم وشبهه، وضمان الأمانات مع التعدي والتفريط، وضمان العارية المضمونة أو المشروط ضمانها أو المأخوذة للرهن، وضمان المقبوض بالعقد الفاسد مع علم المتعاقدين بالفساد أو مع جهلهما أو علم أحدهما وجهل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في حالة العلم لا ضمان على الجاهل؛ لأنّ العالم قد سلّط الجاهل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شبيه بالإعراض، ضعيفة؛ لأنّ العالم قد قصد المعاوضة الصورية وإنه لم يدفعه مجاناً ولو تشريعاً وابتداعاً، والجاهل هنا لا يجري عليه حكم المغرور؛ لأن الجهل هنا في الحكم لا في الموضوع كي يعذر صاحبه ويجري عليه أحكام المغرور، وتمام الكلام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3372244_1280447820"/>
      <w:bookmarkStart w:id="178" w:name="_Toc68"/>
      <w:bookmarkEnd w:id="177"/>
      <w:r>
        <w:rPr>
          <w:rtl w:val="true"/>
        </w:rPr>
        <w:t>القاعدة الخامسة والعشرون</w:t>
      </w:r>
      <w:r>
        <w:rPr>
          <w:rtl w:val="true"/>
        </w:rPr>
        <w:t xml:space="preserve">: </w:t>
      </w:r>
      <w:r>
        <w:rPr>
          <w:rtl w:val="true"/>
        </w:rPr>
        <w:t>حديث لا ضرر ولا ضرار</w:t>
      </w:r>
      <w:bookmarkEnd w:id="17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من الأخبار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وهو مجبور بالفتوى والعمل في الجملة عند الأصحاب، ولم يزل يستدلون به في كثير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الظاهر في العقود أنّ وضعها الشرعي مبني على كونها حداً يقطع الخصومة والنزاع، ويرفع التشاجر والفساد بين العباد، فلا تبني على الضرر والضرار، ولا على النزاع والغر، فكل عقد يبتني على ذلك فهو فاسد إن لحقه ذلك لذاته، وإن لحقه لوصفه من اللزوم كان اللزوم باطلاً، وهو معنى انجباره بالخيار</w:t>
      </w:r>
      <w:r>
        <w:rPr>
          <w:rFonts w:eastAsia="Amiri" w:cs="Amiri" w:ascii="Amiri" w:hAnsi="Amiri"/>
          <w:color w:val="111111"/>
          <w:sz w:val="28"/>
          <w:szCs w:val="28"/>
          <w:rtl w:val="true"/>
          <w:lang w:bidi="ar-SA"/>
        </w:rPr>
        <w:t xml:space="preserve">. </w:t>
      </w:r>
      <w:bookmarkStart w:id="179" w:name="pg19000_245292"/>
    </w:p>
    <w:p>
      <w:pPr>
        <w:pStyle w:val="BookText"/>
        <w:rPr/>
      </w:pPr>
      <w:bookmarkEnd w:id="179"/>
      <w:r>
        <w:rPr>
          <w:rFonts w:ascii="Amiri" w:hAnsi="Amiri" w:eastAsia="Amiri" w:cs="Amiri"/>
          <w:color w:val="111111"/>
          <w:sz w:val="28"/>
          <w:sz w:val="28"/>
          <w:szCs w:val="28"/>
          <w:rtl w:val="true"/>
          <w:lang w:bidi="ar-SA"/>
        </w:rPr>
        <w:t>ويترتب على ذلك أنّ العقود المبنية على الغرر كبيع المعدوم والمجهول وإجارتهما وغير المقدور على تسليمه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للمغبون، ولما خرج خلاف الرؤية والوصف، ولما اشتمل على العيب أو على التدليس أو على الشركة أو على الشرط أو على ظهور الكذب في الإخبار في باب المرابحة أو على ظهور الإعسار في الضامن في عقد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شرط الاختيار، فيقوم مقامه الإجبار فيما لو امتنع الشريك من القسمة، أو امتنع من المهايأة في وجه، أو امتنع من الصلح الاختياري في مقام الاشتباه، فإنّ الحاكم يصالحه قهراً، أو امتنع من الإنفاق فإنّ الحاكم يبيع ماله لنفقة عياله، وكذا لو امتنع من بيع الطعام عند اضطرار الناس إليه احتكاراً منه يطلب فيه الغلاء، وكذلك بيع كلّ ما يضطرّ إليه عامة الناس، وكذا بيع مال الغائب الذي يخشى تلفه، وكذلك بيع مال الودعي إذا خشي عليه من الفساد، وكذا كلّ أمانة، ودخوله في قاعدة الإحسان لا ينافي دخوله في قاعدة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تقابل الضرران فلا يجبر ضرر واحد بضررٍ آخر، إلا إذا عاد إلى موضوع واحد، فهناك ينظر إلى الترجيح فيقدم أزيدهما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توقف النظام على الأعمال التي لها أُجرة، قام الحاكم مقامهم وآجرهم أو جبرهم عند امتناعهم، وقد يكون دليلاً على لزوم الجائز كالعارية للدفن وللصلاة الواجبة، ومثله عارية الرهن فإنّها تلزم بالرهن بل ربما يتسرّى فيه لكلّ مستعار بني على الدوام ويضرّ قلعه، وكذا تزويج الولي الصغيرة بغير مهر المثل فإنّه لا يبعد تسليطها على فسخ المسمّى، وكذا المزوّجة بالمدلّس أو المزوّج بالمدلّسة، وكذا الخيار في عيوب النكاح، وكذا لو تزوجها على أنّها بنت مهيرة </w:t>
      </w:r>
      <w:r>
        <w:rPr>
          <w:rStyle w:val="FootnoteAnchor"/>
          <w:rtl w:val="true"/>
        </w:rPr>
        <w:footnoteReference w:id="619"/>
      </w:r>
      <w:r>
        <w:rPr>
          <w:rFonts w:ascii="Amiri" w:hAnsi="Amiri" w:eastAsia="Amiri" w:cs="Amiri"/>
          <w:color w:val="111111"/>
          <w:sz w:val="28"/>
          <w:sz w:val="28"/>
          <w:szCs w:val="28"/>
          <w:rtl w:val="true"/>
          <w:lang w:bidi="ar-SA"/>
        </w:rPr>
        <w:t>فبانت بنت أمة، وكذا لو أُعتقت تحت عبد أو نُقلت</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3372246_1280447820"/>
      <w:bookmarkStart w:id="181" w:name="_Toc69"/>
      <w:bookmarkEnd w:id="180"/>
      <w:r>
        <w:rPr>
          <w:rtl w:val="true"/>
        </w:rPr>
        <w:t xml:space="preserve">القاعدة السادسة والعشرون </w:t>
      </w:r>
      <w:r>
        <w:rPr>
          <w:rtl w:val="true"/>
        </w:rPr>
        <w:t xml:space="preserve">: </w:t>
      </w:r>
      <w:r>
        <w:rPr>
          <w:rtl w:val="true"/>
        </w:rPr>
        <w:t xml:space="preserve">قاعدة </w:t>
      </w:r>
      <w:r>
        <w:rPr>
          <w:rtl w:val="true"/>
        </w:rPr>
        <w:t>«</w:t>
      </w:r>
      <w:r>
        <w:rPr>
          <w:rtl w:val="true"/>
        </w:rPr>
        <w:t>التعاون على البرّ</w:t>
      </w:r>
      <w:r>
        <w:rPr>
          <w:rtl w:val="true"/>
        </w:rPr>
        <w:t>»</w:t>
      </w:r>
      <w:bookmarkEnd w:id="18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عقد صدق عرفاً عليه أنّه معاونة على إثم أو أنّه </w:t>
      </w:r>
      <w:bookmarkStart w:id="182" w:name="pg19000_245293"/>
    </w:p>
    <w:p>
      <w:pPr>
        <w:pStyle w:val="BookText"/>
        <w:rPr/>
      </w:pPr>
      <w:bookmarkEnd w:id="182"/>
      <w:r>
        <w:rPr>
          <w:rFonts w:ascii="Amiri" w:hAnsi="Amiri" w:eastAsia="Amiri" w:cs="Amiri"/>
          <w:color w:val="111111"/>
          <w:sz w:val="28"/>
          <w:sz w:val="28"/>
          <w:szCs w:val="28"/>
          <w:rtl w:val="true"/>
          <w:lang w:bidi="ar-SA"/>
        </w:rPr>
        <w:t xml:space="preserve">كان القصد فيه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لا يترتب عليه أثره، بناءً على أنّ النهي الحاصل من اجتماع جهتين تقييديتين في المعاملة يبطلها، فعلى ذلك لو قصد بيع السلاح معونة للظالمين على الحرب، وكذا كلّ ما يعان به عرفاً، أو قصد بالإجارة الإعانة على فعل الحرام كإجارة البيوت للزواني وللخمر وللقمار، أو قصد ببيع السموم ضرر المسلمين أو بإجارة المساكن للجند ضرر المؤمنين ولو كانت المعونة غير واقعية بل مجرّد أن الناقل زعمها، فهي حرام لا تقضي بالفساد قطعاً، ولو كان بالعكس فلا يبعد الفساد دون التحريم ولو كان صدق المعونة بعيداً، كبيع الطعام أو اللباس لمن يتقوى به على الحرب، وبيع الآجر أو الجص لمن يعمل بيتاً فيؤجره للحرام على إشكال في الأخير، إلا إذا صرّح بالشرطية أو العلية فلايبعد الفساد</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3372248_1280447820"/>
      <w:bookmarkStart w:id="184" w:name="_Toc70"/>
      <w:bookmarkEnd w:id="183"/>
      <w:r>
        <w:rPr>
          <w:rtl w:val="true"/>
        </w:rPr>
        <w:t>القاعدة السابعة والعشرون</w:t>
      </w:r>
      <w:r>
        <w:rPr>
          <w:rtl w:val="true"/>
        </w:rPr>
        <w:t xml:space="preserve">: </w:t>
      </w:r>
      <w:r>
        <w:rPr>
          <w:rtl w:val="true"/>
        </w:rPr>
        <w:t>الأصل في العقود الصحة عند وقوعها والشك في أنّها صحيحة أو فاسدة</w:t>
      </w:r>
      <w:bookmarkEnd w:id="184"/>
    </w:p>
    <w:p>
      <w:pPr>
        <w:pStyle w:val="BookText"/>
        <w:rPr/>
      </w:pPr>
      <w:r>
        <w:rPr>
          <w:rFonts w:ascii="Amiri" w:hAnsi="Amiri" w:eastAsia="Amiri" w:cs="Amiri"/>
          <w:color w:val="111111"/>
          <w:sz w:val="28"/>
          <w:sz w:val="28"/>
          <w:szCs w:val="28"/>
          <w:rtl w:val="true"/>
          <w:lang w:bidi="ar-SA"/>
        </w:rPr>
        <w:t>القاعدة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العقود الصحّة عند وقوعها والشكّ في أنّها صحيحة أو فاسدة؛ 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فعل المسلم، إلّا إذا توقفت على شرط يشك في حصوله وقت العقد، كمن عقد ولم يعلم بلوغه أو عقله بعد جنونه، فإنّ أصل الصحّة لا يثبت حصول الشرط مع الشكّ في تحققه إلى زمن الشكّ وإلا لجاز أن آمر الصبي بعقد فبعد تمامه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صحته فهو بالغ،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طرأ عليه وصف الصبا ووصف البلوغ وقد صدر منه عقد لا يعلم أنّه قارن أيّ الوصفين، صح التمسك بأصالة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 الشكّ في طروء المانع على العقد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حصل الشكّ في اجتماع شرائطه وعدمها بعد وقوعه، أما لو وقع الشكّ في حصول الشرط قبل العقد كالشكّ في القدرة على التسليم فإنّه لا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نوقع البيع والأصل صحته فيثبت أنا قادرون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أوقعوه فثبت بعد ذلك حصول الشرط من البلوغ والقدرة وشكّ في اقترانها أو تقدَّم العقد أو تأخره يحكم بالصحّة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تأريخ العقد وشكّ في تأريخ البلوغ كان القول بالبطلان قوياً، وليس ذلك </w:t>
      </w:r>
      <w:bookmarkStart w:id="185" w:name="pg19000_245294"/>
    </w:p>
    <w:p>
      <w:pPr>
        <w:pStyle w:val="BookText"/>
        <w:rPr/>
      </w:pPr>
      <w:bookmarkEnd w:id="185"/>
      <w:r>
        <w:rPr>
          <w:rFonts w:ascii="Amiri" w:hAnsi="Amiri" w:eastAsia="Amiri" w:cs="Amiri"/>
          <w:color w:val="111111"/>
          <w:sz w:val="28"/>
          <w:sz w:val="28"/>
          <w:szCs w:val="28"/>
          <w:rtl w:val="true"/>
          <w:lang w:bidi="ar-SA"/>
        </w:rPr>
        <w:t>من الترديد المنافي للجزم، بل لا يبعد ذلك في الطلاق مع الشك في حصول الشرائط، فإنّه لا يبعد صحّة الطلاق لو أوقعه فتبين اجتماع الشرائط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صحّة أصل العقد بمعنى أنا شككنا في عقد بعد شمول لفظ العقد له ودخوله تحت العموم هل هو موقوف على شرط أو رفع مانع أم لا؟ فلا شك أيضاً أن الأصل صحته، والأصل عدم توقفه على شرط أو رفع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الشكّ في صحّة عقد للشك في سببيته ودخوله تحت دليل الصحّة، فلا شك أن الأصل عدم السببية وعدم النقل والانتقال، والأصل عدم الصحّة في العقود حتّى تثبت صحتها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فالأصل في كلّ عقدٍ متعارف جارٍ على قوانين العقود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العربية، أو ما قام مقامها الفعلية، أو ما قام مقامها الماضوية، أو ما قام مقامها المرتبة في وجه قوي، الغير مفصولة بفاصل مُخلّ المشتملة على القصد والرضى والبلوغ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حتى يقوم شاهد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العقود في العقود في الآية </w:t>
      </w:r>
      <w:r>
        <w:rPr>
          <w:rStyle w:val="FootnoteAnchor"/>
          <w:rtl w:val="true"/>
        </w:rPr>
        <w:footnoteReference w:id="622"/>
      </w:r>
      <w:r>
        <w:rPr>
          <w:rFonts w:ascii="Amiri" w:hAnsi="Amiri" w:eastAsia="Amiri" w:cs="Amiri"/>
          <w:color w:val="111111"/>
          <w:sz w:val="28"/>
          <w:sz w:val="28"/>
          <w:szCs w:val="28"/>
          <w:rtl w:val="true"/>
          <w:lang w:bidi="ar-SA"/>
        </w:rPr>
        <w:t>وإن أفاد العموم لكنّه عموم العقود المتعارفة؛ للإجماع على عدم حصول النقل والانتقال بغيرها، ولأنّها لو شملت الجميع لكان الخارج أكثر من الداخل، ولأن الشهرة وإن لم تخصص العام ولكنها توهن دلالته على العموم</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3372250_1280447820"/>
      <w:bookmarkStart w:id="187" w:name="_Toc71"/>
      <w:bookmarkEnd w:id="186"/>
      <w:r>
        <w:rPr>
          <w:rtl w:val="true"/>
        </w:rPr>
        <w:t>القاعدة الثامنة والعشرون الأصل في العقود اللزوم</w:t>
      </w:r>
      <w:bookmarkEnd w:id="187"/>
    </w:p>
    <w:p>
      <w:pPr>
        <w:pStyle w:val="BookText"/>
        <w:rPr/>
      </w:pPr>
      <w:r>
        <w:rPr>
          <w:rFonts w:ascii="Amiri" w:hAnsi="Amiri" w:eastAsia="Amiri" w:cs="Amiri"/>
          <w:color w:val="111111"/>
          <w:sz w:val="28"/>
          <w:sz w:val="28"/>
          <w:szCs w:val="28"/>
          <w:rtl w:val="true"/>
          <w:lang w:bidi="ar-SA"/>
        </w:rPr>
        <w:t>القاعدة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العقود اللزوم؛ للاستصحاب في وجه؛ وللأمر بالوفاء بها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منع الاستصحاب؛ لأنّه من استصحاب المجمل؛ لعدم العلم بكيفية ثبوت العقد من الجواز أو الوجوب واللزوم كي يستصحب لزومه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لزومه وطرأ عليه ما يُشكّ ببقاء اللزوم معه وعدمه، كان الاستصحاب في محله</w:t>
      </w:r>
      <w:r>
        <w:rPr>
          <w:rFonts w:eastAsia="Amiri" w:cs="Amiri" w:ascii="Amiri" w:hAnsi="Amiri"/>
          <w:color w:val="111111"/>
          <w:sz w:val="28"/>
          <w:szCs w:val="28"/>
          <w:rtl w:val="true"/>
          <w:lang w:bidi="ar-SA"/>
        </w:rPr>
        <w:t xml:space="preserve">. </w:t>
      </w:r>
      <w:bookmarkStart w:id="188" w:name="pg19000_245295"/>
    </w:p>
    <w:p>
      <w:pPr>
        <w:pStyle w:val="BookText"/>
        <w:rPr/>
      </w:pPr>
      <w:bookmarkEnd w:id="188"/>
      <w:r>
        <w:rPr>
          <w:rFonts w:ascii="Amiri" w:hAnsi="Amiri" w:eastAsia="Amiri" w:cs="Amiri"/>
          <w:color w:val="111111"/>
          <w:sz w:val="28"/>
          <w:sz w:val="28"/>
          <w:szCs w:val="28"/>
          <w:rtl w:val="true"/>
          <w:lang w:bidi="ar-SA"/>
        </w:rPr>
        <w:t>ومنع دلالة الأمر على اللزوم؛ إذ الوفاء بالعقد يكون على ما هو عليه من اللزوم والجواز، فيجب الوفاء به، إن كان لازماً فعلى لزومه، وإن كان جائزاً فعلى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أنّه لو شكّ في لزوم عقد وجوازه يُحكم بلزومه؛ لظهور ذلك من العقد، فإنّ الظاهر من مشروعية العقد ليس مجرّد الإذن في التصرّف، بل الملك والسلطنة، وهما ظاهران الدوام والبقاء، إلا أن يظهر منه أن المقصود رفع الحجر والمنع في التصرف، كالوكالة والعارية والمضاربة، أو المقصود منه طلب الإحسان كالوديعة، أما البيع فأصالة اللزوم فيه مما لا كلام في ظهوره من الأدلّة</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3372252_1280447820"/>
      <w:bookmarkStart w:id="190" w:name="_Toc72"/>
      <w:bookmarkEnd w:id="189"/>
      <w:r>
        <w:rPr>
          <w:rtl w:val="true"/>
        </w:rPr>
        <w:t>القاعدة التاسعة والعشرون</w:t>
      </w:r>
      <w:r>
        <w:rPr>
          <w:rtl w:val="true"/>
        </w:rPr>
        <w:t xml:space="preserve">: </w:t>
      </w:r>
      <w:r>
        <w:rPr>
          <w:rtl w:val="true"/>
        </w:rPr>
        <w:t>عدم سلطنة الكافرين على المؤمنين وبيان ما يترتب عليها</w:t>
      </w:r>
      <w:bookmarkEnd w:id="190"/>
    </w:p>
    <w:p>
      <w:pPr>
        <w:pStyle w:val="BookText"/>
        <w:rPr/>
      </w:pPr>
      <w:r>
        <w:rPr>
          <w:rFonts w:ascii="Amiri" w:hAnsi="Amiri" w:eastAsia="Amiri" w:cs="Amiri"/>
          <w:color w:val="111111"/>
          <w:sz w:val="28"/>
          <w:sz w:val="28"/>
          <w:szCs w:val="28"/>
          <w:rtl w:val="true"/>
          <w:lang w:bidi="ar-SA"/>
        </w:rPr>
        <w:t>القاعدة التاسعة والعشرون من القواعد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ويترتب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تزويج المؤمن بالكافر، وعدم صحّة بيعه عليه، وجبره على بیعه لو ملكه قبل كفره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إلحاق المخالف للحق بالكافر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استئجار المسلم للكافر؛ للأخبار </w:t>
      </w:r>
      <w:r>
        <w:rPr>
          <w:rStyle w:val="FootnoteAnchor"/>
          <w:rtl w:val="true"/>
        </w:rPr>
        <w:footnoteReference w:id="625"/>
      </w:r>
      <w:r>
        <w:rPr>
          <w:rFonts w:ascii="Amiri" w:hAnsi="Amiri" w:eastAsia="Amiri" w:cs="Amiri"/>
          <w:color w:val="111111"/>
          <w:sz w:val="28"/>
          <w:sz w:val="28"/>
          <w:szCs w:val="28"/>
          <w:rtl w:val="true"/>
          <w:lang w:bidi="ar-SA"/>
        </w:rPr>
        <w:t>والسيرة، وللشك في كونه من السبيل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يستودع الكافر المسلم،ويعيره، ويجوز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يجعل المسلم وديعةً وعارية عند الكافر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الكلام عليه في محله </w:t>
      </w:r>
      <w:r>
        <w:rPr>
          <w:rStyle w:val="FootnoteAnchor"/>
          <w:rtl w:val="true"/>
        </w:rPr>
        <w:footnoteReference w:id="626"/>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3372254_1280447820"/>
      <w:bookmarkStart w:id="192" w:name="_Toc73"/>
      <w:bookmarkEnd w:id="191"/>
      <w:r>
        <w:rPr>
          <w:rtl w:val="true"/>
        </w:rPr>
        <w:t>القاعدة الثلاثون</w:t>
      </w:r>
      <w:r>
        <w:rPr>
          <w:rtl w:val="true"/>
        </w:rPr>
        <w:t xml:space="preserve">: </w:t>
      </w:r>
      <w:r>
        <w:rPr>
          <w:rtl w:val="true"/>
        </w:rPr>
        <w:t>العقد يتولاه المالك أو وكيله أو وليه الإجباري</w:t>
      </w:r>
      <w:bookmarkEnd w:id="192"/>
    </w:p>
    <w:p>
      <w:pPr>
        <w:pStyle w:val="BookText"/>
        <w:rPr/>
      </w:pPr>
      <w:r>
        <w:rPr>
          <w:rFonts w:ascii="Amiri" w:hAnsi="Amiri" w:eastAsia="Amiri" w:cs="Amiri"/>
          <w:color w:val="111111"/>
          <w:sz w:val="28"/>
          <w:sz w:val="28"/>
          <w:szCs w:val="28"/>
          <w:rtl w:val="true"/>
          <w:lang w:bidi="ar-SA"/>
        </w:rPr>
        <w:t>القاعدة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يتولاه المالك أو وكيله، أو وليه الإجباري وهو الأب والجدّ له مع وجوده ومع عدمه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هما في الولاية سواء مطلقاً، فيبطل الإيجابان لو اتحد القابل والثمن؛ لأن اجتماع علتين على معلول واحد غير ممكن، وترجيح أحدهما على الآخر لا معنى له من غير مرجّح، </w:t>
      </w:r>
    </w:p>
    <w:p>
      <w:pPr>
        <w:pStyle w:val="BookText"/>
        <w:rPr/>
      </w:pPr>
      <w:r>
        <w:rPr>
          <w:rFonts w:ascii="Amiri" w:hAnsi="Amiri" w:eastAsia="Amiri" w:cs="Amiri"/>
          <w:color w:val="111111"/>
          <w:sz w:val="28"/>
          <w:sz w:val="28"/>
          <w:szCs w:val="28"/>
          <w:rtl w:val="true"/>
          <w:lang w:bidi="ar-SA"/>
        </w:rPr>
        <w:t>أو يصح الإيجاب والقبول؛ لأن مجموع الإيجابين بمنزلة إيجاب واحد، ولأن أحدهما صحيح، إما الأب أو الجد؛ إذ لا تمانع بينهما ؟</w:t>
      </w:r>
    </w:p>
    <w:p>
      <w:pPr>
        <w:pStyle w:val="BookText"/>
        <w:rPr/>
      </w:pPr>
      <w:r>
        <w:rPr>
          <w:rFonts w:ascii="Amiri" w:hAnsi="Amiri" w:eastAsia="Amiri" w:cs="Amiri"/>
          <w:color w:val="111111"/>
          <w:sz w:val="28"/>
          <w:sz w:val="28"/>
          <w:szCs w:val="28"/>
          <w:rtl w:val="true"/>
          <w:lang w:bidi="ar-SA"/>
        </w:rPr>
        <w:t>والأظهر الصحّة هنا مطلقاً؛ حيث إنّ عِلل الشرع علائم ومعرفات، فلا يمتنع اجتماع علّتين على معلول واحد، ونظائره في الفقه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العقدان احتمل البطلان واحتمل تقديم عقد الأب، واحتمل عقد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التخيير للمولى عليه بعد ذلك؛ لأنّ العقدين صارا بمنزلة الفضولي فيما إذا اتحد المعقود معه واختلف المعقود عليه، واحتمل القرعة، واحتمل التنصيف عملاً بكلا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تقديم عقد الجدّ؛ لأنّ الولد وماله لأبيه، ولتقديمه في النكاح فغيره أولى بالتقديم، ولما دلّ على أن ولي النكاح وليّ المال؛ أو أنّ الأب مقدّم في الولاية فاختياره مقدم على اختيار الجد، أو أنّ الجدّ مقدّم فاختياره مقدّم على اختيار الأب، والأظهر تقديم ولاية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يتشاحًا في الاختيار فالعقد للسابق منهما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من بعد الجد والأب لوصي أحدهما، ومن بعده للحاكم أو قيم الحاكم، ومن بعده لعدول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تثبت الولاية شرعاً للمقاص والأمين عند خوف التلف، وللمتصدق باللقطة ومجهول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 والجد يليان الصغير والكبير المستمر جنونه أو سفهه من صغره إلى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الصغير عاقلاً رشيداً زالت ولايتهما، فلو عاد الجنون عادت على الأظهر، ولو عاد السفه لم تعد ورجعت إلى الحاكم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ولهما أن يتوليا طرفي العقد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والحاكم وأمينه والمحتسب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يلون المحجور عليه مع عدم الأب والجد والوصيّ لأحدهما لصغر أو جنون أو سفه، مستمرين أم لا، ومع وجودهما يليان مَنْ تجدّد سفهه ويليان الغائب مع خوف الضرر، والممتنع والعاجز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والوصي يلي الصغير والمجنون مطلقاً إذا كان متصفاً بالوصفين حين الوصاية، وبدونه إشكال، ويلي من استمرّ سفهه كذلك دون مَنْ تجدّد، ولو زال النقص بعد الموت فعاد، عادت وصايته على إشكال</w:t>
      </w:r>
      <w:r>
        <w:rPr>
          <w:rFonts w:eastAsia="Amiri" w:cs="Amiri" w:ascii="Amiri" w:hAnsi="Amiri"/>
          <w:color w:val="111111"/>
          <w:sz w:val="28"/>
          <w:szCs w:val="28"/>
          <w:rtl w:val="true"/>
          <w:lang w:bidi="ar-SA"/>
        </w:rPr>
        <w:t xml:space="preserve">. </w:t>
      </w:r>
      <w:bookmarkStart w:id="193" w:name="pg19000_245297"/>
    </w:p>
    <w:p>
      <w:pPr>
        <w:pStyle w:val="BookText"/>
        <w:rPr/>
      </w:pPr>
      <w:bookmarkEnd w:id="193"/>
      <w:r>
        <w:rPr>
          <w:rFonts w:ascii="Amiri" w:hAnsi="Amiri" w:eastAsia="Amiri" w:cs="Amiri"/>
          <w:color w:val="111111"/>
          <w:sz w:val="28"/>
          <w:sz w:val="28"/>
          <w:szCs w:val="28"/>
          <w:rtl w:val="true"/>
          <w:lang w:bidi="ar-SA"/>
        </w:rPr>
        <w:t>وللأوصياء والوكلاء والحاكم وعدول المسلمين تولّي طرفي العقد، والكلام في هذا قد ذكرناه في محلّه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3372256_1280447820"/>
      <w:bookmarkStart w:id="195" w:name="_Toc74"/>
      <w:bookmarkEnd w:id="194"/>
      <w:r>
        <w:rPr>
          <w:rtl w:val="true"/>
        </w:rPr>
        <w:t>القاعدة الإحدى والثلاثون</w:t>
      </w:r>
      <w:r>
        <w:rPr>
          <w:rtl w:val="true"/>
        </w:rPr>
        <w:t xml:space="preserve">: </w:t>
      </w:r>
      <w:r>
        <w:rPr>
          <w:rtl w:val="true"/>
        </w:rPr>
        <w:t>الأصل في نواقل الأعيان البيع</w:t>
      </w:r>
      <w:bookmarkEnd w:id="195"/>
    </w:p>
    <w:p>
      <w:pPr>
        <w:pStyle w:val="BookText"/>
        <w:rPr/>
      </w:pPr>
      <w:r>
        <w:rPr>
          <w:rFonts w:ascii="Amiri" w:hAnsi="Amiri" w:eastAsia="Amiri" w:cs="Amiri"/>
          <w:color w:val="111111"/>
          <w:sz w:val="28"/>
          <w:sz w:val="28"/>
          <w:szCs w:val="28"/>
          <w:rtl w:val="true"/>
          <w:lang w:bidi="ar-SA"/>
        </w:rPr>
        <w:t>القاعدة الإحدى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نواقل الأعيان البيع، بمعنى أنّه لو عقد على عين وشككنا في الواقع أنّه بيع أو صلح أو هبة فالغالب والراجح كونه بيعاً، فتجري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متعارضة وليس إلا القرعة أو يُحكم بالنقل فقط، دون الأحكام الزائدة؛ لانتفائها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فالقول قول مدعي البيع، وعلى الثاني يقع التحالف وينفسخ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البيع فيما لو وقع العقد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وقع معاطاةً ولم نعلم بقصد العاقد فإنّه يُحمل على البيع؛ لظهوره، ولأنّه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القصد فقال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البيع،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البيع فيما لو لم يقع قصد من أحدهما، كما إذا وقعت معاطاة بينهما، أو عقدا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يقصدا سوى النقل، غفلةٌ عن قصد الخصوصية أو تعمّداً، فإنّه يُحمل على البيع، وتجري عليه أحكامه؛ لانصراف العقد إليه؛ لأنّه المحروز في الأذهان عند الغفلة والسهو والنسيان</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3372258_1280447820"/>
      <w:bookmarkStart w:id="197" w:name="_Toc75"/>
      <w:bookmarkEnd w:id="196"/>
      <w:r>
        <w:rPr>
          <w:rtl w:val="true"/>
        </w:rPr>
        <w:t>القاعدة الثانية والثلاثون</w:t>
      </w:r>
      <w:r>
        <w:rPr>
          <w:rtl w:val="true"/>
        </w:rPr>
        <w:t xml:space="preserve">: </w:t>
      </w:r>
      <w:r>
        <w:rPr>
          <w:rtl w:val="true"/>
        </w:rPr>
        <w:t>الأصل في الأسباب الشرعيَّة تغاير تأثيرها</w:t>
      </w:r>
      <w:bookmarkEnd w:id="197"/>
    </w:p>
    <w:p>
      <w:pPr>
        <w:pStyle w:val="BookText"/>
        <w:rPr/>
      </w:pPr>
      <w:r>
        <w:rPr>
          <w:rFonts w:ascii="Amiri" w:hAnsi="Amiri" w:eastAsia="Amiri" w:cs="Amiri"/>
          <w:color w:val="111111"/>
          <w:sz w:val="28"/>
          <w:sz w:val="28"/>
          <w:szCs w:val="28"/>
          <w:rtl w:val="true"/>
          <w:lang w:bidi="ar-SA"/>
        </w:rPr>
        <w:t>القاعدة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الأسباب الشرعيَّة تغاير تأثيرها وإن كانت كالمعرفات، والأصل عدم تداخلها سوى ما دلّ الدليل على صحته من إجماع وشبهه، كإجزاء قبول واحد لإيجاباتٍ متعدّدة من نوع واحد أو متعدّدة كبيع وإجارة، وعلى إجزاء إيجاب واحدٍ لبيوع متعددة وقبولات متعدّدة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تعدّد المنقول، أما لو اتحد فتكرّرت صيغة البيع على مبيع واحد وقبل القابل للجميع، فإن نوى القبول لواحد معين كان له وجرت عليه أحكامه، وإن نوى لغير معين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وإن نوى قبول المجموع فالأظهر الصحّة، ويكون بمنزلة نقل واحد، ويختلف فيما لو قصد الموجب التأسيس أو التأكيد، وكذا تختلف الأحكام بالنسبة إلى تقييد أحدهما وإطلاق الآخر، أو تقييده بقيد منافٍ لقيد الآخر</w:t>
      </w:r>
      <w:r>
        <w:rPr>
          <w:rFonts w:eastAsia="Amiri" w:cs="Amiri" w:ascii="Amiri" w:hAnsi="Amiri"/>
          <w:color w:val="111111"/>
          <w:sz w:val="28"/>
          <w:szCs w:val="28"/>
          <w:rtl w:val="true"/>
          <w:lang w:bidi="ar-SA"/>
        </w:rPr>
        <w:t xml:space="preserve">. </w:t>
      </w:r>
      <w:bookmarkStart w:id="198" w:name="pg19000_245298"/>
    </w:p>
    <w:p>
      <w:pPr>
        <w:pStyle w:val="BookText"/>
        <w:rPr/>
      </w:pPr>
      <w:bookmarkEnd w:id="198"/>
      <w:r>
        <w:rPr>
          <w:rFonts w:ascii="Amiri" w:hAnsi="Amiri" w:eastAsia="Amiri" w:cs="Amiri"/>
          <w:color w:val="111111"/>
          <w:sz w:val="28"/>
          <w:sz w:val="28"/>
          <w:szCs w:val="28"/>
          <w:rtl w:val="true"/>
          <w:lang w:bidi="ar-SA"/>
        </w:rPr>
        <w:t>أما لو تكرّرت صيغة بيع وصلح، فإن نوى القابل قبول معين جرت أحكامه، وإن نوى أحدهما بطلت، وإن نوى المجموع احتملت الصحّة وإجراء أحكام البيع؛ لأنّه أصل، واحتمل إجراء أحكام الصلح؛ لأنّه مسقط لأحكام البيع، فيكون بيعاً بالذات جارية عليه أحكام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باع أحد الوكيلين وصالح الآخر دفعةً، فقبلهما القابل دفعة وكان المبيع والثمن والشرائط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الوليان لو صالح أحدهما فباع الآخر فقبل المشتري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أحد الوكيلين مطلقاً وباع الآخر بشرط أو خيار فقبلهما معاً، احتمل الصحّة وإجراء حكم الشرط والخيار واحتمل البطلان، والأوّل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مع تعدّد الإيجاب بطلان القبول بهما؛ لأنهما كالعلتين في النقل، فلايتواردان على معلول واحد وهو الانتقال، إلا أن يكون المقصود تأكيد النقل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العلّة كالمعرّف ليست علةً حقيقية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3372260_1280447820"/>
      <w:bookmarkStart w:id="200" w:name="_Toc76"/>
      <w:bookmarkEnd w:id="199"/>
      <w:r>
        <w:rPr>
          <w:rtl w:val="true"/>
        </w:rPr>
        <w:t>القاعدة الثالثة والثلاثون</w:t>
      </w:r>
      <w:r>
        <w:rPr>
          <w:rtl w:val="true"/>
        </w:rPr>
        <w:t xml:space="preserve">: </w:t>
      </w:r>
      <w:r>
        <w:rPr>
          <w:rtl w:val="true"/>
        </w:rPr>
        <w:t>الأصل مساواة الكلّي للفرد في النقل والانتقال</w:t>
      </w:r>
      <w:bookmarkEnd w:id="200"/>
    </w:p>
    <w:p>
      <w:pPr>
        <w:pStyle w:val="BookText"/>
        <w:rPr/>
      </w:pPr>
      <w:r>
        <w:rPr>
          <w:rFonts w:ascii="Amiri" w:hAnsi="Amiri" w:eastAsia="Amiri" w:cs="Amiri"/>
          <w:color w:val="111111"/>
          <w:sz w:val="28"/>
          <w:sz w:val="28"/>
          <w:szCs w:val="28"/>
          <w:rtl w:val="true"/>
          <w:lang w:bidi="ar-SA"/>
        </w:rPr>
        <w:t>القاعدة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مساواة الكلّي للفرد في النقل والانتقال؛ لعموم الأدلّة، ولظاهر الاتفاق، إلا ما أخرجه الدليل في خصوص الهبة والوقف والعارية والمضاربة، فيصح بيع الكلّي الموصوف بوصف رافع للجهالة، مؤجّلاً أو غير مؤجل، ويصح جعله ثمناً مؤجلاً أو غير مؤجل، إلا ما خرج بالدليل كبيع الكالي بالكالئ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القدرة على تسليمه حالاً في الحال، وعند حلول الأجل في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بيع الكلّي من بيع المعدوم؛ لأنّه موجود لوجود أفراده، ولأن ملكه في الذمة والفرد مشخّص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دفع الفرد كاشف عن كونه نفس المبيع ابتداء، أو ناقل للفرد عوض الكلي فهو بمنزلة الوفاء للدين ؟ وجهان، والأخير أوجه؛ لأنّ الفرد غالب أحواله يكون مملوكاً لغير العاقد حين العقد، فلا ينكشف أنّه مملوك لأحد المتعاقدين، وأنّه نقله للآخر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لا يملكه البائع ولا بيع إلا في ملك؛ لأنّ الكلّي في الذمة مملوك للبائع، فهي ظرف للكلّيّات المملوكة، كما أنّ الخارج ظرف للأفراد الخارجة</w:t>
      </w:r>
      <w:r>
        <w:rPr>
          <w:rFonts w:eastAsia="Amiri" w:cs="Amiri" w:ascii="Amiri" w:hAnsi="Amiri"/>
          <w:color w:val="111111"/>
          <w:sz w:val="28"/>
          <w:szCs w:val="28"/>
          <w:rtl w:val="true"/>
          <w:lang w:bidi="ar-SA"/>
        </w:rPr>
        <w:t xml:space="preserve">. </w:t>
      </w:r>
      <w:bookmarkStart w:id="201" w:name="pg19000_245299"/>
    </w:p>
    <w:p>
      <w:pPr>
        <w:pStyle w:val="BookText"/>
        <w:rPr/>
      </w:pPr>
      <w:bookmarkEnd w:id="201"/>
      <w:r>
        <w:rPr>
          <w:rFonts w:ascii="Amiri" w:hAnsi="Amiri" w:eastAsia="Amiri" w:cs="Amiri"/>
          <w:color w:val="111111"/>
          <w:sz w:val="28"/>
          <w:sz w:val="28"/>
          <w:szCs w:val="28"/>
          <w:rtl w:val="true"/>
          <w:lang w:bidi="ar-SA"/>
        </w:rPr>
        <w:t>ومن بيع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القدر المشتمل عليه العين كبيع رطل من صبرة وطن من قصب، فلو تلف في يد البائع الجميع سوى قدر ما بيع كان للمشتري، مع احتمال أن حكمه حكم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بيع الكلّي في وجه بيع الكسر المشاع؛ لدورانه بين ما فوق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يقصد بالمشاع قصد بيع الكلّي المحصور في معيّن، كما أنّه قد يقصد بالكلّي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والتفرقة في القصد تظهر من المقامات الخطابية</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3372262_1280447820"/>
      <w:bookmarkStart w:id="203" w:name="_Toc77"/>
      <w:bookmarkEnd w:id="202"/>
      <w:r>
        <w:rPr>
          <w:rtl w:val="true"/>
        </w:rPr>
        <w:t>القاعدة الرابعة والثلاثون</w:t>
      </w:r>
      <w:r>
        <w:rPr>
          <w:rtl w:val="true"/>
        </w:rPr>
        <w:t xml:space="preserve">: </w:t>
      </w:r>
      <w:r>
        <w:rPr>
          <w:rtl w:val="true"/>
        </w:rPr>
        <w:t>الأصل في نواقل الأعيان والمنافع أنّه لو وقع العقد على القابل وغير القابل صح في القابل وبطل في غيره</w:t>
      </w:r>
      <w:bookmarkEnd w:id="203"/>
    </w:p>
    <w:p>
      <w:pPr>
        <w:pStyle w:val="BookText"/>
        <w:rPr/>
      </w:pPr>
      <w:r>
        <w:rPr>
          <w:rFonts w:ascii="Amiri" w:hAnsi="Amiri" w:eastAsia="Amiri" w:cs="Amiri"/>
          <w:color w:val="111111"/>
          <w:sz w:val="28"/>
          <w:sz w:val="28"/>
          <w:szCs w:val="28"/>
          <w:rtl w:val="true"/>
          <w:lang w:bidi="ar-SA"/>
        </w:rPr>
        <w:t>القاعدة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نواقل الأعيان والمنافع أنّه لو وقع العقد على القابل وغير القابل صح في القابل وبطل في غيره، ويقسّط في نواقل المعاوضة ما قابل الجميع على القابل وغير القابل فيسقط منه بحساب غير القابل إذا كان متموّلاً ولو عند مستحليه كالخمر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يتموّل يحتمل جعل الجميع بإزاء القابل، ويحتمل تقديره مالاً متصفاً بصفته فيقوم فيسقط منه ذلك، ويحتمل الفرق بين العلم والجهل، ويحتمل البطلان هنا وفي كلّ ما بيع وفيه غير القابل؛ لأنّ العقد لا يتبعض، ولعدم حصول النقل المقصود، فما وقع لم يقصد، ولارتباط الرضى بالنقل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كما ترى؛ لمنع تبعض العقد، بل هو انصباب على القابل دون غير القابل، فغير القابل منصرف عنه، لا أنّه بطل بقدره، ولمنع عدم القصد؛ لأنّ القصد إلى الجميع حاصل، فالقابل مقصود بالنقل بما قابله ولمنع الشرطية في الارتباط، غايته أنّه وقع على ذلك الحال، لا أن ذلك الحال شرط في نقله، فهو نقل بصفة لاشرط لوصفٍ</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3372264_1280447820"/>
      <w:bookmarkStart w:id="205" w:name="_Toc78"/>
      <w:bookmarkEnd w:id="204"/>
      <w:r>
        <w:rPr>
          <w:rtl w:val="true"/>
        </w:rPr>
        <w:t>القاعدة الخامسة والثلاثون</w:t>
      </w:r>
      <w:r>
        <w:rPr>
          <w:rtl w:val="true"/>
        </w:rPr>
        <w:t xml:space="preserve">: </w:t>
      </w:r>
      <w:r>
        <w:rPr>
          <w:rtl w:val="true"/>
        </w:rPr>
        <w:t>الأصل في كل عقد جائز تابع للإذن أن ينتفي بانتفائه</w:t>
      </w:r>
      <w:bookmarkEnd w:id="205"/>
    </w:p>
    <w:p>
      <w:pPr>
        <w:pStyle w:val="BookText"/>
        <w:rPr/>
      </w:pPr>
      <w:r>
        <w:rPr>
          <w:rFonts w:ascii="Amiri" w:hAnsi="Amiri" w:eastAsia="Amiri" w:cs="Amiri"/>
          <w:color w:val="111111"/>
          <w:sz w:val="28"/>
          <w:sz w:val="28"/>
          <w:szCs w:val="28"/>
          <w:rtl w:val="true"/>
          <w:lang w:bidi="ar-SA"/>
        </w:rPr>
        <w:t>القاعدة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عقد جائز تابع للإذن أن ينتفي بانتفائها، فلأحدهما فسخه متى شاء، بقول أو فعل دال على الفسخ أو منافٍ للإذن، وينفسخ بالموت والجنون والإغماء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العقد الجائز الناقل للملك كالمعاطاة والهبة والجعالة في بعض الأحوال أنّها لا تنفسخ إلا بفاسخ من أحدهما، وكذا الجائز من جهة واللازم من أُخرى كالرهن، حيث إنّه يشبه النواقل التي لا تنفسخ، إلا أن يفسخه المرتهن</w:t>
      </w:r>
      <w:r>
        <w:rPr>
          <w:rFonts w:eastAsia="Amiri" w:cs="Amiri" w:ascii="Amiri" w:hAnsi="Amiri"/>
          <w:color w:val="111111"/>
          <w:sz w:val="28"/>
          <w:szCs w:val="28"/>
          <w:rtl w:val="true"/>
          <w:lang w:bidi="ar-SA"/>
        </w:rPr>
        <w:t xml:space="preserve">. </w:t>
      </w:r>
      <w:bookmarkStart w:id="206" w:name="pg19000_245300"/>
    </w:p>
    <w:p>
      <w:pPr>
        <w:pStyle w:val="BookText"/>
        <w:rPr/>
      </w:pPr>
      <w:bookmarkEnd w:id="206"/>
      <w:r>
        <w:rPr>
          <w:rFonts w:ascii="Amiri" w:hAnsi="Amiri" w:eastAsia="Amiri" w:cs="Amiri"/>
          <w:color w:val="111111"/>
          <w:sz w:val="28"/>
          <w:sz w:val="28"/>
          <w:szCs w:val="28"/>
          <w:rtl w:val="true"/>
          <w:lang w:bidi="ar-SA"/>
        </w:rPr>
        <w:t>والأصل في اللازم دوام لزومه ولا ينفسخ إلا بالتقايل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الإقالة على الأصل حيث إن إرجاع كلّ من العوضين إلى صاحبه بطريق المعاوضة الجديدة فيبقى العقد على لزومه، فيشملها أدلّة العقود والشروط، أو أنّها فسخ من حينه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على القاعدة، بل خروج المعاوضات الصرفة للدليل الدال على مشروعيته فيها، ويبقى الوقف والنكاح على القاعدة؟</w:t>
      </w:r>
    </w:p>
    <w:p>
      <w:pPr>
        <w:pStyle w:val="BookText"/>
        <w:rPr/>
      </w:pPr>
      <w:r>
        <w:rPr>
          <w:rFonts w:ascii="Amiri" w:hAnsi="Amiri" w:eastAsia="Amiri" w:cs="Amiri"/>
          <w:color w:val="111111"/>
          <w:sz w:val="28"/>
          <w:sz w:val="28"/>
          <w:szCs w:val="28"/>
          <w:rtl w:val="true"/>
          <w:lang w:bidi="ar-SA"/>
        </w:rPr>
        <w:t>وقد يراد باللازم هو ما لم يكن لأحدهما فقط فسخه، ومع الاتفاق يكون مشمولاً للتجارة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الجائز بالعارض لخيار أصلي أو مشترط فالأصل فيه أن لا ينفسخ إلا أن يفسخه أحد المتعاقدين</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3372266_1280447820"/>
      <w:bookmarkStart w:id="208" w:name="_Toc79"/>
      <w:bookmarkEnd w:id="207"/>
      <w:r>
        <w:rPr>
          <w:rtl w:val="true"/>
        </w:rPr>
        <w:t>القاعدة السادسة والثلاثون</w:t>
      </w:r>
      <w:r>
        <w:rPr>
          <w:rtl w:val="true"/>
        </w:rPr>
        <w:t xml:space="preserve">: </w:t>
      </w:r>
      <w:r>
        <w:rPr>
          <w:rtl w:val="true"/>
        </w:rPr>
        <w:t>الأصل في شرائط العقود أن تكون واقعية</w:t>
      </w:r>
      <w:bookmarkEnd w:id="208"/>
    </w:p>
    <w:p>
      <w:pPr>
        <w:pStyle w:val="BookText"/>
        <w:rPr/>
      </w:pPr>
      <w:r>
        <w:rPr>
          <w:rFonts w:ascii="Amiri" w:hAnsi="Amiri" w:eastAsia="Amiri" w:cs="Amiri"/>
          <w:color w:val="111111"/>
          <w:sz w:val="28"/>
          <w:sz w:val="28"/>
          <w:szCs w:val="28"/>
          <w:rtl w:val="true"/>
          <w:lang w:bidi="ar-SA"/>
        </w:rPr>
        <w:t>القاعدة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شرائط العقود أن تكون واقعيةً، فلا يؤثر العذر فيها أثراً شرعياً، فلو باع تقيّةً كبيع العامة على الموافق أو على مَنْ كان منهم، أو نكح نكاحاً مشروعاً عن عند المخالفين وليس مشروعاً عندنا، أو غير ذلك، فالأصل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التقيّة دين يجري في العبادات والمعاملات، يرده الأصول والقواعد، وخصوص ما جاء من الأدلّة في الشرائط والموانع التي تدور مدار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العقد بينهم أجريناه مجرى الصحيح؛ لأنا نلزمهم بما ألزموا به أنفسهم، ووجوب العمل تقيّةً لا يقضي بصحته في العبادات فضلاً عن المعاملات؛ لأصالة عدم الصحّة وعدم لإجزاء، إلا ما دلّ الدليل على قيامه مقام الصحيح كوضوء التقيّة وصلاتها، والتقيّة وإن كانت ديناً ولكن أثر أسبابها ليس ديناً ولا يلزم من أحدهما الآخر</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3372268_1280447820"/>
      <w:bookmarkStart w:id="210" w:name="_Toc80"/>
      <w:bookmarkEnd w:id="209"/>
      <w:r>
        <w:rPr>
          <w:rtl w:val="true"/>
        </w:rPr>
        <w:t>القاعدة السابعة والثلاثون</w:t>
      </w:r>
      <w:r>
        <w:rPr>
          <w:rtl w:val="true"/>
        </w:rPr>
        <w:t xml:space="preserve">: </w:t>
      </w:r>
      <w:r>
        <w:rPr>
          <w:rtl w:val="true"/>
        </w:rPr>
        <w:t>الأصل في العقد أن لا يصح من جانب ويفسد من جانب آخر</w:t>
      </w:r>
      <w:bookmarkEnd w:id="2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العقد أن لا يصح من جانب ويفسد من جانب آخر، سواء كان بالحكم الواقعي أو الظاهري، فلو تبايع مجتهدان أو مقلدان لمجتهدين مختلفين في بيع المعاطاة صحّة وفساداً، أو مختلفين في صحّة بيع الكلب وفساده، أو في صحّة بيع الدهن النجس وفساده، أو في صحّة العقد بغير العربي وفساده، إلى غير ذلك من صيغ العقود </w:t>
      </w:r>
      <w:bookmarkStart w:id="211" w:name="pg19000_245301"/>
    </w:p>
    <w:p>
      <w:pPr>
        <w:pStyle w:val="BookText"/>
        <w:rPr/>
      </w:pPr>
      <w:bookmarkEnd w:id="211"/>
      <w:r>
        <w:rPr>
          <w:rFonts w:ascii="Amiri" w:hAnsi="Amiri" w:eastAsia="Amiri" w:cs="Amiri"/>
          <w:color w:val="111111"/>
          <w:sz w:val="28"/>
          <w:sz w:val="28"/>
          <w:szCs w:val="28"/>
          <w:rtl w:val="true"/>
          <w:lang w:bidi="ar-SA"/>
        </w:rPr>
        <w:t xml:space="preserve">أو ممّا عليه معقود، كان العقد باطلاً كلّه؛ للأصل؛ لأنّ النتيجة تتبع أخس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أنّه يصح كله من جانب ويفسد كله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أنّه يصح أحد ركنيه من جانب ويفسد الركن الآخر من جانب آخر؛ لارتباط ركنية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كلّه صحيح بالنظر لمن يرى صحته، وكله باطل بالنظر لمن يرى بطلانه، ولا يضر اختلاف الحكم الشرعي بالنظر إلى اختلاف رأي المجتهدين، فلو كان دافع الثمن يرى صحّة العقد لوجب عليه دفعه، وكان قبض المبيع حلالاً عنده؛ لأنّه ماله بنظره ولوكان دافع المبيع يرى البطلان كان دفعه له حراماً وقبضه للثمن كذلك، ولزم عليه ردّه، وله المطالبة بمبيعه، ولما لم يكن لصاحب الثمن أن يأخذه لأنّه برأيه مال غيره، كان له أن يمتنع من رد المبيع، ويبقى الثمن مالاً لا يدعيه أحد، فيرجع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تداعيا عند مَنْ يرى صحّة العقد فحكم عليهما بالصحّة، لزمهما ذلك ظاهراً، وكان تكليفهما واقعاً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جريان الحكم عليهما ظاهراً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تداعيا عند مَنْ يرى فساده فحكم عليهما بالفساد، لزمهما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تداعيا عند مَنْ يرى أن كلا منهما يمضي على ما يراه، لزمهما ذلك، إلا أنّه قد يؤدي إلى النزاع والشقاق، فلا بد للحاكم من نهي مَنْ يرى الفساد أن لا يتعرّض مَنْ يرى الصحّة وإن لزمه طرح ماله عليه؛ لأنّ الحاكم منصوب لتلك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عقد مخالف مع موافق عقد مزابنة أو عقد على ما لا يصح تملكه عند الموافق، كان ما أخذه الموافق سحتاً على الأظهر، وإلزامهما بما ألزموا به أنفسهم خاص فيما إذا وقع العقد بينهم، ويحتمل حليته؛ لظاهر الخبر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أخذه المخالف، فالظاهر حلّيته بالنسبة إلى مَنْ يتناوله منه؛ إلزاماً لهم بما ألزموا به أنفسهم، وأنّ لكلّ قوم عقداً، وأما بالنسبة إليه فسحت</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3372270_1280447820"/>
      <w:bookmarkStart w:id="213" w:name="_Toc81"/>
      <w:bookmarkEnd w:id="212"/>
      <w:r>
        <w:rPr>
          <w:rtl w:val="true"/>
        </w:rPr>
        <w:t>القاعدة الثامنة والثلاثون</w:t>
      </w:r>
      <w:r>
        <w:rPr>
          <w:rtl w:val="true"/>
        </w:rPr>
        <w:t xml:space="preserve">: </w:t>
      </w:r>
      <w:r>
        <w:rPr>
          <w:rtl w:val="true"/>
        </w:rPr>
        <w:t>الأصل في العقود مغايرة أركانها الستة من حيث الذات</w:t>
      </w:r>
      <w:bookmarkEnd w:id="2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مغايرة أركانها الستة من حيث الذات</w:t>
      </w:r>
      <w:r>
        <w:rPr>
          <w:rFonts w:eastAsia="Amiri" w:cs="Amiri" w:ascii="Amiri" w:hAnsi="Amiri"/>
          <w:color w:val="111111"/>
          <w:sz w:val="28"/>
          <w:szCs w:val="28"/>
          <w:rtl w:val="true"/>
          <w:lang w:bidi="ar-SA"/>
        </w:rPr>
        <w:t xml:space="preserve">: </w:t>
      </w:r>
      <w:bookmarkStart w:id="214" w:name="pg19000_245302"/>
    </w:p>
    <w:p>
      <w:pPr>
        <w:pStyle w:val="BookText"/>
        <w:rPr/>
      </w:pPr>
      <w:bookmarkEnd w:id="214"/>
      <w:r>
        <w:rPr>
          <w:rFonts w:ascii="Amiri" w:hAnsi="Amiri" w:eastAsia="Amiri" w:cs="Amiri"/>
          <w:color w:val="111111"/>
          <w:sz w:val="28"/>
          <w:sz w:val="28"/>
          <w:szCs w:val="28"/>
          <w:rtl w:val="true"/>
          <w:lang w:bidi="ar-SA"/>
        </w:rPr>
        <w:t>الموجب والقابل،والثمن، والمثمن والإيجاب والقبول، هذا في المعاوضة، وفي غيرها الأربعة؛ لانصراف أدلة العقود نوعاً وجنساً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بالاتحاد بالعارض كوكيل في ركن أصيل في آخر، أو وكيل أو ولي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قام اللفظ الواحد مقام قبول وإيجاب؛ لأنّ القابل لا يقدر على شيء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عتقك صداقك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الثمن بعض المثمن وبالعكس كالمزابنة والمحاقلة على بعض تفاسيرهما، إلا ما استثني كبيع العرايا في وجه، والصلح على الدين ببعضه، فيكون بمنزلة الإبراء، وكالصلح على المؤجل ببعضه حالاً، فيكون الباقي بمنزلة مقابلة الأجل، وكالصلح عن الشيء المعيّن ببعضه، فيكون بمنزلة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الثمن والمثمن من مالك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صحته في الصلح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صالحتك عن دارك ببستانك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بمنزلة الهبة في وجه، وفي جواز الإذن بأن يصالح عن ماله بماله فيملك المصالح مال الصلح بالمصالحة ثم ينتقل إلى المالك الآذن فيعود له ملك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يملكه كالهبة أو كالقرض؟ إشكال في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البيع،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مالي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مالك لي وأعتق عبدك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تقويم الأب جارية ولده للوطء قائم مقام الموجب والقابل والإيجاب والقبول من دون ملاحظة التغاير الاعتباري</w:t>
      </w:r>
    </w:p>
    <w:p>
      <w:pPr>
        <w:pStyle w:val="Heading5"/>
        <w:numPr>
          <w:ilvl w:val="4"/>
          <w:numId w:val="1"/>
        </w:numPr>
        <w:rPr/>
      </w:pPr>
      <w:bookmarkStart w:id="215" w:name="__RefHeading___Toc13372272_1280447820"/>
      <w:bookmarkStart w:id="216" w:name="_Toc82"/>
      <w:bookmarkEnd w:id="215"/>
      <w:r>
        <w:rPr>
          <w:rtl w:val="true"/>
        </w:rPr>
        <w:t>القاعدة التاسعة والثلاثون</w:t>
      </w:r>
      <w:r>
        <w:rPr>
          <w:rtl w:val="true"/>
        </w:rPr>
        <w:t xml:space="preserve">: </w:t>
      </w:r>
      <w:r>
        <w:rPr>
          <w:rtl w:val="true"/>
        </w:rPr>
        <w:t>الأصل في البيع أن يتعلّق مبيعه بالأعيان وفي الإجارة بالمنافع</w:t>
      </w:r>
      <w:bookmarkEnd w:id="216"/>
    </w:p>
    <w:p>
      <w:pPr>
        <w:pStyle w:val="BookText"/>
        <w:rPr/>
      </w:pPr>
      <w:r>
        <w:rPr>
          <w:rFonts w:ascii="Amiri" w:hAnsi="Amiri" w:eastAsia="Amiri" w:cs="Amiri"/>
          <w:color w:val="111111"/>
          <w:sz w:val="28"/>
          <w:sz w:val="28"/>
          <w:szCs w:val="28"/>
          <w:rtl w:val="true"/>
          <w:lang w:bidi="ar-SA"/>
        </w:rPr>
        <w:t>القاعدة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البيع أن يتعلّق مبيعه بالأعيان، وفي الإجارة بالمنافع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يدخل أحدهما في الآخر تبعاً؛ لأنّه يغتفر في الثواني والتوابع ما لا يغتفر في الأوائل والمتبوعات، وهي قاعدة استقرائية مأخوذة من تتبع مظان العقود، وحينئذٍ فالمنافع تدخل في بيع الأعيان تبعاً</w:t>
      </w:r>
      <w:r>
        <w:rPr>
          <w:rFonts w:eastAsia="Amiri" w:cs="Amiri" w:ascii="Amiri" w:hAnsi="Amiri"/>
          <w:color w:val="111111"/>
          <w:sz w:val="28"/>
          <w:szCs w:val="28"/>
          <w:rtl w:val="true"/>
          <w:lang w:bidi="ar-SA"/>
        </w:rPr>
        <w:t xml:space="preserve">. </w:t>
      </w:r>
      <w:bookmarkStart w:id="217" w:name="pg19000_245303"/>
    </w:p>
    <w:p>
      <w:pPr>
        <w:pStyle w:val="BookText"/>
        <w:rPr/>
      </w:pPr>
      <w:bookmarkEnd w:id="217"/>
      <w:r>
        <w:rPr>
          <w:rFonts w:ascii="Amiri" w:hAnsi="Amiri" w:eastAsia="Amiri" w:cs="Amiri"/>
          <w:color w:val="111111"/>
          <w:sz w:val="28"/>
          <w:sz w:val="28"/>
          <w:szCs w:val="28"/>
          <w:rtl w:val="true"/>
          <w:lang w:bidi="ar-SA"/>
        </w:rPr>
        <w:t>وهل يقسّط عليها الثمن بفواتها أو لا يقسّط فيكون فواتها كفوات الشرط المسلّط على الخيار؟ وجهان، والأقوى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فللتوابع حكم غير حكم المتبوع من الجهالة والعلم والقدرة على التسليم وعدمه، وأما بالنسبة إلى توزيع الثمن عليها وعدمه فمختلف؛ لأنّ منها ما هو كالشرائط الضمنية، ومنها ما هو كالشرائط المصرح بها، ومنها ما هو كالأجزاء، ومنها ما يكون مقصوداً في العقد، ومنها ما لا يقصده العاقد ولكنّه من قبيل الأحكام الشرعيَّة اللاحقة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3372274_1280447820"/>
      <w:bookmarkStart w:id="219" w:name="_Toc83"/>
      <w:bookmarkEnd w:id="218"/>
      <w:r>
        <w:rPr>
          <w:rtl w:val="true"/>
        </w:rPr>
        <w:t>القاعدة الأربعون</w:t>
      </w:r>
      <w:r>
        <w:rPr>
          <w:rtl w:val="true"/>
        </w:rPr>
        <w:t xml:space="preserve">: </w:t>
      </w:r>
      <w:r>
        <w:rPr>
          <w:rtl w:val="true"/>
        </w:rPr>
        <w:t>الأصل جواز جعل الثمن في المبيع وكذا الأجرة عيناً ومنفعةً وحقاً</w:t>
      </w:r>
      <w:bookmarkEnd w:id="219"/>
    </w:p>
    <w:p>
      <w:pPr>
        <w:pStyle w:val="BookText"/>
        <w:rPr/>
      </w:pPr>
      <w:r>
        <w:rPr>
          <w:rFonts w:ascii="Amiri" w:hAnsi="Amiri" w:eastAsia="Amiri" w:cs="Amiri"/>
          <w:color w:val="111111"/>
          <w:sz w:val="28"/>
          <w:sz w:val="28"/>
          <w:szCs w:val="28"/>
          <w:rtl w:val="true"/>
          <w:lang w:bidi="ar-SA"/>
        </w:rPr>
        <w:t>القاعدة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جواز جعل الثمن في المبيع عيناً ومنفعة وحقاً، وكذلك الأصل في الأجرة جواز كونها عيناً ومنفعةً وحقاً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نقل الحقّ وانتقاله أو إسقاطه جاز جعله في الصلح عوضاً ومعوّضاً، وكلاهما معاً، فيجوز الصلح حقاً بحق وإسقاط حقٌّ بإسقاط حقٌّ، وانتقال حق بإسقاط حقٌّ،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النظر في الحقوق المالية كحق الخيار وحق الشفعة وغيرها، والحقوق الغير المالية، والحقوق المالية المفيدة اختصاصاً بذي الحق، وحق المسجد والطريق، والحقوق القابلة للإسقاط والحقوق الغير القابلة والحقوق القابلة للانتقال والحقوق الغير القابلة، وهو باب واسع ذكرنا جملةً منها في الصلح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ويترتب على ذلك حق المضاجعة للزوجة والوطء، وحق الطلاق، وحق الرجعة، وحق السبق إلى المشتركات بين المسلمين وحق المارّة، وحق الاختصاص باليد في الموضوعة على ما لا يملك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النظر إلى عموم دليل الصلح، وعموم أدلّة المعاوضة وكيفية دخول المشكوك به وخروجه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3372276_1280447820"/>
      <w:bookmarkStart w:id="221" w:name="_Toc84"/>
      <w:bookmarkEnd w:id="220"/>
      <w:r>
        <w:rPr>
          <w:rtl w:val="true"/>
        </w:rPr>
        <w:t>القاعدة الإحدى والأربعون</w:t>
      </w:r>
      <w:r>
        <w:rPr>
          <w:rtl w:val="true"/>
        </w:rPr>
        <w:t xml:space="preserve">: </w:t>
      </w:r>
      <w:r>
        <w:rPr>
          <w:rtl w:val="true"/>
        </w:rPr>
        <w:t>جواز استعمال الحيل الشرعيَّة في العقود</w:t>
      </w:r>
      <w:bookmarkEnd w:id="2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الإحدى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الحِيَل الشرعيَّة في العقود، ولا منافاة فيها للقصد المشترط، فيجوز فى التخلّص من الزكاة والخمس والحج والربا وحرمة الاحتكار بأن يبيع أو يهب أو يرهن ماله في أثناء السنة، أو يبيع أو يهب ما يراد من النفع في القرض، أو </w:t>
      </w:r>
      <w:bookmarkStart w:id="222" w:name="pg19000_245304"/>
    </w:p>
    <w:p>
      <w:pPr>
        <w:pStyle w:val="BookText"/>
        <w:rPr/>
      </w:pPr>
      <w:bookmarkEnd w:id="222"/>
      <w:r>
        <w:rPr>
          <w:rFonts w:ascii="Amiri" w:hAnsi="Amiri" w:eastAsia="Amiri" w:cs="Amiri"/>
          <w:color w:val="111111"/>
          <w:sz w:val="28"/>
          <w:sz w:val="28"/>
          <w:szCs w:val="28"/>
          <w:rtl w:val="true"/>
          <w:lang w:bidi="ar-SA"/>
        </w:rPr>
        <w:t>يضم إلى المتماثلين ضميمة تخرجهما عن الربا أو يرهن أمواله في أثناء السنة على دين يستدينه حيلة، أو يبيع بخيار، أو يبيع على فقير بأضعاف الثمن شيئاً، أو على سيد من دون مواطأة ابتداء ثم يحتسبه من الزكاة أو الخمس، ومع المواطأة إشكال؛ لتأديته إلى ذهاب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فيجوز التوصل بالعقود إلى تحليل ما لولاه لحرم حيلة، ما لم يؤد في المواطأة إلى إذهاب الحقوق العامة، فإنّ الأظهر والأحوط عدم صحتها، وكذا يجوز التوصل إلى تحريم ما يحلّ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 واسع للفقيه لا بد من النظر فيه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3372278_1280447820"/>
      <w:bookmarkStart w:id="224" w:name="_Toc85"/>
      <w:bookmarkEnd w:id="223"/>
      <w:r>
        <w:rPr>
          <w:rtl w:val="true"/>
        </w:rPr>
        <w:t>القاعدة الثانية والأربعون</w:t>
      </w:r>
      <w:r>
        <w:rPr>
          <w:rtl w:val="true"/>
        </w:rPr>
        <w:t xml:space="preserve">: </w:t>
      </w:r>
      <w:r>
        <w:rPr>
          <w:rtl w:val="true"/>
        </w:rPr>
        <w:t>الأصل بطلان العقود الواقعة على غير النهج الشرعي</w:t>
      </w:r>
      <w:bookmarkEnd w:id="224"/>
    </w:p>
    <w:p>
      <w:pPr>
        <w:pStyle w:val="BookText"/>
        <w:rPr/>
      </w:pPr>
      <w:r>
        <w:rPr>
          <w:rFonts w:ascii="Amiri" w:hAnsi="Amiri" w:eastAsia="Amiri" w:cs="Amiri"/>
          <w:color w:val="111111"/>
          <w:sz w:val="28"/>
          <w:sz w:val="28"/>
          <w:szCs w:val="28"/>
          <w:rtl w:val="true"/>
          <w:lang w:bidi="ar-SA"/>
        </w:rPr>
        <w:t>القاعدة 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بطلان العقود الواقعة على غير النهج الشرعي في مذهبنا، سواء كان الخلل من صيغة أو ثمن أو مثمن أو شرط أو مانع؛ لأصالة عدم السببية، وعدم ترتب الأثر في غير ما جاء فيه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يخرج من ذلك 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قوم عقداً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وما جاء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 ومن رفع العسر والحرج </w:t>
      </w:r>
      <w:r>
        <w:rPr>
          <w:rStyle w:val="FootnoteAnchor"/>
          <w:rtl w:val="true"/>
        </w:rPr>
        <w:footnoteReference w:id="631"/>
      </w:r>
      <w:r>
        <w:rPr>
          <w:rFonts w:ascii="Amiri" w:hAnsi="Amiri" w:eastAsia="Amiri" w:cs="Amiri"/>
          <w:color w:val="111111"/>
          <w:sz w:val="28"/>
          <w:sz w:val="28"/>
          <w:szCs w:val="28"/>
          <w:rtl w:val="true"/>
          <w:lang w:bidi="ar-SA"/>
        </w:rPr>
        <w:t>، والسيرة القاطعة أنّ ما جرى بين الكفار أو بين سائر الفرق من أهل المذاهب يجري عليهم فيه حكم الصحيح، فيحلّ لنا ثمن خمرهم وإن رأينا فساد بيعهم، ولكن بشرط أن يجروه على وفق مذهبهم، ويحلّ لنا أخذ ما فيه الخمس منهم وما فيه الزكاة لو دفعه الكافر، أو غير الكافر لو دفعها على مذهبه، ولو لم يدفعها فوجه الحلّ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لنا تناول ما ورثوه بالعصبة حتّى للوارث الإمامي لو دفعه له الوصي أو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لنا تزويج المطلقة بمذهبهم، ويحرم نكاح مَنْ تزوجت بعقدهم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وقفوا أجرينا عليه حكم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شرطوا في الوقف العام خروجنا لم يلزم؛ لأنا أحق منهم بما هو للمسلمين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باعوا وقفاً بينهم حلّ لنا ثمنه إن رأوا صحّة بيع الوقف ولا يبعد جواز شرائه منهم إن كان الواقفون له هُمْ</w:t>
      </w:r>
      <w:r>
        <w:rPr>
          <w:rFonts w:eastAsia="Amiri" w:cs="Amiri" w:ascii="Amiri" w:hAnsi="Amiri"/>
          <w:color w:val="111111"/>
          <w:sz w:val="28"/>
          <w:szCs w:val="28"/>
          <w:rtl w:val="true"/>
          <w:lang w:bidi="ar-SA"/>
        </w:rPr>
        <w:t xml:space="preserve">. </w:t>
      </w:r>
      <w:bookmarkStart w:id="225" w:name="pg19000_245305"/>
    </w:p>
    <w:p>
      <w:pPr>
        <w:pStyle w:val="BookText"/>
        <w:rPr/>
      </w:pPr>
      <w:bookmarkEnd w:id="225"/>
      <w:r>
        <w:rPr>
          <w:rFonts w:ascii="Amiri" w:hAnsi="Amiri" w:eastAsia="Amiri" w:cs="Amiri"/>
          <w:color w:val="111111"/>
          <w:sz w:val="28"/>
          <w:sz w:val="28"/>
          <w:szCs w:val="28"/>
          <w:rtl w:val="true"/>
          <w:lang w:bidi="ar-SA"/>
        </w:rPr>
        <w:t>وكذا مَنْ أسلم وآمن وقد اشتملت أمواله ونساؤه على ما كان صحيحاً في مذهبهم باطلاً في مذهبنا، فإنّه يجري حكم ما تقدَّم منهما عليهما؛ إلزاماً لأنفسهم في الزمن الأوّل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أثره في الدوام كأثره في الابتداء، لم يجز البقاء عليه، فلو أسلم المجوسي على المحارم من النساء، أو أسلم الكافر على مدخول بها في عدتها أو على موطوءة الأخ قبل العقد عليها، أو شبه الكافر من أهل المذاهب الفاسدة،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وفارق سائرهنّ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ما يدلّ على إمضاء عقد الأربعة على أي نحو وقع، وعلى بينونة الباقي وإن حل الزائد في مذهبهم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فعلوه على مذهبنا لا بأس به، وكلّ ما لم يفعلوه على مذهبهم لم يَجْرِ عليه حكم الصحيح، كما إذا غصبوا مالاً أو فرجاً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حلّية الخراج المأخوذ من بعضهم بعضاً من هذا القبيل، وكذا الزكاة، وإن عممنا الحكم في البحث الأوّل</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3372280_1280447820"/>
      <w:bookmarkStart w:id="227" w:name="_Toc86"/>
      <w:bookmarkEnd w:id="226"/>
      <w:r>
        <w:rPr>
          <w:rtl w:val="true"/>
        </w:rPr>
        <w:t>القاعدة الثالثة والأربعون</w:t>
      </w:r>
      <w:r>
        <w:rPr>
          <w:rtl w:val="true"/>
        </w:rPr>
        <w:t xml:space="preserve">: </w:t>
      </w:r>
      <w:r>
        <w:rPr>
          <w:rtl w:val="true"/>
        </w:rPr>
        <w:t>الأصل عدم تأثير العقد إلا أن يقع باللفظ</w:t>
      </w:r>
      <w:bookmarkEnd w:id="227"/>
    </w:p>
    <w:p>
      <w:pPr>
        <w:pStyle w:val="BookText"/>
        <w:rPr/>
      </w:pPr>
      <w:r>
        <w:rPr>
          <w:rFonts w:ascii="Amiri" w:hAnsi="Amiri" w:eastAsia="Amiri" w:cs="Amiri"/>
          <w:color w:val="111111"/>
          <w:sz w:val="28"/>
          <w:sz w:val="28"/>
          <w:szCs w:val="28"/>
          <w:rtl w:val="true"/>
          <w:lang w:bidi="ar-SA"/>
        </w:rPr>
        <w:t>القاعدة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العقد وتوابعه أن لا يؤثر إلا ما وقع التلفظ 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وعلى ذلك فيشكل الالتزام بالشرائط المضمرة الغير المصرّح بها، ويشكل عدم ذكر المبيع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 الثمن والمثمن وإن عرفاهما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أشار إليهما فلا يبعد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يشكل لو خالف الهيئة المعتادة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أنا أو زيد عمراً كذا، وكذا لو صدر العقد منه بصورة الغناء في مزمار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يشكل لو وجه البيع لواحدٍ فأجاب آخر، فرضي البائع بعده بنقله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الاشتباه بالبائع لا بأس 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لمن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يسمع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مَنْ لم يعينه، ففي صحته إشكال</w:t>
      </w:r>
      <w:r>
        <w:rPr>
          <w:rFonts w:eastAsia="Amiri" w:cs="Amiri" w:ascii="Amiri" w:hAnsi="Amiri"/>
          <w:color w:val="111111"/>
          <w:sz w:val="28"/>
          <w:szCs w:val="28"/>
          <w:rtl w:val="true"/>
          <w:lang w:bidi="ar-SA"/>
        </w:rPr>
        <w:t xml:space="preserve">. </w:t>
      </w:r>
      <w:bookmarkStart w:id="228" w:name="pg19000_245306"/>
    </w:p>
    <w:p>
      <w:pPr>
        <w:pStyle w:val="Heading5"/>
        <w:numPr>
          <w:ilvl w:val="4"/>
          <w:numId w:val="1"/>
        </w:numPr>
        <w:rPr/>
      </w:pPr>
      <w:bookmarkStart w:id="229" w:name="__RefHeading___Toc13372282_1280447820"/>
      <w:bookmarkStart w:id="230" w:name="_Toc87"/>
      <w:bookmarkEnd w:id="228"/>
      <w:bookmarkEnd w:id="229"/>
      <w:r>
        <w:rPr>
          <w:rtl w:val="true"/>
        </w:rPr>
        <w:t>القاعدة الرابعة والأربعون</w:t>
      </w:r>
      <w:r>
        <w:rPr>
          <w:rtl w:val="true"/>
        </w:rPr>
        <w:t xml:space="preserve">: </w:t>
      </w:r>
      <w:r>
        <w:rPr>
          <w:rtl w:val="true"/>
        </w:rPr>
        <w:t>الاجتهاد والتقليد ليسا شرطاً في صحة العقد</w:t>
      </w:r>
      <w:bookmarkEnd w:id="230"/>
    </w:p>
    <w:p>
      <w:pPr>
        <w:pStyle w:val="BookText"/>
        <w:rPr/>
      </w:pPr>
      <w:r>
        <w:rPr>
          <w:rFonts w:ascii="Amiri" w:hAnsi="Amiri" w:eastAsia="Amiri" w:cs="Amiri"/>
          <w:color w:val="111111"/>
          <w:sz w:val="28"/>
          <w:sz w:val="28"/>
          <w:szCs w:val="28"/>
          <w:rtl w:val="true"/>
          <w:lang w:bidi="ar-SA"/>
        </w:rPr>
        <w:t>القاعدة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ليسا شرطاً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يكتفى فيه بالمطابقة لفتوى المجتهد الذي يرجع إليه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فيما شرطه القربة، كالوقف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الجهل منافياً للجزم، فلا يبعد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الجهل بالموضوع لا ينافي صحّة العقد، فلو عقد على مال أبيه بزعم حياته فاتفق موته حين العقد صح، وكذا لو تزوج امرأة بزعم أنّها ذات بعل فظهر أنّها خليّة، أو بزعم أن في عدتها فتبين فراغها، فإنّ الأظهر في الجميع الصحّة، وليس هذا من باب مَنْ باع شيئاً ثمّ ملكه، بل من باب مَنْ باع شيئاً وقد مَلَكه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3372284_1280447820"/>
      <w:bookmarkStart w:id="232" w:name="_Toc88"/>
      <w:bookmarkEnd w:id="231"/>
      <w:r>
        <w:rPr>
          <w:rtl w:val="true"/>
        </w:rPr>
        <w:t>القاعدة الخامسة والأربعون</w:t>
      </w:r>
      <w:r>
        <w:rPr>
          <w:rtl w:val="true"/>
        </w:rPr>
        <w:t xml:space="preserve">: </w:t>
      </w:r>
      <w:r>
        <w:rPr>
          <w:rtl w:val="true"/>
        </w:rPr>
        <w:t>قيام الحاكم مقام الممتنع في قبض حقه</w:t>
      </w:r>
      <w:bookmarkEnd w:id="232"/>
    </w:p>
    <w:p>
      <w:pPr>
        <w:pStyle w:val="BookText"/>
        <w:rPr/>
      </w:pPr>
      <w:r>
        <w:rPr>
          <w:rFonts w:ascii="Amiri" w:hAnsi="Amiri" w:eastAsia="Amiri" w:cs="Amiri"/>
          <w:color w:val="111111"/>
          <w:sz w:val="28"/>
          <w:sz w:val="28"/>
          <w:szCs w:val="28"/>
          <w:rtl w:val="true"/>
          <w:lang w:bidi="ar-SA"/>
        </w:rPr>
        <w:t>القاعدة 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الحاكم مقام الممتنع في قبض حقه من ثمن أو مثمن أو وفاء دَيْنٍ؛ لعموم ولايته، فإن لم يكن فعدول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الاكتفاء بطرحه عليه والتخلية بينه وبينه وحينئذٍ فينتقل ضمانه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الثمن أو المثمن في عقود المعاوضة قبل القبض أو ما يقوم مقامه فلا يبعد انفساخ المعاوضة مطلقاً، ولا يختص ذلك بتلف المبيع</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3372286_1280447820"/>
      <w:bookmarkStart w:id="234" w:name="_Toc89"/>
      <w:bookmarkEnd w:id="233"/>
      <w:r>
        <w:rPr>
          <w:rtl w:val="true"/>
        </w:rPr>
        <w:t>القاعدة السادسة والأربعون</w:t>
      </w:r>
      <w:r>
        <w:rPr>
          <w:rtl w:val="true"/>
        </w:rPr>
        <w:t xml:space="preserve">: </w:t>
      </w:r>
      <w:r>
        <w:rPr>
          <w:rtl w:val="true"/>
        </w:rPr>
        <w:t>الأصل شمول الربا لجميع عقود المعاوضة</w:t>
      </w:r>
      <w:bookmarkEnd w:id="234"/>
    </w:p>
    <w:p>
      <w:pPr>
        <w:pStyle w:val="BookText"/>
        <w:rPr/>
      </w:pPr>
      <w:r>
        <w:rPr>
          <w:rFonts w:ascii="Amiri" w:hAnsi="Amiri" w:eastAsia="Amiri" w:cs="Amiri"/>
          <w:color w:val="111111"/>
          <w:sz w:val="28"/>
          <w:sz w:val="28"/>
          <w:szCs w:val="28"/>
          <w:rtl w:val="true"/>
          <w:lang w:bidi="ar-SA"/>
        </w:rPr>
        <w:t>القاعدة 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شمول الربا لجميع عقود المعاوضة، إلا ما أخرجه الدليل، كالصلح على الدين ببعضه أو عن الشيء ببعضه، حيث إنّه بمنزلة الإبراء أو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في القرض في حرمة الربا بين ابتداء العقد في القرض، وبين اشتراطه بعده لبقاء الدين، وبين كونه في عقد القرض، وبين كونه في عقدٍ آخر قبل القرض،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بشرط أن تعطيني كذا نفعاً لما تستقرضه منّي، أو بعد القرض نفعاً لما استقرضته مني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دخل في عقدٍ آخر حيلةٌ بحيث إنّه لم يصرح بكونه نفعاً للقرض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هنا بين كون النفع عيناً، أو منفعةً، أو عملاً، أو حقاً، أو صفةً زائدة، كاشتراط الصحاح عوض المكسور، كلّ ذلك لتحريم النفع والانتفاع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ربا المعاوضة لا يشترط المساواة في الوصف، بل يشترط المساواة بالكيل </w:t>
      </w:r>
      <w:bookmarkStart w:id="235" w:name="pg19000_245307"/>
    </w:p>
    <w:p>
      <w:pPr>
        <w:pStyle w:val="BookText"/>
        <w:rPr/>
      </w:pPr>
      <w:bookmarkEnd w:id="235"/>
      <w:r>
        <w:rPr>
          <w:rFonts w:ascii="Amiri" w:hAnsi="Amiri" w:eastAsia="Amiri" w:cs="Amiri"/>
          <w:color w:val="111111"/>
          <w:sz w:val="28"/>
          <w:sz w:val="28"/>
          <w:szCs w:val="28"/>
          <w:rtl w:val="true"/>
          <w:lang w:bidi="ar-SA"/>
        </w:rPr>
        <w:t>والوزن؛ لأن الواجب فيها المثل بالمثل المنصرف للزيادة في القدر في الوزن والكيل، أو الزيادة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اشتراط النفع اشتراط الرهن والكفيل لحفظ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ربا العقد بين كون الزيادة جزءاً أو شرطاً، عيناً أو منفعة، أو عملاً، أو حقاً؛ لحصول الزيادة في الجميع وعدم كونها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اشتراط ما لا يعود نفعه للمقرض، كأن يشترط عليه أن يصوم أو يصلّى حقاً 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نفس الشرط زيادةً إذا لم يزد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القرض في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عقد خالٍ عن المحاباة في العقد الربوي أو في عقد القرض ففي صحته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اشتراط الأجل في أحد الربويين؛ لأنّه زيادة، كما لا تجوز الزيادة في مقابلة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الربا اشتراط تعجيل المؤجل من الدَّيْن في عقد آخر؛ لأن الحلول ليس ممّا ينصرف إليه المنع من النفع، كما لو باع دَيناً مؤجلاً بدَيْنٍ حلّ أجله، وفرق بين بيع المؤجل بالحال وبين تأجيل أحد العوضين</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3372288_1280447820"/>
      <w:bookmarkStart w:id="237" w:name="_Toc90"/>
      <w:bookmarkEnd w:id="236"/>
      <w:r>
        <w:rPr>
          <w:rtl w:val="true"/>
        </w:rPr>
        <w:t>القاعدة السابعة والأربعون</w:t>
      </w:r>
      <w:r>
        <w:rPr>
          <w:rtl w:val="true"/>
        </w:rPr>
        <w:t xml:space="preserve">: </w:t>
      </w:r>
      <w:r>
        <w:rPr>
          <w:rtl w:val="true"/>
        </w:rPr>
        <w:t>الأصل في العقود عدم الإلتفات بالشك اللاحق لها</w:t>
      </w:r>
      <w:bookmarkEnd w:id="237"/>
    </w:p>
    <w:p>
      <w:pPr>
        <w:pStyle w:val="BookText"/>
        <w:rPr/>
      </w:pPr>
      <w:r>
        <w:rPr>
          <w:rFonts w:ascii="Amiri" w:hAnsi="Amiri" w:eastAsia="Amiri" w:cs="Amiri"/>
          <w:color w:val="111111"/>
          <w:sz w:val="28"/>
          <w:sz w:val="28"/>
          <w:szCs w:val="28"/>
          <w:rtl w:val="true"/>
          <w:lang w:bidi="ar-SA"/>
        </w:rPr>
        <w:t>القاعدة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كلّ عقدٍ وقع الفراغ منه أنّه لا يلتفت إلى الشك بعده؛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وقد فرغت منه، أو دخلت في غيره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فلو وقع التقابض في الصرف وشكّ في وقوع العقد قبله بنى على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شكّ في الإيجاب بعد قبول القابل احتمل لزوم الإعادة مطلقاً، واحتمل لزومها على الموجب فقط، وأما القابل فكأنّه فرغ من الإيجاب ودخل في غيره وإن كان الإيجاب فعل غيره، واحتمل البناء على قبوله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الهبة أو الرهن أو الوقف وشكّ في صدور العقد، يبني على صدوره</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3372290_1280447820"/>
      <w:bookmarkStart w:id="239" w:name="_Toc91"/>
      <w:bookmarkEnd w:id="238"/>
      <w:r>
        <w:rPr>
          <w:rtl w:val="true"/>
        </w:rPr>
        <w:t>القاعدة الثامنة والأربعون</w:t>
      </w:r>
      <w:r>
        <w:rPr>
          <w:rtl w:val="true"/>
        </w:rPr>
        <w:t xml:space="preserve">: </w:t>
      </w:r>
      <w:r>
        <w:rPr>
          <w:rtl w:val="true"/>
        </w:rPr>
        <w:t>الأصل في كثير الشكّ عدم الالتفات إلى شكه في جميع أنواع العقود</w:t>
      </w:r>
      <w:bookmarkEnd w:id="23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الثامنة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كثير الشكّ عدم الالتفات إلى شكه في جميع </w:t>
      </w:r>
      <w:bookmarkStart w:id="240" w:name="pg19000_245308"/>
    </w:p>
    <w:p>
      <w:pPr>
        <w:pStyle w:val="BookText"/>
        <w:rPr/>
      </w:pPr>
      <w:bookmarkEnd w:id="240"/>
      <w:r>
        <w:rPr>
          <w:rFonts w:ascii="Amiri" w:hAnsi="Amiri" w:eastAsia="Amiri" w:cs="Amiri"/>
          <w:color w:val="111111"/>
          <w:sz w:val="28"/>
          <w:sz w:val="28"/>
          <w:szCs w:val="28"/>
          <w:rtl w:val="true"/>
          <w:lang w:bidi="ar-SA"/>
        </w:rPr>
        <w:t>أنواع العقود، فيبني على الصحّة، وكذا كلّ مَنْ خرج عن الاعتدال في إدراكاته وهماً وظنّاً وقطعاً، وكذا كثير السهو والنسيان في وجه قوي</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3372292_1280447820"/>
      <w:bookmarkStart w:id="242" w:name="_Toc92"/>
      <w:bookmarkEnd w:id="241"/>
      <w:r>
        <w:rPr>
          <w:rtl w:val="true"/>
        </w:rPr>
        <w:t>القاعدة التاسعة والأربعون</w:t>
      </w:r>
      <w:r>
        <w:rPr>
          <w:rtl w:val="true"/>
        </w:rPr>
        <w:t xml:space="preserve">: </w:t>
      </w:r>
      <w:r>
        <w:rPr>
          <w:rtl w:val="true"/>
        </w:rPr>
        <w:t>الأصل في مَنْ ادّعى مالاً تصديق قوله</w:t>
      </w:r>
      <w:bookmarkEnd w:id="242"/>
    </w:p>
    <w:p>
      <w:pPr>
        <w:pStyle w:val="BookText"/>
        <w:rPr/>
      </w:pPr>
      <w:r>
        <w:rPr>
          <w:rFonts w:ascii="Amiri" w:hAnsi="Amiri" w:eastAsia="Amiri" w:cs="Amiri"/>
          <w:color w:val="111111"/>
          <w:sz w:val="28"/>
          <w:sz w:val="28"/>
          <w:szCs w:val="28"/>
          <w:rtl w:val="true"/>
          <w:lang w:bidi="ar-SA"/>
        </w:rPr>
        <w:t>القاعدة 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فيمن ادعى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أو ولاية أو 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أو وهبه أو أجره تصديق قوله إذا لم يكن له معارض، سواء كان تحت حت يده أم لا، والأصل في تصرفاته الصحّة، وسواء عُلم سبق مالك لهذا المال أم لم يُعلم، معلوماً كان أو مجهولاً، عبداً كان أو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العبد أنّه مأذون من مولاه، صح أن يعامل معاملة من ادعى الوكالة من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الاجتهاد وتصرّف في أموال الأيتام وكلّ حق عام فالأقرب مضي عقوده، وإن كان الاحتياط في التفحص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دفع مال اليتيم إليه، وإن جاز الأخذ منه ودفع الثمن إليه عوض ما يأخذ منه، وكذا من ادعى أنّه وكيل المجتهد المطلق</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3372294_1280447820"/>
      <w:bookmarkStart w:id="244" w:name="_Toc93"/>
      <w:bookmarkEnd w:id="243"/>
      <w:r>
        <w:rPr>
          <w:rtl w:val="true"/>
        </w:rPr>
        <w:t>القاعدة الخمسون</w:t>
      </w:r>
      <w:r>
        <w:rPr>
          <w:rtl w:val="true"/>
        </w:rPr>
        <w:t xml:space="preserve">: </w:t>
      </w:r>
      <w:r>
        <w:rPr>
          <w:rtl w:val="true"/>
        </w:rPr>
        <w:t>جواز اختراع العقود لِمَنْ بَعُدَ عن ديار الشرع</w:t>
      </w:r>
      <w:bookmarkEnd w:id="244"/>
    </w:p>
    <w:p>
      <w:pPr>
        <w:pStyle w:val="BookText"/>
        <w:rPr/>
      </w:pPr>
      <w:r>
        <w:rPr>
          <w:rFonts w:ascii="Amiri" w:hAnsi="Amiri" w:eastAsia="Amiri" w:cs="Amiri"/>
          <w:color w:val="111111"/>
          <w:sz w:val="28"/>
          <w:sz w:val="28"/>
          <w:szCs w:val="28"/>
          <w:rtl w:val="true"/>
          <w:lang w:bidi="ar-SA"/>
        </w:rPr>
        <w:t>القاعدة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بَعُدوا عن ديار الشرع فلم يعرفوا عقداً ولم يتمكنوا من الوصول إلى الحاكم الشرعي جاز لهم أن يخترعوا عقوداً تكون ماضيةً عليهم بمنزلة العقود الصحيحة، ولا يلزم تجديدها</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3372296_1280447820"/>
      <w:bookmarkStart w:id="246" w:name="_Toc94"/>
      <w:bookmarkEnd w:id="245"/>
      <w:r>
        <w:rPr>
          <w:rtl w:val="true"/>
        </w:rPr>
        <w:t>القاعدة الإحدى والخمسون</w:t>
      </w:r>
      <w:r>
        <w:rPr>
          <w:rtl w:val="true"/>
        </w:rPr>
        <w:t xml:space="preserve">: </w:t>
      </w:r>
      <w:r>
        <w:rPr>
          <w:rtl w:val="true"/>
        </w:rPr>
        <w:t>الأصل في العقود التطابق صورةً</w:t>
      </w:r>
      <w:bookmarkEnd w:id="246"/>
    </w:p>
    <w:p>
      <w:pPr>
        <w:pStyle w:val="BookText"/>
        <w:rPr/>
      </w:pPr>
      <w:r>
        <w:rPr>
          <w:rFonts w:ascii="Amiri" w:hAnsi="Amiri" w:eastAsia="Amiri" w:cs="Amiri"/>
          <w:color w:val="111111"/>
          <w:sz w:val="28"/>
          <w:sz w:val="28"/>
          <w:szCs w:val="28"/>
          <w:rtl w:val="true"/>
          <w:lang w:bidi="ar-SA"/>
        </w:rPr>
        <w:t>القاعدة الإحدى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التطابق صورةً، فلو اختلفا أشكل الحال، فلو باعه الدار بألف، فقيل ربعها بمائتين وخمسين وسكت بطل، وإن قبل الربع الآخر والربع الآخر كلّ ربع بمائتين وخمسين ففي صحته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وزّع الموجب فجمع القابل فلا يبعد الصحّة، ولو كان للمبيع هيئة اجتماعية لم يصح إفرادها بالبيع، ولا ذكرها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يوزّع الثمن عليها لو كانت لمالكين وقد لزم البيع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لمالكين فأجاز أحدهما ورد الآخر، كان للمجيز قيمة ماله منفرداً؛ إذ لا يملك من الهيئة الاجتماعية بعد فوتها شيئاً، ولو باع ما يملك وما لا يملك كان كذلك</w:t>
      </w:r>
      <w:r>
        <w:rPr>
          <w:rFonts w:eastAsia="Amiri" w:cs="Amiri" w:ascii="Amiri" w:hAnsi="Amiri"/>
          <w:color w:val="111111"/>
          <w:sz w:val="28"/>
          <w:szCs w:val="28"/>
          <w:rtl w:val="true"/>
          <w:lang w:bidi="ar-SA"/>
        </w:rPr>
        <w:t xml:space="preserve">. </w:t>
      </w:r>
      <w:bookmarkStart w:id="247" w:name="pg19000_245309"/>
    </w:p>
    <w:p>
      <w:pPr>
        <w:pStyle w:val="BookText"/>
        <w:rPr/>
      </w:pPr>
      <w:bookmarkEnd w:id="247"/>
      <w:r>
        <w:rPr>
          <w:rFonts w:ascii="Amiri" w:hAnsi="Amiri" w:eastAsia="Amiri" w:cs="Amiri"/>
          <w:color w:val="111111"/>
          <w:sz w:val="28"/>
          <w:sz w:val="28"/>
          <w:szCs w:val="28"/>
          <w:rtl w:val="true"/>
          <w:lang w:bidi="ar-SA"/>
        </w:rPr>
        <w:t>وبالجملة، فالهيئة الاجتماعية إن انتقلت تبعاً صار حكمها حكم المتبوع، وإلا فلا يستحق الناقل منها شيئاً؛ لأنّ أخذ عوضها ظلم لا يستحقه صاحب العين، ولا بدّ من انتفائها بانتفاء أحد الجزءين</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3372298_1280447820"/>
      <w:bookmarkStart w:id="249" w:name="_Toc95"/>
      <w:bookmarkEnd w:id="248"/>
      <w:r>
        <w:rPr>
          <w:rtl w:val="true"/>
        </w:rPr>
        <w:t>القاعدة الثانية والخمسون</w:t>
      </w:r>
      <w:r>
        <w:rPr>
          <w:rtl w:val="true"/>
        </w:rPr>
        <w:t xml:space="preserve">: </w:t>
      </w:r>
      <w:r>
        <w:rPr>
          <w:rtl w:val="true"/>
        </w:rPr>
        <w:t>للحاكم الشرعي التصرّف بمال الفقراء مع الغبطة</w:t>
      </w:r>
      <w:bookmarkEnd w:id="249"/>
    </w:p>
    <w:p>
      <w:pPr>
        <w:pStyle w:val="BookText"/>
        <w:rPr/>
      </w:pPr>
      <w:r>
        <w:rPr>
          <w:rFonts w:ascii="Amiri" w:hAnsi="Amiri" w:eastAsia="Amiri" w:cs="Amiri"/>
          <w:color w:val="111111"/>
          <w:sz w:val="28"/>
          <w:sz w:val="28"/>
          <w:szCs w:val="28"/>
          <w:rtl w:val="true"/>
          <w:lang w:bidi="ar-SA"/>
        </w:rPr>
        <w:t>القاعدة 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الشرعي أن يتصرف بمال الفقراء مع الغبطة وتنميته لهم، ويضارب به وكذا الخمس ومجهول المالك، وله أن يصالح على الأقل مع الغبطة، ويكون صلحاً حقيقياً لا استنقاذاً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يدفع للفقراء والسادة مالاً بنيّة القرض على الجهة الخاصة وإن لم يخبرهم، أو يتوكل عنهم فيقبض من مالهم وفاء للقرض لتلك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ينوي القربة حين الدفع لو دفع المال إليه على سبيل الولاية فقبضه، وله أن لا ينوي القربة، وله أن يقبض الحقّ ويرجعه إلى أهله إن كانوا من أهله، وله أن يستقرض الحقّ من دون رهن وضمين، وله أن يحتسبه على نفسه لو كان من أهله، وله أن يأخذه له إذا قبضه بالولاية لا بالوكالة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3372300_1280447820"/>
      <w:bookmarkStart w:id="251" w:name="_Toc96"/>
      <w:bookmarkEnd w:id="250"/>
      <w:r>
        <w:rPr>
          <w:rtl w:val="true"/>
        </w:rPr>
        <w:t>القاعدة الثالثة والخمسون</w:t>
      </w:r>
      <w:r>
        <w:rPr>
          <w:rtl w:val="true"/>
        </w:rPr>
        <w:t xml:space="preserve">: </w:t>
      </w:r>
      <w:r>
        <w:rPr>
          <w:rtl w:val="true"/>
        </w:rPr>
        <w:t>الأصل في ألفاظ العقود أن يكون التلفظ بها مملوكاً للافظ بها</w:t>
      </w:r>
      <w:bookmarkEnd w:id="251"/>
    </w:p>
    <w:p>
      <w:pPr>
        <w:pStyle w:val="BookText"/>
        <w:rPr/>
      </w:pPr>
      <w:r>
        <w:rPr>
          <w:rFonts w:ascii="Amiri" w:hAnsi="Amiri" w:eastAsia="Amiri" w:cs="Amiri"/>
          <w:color w:val="111111"/>
          <w:sz w:val="28"/>
          <w:sz w:val="28"/>
          <w:szCs w:val="28"/>
          <w:rtl w:val="true"/>
          <w:lang w:bidi="ar-SA"/>
        </w:rPr>
        <w:t>القاعدة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فى ألفاظ العقود أن يكون التلفظ بها مملوكاً للافظ بها، فلو كان اللفظ مملوكاً لغيره كالعبد فإنّ لسانه ولفظه مملوكان للمولى، وكذا مَنْ آجر منافع لسانه مدةً لغيره، وحينئذٍ، فلو وقع عقد من مملوك على مال مولاه أو على مال شخص أمره بأن يعقد عنه بيعاً أو إجارة أو نكاحاً كان باطلاً؛ لأنّه تصرف بمال غيره من دون إذنه فلا يصلح للسببية،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أجاز المولى وقوع اللفظ منه قوي القول بالصحّة؛ إلحاقاً له بالفضولي، مع احتمال المنع؛ لأن الفضولي هو عقد المالك بلفظه على مال غيره لا العاقد بلفظ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بالصحّة مطلقاً؛ لمنع عدم السببية والتأثير وإن كان مملوكاً للغير؛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للمالك أجرة المثل، ويشير إليه صحّة عقد العبد لو أجاز السيد، فإن الظاهر أنّ الإجازة لنفس النكاح لا للتصرّف الحاصل من لفظ العبد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القول بالبطلان مطلقاً؛ لعدم دخوله تحت الفضولي</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بالصحّة بنحو آخر، وهو المنع من ملك اللفظ للمولى إذا لم يلزم منه تصرف زائد بل غايته أنّه إيجاب بلفظ لا ينافي ملكية العبد ومنافعه للمولى؛ لعدم كونه من التصرفات الراجعة للمولى؛ بل قد يدعى أن السيرة قاضية بجواز ذلك، وإن أمكن حمل السيرة على الإذن الفحوائية غالباً من المولى، ولا بدّ من التأمل في المقام</w:t>
      </w:r>
      <w:r>
        <w:rPr>
          <w:rFonts w:eastAsia="Amiri" w:cs="Amiri" w:ascii="Amiri" w:hAnsi="Amiri"/>
          <w:color w:val="111111"/>
          <w:sz w:val="28"/>
          <w:szCs w:val="28"/>
          <w:rtl w:val="true"/>
          <w:lang w:bidi="ar-SA"/>
        </w:rPr>
        <w:t xml:space="preserve">. </w:t>
      </w:r>
      <w:bookmarkStart w:id="252" w:name="pg19000_245311"/>
    </w:p>
    <w:p>
      <w:pPr>
        <w:pStyle w:val="Heading4"/>
        <w:numPr>
          <w:ilvl w:val="3"/>
          <w:numId w:val="1"/>
        </w:numPr>
        <w:rPr/>
      </w:pPr>
      <w:bookmarkStart w:id="253" w:name="__RefHeading___Toc13372302_1280447820"/>
      <w:bookmarkStart w:id="254" w:name="_Toc97"/>
      <w:bookmarkEnd w:id="252"/>
      <w:bookmarkEnd w:id="253"/>
      <w:r>
        <w:rPr>
          <w:rtl w:val="true"/>
        </w:rPr>
        <w:t>المطلب الثالث في الآداب</w:t>
      </w:r>
      <w:bookmarkEnd w:id="254"/>
    </w:p>
    <w:p>
      <w:pPr>
        <w:pStyle w:val="Heading5"/>
        <w:numPr>
          <w:ilvl w:val="4"/>
          <w:numId w:val="1"/>
        </w:numPr>
        <w:rPr/>
      </w:pPr>
      <w:bookmarkStart w:id="255" w:name="__RefHeading___Toc13372304_1280447820"/>
      <w:bookmarkStart w:id="256" w:name="_Toc98"/>
      <w:bookmarkEnd w:id="255"/>
      <w:r>
        <w:rPr>
          <w:rtl w:val="true"/>
        </w:rPr>
        <w:t>وفيه أُمور</w:t>
      </w:r>
      <w:r>
        <w:rPr>
          <w:rtl w:val="true"/>
        </w:rPr>
        <w:t>:</w:t>
      </w:r>
      <w:bookmarkEnd w:id="256"/>
    </w:p>
    <w:p>
      <w:pPr>
        <w:pStyle w:val="Heading6"/>
        <w:numPr>
          <w:ilvl w:val="5"/>
          <w:numId w:val="1"/>
        </w:numPr>
        <w:rPr/>
      </w:pPr>
      <w:bookmarkStart w:id="257" w:name="__RefHeading___Toc13372306_1280447820"/>
      <w:bookmarkStart w:id="258" w:name="_Toc99"/>
      <w:bookmarkEnd w:id="257"/>
      <w:r>
        <w:rPr>
          <w:rtl w:val="true"/>
        </w:rPr>
        <w:t>الأمر الأوّل</w:t>
      </w:r>
      <w:r>
        <w:rPr>
          <w:rtl w:val="true"/>
        </w:rPr>
        <w:t xml:space="preserve">: </w:t>
      </w:r>
      <w:r>
        <w:rPr>
          <w:rtl w:val="true"/>
        </w:rPr>
        <w:t>في مندوبات التجارة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في التجارة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اجتهاداً أو تقليداً، أو العمل بالاحتياط الجامع الذي يتيقن معه حصول السبب الشرعي، بشرط أن لا يتزلزل في قصده فيفوته القصد، ولا يشرع فيفعل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للمستقيل؛ للخبر </w:t>
      </w:r>
      <w:r>
        <w:rPr>
          <w:rStyle w:val="FootnoteAnchor"/>
          <w:rtl w:val="true"/>
        </w:rPr>
        <w:footnoteReference w:id="635"/>
      </w:r>
      <w:r>
        <w:rPr>
          <w:rFonts w:ascii="IRNazanin" w:hAnsi="IRNazanin" w:eastAsia="IRNazanin"/>
          <w:color w:val="111111"/>
          <w:sz w:val="28"/>
          <w:sz w:val="28"/>
          <w:szCs w:val="28"/>
          <w:rtl w:val="true"/>
          <w:lang w:bidi="fa-IR"/>
        </w:rPr>
        <w:t>المشتهر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الناقص ودفع الراجح، ومع التنازع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المعاملين، إلا بترجيح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الربح للموعود بالإحسان وللمؤمن، إلّا اليسير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البيع والشراء والقضاء والاقتضاء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بالبركة عند دخول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والشهادتان عند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الأعمال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عند الربح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المماكسة إلا في الأضحية والنسمة والكفن والكراء لمكة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البكور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 وقبول نصح المشير وطلب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أرباب الحظوظ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الصنائع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للرزق </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المال سيّما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صاحب السلعة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طريق لم يجئ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بالمعيشة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الشعير بالغلاء ليساوي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القوت يوماً فيوماً ليساوي الفقراء في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كلّ شيء في 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مع مَنْ نشأ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 على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الحرف الرفيعة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الإخوان بالإعسار والخروج عن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إلى الإخوان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فيما يحصل به تقوية الدين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بجيد السلعة وترك رديئها</w:t>
      </w:r>
      <w:r>
        <w:rPr>
          <w:rFonts w:eastAsia="Amiri" w:cs="Amiri" w:ascii="Amiri" w:hAnsi="Amiri"/>
          <w:color w:val="111111"/>
          <w:sz w:val="28"/>
          <w:szCs w:val="28"/>
          <w:rtl w:val="true"/>
          <w:lang w:bidi="ar-SA"/>
        </w:rPr>
        <w:t xml:space="preserve">. </w:t>
      </w:r>
      <w:bookmarkStart w:id="259" w:name="pg19000_245313"/>
    </w:p>
    <w:p>
      <w:pPr>
        <w:pStyle w:val="BookText"/>
        <w:rPr/>
      </w:pPr>
      <w:bookmarkEnd w:id="259"/>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الدينار المغشوش بعد كسره في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ماله في تجارات متعددة كي لا يتلف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العقد على العظيم من التجارة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الرجل في بيته، والامرأة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الفقراء فيما يأكلون ويلبسون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بدعاء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الطعام إذا أُخرج أو أُحرز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إلى ما بعد طلوع الشمس فإنّه جالب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مكارم الأخلاق مع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 فيما لا ينبغي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إنظار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الغزل للمرأة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التطهر لقضاء حوائجه، والتحنّك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الهدايا وتعجيل ردّ ظروفها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يتأكد به استحباب التجارة، ويكون نوراً على نور، ولو نوى بأكثره القربة تضاعف الثواب</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3372308_1280447820"/>
      <w:bookmarkStart w:id="261" w:name="_Toc100"/>
      <w:bookmarkEnd w:id="260"/>
      <w:r>
        <w:rPr>
          <w:rtl w:val="true"/>
        </w:rPr>
        <w:t xml:space="preserve">الأمر الثاني </w:t>
      </w:r>
      <w:r>
        <w:rPr>
          <w:rtl w:val="true"/>
        </w:rPr>
        <w:t xml:space="preserve">: </w:t>
      </w:r>
      <w:r>
        <w:rPr>
          <w:rtl w:val="true"/>
        </w:rPr>
        <w:t>في بيان مكروهات التجارة</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وهو بالنسبة إلى الواجب كمكروه العبادة، وهي ما وجب على الإنسان لضرورة النظام، وكذا بالنسبة إلى المنذور بالدليل الخاص، وأما ما لم يندب بدليل خاص ولا يجب فلا يبعد أنّ الكراهة فيه على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كلّ تجارة مندوبة مشكلة، ولو سُلّم ذلك كان كمكروه العبادة، مع احتمال أنّه إن نوى بها القربة كانت كمكروه العبادة، وإن لم ينو القربة تخلّصت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أُمور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دخول السوق قبل كلّ أحدٍ، والتأخر عن كلّ أحد، ويلحق السوق مواضع المعاملة، ولا يبعد ارتفاع الكراهة لو دخلوا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البائع السلعة وذم المشتري لها،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العيب من غير غش وتدليس، وإلا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والمعاملة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المتاع ما لم يكن غشاً،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للكيل والوزن مع عدم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الاستحطاط بعد العقد زمن الخيار وبعده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وقت النداء عند امتداد الصوت، أو بين الصوتين المتلاحقين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السوم سوم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الزائد لصاحب الخيار ليفسخ، بل قيل بتحريمه </w:t>
      </w:r>
      <w:r>
        <w:rPr>
          <w:rStyle w:val="FootnoteAnchor"/>
          <w:rtl w:val="true"/>
        </w:rPr>
        <w:footnoteReference w:id="637"/>
      </w:r>
      <w:r>
        <w:rPr>
          <w:rFonts w:ascii="Amiri" w:hAnsi="Amiri" w:eastAsia="Amiri" w:cs="Amiri"/>
          <w:color w:val="111111"/>
          <w:sz w:val="28"/>
          <w:sz w:val="28"/>
          <w:szCs w:val="28"/>
          <w:rtl w:val="true"/>
          <w:lang w:bidi="ar-SA"/>
        </w:rPr>
        <w:t>لما فيه من الضرر والكدر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يتوكل حاضر لباد، بل كلّ ذكي لغبي؛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الناس على غفلاتها يرتزق بعضهم من بعض</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بارتفاع الكراهة مع التماس المؤمن وحاجته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الوكيل من نفسه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تعاطي الصناعات والمعاملات الدنيئة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المداقة في المعاملة على الحج والكفن والأضحية والنسمة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طريق يفوت به قبل الوقت بعض الواجبات والمندوبات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الاتجار بمكة لغير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في غير ما استثني، واستقلال قليل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المال في الكُم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والكسل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الطحين والخبز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آلات العبادة والعقارات، إلا لشراء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خفض الجواري ومسح الماشطة الوجه بالخرقة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 نفسه أجيراً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الأجير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مَنْ يستحق الإكرام لعلم أو سيادة أو كبر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إنزاء حمار على 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الناقة وولدها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ردى السلعة وترك جيّدها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الأمة دون ولدها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في مقابلة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والموزون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الأجير أجيراً بأقلّ ممّا استؤجر به ولم يعمل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استكثار الرزق على غيره، فإن حسده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 بالسؤال سيّما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 بالمدح وإعطاء المادح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إيجار الأرض بأكثر ممّا استأجرها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استئجارها بحنطة أو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من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الشريك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معلّم الصبيان بعضاً على بعض، وكذا تفضيل المستأجرين بعضاً على بعض إلا لوصف زائد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زخرفة المساجد وتزويقها</w:t>
      </w:r>
      <w:r>
        <w:rPr>
          <w:rFonts w:eastAsia="Amiri" w:cs="Amiri" w:ascii="Amiri" w:hAnsi="Amiri"/>
          <w:color w:val="111111"/>
          <w:sz w:val="28"/>
          <w:szCs w:val="28"/>
          <w:rtl w:val="true"/>
          <w:lang w:bidi="ar-SA"/>
        </w:rPr>
        <w:t xml:space="preserve">. </w:t>
      </w:r>
      <w:bookmarkStart w:id="262" w:name="pg19000_245316"/>
    </w:p>
    <w:p>
      <w:pPr>
        <w:pStyle w:val="BookText"/>
        <w:rPr/>
      </w:pPr>
      <w:bookmarkEnd w:id="262"/>
      <w:r>
        <w:rPr>
          <w:rFonts w:ascii="Amiri" w:hAnsi="Amiri" w:eastAsia="Amiri" w:cs="Amiri"/>
          <w:color w:val="111111"/>
          <w:sz w:val="28"/>
          <w:sz w:val="28"/>
          <w:szCs w:val="28"/>
          <w:rtl w:val="true"/>
          <w:lang w:bidi="ar-SA"/>
        </w:rPr>
        <w:t xml:space="preserve">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الانهماك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الظالم والتواضع له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الظالمين ما لم يبعث على محرّم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من مستجدّ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حفظ الشعر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الرجال الأجانب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الحجام من أُجرته المأخوذة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الشبهات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السعي في الطلب</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3372310_1280447820"/>
      <w:bookmarkStart w:id="264" w:name="_Toc101"/>
      <w:bookmarkEnd w:id="263"/>
      <w:r>
        <w:rPr>
          <w:rtl w:val="true"/>
        </w:rPr>
        <w:t>الأمر الثالث</w:t>
      </w:r>
      <w:r>
        <w:rPr>
          <w:rtl w:val="true"/>
        </w:rPr>
        <w:t xml:space="preserve">: </w:t>
      </w:r>
      <w:r>
        <w:rPr>
          <w:rtl w:val="true"/>
        </w:rPr>
        <w:t>في الاحتكار وتلقي الركبان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حبس ما يحتاجه الناس ويضطرون إليه بحيث يؤدي إلى ضرر بالأنفس والأعراض، فيجبره الحاكم على البيع، ويستر عليه بما يمكن دفعه لعامة الناس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 الاضطرار وعدم الحاجة فلا بأس به، إلا إذا قصد الإضرار بحصول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الحاجة وعدم الاضطرار،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حبس الحنطة والشعير والتمر والزبيب والسمن </w:t>
      </w:r>
      <w:r>
        <w:rPr>
          <w:rStyle w:val="FootnoteAnchor"/>
          <w:rtl w:val="true"/>
        </w:rPr>
        <w:footnoteReference w:id="641"/>
      </w:r>
      <w:r>
        <w:rPr>
          <w:rFonts w:ascii="IRNazanin" w:hAnsi="IRNazanin" w:eastAsia="IRNazanin"/>
          <w:color w:val="111111"/>
          <w:sz w:val="28"/>
          <w:sz w:val="28"/>
          <w:szCs w:val="28"/>
          <w:rtl w:val="true"/>
          <w:lang w:bidi="fa-IR"/>
        </w:rPr>
        <w:t xml:space="preserve">، وزاد بعض </w:t>
      </w:r>
      <w:r>
        <w:rPr>
          <w:rStyle w:val="FootnoteAnchor"/>
          <w:rtl w:val="true"/>
        </w:rPr>
        <w:footnoteReference w:id="642"/>
      </w:r>
      <w:r>
        <w:rPr>
          <w:rFonts w:ascii="IRNazanin" w:hAnsi="IRNazanin" w:eastAsia="IRNazanin"/>
          <w:color w:val="111111"/>
          <w:sz w:val="28"/>
          <w:sz w:val="28"/>
          <w:szCs w:val="28"/>
          <w:rtl w:val="true"/>
          <w:lang w:bidi="fa-IR"/>
        </w:rPr>
        <w:t xml:space="preserve">الملح، وبعض </w:t>
      </w:r>
      <w:r>
        <w:rPr>
          <w:rStyle w:val="FootnoteAnchor"/>
          <w:rtl w:val="true"/>
        </w:rPr>
        <w:footnoteReference w:id="643"/>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 الخمسة الأوّل معقد الإجماع بشرطين،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الاستبقاء للزيادة،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ولو من غير المجانس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إلى قبحه العقلي؛ لأدائه إلى ضرر المسلمين وظلمهم بمنع ما يحتاجون إليه عليهم، وإلى منافاته المروءة، وإلى أنّه من الحرص المذموم، ومن قساوة القلب، وإلى الأخبار الناهية عنه، والآمرة بالبيع والإخراج </w:t>
      </w:r>
      <w:r>
        <w:rPr>
          <w:rStyle w:val="FootnoteAnchor"/>
          <w:rtl w:val="true"/>
        </w:rPr>
        <w:footnoteReference w:id="644"/>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تصدق بثمن ما باعه لم يكن كفارة لما صنع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بكراهته </w:t>
      </w:r>
      <w:r>
        <w:rPr>
          <w:rStyle w:val="FootnoteAnchor"/>
          <w:rtl w:val="true"/>
        </w:rPr>
        <w:footnoteReference w:id="646"/>
      </w:r>
      <w:r>
        <w:rPr>
          <w:rFonts w:ascii="Amiri" w:hAnsi="Amiri" w:eastAsia="Amiri" w:cs="Amiri"/>
          <w:color w:val="111111"/>
          <w:sz w:val="28"/>
          <w:sz w:val="28"/>
          <w:szCs w:val="28"/>
          <w:rtl w:val="true"/>
          <w:lang w:bidi="ar-SA"/>
        </w:rPr>
        <w:t xml:space="preserve">استضعافاً لجملة من الأخبار وحمل الباقي على قصد الإضرار، أو على حصول الاضطرار المؤدي إلى التلف والبوار، والإجبار على البيع لا يلازم التحريم، كزيارة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 الجماعة في زمنه فلا تصلح مخصصةً للأصل،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وما دلّ على التجارة والمغابنة فيها والحزم في الكسب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649"/>
      </w:r>
      <w:r>
        <w:rPr>
          <w:rFonts w:ascii="Amiri" w:hAnsi="Amiri" w:eastAsia="Amiri" w:cs="Amiri"/>
          <w:color w:val="111111"/>
          <w:sz w:val="28"/>
          <w:sz w:val="28"/>
          <w:szCs w:val="28"/>
          <w:rtl w:val="true"/>
          <w:lang w:bidi="ar-SA"/>
        </w:rPr>
        <w:t>ما يشعر بالكراهة وأن مناط الحرمة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حسن، والأول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فيجبره الحاكم على البيع بنفسه، وإن لم يمكن الحاكم فعدول المسلمين، فإن لم يبع بنفسه أو أخفى نفسه قام الحاكم مقامه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يسعر الحاكم عليه هنا، بل الثمن أمره إليه إلّا إذا طلب ما يؤدي إلى عدم إمكان شراء عامة الناس منه، فإنّه يقصره عنه لئلا يفوت الغرض من الإجبار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تلقي الركبان وما يشبههم من الوافدين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والمعاملة معهم جائزة ومكروهة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وعمومات الأمر بالتجارة وطلب الرزق، والسعي في مناكبها </w:t>
      </w:r>
      <w:r>
        <w:rPr>
          <w:rStyle w:val="FootnoteAnchor"/>
          <w:rtl w:val="true"/>
        </w:rPr>
        <w:footnoteReference w:id="650"/>
      </w:r>
      <w:r>
        <w:rPr>
          <w:rFonts w:ascii="Amiri" w:hAnsi="Amiri" w:eastAsia="Amiri" w:cs="Amiri"/>
          <w:color w:val="111111"/>
          <w:sz w:val="28"/>
          <w:sz w:val="28"/>
          <w:szCs w:val="28"/>
          <w:rtl w:val="true"/>
          <w:lang w:bidi="ar-SA"/>
        </w:rPr>
        <w:t xml:space="preserve">، وما دلّ </w:t>
      </w:r>
    </w:p>
    <w:p>
      <w:pPr>
        <w:pStyle w:val="BookText"/>
        <w:rPr/>
      </w:pPr>
      <w:r>
        <w:rPr>
          <w:rFonts w:ascii="Amiri" w:hAnsi="Amiri" w:eastAsia="Amiri" w:cs="Amiri"/>
          <w:color w:val="111111"/>
          <w:sz w:val="28"/>
          <w:sz w:val="28"/>
          <w:szCs w:val="28"/>
          <w:rtl w:val="true"/>
          <w:lang w:bidi="ar-SA"/>
        </w:rPr>
        <w:t xml:space="preserve">على التحريم من الأخبار </w:t>
      </w:r>
      <w:r>
        <w:rPr>
          <w:rStyle w:val="FootnoteAnchor"/>
          <w:rtl w:val="true"/>
        </w:rPr>
        <w:footnoteReference w:id="651"/>
      </w:r>
      <w:r>
        <w:rPr>
          <w:rFonts w:ascii="Amiri" w:hAnsi="Amiri" w:eastAsia="Amiri" w:cs="Amiri"/>
          <w:color w:val="111111"/>
          <w:sz w:val="28"/>
          <w:sz w:val="28"/>
          <w:szCs w:val="28"/>
          <w:rtl w:val="true"/>
          <w:lang w:bidi="ar-SA"/>
        </w:rPr>
        <w:t>لا يقاوم تلك الأدلّة؛ لمخالفتها للمشهور وموافقتها العامة، ولإعراض قدماء الأصحاب عنها مع أنّها بمرأى منهم ومسمع، فطرحها وحملها على الكراهة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المنقول </w:t>
      </w:r>
      <w:r>
        <w:rPr>
          <w:rStyle w:val="FootnoteAnchor"/>
          <w:rtl w:val="true"/>
        </w:rPr>
        <w:footnoteReference w:id="652"/>
      </w:r>
      <w:r>
        <w:rPr>
          <w:rFonts w:ascii="Amiri" w:hAnsi="Amiri" w:eastAsia="Amiri" w:cs="Amiri"/>
          <w:color w:val="111111"/>
          <w:sz w:val="28"/>
          <w:sz w:val="28"/>
          <w:szCs w:val="28"/>
          <w:rtl w:val="true"/>
          <w:lang w:bidi="ar-SA"/>
        </w:rPr>
        <w:t>وفتوى الفحول والأخبار المحمولة على ذلك، وللتسامح في أدلة السنن ولدخوله في طلب الحريص، ولعدم خلوّه غالباً عن الخدع والمغالبة والحيلة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والتلقّي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الخروج إلى 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الأربعة فراسخ للمعاملة مع الوافدين من التجار على أعيان أموالهم بقصد ذلك، لا مع الخلو عن القصد أو قصد غيره، من غير اطلاع على شعورهم بسعر البلد ولا بناء على إخبارهم بحقيقة الحال، ولا على اشتراط الخيار لهم، ولا على التماس صدر منهم لداع لهم، كلّ ذلك اقتصاراً على المتيقن من دليل التحريم أو الكراهة، وتمسكاً بما تشعر به العلة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فالعقد الصادر بين المتلقين والوافدين صحيح، أما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وأما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المنقول </w:t>
      </w:r>
      <w:r>
        <w:rPr>
          <w:rStyle w:val="FootnoteAnchor"/>
          <w:rtl w:val="true"/>
        </w:rPr>
        <w:footnoteReference w:id="653"/>
      </w:r>
      <w:r>
        <w:rPr>
          <w:rFonts w:ascii="IRNazanin" w:hAnsi="IRNazanin" w:eastAsia="IRNazanin"/>
          <w:color w:val="111111"/>
          <w:sz w:val="28"/>
          <w:sz w:val="28"/>
          <w:szCs w:val="28"/>
          <w:rtl w:val="true"/>
          <w:lang w:bidi="fa-IR"/>
        </w:rPr>
        <w:t>وفتوى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والنهي وإن تعلّق بنفس الشراء والأكل في الأخبار </w:t>
      </w:r>
      <w:r>
        <w:rPr>
          <w:rStyle w:val="FootnoteAnchor"/>
          <w:rtl w:val="true"/>
        </w:rPr>
        <w:footnoteReference w:id="654"/>
      </w:r>
      <w:r>
        <w:rPr>
          <w:rFonts w:ascii="Amiri" w:hAnsi="Amiri" w:eastAsia="Amiri" w:cs="Amiri"/>
          <w:color w:val="111111"/>
          <w:sz w:val="28"/>
          <w:sz w:val="28"/>
          <w:szCs w:val="28"/>
          <w:rtl w:val="true"/>
          <w:lang w:bidi="ar-SA"/>
        </w:rPr>
        <w:t>إلا أن الإجماع المتقدم والفتوى والسيرة أخرجت اقتضاءه الفساد من 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الأكل يُحمل على الأكل قبل الشراء، كما إذا قدّم لهم ليشتروا، أو على الكراهة وإن لزم التفكيك بين الفقرتين على القول بالتحريم؛ لأنّ في كثير مثل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ويتخير المغبون من 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خصّه بالبائع </w:t>
      </w:r>
      <w:r>
        <w:rPr>
          <w:rStyle w:val="FootnoteAnchor"/>
          <w:rtl w:val="true"/>
        </w:rPr>
        <w:footnoteReference w:id="655"/>
      </w:r>
      <w:r>
        <w:rPr>
          <w:rFonts w:ascii="Amiri" w:hAnsi="Amiri" w:eastAsia="Amiri" w:cs="Amiri"/>
          <w:color w:val="111111"/>
          <w:sz w:val="28"/>
          <w:sz w:val="28"/>
          <w:szCs w:val="28"/>
          <w:rtl w:val="true"/>
          <w:lang w:bidi="ar-SA"/>
        </w:rPr>
        <w:t xml:space="preserve">جرى مجرى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عالماً ولا مسقطاً لخياره قبل العقد أو بعده، ولا عاقداً عقد مسامحة، بين الفسخ أو الإمضاء مجاناً؛ لحديث الضرار</w:t>
      </w:r>
      <w:r>
        <w:rPr>
          <w:rStyle w:val="FootnoteAnchor"/>
          <w:rtl w:val="true"/>
        </w:rPr>
        <w:footnoteReference w:id="656"/>
      </w:r>
      <w:r>
        <w:rPr>
          <w:rFonts w:ascii="Amiri" w:hAnsi="Amiri" w:eastAsia="Amiri" w:cs="Amiri"/>
          <w:color w:val="111111"/>
          <w:sz w:val="28"/>
          <w:sz w:val="28"/>
          <w:szCs w:val="28"/>
          <w:rtl w:val="true"/>
          <w:lang w:bidi="ar-SA"/>
        </w:rPr>
        <w:t xml:space="preserve">المنجبر بالفتوى والعمل المحمول على الانجبار بالخيار؛ لعدم إرادة النهي ؛ لبُعدها عن ظاهر اللفظ وفهم الفقهاء، ولانفي الحقيقة؛ للزومه خلاف الواقع، بل المراد نفيه في الشريعة المستلزم ثبوت الخيار عند حصول الإضرار، ولما ورد أن الركب </w:t>
      </w:r>
    </w:p>
    <w:p>
      <w:pPr>
        <w:pStyle w:val="BookText"/>
        <w:rPr/>
      </w:pPr>
      <w:r>
        <w:rPr>
          <w:rFonts w:ascii="Amiri" w:hAnsi="Amiri" w:eastAsia="Amiri" w:cs="Amiri"/>
          <w:color w:val="111111"/>
          <w:sz w:val="28"/>
          <w:sz w:val="28"/>
          <w:szCs w:val="28"/>
          <w:rtl w:val="true"/>
          <w:lang w:bidi="ar-SA"/>
        </w:rPr>
        <w:t xml:space="preserve">لهم الخيار بعد وصولهم </w:t>
      </w:r>
      <w:r>
        <w:rPr>
          <w:rStyle w:val="FootnoteAnchor"/>
          <w:rtl w:val="true"/>
        </w:rPr>
        <w:footnoteReference w:id="657"/>
      </w:r>
      <w:r>
        <w:rPr>
          <w:rFonts w:ascii="Amiri" w:hAnsi="Amiri" w:eastAsia="Amiri" w:cs="Amiri"/>
          <w:color w:val="111111"/>
          <w:sz w:val="28"/>
          <w:sz w:val="28"/>
          <w:szCs w:val="28"/>
          <w:rtl w:val="true"/>
          <w:lang w:bidi="ar-SA"/>
        </w:rPr>
        <w:t xml:space="preserve">، ولما نُقل من الإجماع على ثبوت الخيار في المغبون مطلقاً، وهنا خصوصاً في البائع </w:t>
      </w:r>
      <w:r>
        <w:rPr>
          <w:rStyle w:val="FootnoteAnchor"/>
          <w:rtl w:val="true"/>
        </w:rPr>
        <w:footnoteReference w:id="658"/>
      </w:r>
      <w:r>
        <w:rPr>
          <w:rFonts w:ascii="Amiri" w:hAnsi="Amiri" w:eastAsia="Amiri" w:cs="Amiri"/>
          <w:color w:val="111111"/>
          <w:sz w:val="28"/>
          <w:sz w:val="28"/>
          <w:szCs w:val="28"/>
          <w:rtl w:val="true"/>
          <w:lang w:bidi="ar-SA"/>
        </w:rPr>
        <w:t>، والعلة منقحة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على التراخي؛ للاستصحاب، أو على الفور كما نُقل أنّه مشهور الأصحاب </w:t>
      </w:r>
      <w:r>
        <w:rPr>
          <w:rStyle w:val="FootnoteAnchor"/>
          <w:rtl w:val="true"/>
        </w:rPr>
        <w:footnoteReference w:id="65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الأخير؛ لعموم دليل اللزوم في الأزمنة</w:t>
      </w:r>
      <w:r>
        <w:rPr>
          <w:rStyle w:val="FootnoteAnchor"/>
          <w:rtl w:val="true"/>
        </w:rPr>
        <w:footnoteReference w:id="660"/>
      </w:r>
      <w:r>
        <w:rPr>
          <w:rFonts w:ascii="Amiri" w:hAnsi="Amiri" w:eastAsia="Amiri" w:cs="Amiri"/>
          <w:color w:val="111111"/>
          <w:sz w:val="28"/>
          <w:sz w:val="28"/>
          <w:szCs w:val="28"/>
          <w:rtl w:val="true"/>
          <w:lang w:bidi="ar-SA"/>
        </w:rPr>
        <w:t>، فيقتصر في تخصيصها على الزمان المتيقن من الإجماع وحديث الضرار</w:t>
      </w:r>
      <w:r>
        <w:rPr>
          <w:rStyle w:val="FootnoteAnchor"/>
          <w:rtl w:val="true"/>
        </w:rPr>
        <w:footnoteReference w:id="661"/>
      </w:r>
      <w:r>
        <w:rPr>
          <w:rFonts w:ascii="Amiri" w:hAnsi="Amiri" w:eastAsia="Amiri" w:cs="Amiri"/>
          <w:color w:val="111111"/>
          <w:sz w:val="28"/>
          <w:sz w:val="28"/>
          <w:szCs w:val="28"/>
          <w:rtl w:val="true"/>
          <w:lang w:bidi="ar-SA"/>
        </w:rPr>
        <w:t>، والاستصحاب لا يخصص العام ولا يعارض الدليل، فحكمه حكم ما جاء للاضطرار من تناول الحرام للتقيّة والمخمصة وشبه ذلك من تناول بعض أشياء للمحرم والصائم للضرورة، ولعدم جريانه في التابع بعد زوال المتبوع، والمقيد بعد زوال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تعلّق الحكم بالذوات جرى الاستصحاب؛ لعدم معارضته للدليل، كما يجري مع بقاء سببه، كما لو كان المغبون جاهلاً في الحكم أو الموضوع أو غافلاً أو ناسياً، فإنّ الضرار متحقق في ذلك كله، بخلاف ما لو علم فإنّ انتظاره ضرر آخر، ولأن نفس ثبوت الخيار له رافع للضرر، فتراخيه حينئذٍ جالب للضرر على نفسه وإرجاع للعقد على أصله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يراد بالفور العرفي لا العقلي؛ لأنّ المدار غالباً في الشرعيّات على العرفيات دون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التجارة بحمد اللّه وتوفيقه، ويتلوه كتاب البيع، والحمد لله أوّلاً وآخراً وظاهراً وباطناً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البيع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9000_245323"/>
      <w:bookmarkStart w:id="266" w:name="pg19000_245323"/>
      <w:bookmarkEnd w:id="266"/>
    </w:p>
    <w:p>
      <w:pPr>
        <w:pStyle w:val="BookText"/>
        <w:rPr/>
      </w:pPr>
      <w:bookmarkStart w:id="267" w:name="pg19000_245323"/>
      <w:bookmarkEnd w:id="267"/>
      <w:r>
        <w:rPr>
          <w:rFonts w:ascii="Amiri" w:hAnsi="Amiri" w:eastAsia="Amiri" w:cs="Amiri"/>
          <w:color w:val="111111"/>
          <w:sz w:val="28"/>
          <w:sz w:val="28"/>
          <w:szCs w:val="28"/>
          <w:rtl w:val="true"/>
          <w:lang w:bidi="ar-SA"/>
        </w:rPr>
        <w:t>بسم اللّه الرحمن الرحيم، وبه نستعين وعليه نتوكل</w:t>
      </w:r>
    </w:p>
    <w:p>
      <w:pPr>
        <w:pStyle w:val="Heading2"/>
        <w:numPr>
          <w:ilvl w:val="1"/>
          <w:numId w:val="1"/>
        </w:numPr>
        <w:rPr/>
      </w:pPr>
      <w:bookmarkStart w:id="268" w:name="__RefHeading___Toc13372312_1280447820"/>
      <w:bookmarkStart w:id="269" w:name="_Toc102"/>
      <w:bookmarkEnd w:id="268"/>
      <w:r>
        <w:rPr>
          <w:rtl w:val="true"/>
        </w:rPr>
        <w:t>كتاب البيع</w:t>
      </w:r>
      <w:bookmarkEnd w:id="269"/>
    </w:p>
    <w:p>
      <w:pPr>
        <w:pStyle w:val="Heading3"/>
        <w:numPr>
          <w:ilvl w:val="2"/>
          <w:numId w:val="1"/>
        </w:numPr>
        <w:rPr/>
      </w:pPr>
      <w:bookmarkStart w:id="270" w:name="__RefHeading___Toc13372314_1280447820"/>
      <w:bookmarkStart w:id="271" w:name="_Toc103"/>
      <w:bookmarkEnd w:id="270"/>
      <w:r>
        <w:rPr>
          <w:rtl w:val="true"/>
        </w:rPr>
        <w:t>إشارة</w:t>
      </w:r>
      <w:r>
        <w:rPr>
          <w:rtl w:val="true"/>
        </w:rPr>
        <w:t>:</w:t>
      </w:r>
      <w:bookmarkEnd w:id="271"/>
    </w:p>
    <w:p>
      <w:pPr>
        <w:pStyle w:val="BookText"/>
        <w:rPr/>
      </w:pPr>
      <w:r>
        <w:rPr>
          <w:rFonts w:ascii="Amiri" w:hAnsi="Amiri" w:eastAsia="Amiri" w:cs="Amiri"/>
          <w:color w:val="111111"/>
          <w:sz w:val="28"/>
          <w:sz w:val="28"/>
          <w:szCs w:val="28"/>
          <w:rtl w:val="true"/>
          <w:lang w:bidi="ar-SA"/>
        </w:rPr>
        <w:t xml:space="preserve">وهو ثابت كتاباً </w:t>
      </w:r>
      <w:r>
        <w:rPr>
          <w:rStyle w:val="FootnoteAnchor"/>
          <w:rtl w:val="true"/>
        </w:rPr>
        <w:footnoteReference w:id="663"/>
      </w:r>
      <w:r>
        <w:rPr>
          <w:rFonts w:ascii="Amiri" w:hAnsi="Amiri" w:eastAsia="Amiri" w:cs="Amiri"/>
          <w:color w:val="111111"/>
          <w:sz w:val="28"/>
          <w:sz w:val="28"/>
          <w:szCs w:val="28"/>
          <w:rtl w:val="true"/>
          <w:lang w:bidi="ar-SA"/>
        </w:rPr>
        <w:t xml:space="preserve">وسنّةً </w:t>
      </w:r>
      <w:r>
        <w:rPr>
          <w:rStyle w:val="FootnoteAnchor"/>
          <w:rtl w:val="true"/>
        </w:rPr>
        <w:footnoteReference w:id="664"/>
      </w:r>
      <w:r>
        <w:rPr>
          <w:rFonts w:ascii="Amiri" w:hAnsi="Amiri" w:eastAsia="Amiri" w:cs="Amiri"/>
          <w:color w:val="111111"/>
          <w:sz w:val="28"/>
          <w:sz w:val="28"/>
          <w:szCs w:val="28"/>
          <w:rtl w:val="true"/>
          <w:lang w:bidi="ar-SA"/>
        </w:rPr>
        <w:t>وإجماعاً، وهو الأصل في نقل الأعيان، وإليه يرجع عند صدور الصيغة أو الفعل القابلين له ولغيره، مع عدم تعيين المراد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3372316_1280447820"/>
      <w:bookmarkStart w:id="273" w:name="_Toc104"/>
      <w:bookmarkEnd w:id="272"/>
      <w:r>
        <w:rPr>
          <w:rtl w:val="true"/>
        </w:rPr>
        <w:t>[</w:t>
      </w:r>
      <w:r>
        <w:rPr>
          <w:rtl w:val="true"/>
        </w:rPr>
        <w:t>المطلب</w:t>
      </w:r>
      <w:r>
        <w:rPr>
          <w:rtl w:val="true"/>
        </w:rPr>
        <w:t xml:space="preserve">] </w:t>
      </w:r>
      <w:r>
        <w:rPr>
          <w:rtl w:val="true"/>
        </w:rPr>
        <w:t xml:space="preserve">الأوّل </w:t>
      </w:r>
      <w:r>
        <w:rPr>
          <w:rtl w:val="true"/>
        </w:rPr>
        <w:t xml:space="preserve">: </w:t>
      </w:r>
      <w:r>
        <w:rPr>
          <w:rtl w:val="true"/>
        </w:rPr>
        <w:t>في الصيغة وما يتعلق بها</w:t>
      </w:r>
      <w:bookmarkEnd w:id="273"/>
    </w:p>
    <w:p>
      <w:pPr>
        <w:pStyle w:val="Heading4"/>
        <w:numPr>
          <w:ilvl w:val="3"/>
          <w:numId w:val="1"/>
        </w:numPr>
        <w:rPr/>
      </w:pPr>
      <w:bookmarkStart w:id="274" w:name="__RefHeading___Toc13372318_1280447820"/>
      <w:bookmarkStart w:id="275" w:name="_Toc105"/>
      <w:bookmarkEnd w:id="274"/>
      <w:r>
        <w:rPr>
          <w:rtl w:val="true"/>
        </w:rPr>
        <w:t>وفيه أمور</w:t>
      </w:r>
      <w:r>
        <w:rPr>
          <w:rtl w:val="true"/>
        </w:rPr>
        <w:t>:</w:t>
      </w:r>
      <w:bookmarkEnd w:id="275"/>
    </w:p>
    <w:p>
      <w:pPr>
        <w:pStyle w:val="Heading5"/>
        <w:numPr>
          <w:ilvl w:val="4"/>
          <w:numId w:val="1"/>
        </w:numPr>
        <w:rPr/>
      </w:pPr>
      <w:bookmarkStart w:id="276" w:name="__RefHeading___Toc13372320_1280447820"/>
      <w:bookmarkStart w:id="277" w:name="_Toc106"/>
      <w:bookmarkEnd w:id="276"/>
      <w:r>
        <w:rPr>
          <w:rtl w:val="true"/>
        </w:rPr>
        <w:t>أحدها</w:t>
      </w:r>
      <w:r>
        <w:rPr>
          <w:rtl w:val="true"/>
        </w:rPr>
        <w:t xml:space="preserve">: </w:t>
      </w:r>
      <w:r>
        <w:rPr>
          <w:rtl w:val="true"/>
        </w:rPr>
        <w:t>الأصل في كلّ صيغة من صيغ العقود أخذها من مبدئها المسمّى به</w:t>
      </w:r>
      <w:bookmarkEnd w:id="27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صيغةٍ من صيغ العقود أن تأخذ من مبدئها المسمّى به لصراحتها في الدلالة عليه؛ لأن المقصود من شرع العقود قطع النزاع وحسم مادة الاختلاف ولا يحصلان إلا بما هو صريح الدلالة، ولو خرج من ذلك شيء لكان لدليل آخر، أو لبلوغه في الصراحة لتلك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الاشتقاق تساوي المشتق والمشتق منه في المعنى، بل يكفي دوران أحد المعاني من المشتق منه في المشتق، كما يكفي في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النقل، مع أن البيع مشترك بين معان متعدّدة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يكتفى في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العقود؛ للإجماع والصراحة</w:t>
      </w:r>
      <w:r>
        <w:rPr>
          <w:rFonts w:eastAsia="Amiri" w:cs="Amiri" w:ascii="Amiri" w:hAnsi="Amiri"/>
          <w:color w:val="111111"/>
          <w:sz w:val="28"/>
          <w:szCs w:val="28"/>
          <w:rtl w:val="true"/>
          <w:lang w:bidi="ar-SA"/>
        </w:rPr>
        <w:t xml:space="preserve">. </w:t>
      </w:r>
      <w:bookmarkStart w:id="278" w:name="pg19000_245324"/>
    </w:p>
    <w:p>
      <w:pPr>
        <w:pStyle w:val="Heading5"/>
        <w:numPr>
          <w:ilvl w:val="4"/>
          <w:numId w:val="1"/>
        </w:numPr>
        <w:rPr/>
      </w:pPr>
      <w:bookmarkStart w:id="279" w:name="__RefHeading___Toc13372322_1280447820"/>
      <w:bookmarkStart w:id="280" w:name="_Toc107"/>
      <w:bookmarkEnd w:id="278"/>
      <w:bookmarkEnd w:id="279"/>
      <w:r>
        <w:rPr>
          <w:rtl w:val="true"/>
        </w:rPr>
        <w:t>ثانيها</w:t>
      </w:r>
      <w:r>
        <w:rPr>
          <w:rtl w:val="true"/>
        </w:rPr>
        <w:t xml:space="preserve">: </w:t>
      </w:r>
      <w:r>
        <w:rPr>
          <w:rtl w:val="true"/>
        </w:rPr>
        <w:t xml:space="preserve">هل لفظ </w:t>
      </w:r>
      <w:r>
        <w:rPr>
          <w:rtl w:val="true"/>
        </w:rPr>
        <w:t>«</w:t>
      </w:r>
      <w:r>
        <w:rPr>
          <w:rtl w:val="true"/>
        </w:rPr>
        <w:t>البيع</w:t>
      </w:r>
      <w:r>
        <w:rPr>
          <w:rtl w:val="true"/>
        </w:rPr>
        <w:t xml:space="preserve">» </w:t>
      </w:r>
      <w:r>
        <w:rPr>
          <w:rtl w:val="true"/>
        </w:rPr>
        <w:t>يقال على نقل الأعيان فقط أم لا ؟</w:t>
      </w:r>
      <w:bookmarkEnd w:id="28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نقل الأعيان فقط أو نقلها وانتقالها معاً، وقد يقال على الإيجاب فقط، وهذا هو الشائع في اللغة والعرف العام، وقد يقال على مجموع العقد الدال عليه المركب من الإيجاب والقبول وهو الشائع في ألسنة الفقهاء بل في لسان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حقيقة عرفية، بل لغوية في الجميع على وجه الاشتراك، ولم يثبت له حقيقة شرعيّة جديدة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في اللغة والعرف بالنقل الخاص المأخوذ من اللفظ الخاص، أو الإيجاب الخاص أو ما يقوم مقامه من إشارة أو أخذ وإعطاء أو لا يختص بل يكون ما زاد على نقل الأعيان من الشرائط والأحكام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بالصحيح من النقل، أو بما هو أعم منه ومن الفاسد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البيع على الانتقال مطلقاً، أو مقيداً بلفظ خاص وعلى ما دلّ عليه مجاز لا ينصرف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 يناسبه تعديته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والأنسب صدق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وقد 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إلا أنّه أقل 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3372324_1280447820"/>
      <w:bookmarkStart w:id="282" w:name="_Toc108"/>
      <w:bookmarkEnd w:id="281"/>
      <w:r>
        <w:rPr>
          <w:rtl w:val="true"/>
        </w:rPr>
        <w:t>ثالثها</w:t>
      </w:r>
      <w:r>
        <w:rPr>
          <w:rtl w:val="true"/>
        </w:rPr>
        <w:t xml:space="preserve">: </w:t>
      </w:r>
      <w:r>
        <w:rPr>
          <w:rtl w:val="true"/>
        </w:rPr>
        <w:t>في أن اختلاف الفقهاء في الحدود ليس للاختلاف في المحدود</w:t>
      </w:r>
      <w:bookmarkEnd w:id="282"/>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الفقهاء في الحدود ليس للاختلاف في المحدود، كما قد يتخيل في بادئ النظر، بل الغالب في الاختلاف إنما يكون في التأدية عن المعنى الواحد بحسب الكثرة والقلة في الأوصاف والأحكام؛ لأنّ غرضهم بيان المعنى برسمه والإشارة إليه بحيث يعرف عن غيره، فمنهم مَنْ يقتصر على ما يكتفي به الفقيه، ومنهم من يطيل؛ لزيادة التنبيه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وأجود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نقل بلفظ خاص أو ما يقوم مقامه من معاطاة أو إشارة مع عدم التمكن،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لمنفعة ولا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متميزة في الخارج، أو دين في الذمة، أو كلّيّ، مملوكة فعلاً أو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تقديراً بعد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باع ثم ملك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العاقد أو وكيله، أو فضوليه، معلومة بالمشاهدة أو التقدير، مقدور على تسليمها، بعوض عين أو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بالمشاهدة أو التقدير، من شخص إلى غيره، تحقيقاً أو تقديراً على وجه التراضي أو الجبر القائم مقامه من الحاكم ونحوه</w:t>
      </w:r>
      <w:r>
        <w:rPr>
          <w:rFonts w:eastAsia="Amiri" w:cs="Amiri" w:ascii="Amiri" w:hAnsi="Amiri"/>
          <w:color w:val="111111"/>
          <w:sz w:val="28"/>
          <w:szCs w:val="28"/>
          <w:rtl w:val="true"/>
          <w:lang w:bidi="ar-SA"/>
        </w:rPr>
        <w:t xml:space="preserve">. </w:t>
      </w:r>
      <w:bookmarkStart w:id="283" w:name="pg19000_245325"/>
    </w:p>
    <w:p>
      <w:pPr>
        <w:pStyle w:val="BookText"/>
        <w:rPr/>
      </w:pPr>
      <w:bookmarkEnd w:id="283"/>
      <w:r>
        <w:rPr>
          <w:rFonts w:ascii="Amiri" w:hAnsi="Amiri" w:eastAsia="Amiri" w:cs="Amiri"/>
          <w:color w:val="111111"/>
          <w:sz w:val="28"/>
          <w:sz w:val="28"/>
          <w:szCs w:val="28"/>
          <w:rtl w:val="true"/>
          <w:lang w:bidi="ar-SA"/>
        </w:rPr>
        <w:t>فلا يصح بيع المنفعة ولا الحق؛ لعدم صدق البيع وللأصل والإجماع، مع الشك في شمول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جعل المنفعة ثمناً؛ لعموم الأدلّة، دون الحقّ على الأظهر، ولا بيع ما لا يملك، أو ما لا يملك إلا مع إجازة المالك أو المالك الحقيقي، ولا بيع ما خلا عن العوض أو ما كان عوضه غير قابل للملك، ولا بيع المجهول، ولا الممتنع تسليمه أو تسلّمه، ولا بيع الإكراه بدون إذن المالك الحقيقي، إلى غير ذلك مما يخرج البيع عن اسمه أو يخرج عن حكمه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3372326_1280447820"/>
      <w:bookmarkStart w:id="285" w:name="_Toc109"/>
      <w:bookmarkEnd w:id="284"/>
      <w:r>
        <w:rPr>
          <w:rtl w:val="true"/>
        </w:rPr>
        <w:t>رابعها</w:t>
      </w:r>
      <w:r>
        <w:rPr>
          <w:rtl w:val="true"/>
        </w:rPr>
        <w:t xml:space="preserve">: </w:t>
      </w:r>
      <w:r>
        <w:rPr>
          <w:rtl w:val="true"/>
        </w:rPr>
        <w:t>في أنّه قد يكون للبيع صيغة خاصة ولا يكفي كلّ صيغة</w:t>
      </w:r>
      <w:bookmarkEnd w:id="285"/>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البيع بالصيغة الخاصة، ولا يكفي كلّ صيغة، كما ذهب إليه بعض الأعلام </w:t>
      </w:r>
      <w:r>
        <w:rPr>
          <w:rStyle w:val="FootnoteAnchor"/>
          <w:rtl w:val="true"/>
        </w:rPr>
        <w:footnoteReference w:id="666"/>
      </w:r>
      <w:r>
        <w:rPr>
          <w:rFonts w:ascii="Amiri" w:hAnsi="Amiri" w:eastAsia="Amiri" w:cs="Amiri"/>
          <w:color w:val="111111"/>
          <w:sz w:val="28"/>
          <w:sz w:val="28"/>
          <w:szCs w:val="28"/>
          <w:rtl w:val="true"/>
          <w:lang w:bidi="ar-SA"/>
        </w:rPr>
        <w:t>لخلوّ الأخبار عن بيانها وعدم التعرّض لها، وهو مردود بأن الاكتفاء عن ذكرها إنّما هو لشيوع المعاطاة وقيامها مقامها، لا للاكتفاء بكلّ لفظ دلّ على ذلك بحيث يكون الناقل نفس اللفظ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فيها الصراحة بدلالتها عليه وضعاً مطابقة، أو على الأعم منه، أو الأخصّ على أن يكون مجازاً مشهوراً متعارفاً، أو مشتركاً لفظياً أو معنوياً تخصصهما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يجزئ غير الصريح وإن دخل في الاشتراك المعنوي،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المجاز الغير مشهور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الكناية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يصح في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لصراحتها، وللإجماع،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الاكتفاء بما كان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والمنع في ذلك كله؛ للشكّ في شمول دليل العقود والبيوع لغير الصيغ المتعارفة، بل الظن بعدم شمولها، لفتوى الأصحاب، وظواهر الإجماعات المنقولة </w:t>
      </w:r>
      <w:r>
        <w:rPr>
          <w:rStyle w:val="FootnoteAnchor"/>
          <w:rtl w:val="true"/>
        </w:rPr>
        <w:footnoteReference w:id="667"/>
      </w:r>
      <w:r>
        <w:rPr>
          <w:rFonts w:ascii="Amiri" w:hAnsi="Amiri" w:eastAsia="Amiri" w:cs="Amiri"/>
          <w:color w:val="111111"/>
          <w:sz w:val="28"/>
          <w:sz w:val="28"/>
          <w:szCs w:val="28"/>
          <w:rtl w:val="true"/>
          <w:lang w:bidi="ar-SA"/>
        </w:rPr>
        <w:t>في الباب على عدم إجزاء كلّ لفظ، وإبقاء الأدلّة على عمومها يلزم منه كون الخارج أكثر من الداخل، وحينئذٍ فيدخل في العام شوب الإجمال، ويسقط به الاستدلال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فعليّة الصيغة وماضويتها وعربيتها مع إمكان مباشرة العربية بنفسه، وموافقتها للقواعد النحوية والصرفية مع إمكان مباشرة ذلك بنفسه، وترتيبها، سواء وقع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بغيرها، وإن كان المنع في الأوّل أظهر</w:t>
      </w:r>
      <w:r>
        <w:rPr>
          <w:rFonts w:eastAsia="Amiri" w:cs="Amiri" w:ascii="Amiri" w:hAnsi="Amiri"/>
          <w:color w:val="111111"/>
          <w:sz w:val="28"/>
          <w:szCs w:val="28"/>
          <w:rtl w:val="true"/>
          <w:lang w:bidi="ar-SA"/>
        </w:rPr>
        <w:t xml:space="preserve">. </w:t>
      </w:r>
      <w:bookmarkStart w:id="286" w:name="pg19000_245326"/>
    </w:p>
    <w:p>
      <w:pPr>
        <w:pStyle w:val="BookText"/>
        <w:rPr/>
      </w:pPr>
      <w:bookmarkEnd w:id="286"/>
      <w:r>
        <w:rPr>
          <w:rFonts w:ascii="Amiri" w:hAnsi="Amiri" w:eastAsia="Amiri" w:cs="Amiri"/>
          <w:color w:val="111111"/>
          <w:sz w:val="28"/>
          <w:sz w:val="28"/>
          <w:szCs w:val="28"/>
          <w:rtl w:val="true"/>
          <w:lang w:bidi="ar-SA"/>
        </w:rPr>
        <w:t>ويشترط المطابقة بين الإيجاب والقبول ثمناً ومثمناً، وعدم الفصل الطويل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اقتصاراً على مورد اليقين في السببية من العقود المتعارفة في العرف العام والدائرة على ألسنة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سقوط جملةٍ من هذه الشرائط مع عدم الإمكان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مراعاة عدم التمكن من التوكيل أيضاً، وعدم التمكن من عقد آخر أيضاً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تنجيزها، فلا يصح في العقد التعليق؛ لظهور العقد في المنجز، والشكّ في سببية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التعيين فيها، فلا يصح الترديد فيها بين صيغتين أو بين ثمنين أو مبيعين؛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ذكر المعقود عليه لفظاً، أو يكفي الإشارة إليه أو إضماره ؟ وجهان، أحوطهما عدم كفاية الإضمار</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3372328_1280447820"/>
      <w:bookmarkStart w:id="288" w:name="_Toc110"/>
      <w:bookmarkEnd w:id="287"/>
      <w:r>
        <w:rPr>
          <w:rtl w:val="true"/>
        </w:rPr>
        <w:t>خامسها</w:t>
      </w:r>
      <w:r>
        <w:rPr>
          <w:rtl w:val="true"/>
        </w:rPr>
        <w:t xml:space="preserve">: </w:t>
      </w:r>
      <w:r>
        <w:rPr>
          <w:rtl w:val="true"/>
        </w:rPr>
        <w:t>في أنّه قد يقع البيع بالفعل لا بالقول</w:t>
      </w:r>
      <w:bookmarkEnd w:id="288"/>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البيع بالفعل دون القول، وهو مختص بمعاطاة العوضين أو أحدهما مع قصد النقل بها مطلقاً فينصرف للبيع؛ لأنّه الظاهر من الإطلاق اللفظي أو الفعلي، أو مع قصد البيع بالخصوص مصاحبة لقرينة دالة على ذلك من الألفاظ العامة أو الخاصة الغير مستجمعة للشرائط، أو غير مصاحبة، ولا بدّ مع مصاحبة ما لا يستجمع الشرائط معها من عدم قصد النقل به منفرداً عنها أو منضماً، وإلا فسد البيع قطعاً في الأوَّل، وعلى الأظهر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غير المعاطاة في النقل من الأفعال كالإشارة والكتابة والملامسة والمنابذة؛ للإجماع والأصل مع الشكّ في الاندراج في العموم؛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المعتبرة المستفيضة المعمول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تفاوت بين وقوعها بنفسها أو بمصاحبة اللفظ غير صالح للنقل، أو صالح غير مقصود به ذلك، ولو كان كلّ منهما مقصوداً بالنقل به فإشكال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يصح النقل بغير المعاطاة مع العجز عن مباشرة الصيغة والمعاطاة، أو لا يصح؟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مع العجز عن المباشرة وعن التوكيل أيضاً، وعن مباشرة صيغةٍ أُخرى من </w:t>
      </w:r>
      <w:bookmarkStart w:id="289" w:name="pg19000_245327"/>
    </w:p>
    <w:p>
      <w:pPr>
        <w:pStyle w:val="BookText"/>
        <w:rPr/>
      </w:pPr>
      <w:bookmarkEnd w:id="289"/>
      <w:r>
        <w:rPr>
          <w:rFonts w:ascii="Amiri" w:hAnsi="Amiri" w:eastAsia="Amiri" w:cs="Amiri"/>
          <w:color w:val="111111"/>
          <w:sz w:val="28"/>
          <w:sz w:val="28"/>
          <w:szCs w:val="28"/>
          <w:rtl w:val="true"/>
          <w:lang w:bidi="ar-SA"/>
        </w:rPr>
        <w:t>النواقل؛ لمكان الضرورة، وتنزيل مراتب العقود منزلة العبادات، مع احتمال عدم مشروعية الضرورة لذلك إلا في الأخرس وشبهه؛ لقيام الدليل</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3372330_1280447820"/>
      <w:bookmarkStart w:id="291" w:name="_Toc111"/>
      <w:bookmarkEnd w:id="290"/>
      <w:r>
        <w:rPr>
          <w:rtl w:val="true"/>
        </w:rPr>
        <w:t>سادسها</w:t>
      </w:r>
      <w:r>
        <w:rPr>
          <w:rtl w:val="true"/>
        </w:rPr>
        <w:t xml:space="preserve">: </w:t>
      </w:r>
      <w:r>
        <w:rPr>
          <w:rtl w:val="true"/>
        </w:rPr>
        <w:t>في أنّ إفادة المعاطاة للنقل وأنها بيع هو الأظهر من الدليل</w:t>
      </w:r>
      <w:bookmarkEnd w:id="291"/>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إفادة المعاطاة النقل وأنّها بيع هو الأظهر من الدليل؛ لصدق البيع عليها لغةً وعرفاً، وصدق التجارة عن تراض عليها أيضاً، وأظهر أفراد التجارة في الأعيان هو البيع، بل ربما يقال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لها، بناءً على شمول العقد للقول والفعل المقصود به الربط والظاهر من العقد الناقل للأعيان هو البيع وللسيرة القطعية القاضية بجريان حكم النقل للأعيان عليها من دون نكير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وأصحابهم من مواريث ووصايا وأخماس وزكوات ونفقات وأوقاف وعتق، ولأنّ المعلوم بديهةً قصد الملك بها حين صدورها، فلو لم يحصل كان أكل المال بها أكل مال بالباطل، بل المعلوم بديهةً إجراء حكم البيع عليها وصدق أنّه باع واشترى عند المعاملة بها، فظهر حينئذٍ أنّها عقد تفيد التمليك، وأنها بيع لا عقد مستقل، ويدل على ذلك حصر الفقهاء للنواقل في أنواع محصورة ولم يذكروا المعاطاة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من أقسام البيع الجائز بالأصل؛ للأصل والإجماع بقسميه </w:t>
      </w:r>
      <w:r>
        <w:rPr>
          <w:rStyle w:val="FootnoteAnchor"/>
          <w:rtl w:val="true"/>
        </w:rPr>
        <w:footnoteReference w:id="670"/>
      </w:r>
      <w:r>
        <w:rPr>
          <w:rFonts w:ascii="Amiri" w:hAnsi="Amiri" w:eastAsia="Amiri" w:cs="Amiri"/>
          <w:color w:val="111111"/>
          <w:sz w:val="28"/>
          <w:sz w:val="28"/>
          <w:szCs w:val="28"/>
          <w:rtl w:val="true"/>
          <w:lang w:bidi="ar-SA"/>
        </w:rPr>
        <w:t xml:space="preserve">، ولأن المعهود من السيرة والطريقة إجراء حكم الجواز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أريد اللزوم عدلوا عنها إلى الصيغ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الوفاء بالعقد على ما هو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فالقول بلزومها </w:t>
      </w:r>
      <w:r>
        <w:rPr>
          <w:rStyle w:val="FootnoteAnchor"/>
          <w:rtl w:val="true"/>
        </w:rPr>
        <w:footnoteReference w:id="671"/>
      </w:r>
      <w:r>
        <w:rPr>
          <w:rFonts w:ascii="Amiri" w:hAnsi="Amiri" w:eastAsia="Amiri" w:cs="Amiri"/>
          <w:color w:val="111111"/>
          <w:sz w:val="28"/>
          <w:sz w:val="28"/>
          <w:szCs w:val="28"/>
          <w:rtl w:val="true"/>
          <w:lang w:bidi="ar-SA"/>
        </w:rPr>
        <w:t xml:space="preserve">استناداً إلى أصالة اللزوم في البيع ضعيف، كما أن القول بفسادها وعدم ترتب أثر عليها </w:t>
      </w:r>
      <w:r>
        <w:rPr>
          <w:rStyle w:val="FootnoteAnchor"/>
          <w:rtl w:val="true"/>
        </w:rPr>
        <w:footnoteReference w:id="672"/>
      </w:r>
      <w:r>
        <w:rPr>
          <w:rFonts w:ascii="Amiri" w:hAnsi="Amiri" w:eastAsia="Amiri" w:cs="Amiri"/>
          <w:color w:val="111111"/>
          <w:sz w:val="28"/>
          <w:sz w:val="28"/>
          <w:szCs w:val="28"/>
          <w:rtl w:val="true"/>
          <w:lang w:bidi="ar-SA"/>
        </w:rPr>
        <w:t>لا يُعوّل عليه، بل هو مخالف للإجماع بقسميه على الظاهر، ومخالف للسيرة القطعية من لدن سيّد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قرنت المعاطاة بغير الصيغة الخاصة، وقصد النقل بتلك الصيغة لا بها، كان العقد فاسداً؛ للأصل وعدم دليل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لمن أجاز كلّ صيغة دالّة على المطلوب</w:t>
      </w:r>
      <w:r>
        <w:rPr>
          <w:rStyle w:val="FootnoteAnchor"/>
          <w:rtl w:val="true"/>
        </w:rPr>
        <w:footnoteReference w:id="673"/>
      </w:r>
      <w:r>
        <w:rPr>
          <w:rFonts w:ascii="Amiri" w:hAnsi="Amiri" w:eastAsia="Amiri" w:cs="Amiri"/>
          <w:color w:val="111111"/>
          <w:sz w:val="28"/>
          <w:sz w:val="28"/>
          <w:szCs w:val="28"/>
          <w:rtl w:val="true"/>
          <w:lang w:bidi="ar-SA"/>
        </w:rPr>
        <w:t>؛ لخلق الأخبار عن الصيغ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ضعيف؛ لأنّ خلق الأخبار إنّما كان للاكتفاء عن الصيغة الخاصة بالمعاطاة، والألفاظ العامة يؤتى بها معها للدلالة على ذلك لا لقصد النقل، وليس خلوّها للاكتفاء بكل لفظ دال على المراد كما يشهد به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أصحابنا </w:t>
      </w:r>
      <w:r>
        <w:rPr>
          <w:rStyle w:val="FootnoteAnchor"/>
          <w:rtl w:val="true"/>
        </w:rPr>
        <w:footnoteReference w:id="674"/>
      </w:r>
      <w:r>
        <w:rPr>
          <w:rFonts w:ascii="Amiri" w:hAnsi="Amiri" w:eastAsia="Amiri" w:cs="Amiri"/>
          <w:color w:val="111111"/>
          <w:sz w:val="28"/>
          <w:sz w:val="28"/>
          <w:szCs w:val="28"/>
          <w:rtl w:val="true"/>
          <w:lang w:bidi="ar-SA"/>
        </w:rPr>
        <w:t>إلى أن المعاطاة إنّما تفيد إباحة التصرف، لا تمليكاً للعين، ولا نقلاً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تفيد نقلاً وتمليكاً ولزوماً عند التلف أو التصرف على وجه البيع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ذلك للمشهور </w:t>
      </w:r>
      <w:r>
        <w:rPr>
          <w:rStyle w:val="FootnoteAnchor"/>
          <w:rtl w:val="true"/>
        </w:rPr>
        <w:footnoteReference w:id="675"/>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بعيد عن مذاق الفقاهة، مردود باستلزامه أموراً تنافي القواعد الفقهية والأصول الشرعيَّة، كاستلزامه عدم تبعية العقود للقصود؛ لأنّ القصد الملك مع أن الأثر الإباحة، واستلزامه كون التصرف مملكاً قهراً لكلِّ من الجانبين من دون نية، وهو بعيد، سيّما مع عدم إذن المالك فيه؛ لأنّ قصده الإباحة، واستلزامه كون التلف مملكاً مع أنّه قبله لا ملك؛ لعدم حصول سببه وبعده ملك معدوم ومعه بعيد عن موارد المملكات الشرعيَّة، ولاستلزامه الحكم بعدم الملك قبل التصرّف أو التلف المقطوع بهما؛ لاستصحاب البقاء مع الشك، مع قضاء الضرورة بجريان حكم الأملاك، ولاستلزامه كون التصرف من جانب والتلف منه ناقلا للجانب الآخر قهراً، وهو بعيد، ولاستلزامه كون واطئ الجارية عاصياً؛ لأنّه إن ملك قبل الوطء بنيّة التصرّف كان خارجاً عن قواعد النقل، وإن ملك معه أو بعده كان واطئاً لغير المملوك من غير تحليل، ولاستلزامه كون النماء عند حدوثه إما مملكاً لنفسه دون العين، أو مملكاً لهما، أو غير مملوك حتّى يتصرّف بالعين فيملكها ويملكه تبعاً، أو لا يملك أصلاً، وكلّها خلاف القواعد وخلاف البديهة من إجراء حكم الأملاك ابتداء، وملكه بالتصرف فيه على نحو العين بعيد؛ لخفاء شمول الإذن له، ولاستلزامه أنّ العين لو تلفت أو تصرف بها </w:t>
      </w:r>
    </w:p>
    <w:p>
      <w:pPr>
        <w:pStyle w:val="BookText"/>
        <w:rPr/>
      </w:pPr>
      <w:r>
        <w:rPr>
          <w:rFonts w:ascii="Amiri" w:hAnsi="Amiri" w:eastAsia="Amiri" w:cs="Amiri"/>
          <w:color w:val="111111"/>
          <w:sz w:val="28"/>
          <w:sz w:val="28"/>
          <w:szCs w:val="28"/>
          <w:rtl w:val="true"/>
          <w:lang w:bidi="ar-SA"/>
        </w:rPr>
        <w:t>الغاصب، فإن ملك تصرّف الغاصب لأحد الجانبين أو كليهما كان عجيباً من أن تصرف الغاصب مملك له، وإن لم يملك كان بمقتضى القواعد أنّ على القابض المثل أو القيمة دون المسمّى وهو خلاف ما عليه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يُنزّل في كلامهم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الملك دون اللزوم؛ لظاهر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تفيد إباحة وتلزم بالتصرّف، ويكون على نحو قولهم بإباحة المساكن والمتاجر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أنّه على ما اخترناه من كونها بيعاً أنّها تجري عليها أحكام البيع من خيار وشفعة وصرف وسَلّم، وعدم جواز الربا، وعدم كون العوض مجهولاً، وغير ذلك، سوى ما خرج بالدليل من الجواز وعدم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إلحاق جواز الجهالة بالعوض بذلك؛ لما نُقل من أن سيرة المسلمين على ذلك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وثبوت الخيار يمكن الحكم به مع الجواز؛ إذ لا بأس باجتماع علل الجواز في موردٍ واحد؛ لأنّ العلل الشرعيَّة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الحكم به بعد التصرّف واللزوم، ولكن يكون مثبتاً للجانب الآخر، فإنّ التصرف من جانب المتصرف مسقط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يجري عليها أحكام البيع ها هنا، يجري عليها أحكام العقود الأخر إذا قامت مقامها؛ لأنّها 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بأنّها عقد مستقل كالصلح يقوم مقام العقود، كقيام الصلح مقامها، ولا يشترط فيها شرائط العقود؛ للأصل </w:t>
      </w:r>
      <w:r>
        <w:rPr>
          <w:rStyle w:val="FootnoteAnchor"/>
          <w:rtl w:val="true"/>
        </w:rPr>
        <w:footnoteReference w:id="678"/>
      </w:r>
      <w:r>
        <w:rPr>
          <w:rFonts w:ascii="Amiri" w:hAnsi="Amiri" w:eastAsia="Amiri" w:cs="Amiri"/>
          <w:color w:val="111111"/>
          <w:sz w:val="28"/>
          <w:sz w:val="28"/>
          <w:szCs w:val="28"/>
          <w:rtl w:val="true"/>
          <w:lang w:bidi="ar-SA"/>
        </w:rPr>
        <w:t>، بعيد عن مقتضى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فانصرافه لكلّ عقد إما بالنية أو بالظاهر القائم مقامها من أن الأصل في نواقل العين البيع، وفي نواقل المنافع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جريان أحكام البيع بين كون الدفع من الجانبين أو من جانب واحد؛ لقضاء السيرة بذلك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بالإباحة فلا شك أنّها قبل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بيد قابضها، </w:t>
      </w:r>
    </w:p>
    <w:p>
      <w:pPr>
        <w:pStyle w:val="BookText"/>
        <w:rPr/>
      </w:pPr>
      <w:r>
        <w:rPr>
          <w:rFonts w:ascii="Amiri" w:hAnsi="Amiri" w:eastAsia="Amiri" w:cs="Amiri"/>
          <w:color w:val="111111"/>
          <w:sz w:val="28"/>
          <w:sz w:val="28"/>
          <w:szCs w:val="28"/>
          <w:rtl w:val="true"/>
          <w:lang w:bidi="ar-SA"/>
        </w:rPr>
        <w:t>وأنها تلزم من الجانبين بعد التصرّف والتلف ولو من جانب واحد، وأنها تلزم بالمسمّى المأخوذ فيها، ولكن لم يعلم أنّها تعود بيعاً حينئذٍ، أو عقداً مستقلاً، أو حكماً شرعياً ثبت للتصرّف والتلف ؟ وجوه خالية عن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البيع فهل تجري أحكامه حينئذٍ عند التصرّف أو من ابتداء المعاطاة فيكون التصرّف كجزء السبب ؟ وجهان، وإن كان على القول بالإباحة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ترادًا قبل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كلّ مالٍ إلى صاحبه، ووجبت التخلية، ولا يلزم أحدهما الآخر بمؤونة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أحدهما فادعى الآخر اللزوم قبل ذلك بسبب خاص أو مطلق، فالقول قول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التصرف الملزم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ما ينافي الردّ على وجه التمامية قطعاً، كنقصان في عين أو صفةٍ، أو تغيير لهيئة، أو خلط أو مزج لعين بأخرى، أو غير ذلك مما يؤثر تغييراً، وما لم يؤثر تغييراً، كبعض الانتفاعات والتصرّفات، فإن كانت ناقلة بناقل شرعي لازم فكذلك على ظاهر الفتوى وإن كانت جائزة كالتصرفات الغير مؤثرة كالمقصود منها النفقة أو الحفظ أو المزيدة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عدم اللزوم بسببها؛ لاستصحاب الجواز، مع احتمال أن الأصل اللزوم عند الشكّ في بقاء الجواز، أو أنّ التصرف كله بمنزلة الرضى فيفيد اللزوم، كما في التصرف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ولكنهما لا يخلوان من نظرٍ وتأمل؛ لإطلاق الدليل بأنّ الحدث مسقط للخيار، بخلافه ها هنا؛ لبنائه على حديث الضرار </w:t>
      </w:r>
      <w:r>
        <w:rPr>
          <w:rStyle w:val="FootnoteAnchor"/>
          <w:rtl w:val="true"/>
        </w:rPr>
        <w:footnoteReference w:id="679"/>
      </w:r>
      <w:r>
        <w:rPr>
          <w:rFonts w:ascii="Amiri" w:hAnsi="Amiri" w:eastAsia="Amiri" w:cs="Amiri"/>
          <w:color w:val="111111"/>
          <w:sz w:val="28"/>
          <w:sz w:val="28"/>
          <w:szCs w:val="28"/>
          <w:rtl w:val="true"/>
          <w:lang w:bidi="ar-SA"/>
        </w:rPr>
        <w:t>، ولأن الرضى هناك مسقط للخيار، بخلافه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الرضى والإسقاط لا يفيدها لزوماً على الأظهر، ولأنّ استصحاب الجواز لا يعارضه ها هنا دليل لزوم البيع، فظهر ضعف الأوّل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التصرّف بالعين التصرّف بالنماء في حصول اللزوم به بالنسبة إلى العين نفسها وبالنسبة إليه، ويجري فيه الإشكال المتقدم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بالمنافع والنماء جائز على كلا القولين، إلا أنّهما إن كانا متصلين كان حكمهما حكم العين، وإن كانا منفصلين، فإن تلفا فلا ضمان على كلا القولين، سواء فسخا عقد الإباحة والتمليك أو أبقياه؛ لتسليط </w:t>
      </w:r>
      <w:bookmarkStart w:id="292" w:name="pg19000_245331"/>
    </w:p>
    <w:p>
      <w:pPr>
        <w:pStyle w:val="BookText"/>
        <w:rPr/>
      </w:pPr>
      <w:bookmarkEnd w:id="292"/>
      <w:r>
        <w:rPr>
          <w:rFonts w:ascii="Amiri" w:hAnsi="Amiri" w:eastAsia="Amiri" w:cs="Amiri"/>
          <w:color w:val="111111"/>
          <w:sz w:val="28"/>
          <w:sz w:val="28"/>
          <w:szCs w:val="28"/>
          <w:rtl w:val="true"/>
          <w:lang w:bidi="ar-SA"/>
        </w:rPr>
        <w:t>المالك غيره عليهما، وإن كانا باقيين فليس للدافع الرجوع به على القول بالملك؛ لملك القابض له، سواء فسخ العقد الصادر على العين نفسها أو أمضاه، وله الرجوع به على القول بالإباحة قبل لزومها قطعاً، وبعده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وتلف بعض العين كتلف جميعه في تأثيره في اللزوم، واحتمال اللزوم فيما قابله فقط ضعيف؛ لحصول الضرر بالرد في البعض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تلف وفسخ واختلفا في السابق واللاحق، فإن عُلم تأريخ أحدهما حكم بتأخير الآخر، وإلا اتجه القول بتقديم مدعي الفسخ أوّلاً؛ لأصالة صحته، واستصحاب الجواز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تقديم قول مدعي التلف والتصرف؛ لأصالة صحته وحلّيته وأصالة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وتصرّف أحد المتعاقدين فيما انتقل منه لا يؤثر على القول بالإباحة أثراً، وعلى القول بالملك فهل هو فسخ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أحدهما على الآخر عدم اللزوم بالتصرّف كان منافياً لمقتضى العقد على القول بالملك، فيتجه الفساد، وعلى القول بالإباحة ففي بقاء الإباحة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شرط أحدهما على الآخر عدم التصرّف بوقت خاص أو حال خاص، فعلى القول بالملك يبطل الشرط، وعلى القول بالإباحة ففي بقائها بالنسبة إلى غيره واللزوم به وجهان</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3372332_1280447820"/>
      <w:bookmarkStart w:id="294" w:name="_Toc112"/>
      <w:bookmarkEnd w:id="293"/>
      <w:r>
        <w:rPr>
          <w:rtl w:val="true"/>
        </w:rPr>
        <w:t>سابعها</w:t>
      </w:r>
      <w:r>
        <w:rPr>
          <w:rtl w:val="true"/>
        </w:rPr>
        <w:t xml:space="preserve">: </w:t>
      </w:r>
      <w:r>
        <w:rPr>
          <w:rtl w:val="true"/>
        </w:rPr>
        <w:t>فساد العقد فيما لو حصل النقل بغير الصيغة الخاصة أو المعاطاة أو غيرهما مع عدم إمكانهما</w:t>
      </w:r>
      <w:bookmarkEnd w:id="294"/>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النقل بغير الصيغة الخاصة أو المعاطاة أو غيرهما مع عدم إمكانهما، كان العقد فاسداً لا يترتب عليه آثار العقد الصحيح، وكان المقبوض مضموناً على قابضه؛ للإجماع نقلاً </w:t>
      </w:r>
      <w:r>
        <w:rPr>
          <w:rStyle w:val="FootnoteAnchor"/>
          <w:rtl w:val="true"/>
        </w:rPr>
        <w:footnoteReference w:id="680"/>
      </w:r>
      <w:r>
        <w:rPr>
          <w:rFonts w:ascii="Amiri" w:hAnsi="Amiri" w:eastAsia="Amiri" w:cs="Amiri"/>
          <w:color w:val="111111"/>
          <w:sz w:val="28"/>
          <w:sz w:val="28"/>
          <w:szCs w:val="28"/>
          <w:rtl w:val="true"/>
          <w:lang w:bidi="ar-SA"/>
        </w:rPr>
        <w:t>بل تحصيلاً، وللمشهور نقلاً</w:t>
      </w:r>
      <w:r>
        <w:rPr>
          <w:rStyle w:val="FootnoteAnchor"/>
          <w:rtl w:val="true"/>
        </w:rPr>
        <w:footnoteReference w:id="681"/>
      </w:r>
      <w:r>
        <w:rPr>
          <w:rFonts w:ascii="Amiri" w:hAnsi="Amiri" w:eastAsia="Amiri" w:cs="Amiri"/>
          <w:color w:val="111111"/>
          <w:sz w:val="28"/>
          <w:sz w:val="28"/>
          <w:szCs w:val="28"/>
          <w:rtl w:val="true"/>
          <w:lang w:bidi="ar-SA"/>
        </w:rPr>
        <w:t xml:space="preserve">وتحصيلاً، وللخبر المستفيض المنجبر بالفتوى والعمل،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دلالته على الوجوب أو على العموم في الآخذ والمأخوذ، أو على العموم للعين والمثل والقيمة، أو على العموم للمأخوذ بنفس اليد وغيره، أو على العموم للمأخوذ </w:t>
      </w:r>
    </w:p>
    <w:p>
      <w:pPr>
        <w:pStyle w:val="BookText"/>
        <w:rPr/>
      </w:pPr>
      <w:r>
        <w:rPr>
          <w:rFonts w:ascii="Amiri" w:hAnsi="Amiri" w:eastAsia="Amiri" w:cs="Amiri"/>
          <w:color w:val="111111"/>
          <w:sz w:val="28"/>
          <w:sz w:val="28"/>
          <w:szCs w:val="28"/>
          <w:rtl w:val="true"/>
          <w:lang w:bidi="ar-SA"/>
        </w:rPr>
        <w:t xml:space="preserve">بالقهر وغيره، ضعيف بعد فهم الأصحاب والإجماع المنقول في الباب، وللقاعدة المشهورة فتوى والمعمول عليها والمنقول عليها الإجماع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يُضمن بصحيحه يُضمن بفاسده، وظاهرها الضمان بالقيمة، لا بما أقدم عليه من المسمّى كما قد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عبارةً عن العقد أفادت العموم بالنسبة إليه، وكانت بالنسبة لأفراد المضمون قضيّةً مهملة، وإن جعلت عبارةً عن المعقود عليه أفادت العموم بالنسبة إليه، وكانت بالنسبة للأفراد الغير المعقود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كالنماء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مهملة، وإن جعلت عبارةً عمّا يتعلق به العقد أصالة أو تبعاً أفادت العموم للجميع، وكانت دليلاً على ضمانه، إلا أن في دلالتها على ذلك نظراً وتأملاً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فالمقبوض من العوضين ونمائهما المتصل والمنفصل ومنافعهما المستوفاة وغيرها كلّها مضمونة على القابض سواء أتلفها بنفسه أو لا، وإن كان تضمينه النماء الذي لم يدخل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لحصوله بعد ذهاب العين منه بيد غاصب آخر أو بلا وضع 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الضمان بين كون العقد بين عالمين أو جاهلين أو مختلفين مع قصد المعاوضة وعدم تسليط أحدهما الآخر مجاناً، فيجب ردّ العين ولو مع الأجرة مع الغرور، وتجب التخلية مع عدمه مع توابعها الجوهرية والعرضيّة ما لم تكن من ماله وكان مغروراً</w:t>
      </w:r>
      <w:r>
        <w:rPr>
          <w:rStyle w:val="FootnoteAnchor"/>
          <w:rtl w:val="true"/>
        </w:rPr>
        <w:footnoteReference w:id="684"/>
      </w:r>
      <w:r>
        <w:rPr>
          <w:rFonts w:ascii="Amiri" w:hAnsi="Amiri" w:eastAsia="Amiri" w:cs="Amiri"/>
          <w:color w:val="111111"/>
          <w:sz w:val="28"/>
          <w:sz w:val="28"/>
          <w:szCs w:val="28"/>
          <w:rtl w:val="true"/>
          <w:lang w:bidi="ar-SA"/>
        </w:rPr>
        <w:t>، فإنّه يضرب بنسبتها إن بقيت، ويدفع مثلها أو قيمتها إن تلفت بعد الرد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مع تلف العين من القابض ردّ المثل عرفاً إن كانت تُسمّى مثليّة عرفاً، إما لتساوي أجزائها في الحقيقة النوعية، كما في قول </w:t>
      </w:r>
      <w:r>
        <w:rPr>
          <w:rStyle w:val="FootnoteAnchor"/>
          <w:rtl w:val="true"/>
        </w:rPr>
        <w:footnoteReference w:id="685"/>
      </w:r>
      <w:r>
        <w:rPr>
          <w:rFonts w:ascii="Amiri" w:hAnsi="Amiri" w:eastAsia="Amiri" w:cs="Amiri"/>
          <w:color w:val="111111"/>
          <w:sz w:val="28"/>
          <w:sz w:val="28"/>
          <w:szCs w:val="28"/>
          <w:rtl w:val="true"/>
          <w:lang w:bidi="ar-SA"/>
        </w:rPr>
        <w:t xml:space="preserve">، أو لتساوي قيمة أجزائها، كما في قول آخر </w:t>
      </w:r>
      <w:r>
        <w:rPr>
          <w:rStyle w:val="FootnoteAnchor"/>
          <w:rtl w:val="true"/>
        </w:rPr>
        <w:footnoteReference w:id="686"/>
      </w:r>
      <w:r>
        <w:rPr>
          <w:rFonts w:ascii="Amiri" w:hAnsi="Amiri" w:eastAsia="Amiri" w:cs="Amiri"/>
          <w:color w:val="111111"/>
          <w:sz w:val="28"/>
          <w:sz w:val="28"/>
          <w:szCs w:val="28"/>
          <w:rtl w:val="true"/>
          <w:lang w:bidi="ar-SA"/>
        </w:rPr>
        <w:t xml:space="preserve">، أو لتساوي أجزائها وجزئياتها، كما في وجه ثالث </w:t>
      </w:r>
      <w:r>
        <w:rPr>
          <w:rStyle w:val="FootnoteAnchor"/>
          <w:rtl w:val="true"/>
        </w:rPr>
        <w:footnoteReference w:id="687"/>
      </w:r>
      <w:r>
        <w:rPr>
          <w:rFonts w:ascii="Amiri" w:hAnsi="Amiri" w:eastAsia="Amiri" w:cs="Amiri"/>
          <w:color w:val="111111"/>
          <w:sz w:val="28"/>
          <w:sz w:val="28"/>
          <w:szCs w:val="28"/>
          <w:rtl w:val="true"/>
          <w:lang w:bidi="ar-SA"/>
        </w:rPr>
        <w:t xml:space="preserve">، أو لتساوي أجزائها ومنفعتها وتقارب </w:t>
      </w:r>
    </w:p>
    <w:p>
      <w:pPr>
        <w:pStyle w:val="BookText"/>
        <w:rPr/>
      </w:pPr>
      <w:r>
        <w:rPr>
          <w:rFonts w:ascii="Amiri" w:hAnsi="Amiri" w:eastAsia="Amiri" w:cs="Amiri"/>
          <w:color w:val="111111"/>
          <w:sz w:val="28"/>
          <w:sz w:val="28"/>
          <w:szCs w:val="28"/>
          <w:rtl w:val="true"/>
          <w:lang w:bidi="ar-SA"/>
        </w:rPr>
        <w:t xml:space="preserve">صفاتها، كما في قول رابع </w:t>
      </w:r>
      <w:r>
        <w:rPr>
          <w:rStyle w:val="FootnoteAnchor"/>
          <w:rtl w:val="true"/>
        </w:rPr>
        <w:footnoteReference w:id="688"/>
      </w:r>
      <w:r>
        <w:rPr>
          <w:rFonts w:ascii="Amiri" w:hAnsi="Amiri" w:eastAsia="Amiri" w:cs="Amiri"/>
          <w:color w:val="111111"/>
          <w:sz w:val="28"/>
          <w:sz w:val="28"/>
          <w:szCs w:val="28"/>
          <w:rtl w:val="true"/>
          <w:lang w:bidi="ar-SA"/>
        </w:rPr>
        <w:t xml:space="preserve">، أو لكونها ممّا يُقدّر بالكيل والوزن، كما في قول خامس </w:t>
      </w:r>
      <w:r>
        <w:rPr>
          <w:rStyle w:val="FootnoteAnchor"/>
          <w:rtl w:val="true"/>
        </w:rPr>
        <w:footnoteReference w:id="689"/>
      </w:r>
      <w:r>
        <w:rPr>
          <w:rFonts w:ascii="Amiri" w:hAnsi="Amiri" w:eastAsia="Amiri" w:cs="Amiri"/>
          <w:color w:val="111111"/>
          <w:sz w:val="28"/>
          <w:sz w:val="28"/>
          <w:szCs w:val="28"/>
          <w:rtl w:val="true"/>
          <w:lang w:bidi="ar-SA"/>
        </w:rPr>
        <w:t>، أو لكونها إذا جمعت بعد التفريق أو فُرقت بعد الجمع عادت الأُولى، كما في وجه سادس</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بوجوب رد المثل فيما له مثل عرفاً وإن سُمّي قيميّاً في لسان الفقهاء، ومع تعذر المثل وجبت قيمته وقت القبض، أو التلف أو الإعواز، أو الأداء، وهو الأقرب هنا للقواعد، أو التخيير بين الكلّ، أو أعلى القيم بين كلّ واحدٍ وآخر، أو بين الأوّل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ردّ القيمة إن كانت قيمية، وهي ما قابلت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القيمة وقت القبض أو التلف، وهو الأوفق بالقواعد؛ لأنّه وقت تعلّق الخطاب بالأداء، أو وقت الأداء، أو وقت المطالبة، أو التخيير بين الكل أو بين كلّ واحدٍ وآخر، أو أعلى القيم كذلك ؟</w:t>
      </w:r>
    </w:p>
    <w:p>
      <w:pPr>
        <w:pStyle w:val="BookText"/>
        <w:rPr/>
      </w:pPr>
      <w:r>
        <w:rPr>
          <w:rFonts w:ascii="Amiri" w:hAnsi="Amiri" w:eastAsia="Amiri" w:cs="Amiri"/>
          <w:color w:val="111111"/>
          <w:sz w:val="28"/>
          <w:sz w:val="28"/>
          <w:szCs w:val="28"/>
          <w:rtl w:val="true"/>
          <w:lang w:bidi="ar-SA"/>
        </w:rPr>
        <w:t>والمراد بالقيمة القيمة السوقية، ولو اختلفت أخذ بالأغلب، ولو تساوت أُخذ بالأقلّ، مع احتمال الأخذ بالأكثر، أو القرعة، أو الصلح القهري، أو الانتزاع من القيم لرفع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الصفة مع تلفها منفردة إن كانت لها قيمة منفردة، وإلا قومت مع العين، وقومت العين منفردةً وأُخذ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العينان يقومان منفردين إن لم يكن للاجتماع مدخليّة، وإلا قوما مجتمعين إن ذهبا معاً، وإن ذهبت واحدة قوما مجتمعين ومنفردين وأخذ التفاوت على تفصيل سيأتي إن شاء اللّه تعالى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يرجع القابض على الدافع مع عدم الغرور بغرامة أو نفقة أو شبههما، ويرجع مع الغرور؛ لقاعدة المغرور، ويرجع على مَنْ غرّه وجهله، وعلم الدافع ليس غروراً له، كما هو ظاهر الفتوى</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9000_245335"/>
      <w:bookmarkStart w:id="296" w:name="pg19000_245335"/>
      <w:bookmarkEnd w:id="296"/>
    </w:p>
    <w:p>
      <w:pPr>
        <w:pStyle w:val="Heading3"/>
        <w:numPr>
          <w:ilvl w:val="2"/>
          <w:numId w:val="1"/>
        </w:numPr>
        <w:rPr/>
      </w:pPr>
      <w:bookmarkStart w:id="297" w:name="pg19000_245335"/>
      <w:bookmarkStart w:id="298" w:name="__RefHeading___Toc13372334_1280447820"/>
      <w:bookmarkStart w:id="299" w:name="_Toc113"/>
      <w:bookmarkEnd w:id="297"/>
      <w:bookmarkEnd w:id="298"/>
      <w:r>
        <w:rPr>
          <w:rtl w:val="true"/>
        </w:rPr>
        <w:t xml:space="preserve">المطلب الثاني </w:t>
      </w:r>
      <w:r>
        <w:rPr>
          <w:rtl w:val="true"/>
        </w:rPr>
        <w:t xml:space="preserve">: </w:t>
      </w:r>
      <w:r>
        <w:rPr>
          <w:rtl w:val="true"/>
        </w:rPr>
        <w:t>في المتعاقدين</w:t>
      </w:r>
      <w:bookmarkEnd w:id="299"/>
    </w:p>
    <w:p>
      <w:pPr>
        <w:pStyle w:val="Heading4"/>
        <w:numPr>
          <w:ilvl w:val="3"/>
          <w:numId w:val="1"/>
        </w:numPr>
        <w:rPr/>
      </w:pPr>
      <w:bookmarkStart w:id="300" w:name="__RefHeading___Toc13372336_1280447820"/>
      <w:bookmarkStart w:id="301" w:name="_Toc114"/>
      <w:bookmarkEnd w:id="300"/>
      <w:r>
        <w:rPr>
          <w:rtl w:val="true"/>
        </w:rPr>
        <w:t>وفيه أُمور</w:t>
      </w:r>
      <w:r>
        <w:rPr>
          <w:rtl w:val="true"/>
        </w:rPr>
        <w:t>:</w:t>
      </w:r>
      <w:bookmarkEnd w:id="301"/>
    </w:p>
    <w:p>
      <w:pPr>
        <w:pStyle w:val="Heading5"/>
        <w:numPr>
          <w:ilvl w:val="4"/>
          <w:numId w:val="1"/>
        </w:numPr>
        <w:rPr/>
      </w:pPr>
      <w:bookmarkStart w:id="302" w:name="__RefHeading___Toc13372338_1280447820"/>
      <w:bookmarkStart w:id="303" w:name="_Toc115"/>
      <w:bookmarkEnd w:id="302"/>
      <w:r>
        <w:rPr>
          <w:rtl w:val="true"/>
        </w:rPr>
        <w:t>أحدها</w:t>
      </w:r>
      <w:r>
        <w:rPr>
          <w:rtl w:val="true"/>
        </w:rPr>
        <w:t xml:space="preserve">: </w:t>
      </w:r>
      <w:r>
        <w:rPr>
          <w:rtl w:val="true"/>
        </w:rPr>
        <w:t>اشتراط التغاير ولو حكماً بين المتعاقدين</w:t>
      </w:r>
      <w:bookmarkEnd w:id="30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المتعاقدين التغاير بينهما ولو حكماً، كالوكيل عن اثنين أو الوليّ عليهما أو الفضولي عنهما أو الأصل والوكيل أو الولي، فلا يكفي الواحد، ولا يضر التعدد الاعتباري؛ لعموم الأدلّة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واستدعاء العقد فعلاً وانفعالاً وفاعلاً وقابلاً وتضايفاً لا يوجب التعدد الحقيقي كما توهم، بل يكفي فيه الاعتباري، وكذا يكفي التغاير الاعتباري بين العاقد والمعقود عليه، كما لو باع العبد نفسه؛ لعموم الأدلّة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فيهما البلوغ، وهو الحال الذي يعتري الإنسان بحيث يخرج به عن الصبا وتتعلّق به التكاليف وله علامات عرفيّة وشرعيّة، منها ما تخص الرجال، ومنها ما تخص النساء ومنها ما تكون مشتركةً كالمنى، وكذا العقل، وكذا القصد، وكذا الاختيار مقارناً أو متأخراً، كلّ ذلك للإجماع بقسميه </w:t>
      </w:r>
      <w:r>
        <w:rPr>
          <w:rStyle w:val="FootnoteAnchor"/>
          <w:rtl w:val="true"/>
        </w:rPr>
        <w:footnoteReference w:id="691"/>
      </w:r>
      <w:r>
        <w:rPr>
          <w:rFonts w:ascii="Amiri" w:hAnsi="Amiri" w:eastAsia="Amiri" w:cs="Amiri"/>
          <w:color w:val="111111"/>
          <w:sz w:val="28"/>
          <w:sz w:val="28"/>
          <w:szCs w:val="28"/>
          <w:rtl w:val="true"/>
          <w:lang w:bidi="ar-SA"/>
        </w:rPr>
        <w:t>، وللشكّ في شمول أدلّة العقود خطاباً ووضعاً لها لعدم القابلية للخطاب التكليفي، وعدم انصراف الخطاب الوضعي إليها، فتبقى على حكم الأصل، ولا تؤثر الإجازة اللاحقة لها صحّة بعد الحكم ببطلانها في غير ما يستثنى إن شاء اللّه تعالى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عقد لصبي أو مجنون أو غافل أو ساءٍ أو سكران أو نائم أو مغمى عليه أو غير قاصد للمعنى أصلاً، كالهازل والغالط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جوّز عقد الصبي إذا كان مميزاً </w:t>
      </w:r>
      <w:r>
        <w:rPr>
          <w:rStyle w:val="FootnoteAnchor"/>
          <w:rtl w:val="true"/>
        </w:rPr>
        <w:footnoteReference w:id="692"/>
      </w:r>
      <w:r>
        <w:rPr>
          <w:rFonts w:ascii="IRNazanin" w:hAnsi="IRNazanin" w:eastAsia="IRNazanin"/>
          <w:color w:val="111111"/>
          <w:sz w:val="28"/>
          <w:sz w:val="28"/>
          <w:szCs w:val="28"/>
          <w:rtl w:val="true"/>
          <w:lang w:bidi="fa-IR"/>
        </w:rPr>
        <w:t xml:space="preserve">أو إذا بلغ عشراً </w:t>
      </w:r>
      <w:r>
        <w:rPr>
          <w:rStyle w:val="FootnoteAnchor"/>
          <w:rtl w:val="true"/>
        </w:rPr>
        <w:footnoteReference w:id="693"/>
      </w:r>
      <w:r>
        <w:rPr>
          <w:rFonts w:ascii="Amiri" w:hAnsi="Amiri" w:eastAsia="Amiri" w:cs="Amiri"/>
          <w:color w:val="111111"/>
          <w:sz w:val="28"/>
          <w:sz w:val="28"/>
          <w:szCs w:val="28"/>
          <w:rtl w:val="true"/>
          <w:lang w:bidi="ar-SA"/>
        </w:rPr>
        <w:t xml:space="preserve">أو في المحقرات </w:t>
      </w:r>
      <w:r>
        <w:rPr>
          <w:rStyle w:val="FootnoteAnchor"/>
          <w:rtl w:val="true"/>
        </w:rPr>
        <w:footnoteReference w:id="694"/>
      </w:r>
      <w:r>
        <w:rPr>
          <w:rFonts w:ascii="IRNazanin" w:hAnsi="IRNazanin" w:eastAsia="IRNazanin"/>
          <w:color w:val="111111"/>
          <w:sz w:val="28"/>
          <w:sz w:val="28"/>
          <w:szCs w:val="28"/>
          <w:rtl w:val="true"/>
          <w:lang w:bidi="fa-IR"/>
        </w:rPr>
        <w:t xml:space="preserve">مع إذن الآباء أو بدونه فقد خالف الأصحاب والأخبار </w:t>
      </w:r>
      <w:r>
        <w:rPr>
          <w:rStyle w:val="FootnoteAnchor"/>
          <w:rtl w:val="true"/>
        </w:rPr>
        <w:footnoteReference w:id="695"/>
      </w:r>
      <w:r>
        <w:rPr>
          <w:rFonts w:ascii="Amiri" w:hAnsi="Amiri" w:eastAsia="Amiri" w:cs="Amiri"/>
          <w:color w:val="111111"/>
          <w:sz w:val="28"/>
          <w:sz w:val="28"/>
          <w:szCs w:val="28"/>
          <w:rtl w:val="true"/>
          <w:lang w:bidi="ar-SA"/>
        </w:rPr>
        <w:t>الخاصة في الباب الدالة على عدم نفوذ تصرفاته، المؤيَّدة بالأصول والقواعد والاحتياط والإجماع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يستدل به من شمول العمومات له، ومن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حيث إنّ الابتلاء موقوف على معاملته وممّا دلّ على صحّة سلامه وإسلامه وإحرامه وتدبيره ووصيته وعباداته </w:t>
      </w:r>
      <w:r>
        <w:rPr>
          <w:rStyle w:val="FootnoteAnchor"/>
          <w:rtl w:val="true"/>
        </w:rPr>
        <w:footnoteReference w:id="697"/>
      </w:r>
      <w:r>
        <w:rPr>
          <w:rFonts w:ascii="Amiri" w:hAnsi="Amiri" w:eastAsia="Amiri" w:cs="Amiri"/>
          <w:color w:val="111111"/>
          <w:sz w:val="28"/>
          <w:sz w:val="28"/>
          <w:szCs w:val="28"/>
          <w:rtl w:val="true"/>
          <w:lang w:bidi="ar-SA"/>
        </w:rPr>
        <w:t xml:space="preserve">، ومن جريان السيرة على العمل بإذنه في دخول الدار، وتوليه ضروب المعاملات، وقبول الهدايا منه عند إيصالها من وليه لأهلها، مردود بالمنع من شمول العمومات له، والسند ما تقدم، وبمنع ظهور الآية في ذلك، بل لا يبعد إرادة الاختبار بنفس الصور دون الحقائق، أو اختبار نفس البلوغ، أو الاختبار بعد البلوغ لاستئناس الرشد، أو الاختبار بغير أموالهم، أو الاختبار بالإباحة، أو بالسؤال والبحث أو بما جاز لهم تولّيه أو غير ذلك؛ والحكم بالعموم للكلّ لإطلاق الأمر ضعيف، وبمنع دلالة صحّة ما قام عليه الدليل على صحّة عقوده؛ لأنّه قياس ومع الفارق، على أنّه منظور في كثير أنّه منظور في كثير منه؛ لضعف دليله، كضعف ما دلّ على جواز تصرّف الغلام إذا بلغ عشراً </w:t>
      </w:r>
      <w:r>
        <w:rPr>
          <w:rStyle w:val="FootnoteAnchor"/>
          <w:rtl w:val="true"/>
        </w:rPr>
        <w:footnoteReference w:id="698"/>
      </w:r>
      <w:r>
        <w:rPr>
          <w:rFonts w:ascii="Amiri" w:hAnsi="Amiri" w:eastAsia="Amiri" w:cs="Amiri"/>
          <w:color w:val="111111"/>
          <w:sz w:val="28"/>
          <w:sz w:val="28"/>
          <w:szCs w:val="28"/>
          <w:rtl w:val="true"/>
          <w:lang w:bidi="ar-SA"/>
        </w:rPr>
        <w:t xml:space="preserve">سنداً وعملاً،وفتوى، فحمله على مقارنة العشر للبلوغ الحقيقي أو على غير الذكر </w:t>
      </w:r>
      <w:r>
        <w:rPr>
          <w:rStyle w:val="FootnoteAnchor"/>
          <w:rtl w:val="true"/>
        </w:rPr>
        <w:footnoteReference w:id="699"/>
      </w:r>
      <w:r>
        <w:rPr>
          <w:rFonts w:ascii="Amiri" w:hAnsi="Amiri" w:eastAsia="Amiri" w:cs="Amiri"/>
          <w:color w:val="111111"/>
          <w:sz w:val="28"/>
          <w:sz w:val="28"/>
          <w:szCs w:val="28"/>
          <w:rtl w:val="true"/>
          <w:lang w:bidi="ar-SA"/>
        </w:rPr>
        <w:t>أو طرحه أولى من العمل به وبمنع جريان السيرة على توليه ضروب المعاملات، سواء كانت من المحقرات أو من غيرها، ولو قضت بذلك سيرة قاطعة لكان محمولاً على جواز العمل بشاهد الحال من إباحة الأولياء للأخذ منهم والدفع إليهم، لا على وجه النقل والانتقال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جريان السيرة على قبول قوله في الإذن بدخول الدار أو إيصال الهدية فلو قلنا بها وكانت قاطعةً، فلا تفيد سوى جواز العمل بالمظنة الحاصلة من قول الصبي بدخول الدار، وكون الهدية من الولي، فيقتصر فيهما على موردهما، ولا يقاس على ذلك باقي ضروب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الشرط يلزم استمراره من مبدإ الإيجاب إلى تمام القبول بالنسبة إلى الموجب والقابل، فلو كان الإيجاب مع صبي أو مجنون فقبل بعد بلوغه وعقله بطل العقد،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عقد المكره الذي لم يبلغ إكراهه إلى ارتفاع قصده، كالخائف بتهديد أو توعيد أو ضرب أو شتم أو نحو ذلك، فإنّه يصح مع الإجازة عند الاختيار إذا استكمل سائر الشروط عدا الرضى المقارن؛ لفتوى المشهور والإجماع المنقول</w:t>
      </w:r>
      <w:r>
        <w:rPr>
          <w:rStyle w:val="FootnoteAnchor"/>
          <w:rtl w:val="true"/>
        </w:rPr>
        <w:footnoteReference w:id="700"/>
      </w:r>
      <w:r>
        <w:rPr>
          <w:rFonts w:ascii="Amiri" w:hAnsi="Amiri" w:eastAsia="Amiri" w:cs="Amiri"/>
          <w:color w:val="111111"/>
          <w:sz w:val="28"/>
          <w:sz w:val="28"/>
          <w:szCs w:val="28"/>
          <w:rtl w:val="true"/>
          <w:lang w:bidi="ar-SA"/>
        </w:rPr>
        <w:t>، ولاحتساب الفقهاء عقده من العقود المأمور بها، وهُمْ أدرى بدليل الألفاظ، فيرتفع الشك في شمولها له ودخوله تحتها، فالحكم ببطلانه؛ للأصل والشك في الاندراج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غير المجبور بانتظاره، أو له الفسخ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لإدخاله الضرر على نفسه، سواء استمر الجبر زمناً طويلاً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عند ارتفاع الإكراه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الفسخ أو الإجازة لمكان الضرر، أم لا ؟ وجهان،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الإجازة كاشفة أو ناقلة ؟ وجهان، أقواهما الأوَّل، إما بمعنى توقف صحته على حصول الشرط المتأخر واقعاً، فلمّا علم بحصوله علمت صحته قبل ذلك عند علام الغيوب، أو بمعنى تأثير الإجازة لصحته عند وقوعه لا عند الإجازة والمعنى الأوّل أظهر من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مطابقة الإجازة للعقد، فلو غيّر شرطاً أو مكاناً أو زماناً لم تؤثر الإجازة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الجبر من كونه على معيّن أو مردّدٍ، وليس للجابر فيه حقٌّ، فلو جبره على البيع فصالح لم يكن مجبوراً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جبره على أحدهما لا بعينه ففَعَل أحدهما معيناً، كان مجبوراً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جبره على مردّد له فيه حق الجبر، كأن جبره على البيع أو الإنفاق على زوجته أو على عبده، أو على خُمسه أو زكاته فباع، لم يكن مجبوراً</w:t>
      </w:r>
      <w:r>
        <w:rPr>
          <w:rFonts w:eastAsia="Amiri" w:cs="Amiri" w:ascii="Amiri" w:hAnsi="Amiri"/>
          <w:color w:val="111111"/>
          <w:sz w:val="28"/>
          <w:szCs w:val="28"/>
          <w:rtl w:val="true"/>
          <w:lang w:bidi="ar-SA"/>
        </w:rPr>
        <w:t xml:space="preserve">. </w:t>
      </w:r>
      <w:bookmarkStart w:id="304" w:name="pg19000_245338"/>
    </w:p>
    <w:p>
      <w:pPr>
        <w:pStyle w:val="BookText"/>
        <w:rPr/>
      </w:pPr>
      <w:bookmarkEnd w:id="304"/>
      <w:r>
        <w:rPr>
          <w:rFonts w:ascii="Amiri" w:hAnsi="Amiri" w:eastAsia="Amiri" w:cs="Amiri"/>
          <w:color w:val="111111"/>
          <w:sz w:val="28"/>
          <w:sz w:val="28"/>
          <w:szCs w:val="28"/>
          <w:rtl w:val="true"/>
          <w:lang w:bidi="ar-SA"/>
        </w:rPr>
        <w:t>والحياء ليس من الجبر ؛ للسيرة القطعية، فالاحتياط منه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عقد بين ناقصين فتعقبه قبض وكان بإذن الوليين ضمن الوليان، بل لو علما ولم يمنعا من دون مانع ضمنا كذلك، وإن لم يعلما أو كانا ممنوعين ضمن الناقصان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العقد بين كامل وناقص، ضمن الكامل بقبضه حتّى لو أرجعه إليه كان مضموناً حتى يصل إلى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المالك بدفع شيء إلى الناقص فدفعه المأذون، لم يضمن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الغريم للمدين في دفع ما في ذمّته للناقص وفاء، لم تبرأ ذمته على الأظهر، إلا إذا كان على وجه توكيله في قبضه وفاءً ثم دفعه للناقص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الوكيل نقص المدفوع إليه، كان الضمان عليه مع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تنازعا في أنّ القبض هل كان على حالة الكمال أو النقص، فإن علم تأريخ أحدهما</w:t>
      </w:r>
    </w:p>
    <w:p>
      <w:pPr>
        <w:pStyle w:val="BookText"/>
        <w:rPr/>
      </w:pPr>
      <w:r>
        <w:rPr>
          <w:rFonts w:ascii="Amiri" w:hAnsi="Amiri" w:eastAsia="Amiri" w:cs="Amiri"/>
          <w:color w:val="111111"/>
          <w:sz w:val="28"/>
          <w:sz w:val="28"/>
          <w:szCs w:val="28"/>
          <w:rtl w:val="true"/>
          <w:lang w:bidi="ar-SA"/>
        </w:rPr>
        <w:t xml:space="preserve">تأخر عنه المجهول، وإلا ففي الضمان؛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أو عدمه؛ للأصل إشكال</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3372340_1280447820"/>
      <w:bookmarkStart w:id="306" w:name="_Toc116"/>
      <w:bookmarkEnd w:id="305"/>
      <w:r>
        <w:rPr>
          <w:rtl w:val="true"/>
        </w:rPr>
        <w:t>ثانيها</w:t>
      </w:r>
      <w:r>
        <w:rPr>
          <w:rtl w:val="true"/>
        </w:rPr>
        <w:t xml:space="preserve">: </w:t>
      </w:r>
      <w:r>
        <w:rPr>
          <w:rtl w:val="true"/>
        </w:rPr>
        <w:t>عدم اشتراط الإسلام ولا الإيمان في المتعاقدين</w:t>
      </w:r>
      <w:bookmarkEnd w:id="30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المتعاقدين الإسلام ولا الإيمان؛ للأصل، والعموم </w:t>
      </w:r>
      <w:r>
        <w:rPr>
          <w:rStyle w:val="FootnoteAnchor"/>
          <w:rtl w:val="true"/>
        </w:rPr>
        <w:footnoteReference w:id="702"/>
      </w:r>
      <w:r>
        <w:rPr>
          <w:rFonts w:ascii="Amiri" w:hAnsi="Amiri" w:eastAsia="Amiri" w:cs="Amiri"/>
          <w:color w:val="111111"/>
          <w:sz w:val="28"/>
          <w:sz w:val="28"/>
          <w:szCs w:val="28"/>
          <w:rtl w:val="true"/>
          <w:lang w:bidi="ar-SA"/>
        </w:rPr>
        <w:t xml:space="preserve">، والإجماع أكثر الموارد، فيصح بيع الكافرين والمسلمين والمختلفين من جميع أنواع الكفّار وجميع أصناف المسلمين، إلا أنّ في بيع الحربي لشبهة عدم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فيئاً ومملوكاً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المرتد الفطري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موروثاً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عقد كلّ قوم بالنسبة إليهم فقط، إلا العقد الجامع للشرائط الحقة فإنّه صحيح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تعاقد ذو الشرائط الحقة مع ذي الشرائط الفاسدة، فسد العقد؛ لأن الصحّة لا تتبعض</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تعاقد أهل الشرائط الفاسدة بينهم أجرينا عليهم حكم الصحّة وآثارها للأخبار </w:t>
      </w:r>
      <w:r>
        <w:rPr>
          <w:rStyle w:val="FootnoteAnchor"/>
          <w:rtl w:val="true"/>
        </w:rPr>
        <w:footnoteReference w:id="703"/>
      </w:r>
      <w:r>
        <w:rPr>
          <w:rFonts w:ascii="Amiri" w:hAnsi="Amiri" w:eastAsia="Amiri" w:cs="Amiri"/>
          <w:color w:val="111111"/>
          <w:sz w:val="28"/>
          <w:sz w:val="28"/>
          <w:szCs w:val="28"/>
          <w:rtl w:val="true"/>
          <w:lang w:bidi="ar-SA"/>
        </w:rPr>
        <w:t>والسيرة القطعية وفتوى الأصحاب، وإن لم تكن صحيحة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والأقوى اشتراط إسلام المشتري وكلّ من انتقل إليه بأي صنفٍ دخل من أصناف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خرج عنه إلى الكفر بإنكار ضروري أو هتك حرمةٍ أو 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مسلماً من أي أصناف الإسلام حتّى ما خرج عنه بما ذكرنا في وجه يؤيده الاحترام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الاشتراط في الصحّة وعدم الحرمة الشهرة بقسميها </w:t>
      </w:r>
      <w:r>
        <w:rPr>
          <w:rStyle w:val="FootnoteAnchor"/>
          <w:rtl w:val="true"/>
        </w:rPr>
        <w:footnoteReference w:id="704"/>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إعزاز المؤمن واحترامه والنهي عن إذلاله والأمر برفعته وتعظيمه </w:t>
      </w:r>
      <w:r>
        <w:rPr>
          <w:rStyle w:val="FootnoteAnchor"/>
          <w:rtl w:val="true"/>
        </w:rPr>
        <w:footnoteReference w:id="706"/>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وما ورد في الكتاب من نفي السبيل </w:t>
      </w:r>
      <w:r>
        <w:rPr>
          <w:rStyle w:val="FootnoteAnchor"/>
          <w:rtl w:val="true"/>
        </w:rPr>
        <w:footnoteReference w:id="708"/>
      </w:r>
      <w:r>
        <w:rPr>
          <w:rFonts w:ascii="Amiri" w:hAnsi="Amiri" w:eastAsia="Amiri" w:cs="Amiri"/>
          <w:color w:val="111111"/>
          <w:sz w:val="28"/>
          <w:sz w:val="28"/>
          <w:szCs w:val="28"/>
          <w:rtl w:val="true"/>
          <w:lang w:bidi="ar-SA"/>
        </w:rPr>
        <w:t>العام، ولا يخصصه مورده؛ لأن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المعنى الأعم فيدخل فيه الملك ولا يرد نقضاً عليه تسليط الكفار على المؤمنين الأخيار؛ لأنّ ذلك سبيل الشيطان لم يسده الرحمن لمصلحة الامتحان أو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أيضاً؛ لأنّ في سلطان الملك أعظم الحجج على المملوك، إلا إذا أريد به الحجة في إبطال الدين ونقض شريعة سيّد المرسلين، فإنّه يخص مورده، ويكون في دليلنا الأوّل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لمخالفته الأصل يقتصر فيه على مورد الدليل، فلا يبطل نقل المؤمن إلى غيره من المخالفين أو الفرق الباقية، إلا في الجارية فالأحوط ذلك؛ لأنّها تأخذ من دين مواليها كما تأخذ المرأة من دين زوجها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يبطل الملك القهري من ميراث ونحوه، ولا الملك الاختياري السابق على الإسلام وإن أُجبر الكافر على بيعه بعد إسلامه، كما يأتي </w:t>
      </w:r>
      <w:r>
        <w:rPr>
          <w:rStyle w:val="FootnoteAnchor"/>
          <w:rtl w:val="true"/>
        </w:rPr>
        <w:footnoteReference w:id="710"/>
      </w:r>
      <w:r>
        <w:rPr>
          <w:rFonts w:ascii="Amiri" w:hAnsi="Amiri" w:eastAsia="Amiri" w:cs="Amiri"/>
          <w:color w:val="111111"/>
          <w:sz w:val="28"/>
          <w:sz w:val="28"/>
          <w:szCs w:val="28"/>
          <w:rtl w:val="true"/>
          <w:lang w:bidi="ar-SA"/>
        </w:rPr>
        <w:t xml:space="preserve">إن شاء الله، ولا الملك الغير المنافي للاحترام كالملك الغير مستقر إما بعتق كمن يشتري أباه، أو بشرط الحرّية له بعد الصيغة، أو بإقرار له </w:t>
      </w:r>
    </w:p>
    <w:p>
      <w:pPr>
        <w:pStyle w:val="BookText"/>
        <w:rPr/>
      </w:pPr>
      <w:r>
        <w:rPr>
          <w:rFonts w:ascii="Amiri" w:hAnsi="Amiri" w:eastAsia="Amiri" w:cs="Amiri"/>
          <w:color w:val="111111"/>
          <w:sz w:val="28"/>
          <w:sz w:val="28"/>
          <w:szCs w:val="28"/>
          <w:rtl w:val="true"/>
          <w:lang w:bidi="ar-SA"/>
        </w:rPr>
        <w:t xml:space="preserve">بها قبل ذلك، أو ببيعه على مرتد فطري فيرثه المسلم، فإنّ الظاهر في ذلك كله الصحّة؛ للشكّ في دخوله تحت دليل المنع ونفي السبيل </w:t>
      </w:r>
      <w:r>
        <w:rPr>
          <w:rStyle w:val="FootnoteAnchor"/>
          <w:rtl w:val="true"/>
        </w:rPr>
        <w:footnoteReference w:id="711"/>
      </w:r>
      <w:r>
        <w:rPr>
          <w:rFonts w:ascii="Amiri" w:hAnsi="Amiri" w:eastAsia="Amiri" w:cs="Amiri"/>
          <w:color w:val="111111"/>
          <w:sz w:val="28"/>
          <w:sz w:val="28"/>
          <w:szCs w:val="28"/>
          <w:rtl w:val="true"/>
          <w:lang w:bidi="ar-SA"/>
        </w:rPr>
        <w:t>، بل ربما كان فيه تعجيل نفع وإعزاز وإثبات سبيل له على الكافر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مع اشتراط أسباب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أو البيع على مسلم أو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رافعاً للمنع ومخرجاً له عن دليل البطلان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في الصحّة وعدم الحرمة أن لا يكون المنقول مصحفاً أو أبعاضه إذا كان المنقول إليه كافراً؛ لفحوى ما تقدَّم من الأدلّة إن لم تكن هي في القرآن أولى، سواء تعلق البيع به أو بجلده صورةً، وسواء كان منسوخ الحكم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إلحاق منسوخ التلاوة والمكتوب بغير الخط العربي والمكتوب حروفاً مقطعة والمكتوب رقوماً والمكتوب بالبياض المخرّق والمكتوب بالحفر والمكتوب بلا قصد إذا كان مختصاً بالقرآن بل ولو كان مشتركاً لم يقصد به غير القرآن بالقرآن </w:t>
      </w:r>
      <w:r>
        <w:rPr>
          <w:rStyle w:val="FootnoteAnchor"/>
          <w:rtl w:val="true"/>
        </w:rPr>
        <w:footnoteReference w:id="712"/>
      </w:r>
      <w:r>
        <w:rPr>
          <w:rFonts w:ascii="Amiri" w:hAnsi="Amiri" w:eastAsia="Amiri" w:cs="Amiri"/>
          <w:color w:val="111111"/>
          <w:sz w:val="28"/>
          <w:sz w:val="28"/>
          <w:szCs w:val="28"/>
          <w:rtl w:val="true"/>
          <w:lang w:bidi="ar-SA"/>
        </w:rPr>
        <w:t xml:space="preserve">في الفساد والتحريم، وإن كان بعضها أشدّ من بعض في الاحتياط كما أنّ الأحوط إلحاق كتب الأدعية والأخبار والمواعظ والكتب الفقهية وآلات العبادة كالتربة الحسينية والسبحة بالقرآن </w:t>
      </w:r>
      <w:r>
        <w:rPr>
          <w:rStyle w:val="FootnoteAnchor"/>
          <w:rtl w:val="true"/>
        </w:rPr>
        <w:footnoteReference w:id="713"/>
      </w:r>
      <w:r>
        <w:rPr>
          <w:rFonts w:ascii="Amiri" w:hAnsi="Amiri" w:eastAsia="Amiri" w:cs="Amiri"/>
          <w:color w:val="111111"/>
          <w:sz w:val="28"/>
          <w:sz w:val="28"/>
          <w:szCs w:val="28"/>
          <w:rtl w:val="true"/>
          <w:lang w:bidi="ar-SA"/>
        </w:rPr>
        <w:t>في الفساد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ها هنا مساواة الاستدامة للابتداء في منع التملك، ومساواة الاضطرار للاختيار كما أنّ الأظهر مع اشتراط الوقف على المسلم أو التملك له بنفس الشرط، أو الإقرار بأنّه ملك للمسلمين أو وقف عليهم الحكم بالصحّة وعدم الإثم، وأما مع اشتراط الوقف والتمليك الاختياريين فالحكم بالصحّة وجه لا يخلو من قوة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يصح تمليك منافع العبد أو الحُرّ المسلمين على نحو الإجارة الخاصة أو على نحو الإجارة المطلقة المتعلقة بالذمة على أن يستوفيها بنفسه أو بمثله، أو على أن يستوفيها مسلم، أو على أن تكون مصروفةً بمصالح المسلمين من بناء قنطرة أو مسجد أو نحوهما؛ للأصل، والشك في دخولها في دليل المنع، أو لا يصح؛ لاستلزامه السلطنة على المسلم والسبيل المنفي </w:t>
      </w:r>
      <w:r>
        <w:rPr>
          <w:rStyle w:val="FootnoteAnchor"/>
          <w:rtl w:val="true"/>
        </w:rPr>
        <w:footnoteReference w:id="7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يفرّق بين إجارة الحُرّ نفسه؛ لانتفاء السلطنة عنه عرفاً، وللسيرة القاضية بذلك، وللأخبار الواردة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والبتول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إيجارهما أنفسهما لغير المسلمين </w:t>
      </w:r>
      <w:r>
        <w:rPr>
          <w:rStyle w:val="FootnoteAnchor"/>
          <w:rtl w:val="true"/>
        </w:rPr>
        <w:footnoteReference w:id="715"/>
      </w:r>
      <w:r>
        <w:rPr>
          <w:rFonts w:ascii="Amiri" w:hAnsi="Amiri" w:eastAsia="Amiri" w:cs="Amiri"/>
          <w:color w:val="111111"/>
          <w:sz w:val="28"/>
          <w:sz w:val="28"/>
          <w:szCs w:val="28"/>
          <w:rtl w:val="true"/>
          <w:lang w:bidi="ar-SA"/>
        </w:rPr>
        <w:t>، وللعسر والحرج، وبين إجارة العبد؛ لاستلزامها السبيل المنفي لدخوله تحت اليد، أو يفرّق بين الأجير الخاص فيمنع، وبين الإجارة المطلقة فتصح؛ للشكّ في دخولها تحت السبيل ؟ وجوه، أقواها منع إيجار العبد إجارة خاصة تقضي بملك جميع منافعه ودخوله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صحّة إيجار المصحف له لانتفاع محلّل كالاستشفاء، او ليقرأ به مسلم أو غير ذلك، والأوجه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الإيجار إذا لم يدخل تحت يده، كأن يشترط عليه تسليمه لمسلم يقرأ فيه، أو يشترط عليه وضعه عند المسلم إذا أراد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رهن العبد المسلم والمصحف عند الكافر؛ للأصل والعمومات، أو لا يصح؛ لأنّه من أفراد السبيل، أو يصح بشرط وضعه عند مسلم وتولّي بيعه عند تعذر وفاء الدين ؟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إعارة الكافر العبد المسلم أو المصحف للانتفاع، وأما إيداعه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كلّ من المسلم والكافر ودعياً ومعيراً للآخر في غير العبد والمصحف، ويجوز قرض كلّ منهما للآخر ومطالبته له، ويجوز مطالبة الكافر بالإنفاق من زوجة أو قرابة أو عبد، ويجوز تعليم كلّ منهما الآخر، ويجوز مقاصة كلّ منهما للآخر، والأكل منه في المارة أو في البيوت المستثناة، كلّ ذلك للشكّ في الدخول تحت السبيل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جواز وصايته على المسلمين وجهان، أقواهما المنع؛ لشبهها بالولاية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أسلم عبد الكافر أو كفر مولى المسلم لم تنفسخ الملكية؛ للاستصحاب، وظاهر الفتوى، والنصّ الوارد في العبد إذا أسلم </w:t>
      </w:r>
      <w:r>
        <w:rPr>
          <w:rStyle w:val="FootnoteAnchor"/>
          <w:rtl w:val="true"/>
        </w:rPr>
        <w:footnoteReference w:id="716"/>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717"/>
      </w:r>
      <w:r>
        <w:rPr>
          <w:rFonts w:ascii="Amiri" w:hAnsi="Amiri" w:eastAsia="Amiri" w:cs="Amiri"/>
          <w:color w:val="111111"/>
          <w:sz w:val="28"/>
          <w:sz w:val="28"/>
          <w:szCs w:val="28"/>
          <w:rtl w:val="true"/>
          <w:lang w:bidi="ar-SA"/>
        </w:rPr>
        <w:t>، ويجبر على بيعه بعقد لازم أو جائز فيؤول إلى اللزوم على وجه قوي، أو عتقه من الحاكم أو عدول المسلمين إن يوجد، وإن لم يتمكنوا من جبره قام الحاكم أو عدول المسلمين بتولّي بيعه أو عتقه أو وقفه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إجراء هذا الحكم للمصحف إذا كفر مالكه وجه، ولكن لا يبعد انفساخ الملكية فيه قهراً؛ لظاهر الأدلّة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سيّد العبد الكافر الثمن والنماء المتجدّد قبل بيعه أو وقفه أو عتقه، ولو اشتبه النماء بين أنّه من قبل النقل أو بعده، فإن علم التأريخ بني على تأخير المجهول عن المعلوم، وإلّا بني على أنّه لذي اليد المتأخرة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بيع العبد أو المصحف بثمن كلّي فدفع له فرداً معيباً عنه، جاز له الردّ والإبدال، وليس له فسخ العقد، وإن كان بمعين جاز له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الفسخ ؟ وإذا فسخ فهل له أن يسترد العبد والمصحف؛ لعدم كون ذلك ملكاً ابتدائياً بل بسبب متقدم، أو يتعين عليه أخذ قيمتهما؛ للمنع عن ملكهما بسبب اختياري مطلقاً فيكون بمنزلة التلف ؟ وجوه أقواها تعيّن الأرش؛ جمعاً بين قاعدة نفي الضرر وبين نفى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فيما لو وجد مشتري العبد أو المصحف فيهما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نقل العبد والمصحف بأي ناقل كان للعين لازم أو جائز، فيعود الجائز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نقل المنفعة عنه إلا المنفعة المستدامة ففي الاكتفاء بنقلها عنه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إن جاز نقل عينه، فإن لم يجز، كما إذا كان موقوفاً على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بجواز الوقف عليه وعدم جواز بیع الوقف اكتفي بالحيلولة بينه وبينه، أو بنقل منافعه لغيره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يكفي التزويج ولا التحليل ولا الرهن ولا الكتابة المشروطة، وفي المطلقة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انقطاع سلطنة التصرف، ومن بقاء سلطنة الملك فيدخل تحت نفي السبيل، والأخير أقوى، إلا إذا ترتب فك الملك عليها فوراً من متبرع بالبذل أو من بيت المال فالاكتفاء أقوى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أُجبر الكافر على نقل المسلم أو المصحف فاشترى بهما مبيعاً فتلف قبل قبضه أو في زمن الخيار المختص إن قلنا بثبوت </w:t>
      </w:r>
      <w:r>
        <w:rPr>
          <w:rStyle w:val="FootnoteAnchor"/>
          <w:rtl w:val="true"/>
        </w:rPr>
        <w:footnoteReference w:id="718"/>
      </w:r>
      <w:r>
        <w:rPr>
          <w:rFonts w:ascii="Amiri" w:hAnsi="Amiri" w:eastAsia="Amiri" w:cs="Amiri"/>
          <w:color w:val="111111"/>
          <w:sz w:val="28"/>
          <w:sz w:val="28"/>
          <w:szCs w:val="28"/>
          <w:rtl w:val="true"/>
          <w:lang w:bidi="ar-SA"/>
        </w:rPr>
        <w:t>الخيار له احتمل رجوعهما إليه؛ لأنّه بمنزلة الملك القهري، واحتمل استثناء هذه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المبيع قبل قبضه من مال بائعه، بل يكون من مال المشتري، واحتمل أن له على البائع المثل أو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احتمال بقاء العبد بلا مالك؛ لخروجه عن ملك البائع بالانفساخ وعدم دخوله في ملك المشتري، ضعيف لا يقوله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عبد الكافر بعد أن باعه على مسلم بخيار له أو بمعاطاة، لزم البيع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بعد أن باعه فضولاً على مسلم، قهر المالك على الإجازة أو البيع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عبد الكافر بعد أن اشتراه من كافر فأسلم البائع وكان له خيار فيه، قهر على بيعه ولا ينتظر خيار المسلم مع احتمال انتظاره واستئذانه احتراماً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عبد الكافر بعد أن اشتراه الكافر فضولاً، انفسخ العقد؛ بناء على النقل، وعلى الكشف قهر المالك على بيعه أو الإجازة، فإن أجاز أقهر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أسلمت أم ولده، لم يُجبر على العتق والوقف على المسلمين مجاناً، ولا مع دفع قيمتها من بيت المال للأصل، وعدم الدليل</w:t>
      </w:r>
    </w:p>
    <w:p>
      <w:pPr>
        <w:pStyle w:val="BookText"/>
        <w:rPr/>
      </w:pPr>
      <w:r>
        <w:rPr>
          <w:rFonts w:ascii="Amiri" w:hAnsi="Amiri" w:eastAsia="Amiri" w:cs="Amiri"/>
          <w:color w:val="111111"/>
          <w:sz w:val="28"/>
          <w:sz w:val="28"/>
          <w:szCs w:val="28"/>
          <w:rtl w:val="true"/>
          <w:lang w:bidi="ar-SA"/>
        </w:rPr>
        <w:t xml:space="preserve">وهل يُجبر على بيعها على مسلم أو على بيت المال؛ تقديماً لدليل نفي السبيل، والأخذ بما دلّ على احترام المسلم </w:t>
      </w:r>
      <w:r>
        <w:rPr>
          <w:rStyle w:val="FootnoteAnchor"/>
          <w:rtl w:val="true"/>
        </w:rPr>
        <w:footnoteReference w:id="719"/>
      </w:r>
      <w:r>
        <w:rPr>
          <w:rFonts w:ascii="Amiri" w:hAnsi="Amiri" w:eastAsia="Amiri" w:cs="Amiri"/>
          <w:color w:val="111111"/>
          <w:sz w:val="28"/>
          <w:sz w:val="28"/>
          <w:szCs w:val="28"/>
          <w:rtl w:val="true"/>
          <w:lang w:bidi="ar-SA"/>
        </w:rPr>
        <w:t xml:space="preserve">، أو لا يُجبر؛ تقديماً لدليل المنع من بيع أُمهات الأولاد </w:t>
      </w:r>
      <w:r>
        <w:rPr>
          <w:rStyle w:val="FootnoteAnchor"/>
          <w:rtl w:val="true"/>
        </w:rPr>
        <w:footnoteReference w:id="72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الأقوى بحسب الدليل هو الأوَّل، بل ربما نُقل عليه الإجماع، وساعده الاعتبار؛ لأنّه حقٌّ من شعائر الدين فلا تعارضه حقوق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فهل يحال بينها وبينه فتوضع على يد مسلم فيصل إليه نفعها ويصل إليها نفقتها إلى أن تموت أو يموت الولد، أو تستسعى في فك رقبتها فإذا دفعت قيمتها تحرّرت، أو يُجبر على المكاتبة معها مع بقائها في يده، أو مع عدمه، أو تكتسب لنفسها في نفقتها وتردّ عليه الزائد ؟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يلحق الطفل المملوك للكافر بإسلام أبويه بالمسلم الأصلي، فيقهر على بيعه قضاءً لحق التبعية الثابتة بالنص </w:t>
      </w:r>
      <w:r>
        <w:rPr>
          <w:rStyle w:val="FootnoteAnchor"/>
          <w:rtl w:val="true"/>
        </w:rPr>
        <w:footnoteReference w:id="721"/>
      </w:r>
      <w:r>
        <w:rPr>
          <w:rFonts w:ascii="Amiri" w:hAnsi="Amiri" w:eastAsia="Amiri" w:cs="Amiri"/>
          <w:color w:val="111111"/>
          <w:sz w:val="28"/>
          <w:sz w:val="28"/>
          <w:szCs w:val="28"/>
          <w:rtl w:val="true"/>
          <w:lang w:bidi="ar-SA"/>
        </w:rPr>
        <w:t xml:space="preserve">والإجماع، أو لا يلحق للأصل والشكّ في دخوله تحت دليل المنع، ولأنّ علقة الملك أقوى من علقة النسب، إلا مع الاجتماع في يد واحدة فهناك يجبر </w:t>
      </w:r>
      <w:bookmarkStart w:id="307" w:name="pg19000_245344"/>
    </w:p>
    <w:p>
      <w:pPr>
        <w:pStyle w:val="BookText"/>
        <w:rPr/>
      </w:pPr>
      <w:bookmarkEnd w:id="307"/>
      <w:r>
        <w:rPr>
          <w:rFonts w:ascii="Amiri" w:hAnsi="Amiri" w:eastAsia="Amiri" w:cs="Amiri"/>
          <w:color w:val="111111"/>
          <w:sz w:val="28"/>
          <w:sz w:val="28"/>
          <w:szCs w:val="28"/>
          <w:rtl w:val="true"/>
          <w:lang w:bidi="ar-SA"/>
        </w:rPr>
        <w:t xml:space="preserve">على بيعهما ؟ وجهان، والأوّل أقوى؛ لأن دليل شرف الإسلام </w:t>
      </w:r>
      <w:r>
        <w:rPr>
          <w:rStyle w:val="FootnoteAnchor"/>
          <w:rtl w:val="true"/>
        </w:rPr>
        <w:footnoteReference w:id="722"/>
      </w:r>
      <w:r>
        <w:rPr>
          <w:rFonts w:ascii="Amiri" w:hAnsi="Amiri" w:eastAsia="Amiri" w:cs="Amiri"/>
          <w:color w:val="111111"/>
          <w:sz w:val="28"/>
          <w:sz w:val="28"/>
          <w:szCs w:val="28"/>
          <w:rtl w:val="true"/>
          <w:lang w:bidi="ar-SA"/>
        </w:rPr>
        <w:t xml:space="preserve">والتبعية </w:t>
      </w:r>
      <w:r>
        <w:rPr>
          <w:rStyle w:val="FootnoteAnchor"/>
          <w:rtl w:val="true"/>
        </w:rPr>
        <w:footnoteReference w:id="723"/>
      </w:r>
      <w:r>
        <w:rPr>
          <w:rFonts w:ascii="Amiri" w:hAnsi="Amiri" w:eastAsia="Amiri" w:cs="Amiri"/>
          <w:color w:val="111111"/>
          <w:sz w:val="28"/>
          <w:sz w:val="28"/>
          <w:szCs w:val="28"/>
          <w:rtl w:val="true"/>
          <w:lang w:bidi="ar-SA"/>
        </w:rPr>
        <w:t>فيه يقوى على دليل 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إسلام الجد القريب مع وجود الأب ومع عدمه أو الجد البعيد فالإشكال فيه أقوى؛ لضعف التبعية، وعدم قوة دليلها سيّما البعيد مع وجود الأب</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3372342_1280447820"/>
      <w:bookmarkStart w:id="309" w:name="_Toc117"/>
      <w:bookmarkEnd w:id="308"/>
      <w:r>
        <w:rPr>
          <w:rtl w:val="true"/>
        </w:rPr>
        <w:t>ثالثها</w:t>
      </w:r>
      <w:r>
        <w:rPr>
          <w:rtl w:val="true"/>
        </w:rPr>
        <w:t xml:space="preserve">: </w:t>
      </w:r>
      <w:r>
        <w:rPr>
          <w:rtl w:val="true"/>
        </w:rPr>
        <w:t>اشتراط كون العاقد مالكاً</w:t>
      </w:r>
      <w:bookmarkEnd w:id="30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العاقد صحّة أو لزوماً كونه مالكاً، فلا يصح تصرّف العبد؛ لعدم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 له مولاه صح في مال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صحّة عقده لو وكله الغير على بيع شيء أو شرائه من الغير، أو على شراء نفسه وإن لم يأذن المولى، بل ولو منع والحرمة لا تستلزم الفساد ها هنا؛ لأنّ حرمة تصرفه بلسانه إنما جاء من أمر خارج فلا يفيد فساداً، ووكالة الغير له وإن كانت فاسدة لكن عقده بها يصححها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المالك الأب النسبي، دون الرضاعي ودون المخلوق من ماء الزني، والجد للأب قريباً أو بعيداً مع وجود الأب ومع عدمه، فإنّ لهما معاً ولاية العقد على الصبي مميزاً أم لا، وعلى السفيه والمجنون المستمرين من قبل البلوغ إلى ما بعده على تلك الحالتين ولاية إجبارية لا تراعى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أفسدا بطل تصرّفهما فيما أفسدا به، ولا ينعزلان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الصبي عاقلاً رشيداً، زالت ولايتهما عنه، فلو عاد له الجنون عادت ولايتهما عليه على الأقوى، مع احتمال استصحاب زوالها فتكون للحاكم، واحتمال الاشتراك بينهما وبين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السفه ففي عودها وجهان، والأحوط اجتماعهما مع الحاكم في التصرّف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ولهما أن يتولّيا طرفي العقد ولايةً أو أصالةً منهما وولاية؛ لعموم الأدلّة، وفتوى الأصحاب من غير معارض سوى ما يتخيل من استدعاء العقد فعلاً وانفعالاً وفاعلاً وقابلاً وهو غير متحقق، وهو مردود بأن الاختلاف من جهة الحيثية، والمغايرة الاعتبارية كافية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يقدم الأب على الجد مطلقاً، أو العكس مطلقاً، أو تساويهما، ومع الاقتران يبطل العقدان أو بشرط عدم التعارض، أما معه فيقدم الأب أو يقدّم الجد؟ وجوه، أقواها ثبوت ولايتهما، وتقديم الجد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تقديمه في النكاح مستنداً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وبتنقيح المناط وعموم العلة في الخبر وبما دلّ على أن ولي النكاح هو ولي المال </w:t>
      </w:r>
      <w:r>
        <w:rPr>
          <w:rStyle w:val="FootnoteAnchor"/>
          <w:rtl w:val="true"/>
        </w:rPr>
        <w:footnoteReference w:id="725"/>
      </w:r>
      <w:r>
        <w:rPr>
          <w:rFonts w:ascii="Amiri" w:hAnsi="Amiri" w:eastAsia="Amiri" w:cs="Amiri"/>
          <w:color w:val="111111"/>
          <w:sz w:val="28"/>
          <w:sz w:val="28"/>
          <w:szCs w:val="28"/>
          <w:rtl w:val="true"/>
          <w:lang w:bidi="ar-SA"/>
        </w:rPr>
        <w:t>يثبت تقديمه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 ذلك قوة ولاية الأب في كثير من المواضع لقصرها على موردها، كالعقوق وشبهه، ولا آية أُولى الأرحام </w:t>
      </w:r>
      <w:r>
        <w:rPr>
          <w:rStyle w:val="FootnoteAnchor"/>
          <w:rtl w:val="true"/>
        </w:rPr>
        <w:footnoteReference w:id="726"/>
      </w:r>
      <w:r>
        <w:rPr>
          <w:rFonts w:ascii="Amiri" w:hAnsi="Amiri" w:eastAsia="Amiri" w:cs="Amiri"/>
          <w:color w:val="111111"/>
          <w:sz w:val="28"/>
          <w:sz w:val="28"/>
          <w:szCs w:val="28"/>
          <w:rtl w:val="true"/>
          <w:lang w:bidi="ar-SA"/>
        </w:rPr>
        <w:t>لتخصيصها بما قدمنا، أو محمولة على أنّ من أسباب الأولوية القدم، أو الولاية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تعارضت الجدود، فهل الأقرب أولى؛ لآية أُولي الأرحام، أو الأعلى؛ لعموم تقديم الجد على الأب </w:t>
      </w:r>
      <w:r>
        <w:rPr>
          <w:rStyle w:val="FootnoteAnchor"/>
          <w:rtl w:val="true"/>
        </w:rPr>
        <w:footnoteReference w:id="72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حكم لوصي أحدهما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 فهل ينزل وصيّ كلّ واحدٍ منزلته، أو يقدم وصيّ الأب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الأب والجد الوصيُّ عن أحدهما الجامع لشرائط الوصاية، أو وصي الوصي مع الإذن فيهما له بالوصاية، فإنّه ينفذ تصرّفه بنقل أو انتقال، بل بالفسخ والإقالة والتغيير والتبديل؛ لأن الوصاية ولاية لا وكالة على الأظهر، في مال الطفل أو المجنون المستمر جنونه من الصبا إلى البلوغ، أو سفهه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الجنون وعاد، ففي عود ولايته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إذا زال السفه فعاد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الجمع بينه وبين الحاكم في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فقد الوصي كان الحاكم المنصوب نصباً عاماً أو خاصاً أو أمينه قائماً مقام المالك، فإن فقد قام مقامه عدول المسلمين، فإن فقدوا قام مقامهم فسقتهم إذا عرفوا من أنفسهم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ولهؤلاء التصرف بمال الصغير والمجنون استمرّ جنونه أو انقطع فعاد، وكذلك السفيه، وبمال الغائب عند خوف الفساد عليه بنظر أهل الخبرة، وبمال الممتنع عن أداء الحقّ المخلوقي أو الخالقي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العاجز عنه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جواز تصرّف الوصي وما بعده إما خوف الفساد، أو جلب المصلحة؛ اقتصاراً على المورد اليقين في ثبوت ولايتهما، بخلاف الولي الإجباري، فإنّه يكفي في تصرفه عدم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الاكتفاء بالمصلحة التي أدى إليها النظر، ولو أخطأ واقعاً لم يضمن المخطئ، إلا إذا قصر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اشتراط المصلحة جواز اقتراض وليّ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مالهم لنفسه دون غيره مع الملاءة بأن يملك وفاء القرض زائداً على المستثناة في الدين، متمكناً منه عند الوفاء، واثقاً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w:t>
      </w:r>
      <w:r>
        <w:rPr>
          <w:rStyle w:val="FootnoteAnchor"/>
          <w:rtl w:val="true"/>
        </w:rPr>
        <w:footnoteReference w:id="728"/>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إطلاقهما عدم اشتراط شيءٍ آخر، إلا أنّ الأحوط لزوم الإشهاد خوف الفساد، أو جعل رهن على المال أو ضامن يضمنه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اقترض من دون الشرط المتقدّم، لم يخرج المال عن ملك المولى عليه، وضمنه، و تصحّ العقود المترتبة عليه إذا كان فيها ربح، ويكون الربح للمولى عليه، بل تصحّ مطلقاً وإن لم يترتب عليها ربح، إما لأنّه ولي فينفذ تصرفه، أو لأنّه فضولي تكفي فيه الإجازة الإلهية، أو تعبداً؛ للنصوص</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للولي أن يقوم على نفسه مال المولّى عليه إذا كان من أهل الخبرة من دون إحضار مقوّم، ويملكه من دون صيغةٍ ناقلة أو قبض بنيّة المعاطاة، وإن كان الأحوط إجراء الصيغة أو 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ويقوم الوكيل مقام موكله في التصرف، فإن عيّن له جهة اتبعها، وإلا وجب عليه مراعاة الغبطة والمصلحة، ولا يكفيه عدم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الاقتراض مع الملاءة، والقياس على الولي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له تولّي طرفي العقد وكالة عن اثنين، أو أصالة ووكالة؛ لعموم الأدلّة، وفتوى الأصحاب، والإجماع المنقول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 في شمول الأدلّة له بعد فهم الأصحاب وحكمهم بدخوله في ذلك الباب لا وجه له عند أولي الألباب، وإن كان الأحوط لمن يريد أن يعقد عن اثنين توكيل غيره عن نفسه أو عن غيره وإيقاع العقد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الوكيل لا يدخل في إطلاق أمر الموكل ببيع أو شراء أو عطاء أو تفريق على غيره ما لم ينص الموكّل على ذلك؛ لأنّ غرض الموكل المماكسة والمغابنة، وفعلهما من الوكيل مع نفسه ممّا يستبعده الموكل من النفس الأمارة، وفي الأخبار ما يدلّ على المنع </w:t>
      </w:r>
      <w:r>
        <w:rPr>
          <w:rStyle w:val="FootnoteAnchor"/>
          <w:rtl w:val="true"/>
        </w:rPr>
        <w:footnoteReference w:id="731"/>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يدنّس عرضه</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و </w:t>
      </w:r>
      <w:r>
        <w:rPr>
          <w:rStyle w:val="FootnoteAnchor"/>
          <w:rtl w:val="true"/>
        </w:rPr>
        <w:footnoteReference w:id="733"/>
      </w:r>
      <w:r>
        <w:rPr>
          <w:rFonts w:ascii="Amiri" w:hAnsi="Amiri" w:eastAsia="Amiri" w:cs="Amiri"/>
          <w:color w:val="111111"/>
          <w:sz w:val="28"/>
          <w:sz w:val="28"/>
          <w:szCs w:val="28"/>
          <w:rtl w:val="true"/>
          <w:lang w:bidi="ar-SA"/>
        </w:rPr>
        <w:t>، وفي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أخذ الوكيل على التفريق فيمن يعمه اللفظ المأمور به سهماً لنفسه إلا مع الإذن له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فظاهر الخطابات بالنسبة إلى أهل العرف والعادات خروج المتكلم والمخاطب عن إطلاق المأمورين بالنقل إليهم أو إعطائهم بل وعمومهم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وينعزل الوصي والوكيل والحاكم ونحوهم عن الولاية بالموت والجنون والسفه والإغماء، ولا ينعزل الولي الإجباري، وإن بطل تصرّفه فوليّه الولي يكون هو الوليّ مع احتمال العزل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فالولي الإجباري تعود ولايته عند ارتفاع مانعها، وكذا الحاكم ومَنْ قام مقامه، ولا تعود ولاية الوصاية ولا الوكالة؛ للإجماع المنقول </w:t>
      </w:r>
      <w:r>
        <w:rPr>
          <w:rStyle w:val="FootnoteAnchor"/>
          <w:rtl w:val="true"/>
        </w:rPr>
        <w:footnoteReference w:id="735"/>
      </w:r>
      <w:r>
        <w:rPr>
          <w:rFonts w:ascii="IRNazanin" w:hAnsi="IRNazanin" w:eastAsia="IRNazanin"/>
          <w:color w:val="111111"/>
          <w:sz w:val="28"/>
          <w:sz w:val="28"/>
          <w:szCs w:val="28"/>
          <w:rtl w:val="true"/>
          <w:lang w:bidi="fa-IR"/>
        </w:rPr>
        <w:t xml:space="preserve">وفتوى الفحول، ولأن عقد </w:t>
      </w:r>
    </w:p>
    <w:p>
      <w:pPr>
        <w:pStyle w:val="BookText"/>
        <w:rPr/>
      </w:pPr>
      <w:r>
        <w:rPr>
          <w:rFonts w:ascii="Amiri" w:hAnsi="Amiri" w:eastAsia="Amiri" w:cs="Amiri"/>
          <w:color w:val="111111"/>
          <w:sz w:val="28"/>
          <w:sz w:val="28"/>
          <w:szCs w:val="28"/>
          <w:rtl w:val="true"/>
          <w:lang w:bidi="ar-SA"/>
        </w:rPr>
        <w:t xml:space="preserve">الوصاية والوكالة لا يقضيان بالعموم في الأزمان كي يخرج منه ما يقطع بخروجه ويبقى الباقي كما تخيله جمع </w:t>
      </w:r>
      <w:r>
        <w:rPr>
          <w:rStyle w:val="FootnoteAnchor"/>
          <w:rtl w:val="true"/>
        </w:rPr>
        <w:footnoteReference w:id="736"/>
      </w:r>
      <w:r>
        <w:rPr>
          <w:rFonts w:ascii="Amiri" w:hAnsi="Amiri" w:eastAsia="Amiri" w:cs="Amiri"/>
          <w:color w:val="111111"/>
          <w:sz w:val="28"/>
          <w:sz w:val="28"/>
          <w:szCs w:val="28"/>
          <w:rtl w:val="true"/>
          <w:lang w:bidi="ar-SA"/>
        </w:rPr>
        <w:t>، بل الظاهر أنّهما يتعلقان بزمن الوقوع وينجر فيما بعده بالاستصحاب، فإذا انقطع الاستصحاب استصحب القاطع إلى أن يثبت مزيله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فسق الوصيّ والوكيل فيما تؤخذ في وكالته العدالة مبطل للوصاية والوكالة، ولا تعودان بالتوبة؛ لما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علّق على صفة فزالت ثم 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مانع عن إيقاع موجب الوكالة وقضى به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كالإحرام العارض لمن وكل على النكاح، والاعتكاف العارض لمن وكل على البيع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موجب الوكالة، ويصح التصرف عند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الشكّ في بقاء موجب الولاية أو الوكالة فيما لو وكل شخص في تزويج امرأةٍ مطلقاً، فتزوجت وعادت خليّة، أو في تطليقها كذلك، أو كان وصيّاً لأحد الأبوين مع وجود الآخر الناقص، فكمل فزالت وصاية الوصى ثم عاد النقص، فهل تعود وصايته ؟</w:t>
      </w:r>
    </w:p>
    <w:p>
      <w:pPr>
        <w:pStyle w:val="BookText"/>
        <w:rPr/>
      </w:pPr>
      <w:r>
        <w:rPr>
          <w:rFonts w:ascii="Amiri" w:hAnsi="Amiri" w:eastAsia="Amiri" w:cs="Amiri"/>
          <w:color w:val="111111"/>
          <w:sz w:val="28"/>
          <w:sz w:val="28"/>
          <w:szCs w:val="28"/>
          <w:rtl w:val="true"/>
          <w:lang w:bidi="ar-SA"/>
        </w:rPr>
        <w:t>والأظهر في هذه الصور عدم العود، ويضاف إلى الأوّل أن المانع فيه أيضاً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عقد الوليين أو الوكيلين في زمانٍ واحد بأن اتحد زمان آخر القبول منهما أو ممن عقدا معه وكانا مختلفين في جهة العقد لا يمكن الجمع بينهما، بطلا للتضاد بينهما وعدم إمكان الجمع، وعدم ترجيح أحدهما من غير مرجح في غير ما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صحتهما موقوفةً على الإجازة من الأصيل بالنسبة إلى الوكيل، ومن أحد الوليين بالنسبة إلى عقد الولي الآخر؛ تنزيلاً لعقدهما منزلة الفضولي، لصدوره من أهله في محله، ولا مانع سوى التضاد، فبارتفاعه بالإجازة وإبطال الآخر يؤثر العقد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القرعة أو التنصيف بينهما جمعاً بين العقدين كالجمع بين الدليلين، فضعيف جداً؛ لأنّ القرعة إنما تخرج المشتبه ظاهراً المعلوم واقعاً وليس كذلك، والتنصيف يؤدي إلى إبطال مقتضى العقد لا إلى إعماله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وقع العقدان وجهل تأريخهما، فالأظهر أنّهما بمنزلة معلوم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تأريخ </w:t>
      </w:r>
      <w:bookmarkStart w:id="310" w:name="pg19000_245349"/>
    </w:p>
    <w:p>
      <w:pPr>
        <w:pStyle w:val="BookText"/>
        <w:rPr/>
      </w:pPr>
      <w:bookmarkEnd w:id="310"/>
      <w:r>
        <w:rPr>
          <w:rFonts w:ascii="Amiri" w:hAnsi="Amiri" w:eastAsia="Amiri" w:cs="Amiri"/>
          <w:color w:val="111111"/>
          <w:sz w:val="28"/>
          <w:sz w:val="28"/>
          <w:szCs w:val="28"/>
          <w:rtl w:val="true"/>
          <w:lang w:bidi="ar-SA"/>
        </w:rPr>
        <w:t>أحدهما، تأخر عنه المجهول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السبق واللحوق وشك في السابق، فليس إلا الصلح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عقد الأصيل والوكيل دفعةً مع اختلافهما، رجّح جانب الأصيل؛ لأنّه كالعزل له، مع احتمال البطلان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الجمع بين العقدين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عقد وكيل عن شخص على واحد فعقد وكيله الآخر على آخر وكان وكيلاً ذلك الآخر عن المشتري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العقدان أو الأوّل فقط، ولكن الحكم بذلك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الاختلاف باختلاف المشتري، أو باختلاف الثمن وإن اتحد المشتري، أو باختلاف الحلول والأجل، أو باختلاف الخيار وعدمه، أو نقصانه، أو أجله، أو زيادته، أو باختلاف الاشتراط لشيء واشتراط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صحتهما في القدر المشترك، وصحة مشترط الزيادة من خيار أو أجل أو شرط فيما إذا وقع أحدهما مطلقاً والآخر مقيّداً، أو كان كلّ منهما مطلقاً من جهةٍ ومقيداً من أُخرى لا ينافي قيد أحدهما الآخر أوجه،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الاختلاف الاختلاف في العقد، كصلح وبيع أو إجارة وجعالة وإن اتحد أثر هما، مع احتمال الصحّة، وكونهما بمنزلة العقد الواحد الصادر من الوليين، فإن الأقوى فيه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الأسباب الشرعيَّة بمنزلة العلل الحقيقية لا يجري فيها التعدّد، فلا بأس بتعدد الإيجاب من واحدٍ أو من آحاد من الأولياء واتحاد القبول، أو تعدّدهما من المتعدّدين إيجاباً وقبولاً دفعةً واحدة من الأولياء من الطرفين إذا كان جنس العقد واحداً والمعقود عليه واحداً والمولّى عليه واحداً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372344_1280447820"/>
      <w:bookmarkStart w:id="312" w:name="_Toc118"/>
      <w:bookmarkEnd w:id="311"/>
      <w:r>
        <w:rPr>
          <w:rtl w:val="true"/>
        </w:rPr>
        <w:t>رابعها</w:t>
      </w:r>
      <w:r>
        <w:rPr>
          <w:rtl w:val="true"/>
        </w:rPr>
        <w:t xml:space="preserve">: </w:t>
      </w:r>
      <w:r>
        <w:rPr>
          <w:rtl w:val="true"/>
        </w:rPr>
        <w:t>في قيام الفضولي مقام الملك في نفوذ عقده إذا أجاز المالك</w:t>
      </w:r>
      <w:bookmarkEnd w:id="312"/>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يقوم مقام المالك في نفوذ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 إذا عقد على مال الغير فأجاز المالك، غاصباً كان أم لا، عالماً بأنّه مال غيره أو مشتبهاً، قاصداً البيع للمالك أو لنفسه أو لهما معاً أو لغيرهما، فإنّه متى ما أجاز المالك بنيّة أنّ البيع له أو من دون نية وقع البيع له، وليس تعيّن المالك من شرائط الصحّة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نوى الفضولي البيع لنفسه فأجاز المالك كذلك، احتمل وقوعه للمالك قهراً، أو بطلانه وصحته، ويكون للفضولي بمنزلة هبة وبيع،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بمالي لنفسك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ونظيره ما لو باع مال نفسه بنيّة أنّه لغيره فأجاز الغير، فإنّه من المحتمل أنّه بمنزلة هبة وبيع، أو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الفضولي ما لو باع مالاً زاعماً أنّه للغير فضولاً فبان أنّه له سابقاً أو متجدّداً بميراث وشبهه، فإنّه يمضي البيع له من دون افتقار إلى إجازته بعد ذلك، ومن دون ثبوت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بعضهم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والحكم بالبطلان كما احتمله آخَرون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القصد أو للتردّد فيه،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يجري ذلك للوكلاء والأولياء أيضاً فيما إذا باعوا مال المولّى عليهم أو الموكلين لهم بزعم أنّه مالهم أو أنّه مال غيرهم فضولاً، أو أنكحوا المولى عليهم أو المملوكين على جهة الفضولية للجهل بالولاية والمملوكية، فتبين لهم بعد ذلك أن المبيع مال المولّى عليه، وأنّ النكاح كان للمولّى عليه أو المملوك، فإنّ الصحّة فيه هي الأوجه من دون افتقار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مع العلم بالولاية والملك، ولكن وقع الاشتباه بين الفرد المملوك أو المولّى عليه وبين غيره فزعمه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في الفضولي بين علم المشتري بالغصب حين دفع الثمن وبين عدمه واحتمال أنّه مع العلم مُعرضُ عن ماله فيدخل في ملك الفضولي بالإعراض، أو أنّه يخرج عن ملكه وإن لم يدخل في ملك أحدٍ فلا تؤثر إجازة المالك سيّما على النقل، أو أنّه خالٍ عن القصد فلا تؤثر إجازة المالك مع عدم قصد القابل ضعيف 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الثمن كلياً أو معيناً، وسواء كان موجوداً أو تالفاً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صحّة الفضولي مع الإجازة بجميع ضروبه ظواهر الإجماعات المنقولة </w:t>
      </w:r>
      <w:r>
        <w:rPr>
          <w:rStyle w:val="FootnoteAnchor"/>
          <w:rtl w:val="true"/>
        </w:rPr>
        <w:footnoteReference w:id="739"/>
      </w:r>
      <w:r>
        <w:rPr>
          <w:rFonts w:ascii="Amiri" w:hAnsi="Amiri" w:eastAsia="Amiri" w:cs="Amiri"/>
          <w:color w:val="111111"/>
          <w:sz w:val="28"/>
          <w:sz w:val="28"/>
          <w:szCs w:val="28"/>
          <w:rtl w:val="true"/>
          <w:lang w:bidi="ar-SA"/>
        </w:rPr>
        <w:t xml:space="preserve">المعتضدة بنقل الشهرة </w:t>
      </w:r>
      <w:r>
        <w:rPr>
          <w:rStyle w:val="FootnoteAnchor"/>
          <w:rtl w:val="true"/>
        </w:rPr>
        <w:footnoteReference w:id="740"/>
      </w:r>
      <w:r>
        <w:rPr>
          <w:rFonts w:ascii="Amiri" w:hAnsi="Amiri" w:eastAsia="Amiri" w:cs="Amiri"/>
          <w:color w:val="111111"/>
          <w:sz w:val="28"/>
          <w:sz w:val="28"/>
          <w:szCs w:val="28"/>
          <w:rtl w:val="true"/>
          <w:lang w:bidi="ar-SA"/>
        </w:rPr>
        <w:t>، بل بتحصيلها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عمومات أدلّة العقود </w:t>
      </w:r>
      <w:r>
        <w:rPr>
          <w:rStyle w:val="FootnoteAnchor"/>
          <w:rtl w:val="true"/>
        </w:rPr>
        <w:footnoteReference w:id="741"/>
      </w:r>
      <w:r>
        <w:rPr>
          <w:rFonts w:ascii="Amiri" w:hAnsi="Amiri" w:eastAsia="Amiri" w:cs="Amiri"/>
          <w:color w:val="111111"/>
          <w:sz w:val="28"/>
          <w:sz w:val="28"/>
          <w:szCs w:val="28"/>
          <w:rtl w:val="true"/>
          <w:lang w:bidi="ar-SA"/>
        </w:rPr>
        <w:t>أجناساً وأنواعاً؛ لدخوله تحتها، لكونه من العقود المتعارفة المأنوسة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بذلك السيرة المأنوسة والطريقة المألوفة الحاصلة من تصرف الأصدقاء وأهل الميانات والوكلاء والمأذونين في غير الوجه الذي أُذن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تختص أدلّة العقود فيما باشره المُلّاك قطعاً، وإلا لخرج عقد الولي والوكيل، بل يراد منها ما يرتضونها الملاك أو أولياؤهم سابقاً أو لاحقاً، فيدخل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ويخرج ما لا يرتضونه ويجيزونه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جاء في النكاح من إجماع </w:t>
      </w:r>
      <w:r>
        <w:rPr>
          <w:rStyle w:val="FootnoteAnchor"/>
          <w:rtl w:val="true"/>
        </w:rPr>
        <w:footnoteReference w:id="743"/>
      </w:r>
      <w:r>
        <w:rPr>
          <w:rFonts w:ascii="IRNazanin" w:hAnsi="IRNazanin" w:eastAsia="IRNazanin"/>
          <w:color w:val="111111"/>
          <w:sz w:val="28"/>
          <w:sz w:val="28"/>
          <w:szCs w:val="28"/>
          <w:rtl w:val="true"/>
          <w:lang w:bidi="fa-IR"/>
        </w:rPr>
        <w:t xml:space="preserve">أو أخبار </w:t>
      </w:r>
      <w:r>
        <w:rPr>
          <w:rStyle w:val="FootnoteAnchor"/>
          <w:rtl w:val="true"/>
        </w:rPr>
        <w:footnoteReference w:id="744"/>
      </w:r>
      <w:r>
        <w:rPr>
          <w:rFonts w:ascii="Amiri" w:hAnsi="Amiri" w:eastAsia="Amiri" w:cs="Amiri"/>
          <w:color w:val="111111"/>
          <w:sz w:val="28"/>
          <w:sz w:val="28"/>
          <w:szCs w:val="28"/>
          <w:rtl w:val="true"/>
          <w:lang w:bidi="ar-SA"/>
        </w:rPr>
        <w:t>، فإنّه يثبت في غيره بالأولوية؛ لأنّ أمر الفروج أشدّ، ولجواز جعل البيع والإجارة ونحوهما صداقاً فيه فيعتها فضوليّه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حديث بيع عقيل 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وإجازته 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عروة البارقي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المعتضد بالشهرة نقلاً</w:t>
      </w:r>
      <w:r>
        <w:rPr>
          <w:rStyle w:val="FootnoteAnchor"/>
          <w:rtl w:val="true"/>
        </w:rPr>
        <w:footnoteReference w:id="746"/>
      </w:r>
      <w:r>
        <w:rPr>
          <w:rFonts w:ascii="Amiri" w:hAnsi="Amiri" w:eastAsia="Amiri" w:cs="Amiri"/>
          <w:color w:val="111111"/>
          <w:sz w:val="28"/>
          <w:sz w:val="28"/>
          <w:szCs w:val="28"/>
          <w:rtl w:val="true"/>
          <w:lang w:bidi="ar-SA"/>
        </w:rPr>
        <w:t xml:space="preserve">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بشراء شاة بدينار فاشترى شاتين ثم باع إحداهما بدينار فجاء بالشاة والدينار فأجازه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وصدره وإن أمكن فيه المناقشة بأنّه من مفهوم الأولوية للوكيل إلا أن عجزه ظاهر في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 باستبعاد تصرّفه من دون إذن، وبعدم العموم في حكايات الأفعال، وباحتمال حصول الوكالة ولم تنقل، وباحتمال فهم الإذن الفحوائية له، وباحتمال أن عروة لم يوقع بيعاً بل إباحة، وباحتمال أنّه فهم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الشاة الواحدة فبيع إحداهما مما يتوقف عليه المراد خلاف ظاهر الفتوى والرواية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وليدة باعها ابن سيدها في غيبة أبيه </w:t>
      </w:r>
    </w:p>
    <w:p>
      <w:pPr>
        <w:pStyle w:val="BookText"/>
        <w:rPr/>
      </w:pPr>
      <w:r>
        <w:rPr>
          <w:rFonts w:ascii="Amiri" w:hAnsi="Amiri" w:eastAsia="Amiri" w:cs="Amiri"/>
          <w:color w:val="111111"/>
          <w:sz w:val="28"/>
          <w:sz w:val="28"/>
          <w:szCs w:val="28"/>
          <w:rtl w:val="true"/>
          <w:lang w:bidi="ar-SA"/>
        </w:rPr>
        <w:t xml:space="preserve">فولدت من المشتري فلمّا رجع طالب بجاريته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تُردّ مع الولد إليه، فردّت، وأشار على المشتري أن يقبض ولد المالك فقبضه فأجاز بيع الوليدة وردّها مع ولدها </w:t>
      </w:r>
      <w:r>
        <w:rPr>
          <w:rStyle w:val="FootnoteAnchor"/>
          <w:rtl w:val="true"/>
        </w:rPr>
        <w:footnoteReference w:id="748"/>
      </w:r>
      <w:r>
        <w:rPr>
          <w:rFonts w:ascii="Amiri" w:hAnsi="Amiri" w:eastAsia="Amiri" w:cs="Amiri"/>
          <w:color w:val="111111"/>
          <w:sz w:val="28"/>
          <w:sz w:val="28"/>
          <w:szCs w:val="28"/>
          <w:rtl w:val="true"/>
          <w:lang w:bidi="ar-SA"/>
        </w:rPr>
        <w:t>، وتنزيلها على الفضولي أظهر من تنزيلها على غيره من الأمور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والقدح فيه باشتماله على ردّ ولد المشتري مع أنّه حُرٌّ للشبهة، وعلى قبض ولد المالك مع أنّه حُرٌّ وليس عليه إلا الغرامة، وعلى تأثير الإجازة بعد الرد والفسخ، وهو خلاف الإجماع، مردود بتنزيل الردّ على تقويمه وتسليمه للحق وتنزيل قبض الولد على حبسه ليؤدي ما عليه من الغرامة؛ لأنّ المشتري مغرور من قبله وتنزيل منع المالك على المنع الصوري لا الحقيقي، وهذا كله مفهوم من الخبر لمن له خبر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ربح أربعة آلاف درهم في وديعة غير مأذونٍ بالتصرف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الربح لصاحب المال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أنّه لا يجوز لمن باع ثوباً أن يأخذ من المشتري بوضيعة،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جهلاً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فباعه بأكثر من ثمنه ردّ على صاحبه الأوّل ما زاد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جواز الفضولي ما جاء في اقتراض مال الصبي مع عدم الإذن الشرعي ليتجر به أن الربح للصبي </w:t>
      </w:r>
      <w:r>
        <w:rPr>
          <w:rStyle w:val="FootnoteAnchor"/>
          <w:rtl w:val="true"/>
        </w:rPr>
        <w:footnoteReference w:id="752"/>
      </w:r>
      <w:r>
        <w:rPr>
          <w:rFonts w:ascii="Amiri" w:hAnsi="Amiri" w:eastAsia="Amiri" w:cs="Amiri"/>
          <w:color w:val="111111"/>
          <w:sz w:val="28"/>
          <w:sz w:val="28"/>
          <w:szCs w:val="28"/>
          <w:rtl w:val="true"/>
          <w:lang w:bidi="ar-SA"/>
        </w:rPr>
        <w:t>، بتنزيلها على إجازة من له أهلية الإجازة، أو على الإجازة الإلهية؛ لأولويته من طرحها أو الجمود عليها، فتكون مشعرةً بصحته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من أخبار الخمس من تحليل المناكح والمساكن</w:t>
      </w:r>
      <w:r>
        <w:rPr>
          <w:rStyle w:val="FootnoteAnchor"/>
          <w:rtl w:val="true"/>
        </w:rPr>
        <w:footnoteReference w:id="753"/>
      </w:r>
      <w:r>
        <w:rPr>
          <w:rFonts w:ascii="Amiri" w:hAnsi="Amiri" w:eastAsia="Amiri" w:cs="Amiri"/>
          <w:color w:val="111111"/>
          <w:sz w:val="28"/>
          <w:sz w:val="28"/>
          <w:szCs w:val="28"/>
          <w:rtl w:val="true"/>
          <w:lang w:bidi="ar-SA"/>
        </w:rPr>
        <w:t xml:space="preserve">، وما صرّح فيه بالشراء من مال الخمس من الجواري وإجازة الإمام ذلك لأهل الحق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جاء في إجازة السيّد عقد العبد </w:t>
      </w:r>
      <w:r>
        <w:rPr>
          <w:rStyle w:val="FootnoteAnchor"/>
          <w:rtl w:val="true"/>
        </w:rPr>
        <w:footnoteReference w:id="755"/>
      </w:r>
      <w:r>
        <w:rPr>
          <w:rFonts w:ascii="Amiri" w:hAnsi="Amiri" w:eastAsia="Amiri" w:cs="Amiri"/>
          <w:color w:val="111111"/>
          <w:sz w:val="28"/>
          <w:sz w:val="28"/>
          <w:szCs w:val="28"/>
          <w:rtl w:val="true"/>
          <w:lang w:bidi="ar-SA"/>
        </w:rPr>
        <w:t xml:space="preserve">، وإجازة الوارث الوصية فيما زاد على الثلث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جاء في الصدقة بمجهول المالك أنّها تمضي مع إجازة المالك، وإلا غرم المتصدق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وبمجموع ما ذكرنا يحصل للفقيه الظنّ بل القطع بجوازه في كلّ عقد من كلّ عاقد غاصب أو لا، قصد لنفسه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 الفضلاء أنّه لا قائل بالفرق بين النكاح والبيع وبين غيرهما من العقود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يشكل الحكم بجريانه في الإيقاعات والعقود المشترطة بالقربة كالوقف، وفي دفع الماليات التي هي من أقسام العبادات، كالخمس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جريانه في الجميع غير ما قام الدليل على عدمه، والأحوط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759"/>
      </w:r>
      <w:r>
        <w:rPr>
          <w:rFonts w:ascii="Amiri" w:hAnsi="Amiri" w:eastAsia="Amiri" w:cs="Amiri"/>
          <w:color w:val="111111"/>
          <w:sz w:val="28"/>
          <w:sz w:val="28"/>
          <w:szCs w:val="28"/>
          <w:rtl w:val="true"/>
          <w:lang w:bidi="ar-SA"/>
        </w:rPr>
        <w:t>إلى المنع من صحّة الفضولي مع الإجازة مطلقاً؛ لإطلاق الأكثر اشتراط الملك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بعدم دلالته على بطلان نفس العقد بدونه، بل المراد أن نفس الأثر موقوف عليه، أو أنّ الملك شرط في مقابلة عقد غير المالك الخالي عن إجازة المالك، وإلا فالمصاحب لها يصدق عليه أنّه بيع في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مردود بمقابله، وبفتوى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Style w:val="FootnoteAnchor"/>
          <w:rtl w:val="true"/>
        </w:rPr>
        <w:footnoteReference w:id="761"/>
      </w:r>
      <w:r>
        <w:rPr>
          <w:rFonts w:ascii="Amiri" w:hAnsi="Amiri" w:eastAsia="Amiri" w:cs="Amiri"/>
          <w:color w:val="111111"/>
          <w:sz w:val="28"/>
          <w:sz w:val="28"/>
          <w:szCs w:val="28"/>
          <w:rtl w:val="true"/>
          <w:lang w:bidi="ar-SA"/>
        </w:rPr>
        <w:t xml:space="preserve">بل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يملك</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للفاعل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مردود بظهور إرادة أنّ البيع لا يتم بدون مالك أو ما هو كالمالك كالولي والوكيل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مقابلة تمامه من دون رضى المالك وإجازته، لا أنّ المراد أن صورة البيع لا تقع إلا من المالك؛ لبطلانه بالضرورة، أو يراد بنفي البيع نفي لزومه، وهو من المجازات المشهورة المساوقة للحقيقة أو المقدمة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ولا تراضي في الفضولي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مردود بأن التجارة هي النقل والانتقال لا مجرد إيقاع نفس العقد، وهما لا يتمان إلا برضی المالك وإجازته، ونحن نقول بصحته موقوفاً على رضاه وإجازته اللاحقة، كالوكيل بالنسبة إلى رضاه وإجازته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ولتوجه النهى </w:t>
      </w:r>
      <w:r>
        <w:rPr>
          <w:rStyle w:val="FootnoteAnchor"/>
          <w:rtl w:val="true"/>
        </w:rPr>
        <w:footnoteReference w:id="764"/>
      </w:r>
      <w:r>
        <w:rPr>
          <w:rFonts w:ascii="Amiri" w:hAnsi="Amiri" w:eastAsia="Amiri" w:cs="Amiri"/>
          <w:color w:val="111111"/>
          <w:sz w:val="28"/>
          <w:sz w:val="28"/>
          <w:szCs w:val="28"/>
          <w:rtl w:val="true"/>
          <w:lang w:bidi="ar-SA"/>
        </w:rPr>
        <w:t>إليه، فيقضي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بمنع توجه النهي إليه في غير الغاصب؛ لأنّه لا يُعد تصرفاً، بل وفي الغاصب إذا قصد أنّ البيع للمالك، بل وفيه لو قصد لنفسه؛ لعدم كونه تصرّفاً وإن أثم بالاستيلاء عليه وبنقله وبدفعه إلى غيره، ولو سُلّم توجّه النهي فهو لأمر خارج لا يفيد فساداً في المعاملة لو تعلّق صورةً بها فكيف ولم يتعلّق صورةً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ولفقدان شرط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بإمكانها من المالك عند الإجازة، وهو كافٍ، ولا يشترط إمكانها من العاقد صورةً للأصل وعدم الدليل على أنّ المقدور بواسطة المالك عند رضاه مقدور بالذات، وذلك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تحقق قصد النقل من الفضولي، وهو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مردود بأنّ قصد النقل العرفي كافٍ، وقصد النقل الشرعي غير شرط؛ للأصل، وعدم الدليل، وبأنه يمكن القصد للنقل شرعاً في غير الغاصب بضميمة قصد لحوق الإجازة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من النهي عن بيع ما ليس عنده في عدة أخبار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مردود بأن المراد منها بيع المعدوم، أو الغير مقدور على تسليمه مطلقاً، وهذا مقدور </w:t>
      </w:r>
      <w:bookmarkStart w:id="313" w:name="pg19000_245355"/>
    </w:p>
    <w:p>
      <w:pPr>
        <w:pStyle w:val="BookText"/>
        <w:rPr/>
      </w:pPr>
      <w:bookmarkEnd w:id="313"/>
      <w:r>
        <w:rPr>
          <w:rFonts w:ascii="Amiri" w:hAnsi="Amiri" w:eastAsia="Amiri" w:cs="Amiri"/>
          <w:color w:val="111111"/>
          <w:sz w:val="28"/>
          <w:sz w:val="28"/>
          <w:szCs w:val="28"/>
          <w:rtl w:val="true"/>
          <w:lang w:bidi="ar-SA"/>
        </w:rPr>
        <w:t xml:space="preserve">على تسليمه ولو بواسطة رضى المالك وإجازته، على أنّه قد ورد في بعض الأخبار تجويز بيع ما ليس عنده </w:t>
      </w:r>
      <w:r>
        <w:rPr>
          <w:rStyle w:val="FootnoteAnchor"/>
          <w:rtl w:val="true"/>
        </w:rPr>
        <w:footnoteReference w:id="766"/>
      </w:r>
      <w:r>
        <w:rPr>
          <w:rFonts w:ascii="Amiri" w:hAnsi="Amiri" w:eastAsia="Amiri" w:cs="Amiri"/>
          <w:color w:val="111111"/>
          <w:sz w:val="28"/>
          <w:sz w:val="28"/>
          <w:szCs w:val="28"/>
          <w:rtl w:val="true"/>
          <w:lang w:bidi="ar-SA"/>
        </w:rPr>
        <w:t xml:space="preserve">وفيها ما يشعر بأن المنع فتوى العامة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وللأخبار الواردة في النهي عن شراء السرقة والخيانة </w:t>
      </w:r>
      <w:r>
        <w:rPr>
          <w:rStyle w:val="FootnoteAnchor"/>
          <w:rtl w:val="true"/>
        </w:rPr>
        <w:footnoteReference w:id="768"/>
      </w:r>
      <w:r>
        <w:rPr>
          <w:rFonts w:ascii="Amiri" w:hAnsi="Amiri" w:eastAsia="Amiri" w:cs="Amiri"/>
          <w:color w:val="111111"/>
          <w:sz w:val="28"/>
          <w:sz w:val="28"/>
          <w:szCs w:val="28"/>
          <w:rtl w:val="true"/>
          <w:lang w:bidi="ar-SA"/>
        </w:rPr>
        <w:t>، وفي امرأة باعت أرضاً ليست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يمنعها أشدّ المنع فإنّها باعت ما لا تملكه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مردود بأن النهي لا يقضي بالفساد أولاً، وبأنه متعلّق فيمن باع لنفسه وهو أخص من الدعوى ثانياً، وبأنه متعلق بما يترتب على البيع من القبض والنقل ثالثاً، وبأنه منزل على ما هو الغالب من عدم إجازة المالك مطلقاً، وإلا فلو أجاز أو علم أنّه يجيز كان شراء من المالك لا من غيره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والأحوط الحكم بالبطلان في صورة ما إذا باع الفضولي لنفسه وسيما لو كان غاصباً؛ لفتوى جمع من الفقهاء </w:t>
      </w:r>
      <w:r>
        <w:rPr>
          <w:rStyle w:val="FootnoteAnchor"/>
          <w:rtl w:val="true"/>
        </w:rPr>
        <w:footnoteReference w:id="770"/>
      </w:r>
      <w:r>
        <w:rPr>
          <w:rFonts w:ascii="Amiri" w:hAnsi="Amiri" w:eastAsia="Amiri" w:cs="Amiri"/>
          <w:color w:val="111111"/>
          <w:sz w:val="28"/>
          <w:sz w:val="28"/>
          <w:szCs w:val="28"/>
          <w:rtl w:val="true"/>
          <w:lang w:bidi="ar-SA"/>
        </w:rPr>
        <w:t>بالفساد فيه، ولنقل الإجماع عليه</w:t>
      </w:r>
      <w:r>
        <w:rPr>
          <w:rStyle w:val="FootnoteAnchor"/>
          <w:rtl w:val="true"/>
        </w:rPr>
        <w:footnoteReference w:id="771"/>
      </w:r>
      <w:r>
        <w:rPr>
          <w:rFonts w:ascii="Amiri" w:hAnsi="Amiri" w:eastAsia="Amiri" w:cs="Amiri"/>
          <w:color w:val="111111"/>
          <w:sz w:val="28"/>
          <w:sz w:val="28"/>
          <w:szCs w:val="28"/>
          <w:rtl w:val="true"/>
          <w:lang w:bidi="ar-SA"/>
        </w:rPr>
        <w:t>، ولانطباق أدلّة المنع عليه، ولشبهة أنّ العقود تتبع القصود</w:t>
      </w:r>
    </w:p>
    <w:p>
      <w:pPr>
        <w:pStyle w:val="Heading5"/>
        <w:numPr>
          <w:ilvl w:val="4"/>
          <w:numId w:val="1"/>
        </w:numPr>
        <w:rPr/>
      </w:pPr>
      <w:bookmarkStart w:id="314" w:name="__RefHeading___Toc13372346_1280447820"/>
      <w:bookmarkStart w:id="315" w:name="_Toc119"/>
      <w:bookmarkEnd w:id="314"/>
      <w:r>
        <w:rPr>
          <w:rtl w:val="true"/>
        </w:rPr>
        <w:t>خامسها</w:t>
      </w:r>
      <w:r>
        <w:rPr>
          <w:rtl w:val="true"/>
        </w:rPr>
        <w:t xml:space="preserve">: </w:t>
      </w:r>
      <w:r>
        <w:rPr>
          <w:rtl w:val="true"/>
        </w:rPr>
        <w:t>في بيان أمور تتعلق بعقد الفضولي والإجازة اللاحقة له</w:t>
      </w:r>
      <w:bookmarkEnd w:id="315"/>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بصحة الفضولي مع تعقبه بالإجازة من مالك أو ولي أو نحوهما لا بد من التنبيه على أُمور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هل لا بدّ لها من لفظ يدلّ عليها أو ما يقوم مقامه عند عدم التمكن منه، أو يكفى الفعل الدال عليها عند التمكن من اللفظ ؛ لأنّ المقصود الرضى وقد حصل، أو لا يكفي؛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وللشكّ في حصول النقل بالعقد الأوّل ؟ وجهان، أحوطهما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يكفي السكوت وإن دلّ على الرضى على الأظهر مع احتمال الاكتفاء به؛ لما ورد في النكاح أن سكوت المولى بعد علمه إجازة لعقد عبده </w:t>
      </w:r>
      <w:r>
        <w:rPr>
          <w:rStyle w:val="FootnoteAnchor"/>
          <w:rtl w:val="true"/>
        </w:rPr>
        <w:footnoteReference w:id="773"/>
      </w:r>
      <w:r>
        <w:rPr>
          <w:rFonts w:ascii="Amiri" w:hAnsi="Amiri" w:eastAsia="Amiri" w:cs="Amiri"/>
          <w:color w:val="111111"/>
          <w:sz w:val="28"/>
          <w:sz w:val="28"/>
          <w:szCs w:val="28"/>
          <w:rtl w:val="true"/>
          <w:lang w:bidi="ar-SA"/>
        </w:rPr>
        <w:t>، فيكتفى في غيره بمفهوم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هل يشترط فيها الفورية لحديث نفي الضرار </w:t>
      </w:r>
      <w:r>
        <w:rPr>
          <w:rStyle w:val="FootnoteAnchor"/>
          <w:rtl w:val="true"/>
        </w:rPr>
        <w:footnoteReference w:id="774"/>
      </w:r>
      <w:r>
        <w:rPr>
          <w:rFonts w:ascii="Amiri" w:hAnsi="Amiri" w:eastAsia="Amiri" w:cs="Amiri"/>
          <w:color w:val="111111"/>
          <w:sz w:val="28"/>
          <w:sz w:val="28"/>
          <w:szCs w:val="28"/>
          <w:rtl w:val="true"/>
          <w:lang w:bidi="ar-SA"/>
        </w:rPr>
        <w:t>، فلو لم يُجز فوراً بطل العقد الأوَّل، أو لا يشترط؛ للأصل، ولظاهر الأدلّة المتقدّمة ؟ وجهان،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ناقلة من حينها فالنماء قبلها لمُلّاكه، أو كاشفة عن الصحّة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الصحّة الثابتة من قبل انكشفت بها؛ لأنّها موقوفة على حصول الشرط وهو الرضى في أحد الأزمنة ولو متأخراً فبالإجازة بان حصوله، أو بمعنى أن الإجازة أثرت صحّة في العقد الماضي حين صدوره فيها انكشف أنّ العقد الأوّل كان صحيحاً من حينه ؟ وجوه، أقواها الوسط، وربما كان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به حديث إجازة الصبي بعد موت البالغ </w:t>
      </w:r>
      <w:r>
        <w:rPr>
          <w:rStyle w:val="FootnoteAnchor"/>
          <w:rtl w:val="true"/>
        </w:rPr>
        <w:footnoteReference w:id="775"/>
      </w:r>
      <w:r>
        <w:rPr>
          <w:rFonts w:ascii="Amiri" w:hAnsi="Amiri" w:eastAsia="Amiri" w:cs="Amiri"/>
          <w:color w:val="111111"/>
          <w:sz w:val="28"/>
          <w:sz w:val="28"/>
          <w:szCs w:val="28"/>
          <w:rtl w:val="true"/>
          <w:lang w:bidi="ar-SA"/>
        </w:rPr>
        <w:t xml:space="preserve">، فإنّه على النقل لا محلّ لها، وحديث عروة حيث بارك في صفقة يمينه </w:t>
      </w:r>
      <w:r>
        <w:rPr>
          <w:rStyle w:val="FootnoteAnchor"/>
          <w:rtl w:val="true"/>
        </w:rPr>
        <w:footnoteReference w:id="776"/>
      </w:r>
      <w:r>
        <w:rPr>
          <w:rFonts w:ascii="IRNazanin" w:hAnsi="IRNazanin" w:eastAsia="IRNazanin"/>
          <w:color w:val="111111"/>
          <w:sz w:val="28"/>
          <w:sz w:val="28"/>
          <w:szCs w:val="28"/>
          <w:rtl w:val="true"/>
          <w:lang w:bidi="fa-IR"/>
        </w:rPr>
        <w:t>، فإنّه مشعر بوقوعها وتمامها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حديث الوليدة </w:t>
      </w:r>
      <w:r>
        <w:rPr>
          <w:rStyle w:val="FootnoteAnchor"/>
          <w:rtl w:val="true"/>
        </w:rPr>
        <w:footnoteReference w:id="777"/>
      </w:r>
      <w:r>
        <w:rPr>
          <w:rFonts w:ascii="Amiri" w:hAnsi="Amiri" w:eastAsia="Amiri" w:cs="Amiri"/>
          <w:color w:val="111111"/>
          <w:sz w:val="28"/>
          <w:sz w:val="28"/>
          <w:szCs w:val="28"/>
          <w:rtl w:val="true"/>
          <w:lang w:bidi="ar-SA"/>
        </w:rPr>
        <w:t>، حيث لم يرجع السيّد عليه بشيءٍ بعد الإمضاء، كما ربما ظهر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 أهل النقل لظاهر الجزئية والأصل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بناء النقل والكشف على مقتضى ظاهر الإجازة وحال المُجيز، فيجوز الانصراف عن مقتضاهما مع تصريح المجيز بالنقل عند الإجازة أو الكشف إلى ما صرح به، أو على الحكم الذاتي اللاحق للفضولية، فبناءً على أحدهما يكون عدول المُجيز عنه مبطلاً لإجازته ؟ وجهان، أقواهما الأوّل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الكشف والنقل حكم نماء الثمن والمثمن، وحكم ابتداء خيارهما، وحكم مجلس الصرف والسَّلَم، وحكم ما لو انسلخت قابلية الملك من أحدهما بموته، أو قابلية النقل بجنونه وسفهه قبل إجازة الآخر، وحكم ما لو انسلخت قابلية المنقول للنقل قبل الإجازة </w:t>
      </w:r>
    </w:p>
    <w:p>
      <w:pPr>
        <w:pStyle w:val="BookText"/>
        <w:rPr/>
      </w:pPr>
      <w:r>
        <w:rPr>
          <w:rFonts w:ascii="Amiri" w:hAnsi="Amiri" w:eastAsia="Amiri" w:cs="Amiri"/>
          <w:color w:val="111111"/>
          <w:sz w:val="28"/>
          <w:sz w:val="28"/>
          <w:szCs w:val="28"/>
          <w:rtl w:val="true"/>
          <w:lang w:bidi="ar-SA"/>
        </w:rPr>
        <w:t>بتلفه، أو انقلابه إلى النجس، أو للمنع من نقله كأم الولد أو انسلخت قابلية المنقول إليه للنقل، كما إذا ارتد المشتري عبداً مسلماً أو مصحفاً قبل الإجازة، وحكم ما لو تجددت القابلية بعد انعدامها وقت العقد قبل الإجازة، إلى غير ذلك للمتأمل، فإنّ العقد يتم بالإجازة على القول بالنقل، فتجري أحكامه عند حصولها، ويتمّ عند صدوره على القول بالكشف، فتجري عليه أحكامه عند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للأصيل فسخ لا قبل إجازة المالك ولا بعدها، إلا إذا قلنا بعدم الفورية في الإجازة فأبى المالك عن إظهار الإجازة وعن إظهار المنع إلى أن تضرر الأصيل بالتأخير، فلا يبعد حينئذٍ جواز الفسخ منه ؛ لحديث نفي الضرار </w:t>
      </w:r>
      <w:r>
        <w:rPr>
          <w:rStyle w:val="FootnoteAnchor"/>
          <w:rtl w:val="true"/>
        </w:rPr>
        <w:footnoteReference w:id="778"/>
      </w:r>
      <w:r>
        <w:rPr>
          <w:rFonts w:ascii="Amiri" w:hAnsi="Amiri" w:eastAsia="Amiri" w:cs="Amiri"/>
          <w:color w:val="111111"/>
          <w:sz w:val="28"/>
          <w:sz w:val="28"/>
          <w:szCs w:val="28"/>
          <w:rtl w:val="true"/>
          <w:lang w:bidi="ar-SA"/>
        </w:rPr>
        <w:t>، سيّما مع جهله بالفضولية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 الفضولي شيئين عن شخصين بثمن واحد فأجاز أحدهما، صح فيما أجاز، وبطل بالنسبة إلى مَنْ لم يُجز، وثبت خيار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تعيّن المجاز واقعاً، فلو أجاز أحدهما مبهماً بطل، ولو أجاز المالك ما فعل الفضولي وإن لم يعلم فعله من زيادة في الثمن أو نقيصة أو حلولٍ أو تأجيل صحت الإجازة، ولا يشترط فيها العلم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المطابقة بين العقد الواقع ومتعلّق الإجازة في جنس الثمن والمثمن والمكان والزمان والخيار؛ للشك في حصول النقل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التبعيض في قدر الثمن أو المثمن سيّما لو كان الثمن عيناً ومنفعةً فأجاز أحدهما بما يخصه من الثمن، فإنّه لا يبعد، ويكون للأصيل خيار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تعدّدت العقود، فإن لم تكن متضادة كبيع دار وإجارتها، فأجازهما دفعةً، صحا معاً، وكان للمشتري الخيار لفوات المنفعة، وإن أجاز البيع أولاً بطلت الإجارة، وإن أجاز الإجارة أولاً صح له أن يجيز البيع، وللمشتري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متضادةً، فإن أجازه أوّلاً صح وفسد ما بعده، وإن أجازها دفعةً بطل الجميع على النقل، وصح السابق على الكشف، وإن كانت مقترنة بطل الجميع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أجاز المالك بزعم أنّ المال له فظهر للمولّى عليه أو لموكله، أو أجاز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بزعم أنّه للمولّى عليه أو لموكله فظهر أنّه له، ففي نفوذ الإجازة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تعلّق الإجازة بالإجازة الفضولية، ولكنّه على النقل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أجاز عقداً معلوماً فجهل، أو أجاز أوّل عقد فجهل الأوّل قبل الإجازة أو بعدها قوي احتمال استخراجه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كثرت تصرّفات الفضولي في ثمن أو مثمن، فللمالك تتبع العقود ورعاية مصلحته، فإن كانت مترتبة على عين واحدة ثمناً أو مثمناً أو هما معاً فإجازة العالي تقضي بصحة السافل؛ لوقوعها من أهلها في محلّها، هذا على الكشف، وعلى النقل يقوم احتمال البطلان في الأسافل؛ لعدم مصادفة الملك، والصحّة؛ نظراً إلى أن حدوث الملك بمنزلة الإجازة، والتوقف على الإجازة في صحتها، وجوه، أوسطها الوسط، وأما إجازة السافل فلا تقضي بصحة العالي؛ لعدم ارتباطه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مترتبة على أعيان متغايرة، كأن يبيع شيئاً ثمّ يتصرف بثمنه ثم يتصرف بمثمنه وهكذا، فإجازة السافل تقضي بإجازة العالي تبعاً من باب المقدمة؛ لعدم تأثيرها من دون وقوعه، وأما إجازة العالي فلا تقضي بإجازة السافل؛ لأنّ العوض صار ملكاً للمجيز، فلا ينقل عنه إلا بإجازة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لا بدّ في الإجازة من وجود المجيز حالة العقد إلى تمامه ولو تم بالقبض كالصرف، أو لا يشترط ؟ وعلى الاشتراط فهل يشترط قابليّة المُجيز بالفعل للإجازة حين العقد إلى تمامه، أو لا يشترط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الاشتراط على القول بالنقل، والأظهر عدمه على القول بالكشف أيضاً؛ للأصل، وعموم الأدلّة، ولما ورد في نكاح الفضوليين للصبيين ثم مات أحدهما وبقي الآخر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إجازة البالغ ماضية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وجود مُجيز حالة العقد من اشتراط تحصيل الحاصل؛ لعدم خلوّ المال من مالك أو ولي ولو الحاكم أو عدول المسلمين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بإرادة المالك أو ولي غير الحاكم وغير عدول المسلمين، أو يجاب بإمكان ذلك مع العقد من دون مصلحة على مال اليتيم، فإنّه لا يتولى الحاكم أو العدول للإجازة </w:t>
      </w:r>
    </w:p>
    <w:p>
      <w:pPr>
        <w:pStyle w:val="BookText"/>
        <w:rPr/>
      </w:pPr>
      <w:r>
        <w:rPr>
          <w:rFonts w:ascii="Amiri" w:hAnsi="Amiri" w:eastAsia="Amiri" w:cs="Amiri"/>
          <w:color w:val="111111"/>
          <w:sz w:val="28"/>
          <w:sz w:val="28"/>
          <w:szCs w:val="28"/>
          <w:rtl w:val="true"/>
          <w:lang w:bidi="ar-SA"/>
        </w:rPr>
        <w:t>حينئذٍ، فإذا بلغ لم تؤثر إجازته شيئاً على القول بالمنع؛ لعدم كون العقد له مجيز وقت صدوره، ولعدم قابلية المجيز بعد البلوغ للإجازة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قابلية المعقود عليه للإجازة من العاقد حين العقد من إحراز شرط أو ارتفاع مانع، فلو اشترى مسلم من كافر فضولاً عبداً مسلماً أو مصحفاً ثمّ أسلم الكافر لم تؤثر إجازته أو عقد عن محرم نكاحاً فأجازه محلاً، أو عقد عنه على صيد كذلك أو عقد المسلم عن مسلم على خمرٍ فأجازه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 هذه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على القول بالكشف، والصحّة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هل تؤثر الإجازة ممّن باع شيئاً فضولاً فمَلَكه قهراً أو اختياراً؛ لصدور كلّ من العقد والإجازة من أهله في محلّه، أو لا تؤثر؛ لأنّها إنّما تكون من المالك، ولا يكون مالكاً إذا أجاز؛ لكشفها عن ملك المعقود عليه سابقاً، فيلزم من وجودها عدمها ومن صحتها بطلانها، ويلزم اجتماع المالكين على مملوك واحد ؟ فالحق صحّة ذلك على القول بالنقل وعدمه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ما لو باع الفضولي فعاد وليّاً؛ لجنون أو سفه أو لموت ولي آخر أو لبلوغه رتبة الولاية، أو أجر المملوك نفسه فعاد حُرِّاً أو مَلَكه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فسخ المالك عقد الفضولي بطل العقد، ولا تصحّ إجازته بعد ذلك، ويرجع على البائع لو استولت يده على العين دون المشتري، وعلى المشتري لو استولت 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استوليا معاً تخيّر بالرجوع، فإن رجع على البائع وجب عليه الرد ولو من المشتري ولو بمال كثير حتّى لو كان فوق قيمته وكان مجحفاً بالحال، ولكنّه في ذلك على إشكال، وإن رجع على المشتري، وجب عليه الردّ ولو من البائع وإن كان بما يضر بالحال، ولكن على إشكال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 المشتري مع الرجوع على البائع، ومع عدمه مع جهله وغروره من طرف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وكالة أو ولاية، أو إظهار سلطان ملك أو ولاية على البائع متحداً أو متعدداً كان مجموعهم سبباً للغرور أو كلّ منهم سبباً مستقلاً به اختلفت جهة غرورهم للمشتري أو اتحدت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بثمنه المدفوع إليه عيناً، ومع عدمه مثلاً أو قيمةً، وبما غرمه على النحو المعتاد من نفقة أو أجرة منفعةٍ لم يصل إليه في مقابلها نفع، أو نماء تالف أو متلف، أو أرش جناية مملوك، أو قيمة شجر أفسده القلع، أو زرع، أو غرامة على شق أنهار أو حفر آبار أو طم حفر أو بناء 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زاد على المعتاد من الغرامات أو ما وصل إليه في مقابله نفع، كاستيفاء منفعة من سكنى دار أو ركوب حمار، أو انتفاع بنماء، أو كان من التوابع البعيدة أو الأعمال المسنونة، ففي الرجوع وجهان، أقواهما الرجوع؛ لأدلّة نفي الغرر </w:t>
      </w:r>
      <w:r>
        <w:rPr>
          <w:rStyle w:val="FootnoteAnchor"/>
          <w:rtl w:val="true"/>
        </w:rPr>
        <w:footnoteReference w:id="780"/>
      </w:r>
      <w:r>
        <w:rPr>
          <w:rFonts w:ascii="IRNazanin" w:hAnsi="IRNazanin" w:eastAsia="IRNazanin"/>
          <w:color w:val="111111"/>
          <w:sz w:val="28"/>
          <w:sz w:val="28"/>
          <w:szCs w:val="28"/>
          <w:rtl w:val="true"/>
          <w:lang w:bidi="fa-IR"/>
        </w:rPr>
        <w:t xml:space="preserve">والضرر </w:t>
      </w:r>
      <w:r>
        <w:rPr>
          <w:rStyle w:val="FootnoteAnchor"/>
          <w:rtl w:val="true"/>
        </w:rPr>
        <w:footnoteReference w:id="781"/>
      </w:r>
      <w:r>
        <w:rPr>
          <w:rFonts w:ascii="IRNazanin" w:hAnsi="IRNazanin" w:eastAsia="IRNazanin"/>
          <w:color w:val="111111"/>
          <w:sz w:val="28"/>
          <w:sz w:val="28"/>
          <w:szCs w:val="28"/>
          <w:rtl w:val="true"/>
          <w:lang w:bidi="fa-IR"/>
        </w:rPr>
        <w:t xml:space="preserve">والعدوان </w:t>
      </w:r>
      <w:r>
        <w:rPr>
          <w:rStyle w:val="FootnoteAnchor"/>
          <w:rtl w:val="true"/>
        </w:rPr>
        <w:footnoteReference w:id="782"/>
      </w:r>
      <w:r>
        <w:rPr>
          <w:rFonts w:ascii="Amiri" w:hAnsi="Amiri" w:eastAsia="Amiri" w:cs="Amiri"/>
          <w:color w:val="111111"/>
          <w:sz w:val="28"/>
          <w:sz w:val="28"/>
          <w:szCs w:val="28"/>
          <w:rtl w:val="true"/>
          <w:lang w:bidi="ar-SA"/>
        </w:rPr>
        <w:t xml:space="preserve">، وفي خبر جميل </w:t>
      </w:r>
      <w:r>
        <w:rPr>
          <w:rStyle w:val="FootnoteAnchor"/>
          <w:rtl w:val="true"/>
        </w:rPr>
        <w:footnoteReference w:id="783"/>
      </w:r>
      <w:r>
        <w:rPr>
          <w:rFonts w:ascii="Amiri" w:hAnsi="Amiri" w:eastAsia="Amiri" w:cs="Amiri"/>
          <w:color w:val="111111"/>
          <w:sz w:val="28"/>
          <w:sz w:val="28"/>
          <w:szCs w:val="28"/>
          <w:rtl w:val="true"/>
          <w:lang w:bidi="ar-SA"/>
        </w:rPr>
        <w:t>دلالة عليه، وقضيّة العدل تشير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جهل المشتري لا يرجع على البائع بما غرمه، كعوض ما أتلفه من نماء أو غيره من منافع أو غيرها، وصل إليه في مقابله نفع أم لا، ولا بما أنفقه، ولا بالثمن إذا أتلفه البائع؛ للإجماع بقسميه </w:t>
      </w:r>
      <w:r>
        <w:rPr>
          <w:rStyle w:val="FootnoteAnchor"/>
          <w:rtl w:val="true"/>
        </w:rPr>
        <w:footnoteReference w:id="784"/>
      </w:r>
      <w:r>
        <w:rPr>
          <w:rFonts w:ascii="Amiri" w:hAnsi="Amiri" w:eastAsia="Amiri" w:cs="Amiri"/>
          <w:color w:val="111111"/>
          <w:sz w:val="28"/>
          <w:sz w:val="28"/>
          <w:szCs w:val="28"/>
          <w:rtl w:val="true"/>
          <w:lang w:bidi="ar-SA"/>
        </w:rPr>
        <w:t>، ولأنّه بتسليطه عليه مع علمه قد هتك حرمة ماله، فكأنه أذن له في إتلافه وأعرض عنه، وإن أثم البائع في أخذه والتصرف فيه، وكان ضامناً له ومشغول الذمة في وجه قوي، ولا ملازمة بين شغل الذمة وحرمة الرجوع به والمقاصة فيه كما تذهب اليمين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بعدم الرجوع مخالف للقواعد، فيقتصر فيه على المورد اليقين في بيع المغصوب، فلا يجري للبيع الفاسد، بل يضمن كلّ من المتعاقدين فيه مال صاحبه بالمثل أو القيمة حتّى لو كان فساده لكون العوض غير قابل أو لعدم المقابل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بعدم الضمان في خصوص هذين إلحاقاً له بالمغصوب،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ويقتصر فيه على ما لو أطلق المتعاقدان البيع، دون ما لو شرط المشتري بقاء ثمنه مدةً فأتلفه قبلها، أو شرط الرجوع عليه عند الرجوع عليه بالمبيع، أو شرط له خياراً، ونحو ذلك، كأن باعه مغصوباً فدفع عوضه من ماله، فإنّ الأظهر أن المدار على المدفوع، أو باعه المغصوب فقبض الثمن فأتلفه قبل تقبيض العين المغصوبة له، فإنّ الحكم بالضمان ها هنا أقوى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بالثمن مع وجوده على مقتضى الأصول والقواعد واستصحاب الملك؛ لعدم حصول ما يقطعه من الإعراض الحقيقي أو الهبة أو أحد الأسباب الشرعيَّة، ولأن الدافع لم يدفعه إلا في مقابلة عوض صورةً وإن شك أو علم أنّه لا يسلم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بوجوده إتلافه من أجنبي قابل للضمان؛ للشكّ في تخصيص القواعد بإتلافه، وغاية ما يتيقن من تخصيص القواعد الشرعيَّة والضوابط المرعيّة هو ما إذا كان المتلف البائع أو كان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جواز الرجوع مع بقاء العين أيضاً </w:t>
      </w:r>
      <w:r>
        <w:rPr>
          <w:rStyle w:val="FootnoteAnchor"/>
          <w:rtl w:val="true"/>
        </w:rPr>
        <w:footnoteReference w:id="785"/>
      </w:r>
      <w:r>
        <w:rPr>
          <w:rFonts w:ascii="Amiri" w:hAnsi="Amiri" w:eastAsia="Amiri" w:cs="Amiri"/>
          <w:color w:val="111111"/>
          <w:sz w:val="28"/>
          <w:sz w:val="28"/>
          <w:szCs w:val="28"/>
          <w:rtl w:val="true"/>
          <w:lang w:bidi="ar-SA"/>
        </w:rPr>
        <w:t xml:space="preserve">، وربما نقل عليه الإجماع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به كالإجماع المنقول عليه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هو باقٍ على ملكيّة المشتري مع تحريم المطالبة به، أو مع تحريمه مطلقاً عليه، أو ينتقل إلى ملك البائع مع تحريم التصرف به، أو مع عدمه ومع وجوب رده للمشتري ومع عدمه، أو يخرج عن ملك المشتري ولا يدخل في ملك البائع؛ جمعاً بين ما دلّ على حرمة الرجوع من المشتري، وعلى توقف الملك على الأسباب الشرعيَّة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المالك لو لم يجز ورجع لماله فوجده تالفاً أخذ قيمته يوم التلف؛ لأنّه يوم تعلق الخطاب واستقرار الضمان ونُسب للأشهر والأكثر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القبض </w:t>
      </w:r>
      <w:r>
        <w:rPr>
          <w:rStyle w:val="FootnoteAnchor"/>
          <w:rtl w:val="true"/>
        </w:rPr>
        <w:footnoteReference w:id="788"/>
      </w:r>
      <w:r>
        <w:rPr>
          <w:rFonts w:ascii="Amiri" w:hAnsi="Amiri" w:eastAsia="Amiri" w:cs="Amiri"/>
          <w:color w:val="111111"/>
          <w:sz w:val="28"/>
          <w:sz w:val="28"/>
          <w:szCs w:val="28"/>
          <w:rtl w:val="true"/>
          <w:lang w:bidi="ar-SA"/>
        </w:rPr>
        <w:t xml:space="preserve">استناداً للأصل، ولأنّ القبض سبب لتعلّق الخطاب برد العين مع وجودها وقيمتها عند تلفها، ولإشعار رواية البغل </w:t>
      </w:r>
      <w:r>
        <w:rPr>
          <w:rStyle w:val="FootnoteAnchor"/>
          <w:rtl w:val="true"/>
        </w:rPr>
        <w:footnoteReference w:id="789"/>
      </w:r>
      <w:r>
        <w:rPr>
          <w:rFonts w:ascii="Amiri" w:hAnsi="Amiri" w:eastAsia="Amiri" w:cs="Amiri"/>
          <w:color w:val="111111"/>
          <w:sz w:val="28"/>
          <w:sz w:val="28"/>
          <w:szCs w:val="28"/>
          <w:rtl w:val="true"/>
          <w:lang w:bidi="ar-SA"/>
        </w:rPr>
        <w:t>به، حيث أوجب عليه قيمته إذ تلف يوم المخالفة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مقطوع بموجب القواعد، وقد يكون مقلوباً، والقبض سبب لتعلّق الخطاب تعليقاً لا تنجيزاً، فلا يترتب عليه من حينه،ضمان والرواية دالة على ضمان القيمة في يوم الغصب، وهو أعم من القبض، إلا أن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الساعة التي تحقق القبض فيها؛ لبعد الاختلاف بينهما، كما نريد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في هذه الموارد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القيم ما بين القبض والتلف </w:t>
      </w:r>
      <w:r>
        <w:rPr>
          <w:rStyle w:val="FootnoteAnchor"/>
          <w:rtl w:val="true"/>
        </w:rPr>
        <w:footnoteReference w:id="790"/>
      </w:r>
      <w:r>
        <w:rPr>
          <w:rFonts w:ascii="Amiri" w:hAnsi="Amiri" w:eastAsia="Amiri" w:cs="Amiri"/>
          <w:color w:val="111111"/>
          <w:sz w:val="28"/>
          <w:sz w:val="28"/>
          <w:szCs w:val="28"/>
          <w:rtl w:val="true"/>
          <w:lang w:bidi="ar-SA"/>
        </w:rPr>
        <w:t xml:space="preserve">للاحتياط، ولأن الغاصب يؤخذ بأشق الأحوال </w:t>
      </w:r>
    </w:p>
    <w:p>
      <w:pPr>
        <w:pStyle w:val="BookText"/>
        <w:rPr/>
      </w:pPr>
      <w:r>
        <w:rPr>
          <w:rFonts w:ascii="Amiri" w:hAnsi="Amiri" w:eastAsia="Amiri" w:cs="Amiri"/>
          <w:color w:val="111111"/>
          <w:sz w:val="28"/>
          <w:sz w:val="28"/>
          <w:szCs w:val="28"/>
          <w:rtl w:val="true"/>
          <w:lang w:bidi="ar-SA"/>
        </w:rPr>
        <w:t>بمقتضى الحكمة، ولأنّه مخاطب على الاستمرار بدفع العين أو القيمة، فجميع القيم تعلّق بها الخطاب، فلا بد من قيمة تأتي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791"/>
      </w:r>
      <w:r>
        <w:rPr>
          <w:rFonts w:ascii="Amiri" w:hAnsi="Amiri" w:eastAsia="Amiri" w:cs="Amiri"/>
          <w:color w:val="111111"/>
          <w:sz w:val="28"/>
          <w:sz w:val="28"/>
          <w:szCs w:val="28"/>
          <w:rtl w:val="true"/>
          <w:lang w:bidi="ar-SA"/>
        </w:rPr>
        <w:t xml:space="preserve">القول به للأشهر، وربما ظهر من بعضهم نقل الإجماع عليه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ما بين القبض والتسليم </w:t>
      </w:r>
      <w:r>
        <w:rPr>
          <w:rStyle w:val="FootnoteAnchor"/>
          <w:rtl w:val="true"/>
        </w:rPr>
        <w:footnoteReference w:id="793"/>
      </w:r>
      <w:r>
        <w:rPr>
          <w:rFonts w:ascii="Amiri" w:hAnsi="Amiri" w:eastAsia="Amiri" w:cs="Amiri"/>
          <w:color w:val="111111"/>
          <w:sz w:val="28"/>
          <w:sz w:val="28"/>
          <w:szCs w:val="28"/>
          <w:rtl w:val="true"/>
          <w:lang w:bidi="ar-SA"/>
        </w:rPr>
        <w:t xml:space="preserve">استناداً لجملةٍ مما قدمنا، وللجمع في رواية البغل </w:t>
      </w:r>
      <w:r>
        <w:rPr>
          <w:rStyle w:val="FootnoteAnchor"/>
          <w:rtl w:val="true"/>
        </w:rPr>
        <w:footnoteReference w:id="794"/>
      </w:r>
      <w:r>
        <w:rPr>
          <w:rFonts w:ascii="Amiri" w:hAnsi="Amiri" w:eastAsia="Amiri" w:cs="Amiri"/>
          <w:color w:val="111111"/>
          <w:sz w:val="28"/>
          <w:sz w:val="28"/>
          <w:szCs w:val="28"/>
          <w:rtl w:val="true"/>
          <w:lang w:bidi="ar-SA"/>
        </w:rPr>
        <w:t>بين الأمر بالقيمة الأمر بالقيمة يوم الغصب،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بها يوم الردّ بحملهما على إرادة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نقصان القيمة إن كان لنقص في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كالهزال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أو هيئة فضمانه لا إشكال فيه؛ لدخوله تحت اليد وإن كان لارتفاع سوق ونحوه فمنظور فيه؛ للمنع من إيجاب دليل الاحتياط لذلك، والمنع من حجّيّة قاعدة أنّ الغاصب يؤخذ بأشق الأحوال، والمنع من تعلّق الخطاب بوجوب دفع القيمة تنجيزاً والتعلّق التعليقي لا يترتب عليه ضمان، والمنع من دلالة الرواية على لزوم أعلى القيم؛ لأنّه سأله عن بغل استأجره إلى مكان فتعدّى به إلى آخر فإذا تلف ما يلزمه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أنّه إن أصابه عيب ما يلزمه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ما بين الصحّة والعيب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مقدار ما يلزمه من القيمة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بشهود يشهدون بقدر قيمته يوم أكرى فيلزمه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فذيله قاض بيوم الأمانة، ووسطه قاض بيوم الردّ إن تعلّق الظرف بالقيمة لا بوجوبها ولزومها، وأوله بيوم الغصب إن تعلّق بالقيمة أيضاً لا بلزومها، فاستنباط أعلى القيم منه بعيد لا يصلح أن يكون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يوم التسليم </w:t>
      </w:r>
      <w:r>
        <w:rPr>
          <w:rStyle w:val="FootnoteAnchor"/>
          <w:rtl w:val="true"/>
        </w:rPr>
        <w:footnoteReference w:id="795"/>
      </w:r>
      <w:r>
        <w:rPr>
          <w:rFonts w:ascii="Amiri" w:hAnsi="Amiri" w:eastAsia="Amiri" w:cs="Amiri"/>
          <w:color w:val="111111"/>
          <w:sz w:val="28"/>
          <w:sz w:val="28"/>
          <w:szCs w:val="28"/>
          <w:rtl w:val="true"/>
          <w:lang w:bidi="ar-SA"/>
        </w:rPr>
        <w:t>؛ استناداً لرواية البغل</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قيمته يوم المطالبة؛ لأنّه به يتضيّق وجوب تفريغ الذمة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التخيير بين الكلّ، أو بين يوم التلف والقبض، أو بينهما وبين يوم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والأقرب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والأظهر من الرواية الثاني، والأوفق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بالتخيير ما بين يوم الغصب ويوم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فقرتي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لزوم أقلّ القِيَم؛ للأصل، أو لزوم أعلاها إن كانت العين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 من إرجاعها، ولزوم قيمة يوم التلف إن كانت تالفة لا بأس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 قيميّاً، وإن كان مثليّاً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يأتي بيانه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مثله، فإن تعذر المثل لزمه قيمة ما تعذر مثله يوم التعذر؛ لأنّه يوم تعلّق الخطاب بالقيمة، أو يوم الأداء؛ لأنّه يوم استقرارها، مع احتمال لزوم قيمته يوم القبض، أو قيمته يوم التلف، أو قيمته يوم المطالبة، أو أعلى القيم ما بين الكلّ، أو ما بين اثنين منها أو الثلاثة، أو التخيير بين الكلّ، أو بين اثنين منها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المالك أيضاً بقيمة النماء المتلوف تحت يد البائع أو المشتري، وبقيمة المنافع المستوفاة، وفي النماء المتلوف لنفسه كأن ولدت الدابة بعد أن ذهبت إلى مكان آخر عنه لا يتسلّط الغاصب عليه فذهب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أجاز المالك البيع صار المبيع ملكاً للمشتري ودخل في ضمانه، سواء دفعه الفضولي إليه أو لا، فإن تلف قبل قبضه انفسخ البيع، وعاد مضموناً على الفضولي الغاصب على الأظهر، وكذا لو تلف المبيع في زمن خيار المشتري فكذلك في ضمانه على الغاصب، إلا إذا دفعه الغاصب إلى المشتري بإذن المالك، فإنّه يبرأ من ضمانه حينئذٍ، كما إذا أذن له بالقبض فيما يتوقف على القبض كالصرف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الضمان يكون على المالك إذا أذن للغاصب بدفعه فتلف زمن خيار المشتري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الثمن فالمشتري مطلوب فيه للمالك، فإن كان البائع قد قبضه وأجاز القبض المالك برى المشتري من ضمانه، وإن لم يُجز المالك قبضه، فإن كان كلّيّاً وجب عليه تأديته للمالك مرّةً أُخرى، وإن كان معيّناً وجب عليه تخليصه من البائع الفضولي ودفعه إلى المالك، وكان المالك مخيّراً بين الرجوع إلى المشتري فيرجع إلى البائع وبين الرجوع على البائع ابتداءً فيأخذ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العين مع وجودها، وإلا فالمثل أو القيمة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المالك لو لم يُجز وغرم المشتري المبيع وكان تلفه عنده لم يرجع على البائع </w:t>
      </w:r>
    </w:p>
    <w:p>
      <w:pPr>
        <w:pStyle w:val="BookText"/>
        <w:rPr/>
      </w:pPr>
      <w:r>
        <w:rPr>
          <w:rFonts w:ascii="Amiri" w:hAnsi="Amiri" w:eastAsia="Amiri" w:cs="Amiri"/>
          <w:color w:val="111111"/>
          <w:sz w:val="28"/>
          <w:sz w:val="28"/>
          <w:szCs w:val="28"/>
          <w:rtl w:val="true"/>
          <w:lang w:bidi="ar-SA"/>
        </w:rPr>
        <w:t>بشيء مع علمه بالغصب، ومع جهله لا يرجع عليه بقدر ما قابل ما دفعه من الثمن؛ لإقدامه على ضمانه إذا تساوى جنس المبيع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يرجع إليه بالزائد عمّا قابل الثمن وبجنس ما دفعه إن كان مغايراً؛ لأنّه مغرور من البائع وقد أقدم على أنّه سالم له، أو لا يرجع؛ لإقدامه في العقد على الضمان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البراءة ؟ وجهان، أقواهما الثاني، سيّما لو شرط البائع عليه عدم الرجوع إليه لو ظهر مستحقاً فرجع المالك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غرّم المالك البائع وكان التلف مستقراً عند المشتري، رجع البائع على المشتري بمقدار ما غرم للمالك، فيؤخذ منه من مال المالك مقاصةً؛ لأنّه رضي بعوض ماله من البائع، فكأنه سلطه على أخذه من المشتري، إلا في الزائد عمّا قابل الثمن مع جهل المشتري فالوجهان، وللبائع أن يأخذ ثمن المشتري مقاصةً عند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للمشتري مع علمه احتساب ما على البائع من ثمنه بعد تلفه عليه في مقابلة ما غرمه البائع، وكان له الرجوع عليه؛ لاستقرار التلف عنده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باع ما يملك وما لا يملك، صح فيما يملك أو ما كان سلطانه عليه ما لم يمنع منه مانع آخر للإجماع المنقول </w:t>
      </w:r>
      <w:r>
        <w:rPr>
          <w:rStyle w:val="FootnoteAnchor"/>
          <w:rtl w:val="true"/>
        </w:rPr>
        <w:footnoteReference w:id="797"/>
      </w:r>
      <w:r>
        <w:rPr>
          <w:rFonts w:ascii="Amiri" w:hAnsi="Amiri" w:eastAsia="Amiri" w:cs="Amiri"/>
          <w:color w:val="111111"/>
          <w:sz w:val="28"/>
          <w:sz w:val="28"/>
          <w:szCs w:val="28"/>
          <w:rtl w:val="true"/>
          <w:lang w:bidi="ar-SA"/>
        </w:rPr>
        <w:t>وفتوى الفحول، ولأنّ الأسباب الشرعيَّة كالعقلية تؤثر في القابل دون غيره، والأول إلى الجهالة بعد التقسيط غير ضائر بعد العلم ابتداء بمقابلة الجملة للجملة، وعدم القصد إلى المجموع شرعاً لا ينافي القصد إلى البعض أو الكلّ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يملك، فإن فسخ مالكه بطل العقد بالنسبة إليه وصح في الباقي، وتبعضت الصفقة على المشتري، فله الخيار بين الفسخ وبين قبوله بما قابله من الثمن، ولا خيار للبائع؛ لإقدامه على الضرر، إلا مع جهله فالأوجه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يفسد العقد من أصله؛ لعموم أدلة العقود </w:t>
      </w:r>
      <w:r>
        <w:rPr>
          <w:rStyle w:val="FootnoteAnchor"/>
          <w:rtl w:val="true"/>
        </w:rPr>
        <w:footnoteReference w:id="798"/>
      </w:r>
      <w:r>
        <w:rPr>
          <w:rFonts w:ascii="Amiri" w:hAnsi="Amiri" w:eastAsia="Amiri" w:cs="Amiri"/>
          <w:color w:val="111111"/>
          <w:sz w:val="28"/>
          <w:sz w:val="28"/>
          <w:szCs w:val="28"/>
          <w:rtl w:val="true"/>
          <w:lang w:bidi="ar-SA"/>
        </w:rPr>
        <w:t xml:space="preserve">وللشهرة والإجماع المنقول </w:t>
      </w:r>
      <w:r>
        <w:rPr>
          <w:rStyle w:val="FootnoteAnchor"/>
          <w:rtl w:val="true"/>
        </w:rPr>
        <w:footnoteReference w:id="799"/>
      </w:r>
      <w:r>
        <w:rPr>
          <w:rFonts w:ascii="Amiri" w:hAnsi="Amiri" w:eastAsia="Amiri" w:cs="Amiri"/>
          <w:color w:val="111111"/>
          <w:sz w:val="28"/>
          <w:sz w:val="28"/>
          <w:szCs w:val="28"/>
          <w:rtl w:val="true"/>
          <w:lang w:bidi="ar-SA"/>
        </w:rPr>
        <w:t>، وللزوم الوفاء بالعقد بالمقدار الممكن، ولأنّ العقد بمنزلة السبب العقلي يؤثر في القابل دون غيره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بفساده من أصله </w:t>
      </w:r>
      <w:r>
        <w:rPr>
          <w:rStyle w:val="FootnoteAnchor"/>
          <w:rtl w:val="true"/>
        </w:rPr>
        <w:footnoteReference w:id="800"/>
      </w:r>
      <w:r>
        <w:rPr>
          <w:rFonts w:ascii="Amiri" w:hAnsi="Amiri" w:eastAsia="Amiri" w:cs="Amiri"/>
          <w:color w:val="111111"/>
          <w:sz w:val="28"/>
          <w:sz w:val="28"/>
          <w:szCs w:val="28"/>
          <w:rtl w:val="true"/>
          <w:lang w:bidi="ar-SA"/>
        </w:rPr>
        <w:t xml:space="preserve">في وجه أو من حينه في وجه آخر؛ لأصالة عدم الانتقال إلا </w:t>
      </w:r>
    </w:p>
    <w:p>
      <w:pPr>
        <w:pStyle w:val="BookText"/>
        <w:rPr/>
      </w:pPr>
      <w:r>
        <w:rPr>
          <w:rFonts w:ascii="Amiri" w:hAnsi="Amiri" w:eastAsia="Amiri" w:cs="Amiri"/>
          <w:color w:val="111111"/>
          <w:sz w:val="28"/>
          <w:sz w:val="28"/>
          <w:szCs w:val="28"/>
          <w:rtl w:val="true"/>
          <w:lang w:bidi="ar-SA"/>
        </w:rPr>
        <w:t>في المقطوع به ولتبعية العقود للقصود، والقصد الجميع فلم يحصل، وللغرر؛ لأن القدر المستحق مجهول، ولأن صيغة العقد واحدة فلا تتبعض، ولأنّه كتزويج الأُختين في عقد واحد، ولأن الكل والبعض مختلف الجنس فيفسد، كبيع الذهب فيظهر نحاساً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لأنّ الأصل مقطوع بالعموم، ولأنّ القصد قبل الإجازة متحقق، على أنّ الضمني كافٍ، ولأن الغرر ممنوع عند الابتداء؛ لكفاية معلومية مقابلة الجملة للجملة، ولا اعتبار بالغاية بعدها، ولأنّ التبعيض في المتعلّق لا يقتضي تبعيض العقد المتعلّق، ولأنّ المقتضي للبطلان في تزويج الأختين هو لزوم الترجيح بلا مرجّح لو حكمنا بالصحّة، ولأن القياس على الذهب والنحاس من القياس الباطل؛ لأنّ المبيع ليس هو الكلية، بل كلّ واحدٍ، فالواحد فرده لا 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يفسخ مالكه فأجاز، نفذ البيع ولزم، ولا خيار للمشتري، إلا على القول بالنقل ففي الخيار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من الفسخ والإمضاء فالثمن يقسّط بالنسبة إلى المالين، فمع الإجازة يأخذ كلّ من المالكين حصته، ومع عدمها يأخذ المالك حصته وينفسخ البيع بالنسبة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يوزّع الثمن على أجزاء المبيع إن كان متماثلاً في الأجزاء متساوياً في القيمة، ككثير من المثليات وبعض القيميّات كالأرض والثوب، وكذا لو كان المبيع مشاعاً مشتركاً بين اثنين، وإلا قوما جميعاً منفردين أو مجتمعين إذا لم تكن للهيئة الاجتماعية مدخلية ثم قوم أحدهما، فيؤخذ من الثمن على نحو التقويم مع توافق التقويم والثمن، وإلا أُخذ من الثمن بنسبة قيمة أحدهما لقيمة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للهيئة الاجتماعية مدخليّة، دخلت في التقويم؛ لأنّها مال تولّد من مالهما يستحقان عليه عوضاً، فيقوما مجتمعين ثم يقوم كلّ واحدٍ منضماً إلى الآخر فيؤخذ كلّ منهما بنسبة ذلك من الثمن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أنّها ليست ملكاً لأحدهما؛ لأنهما ملكا منفردين، وصفة الاجتماع جاءت من الغيب ولم تدخل تحت يد أحدهما، مدفوعة بأنّ ما جاء من الغيب ودخل في المملوك دخول جزء أو وصف تبعه، وهل يتجدد ملك إلا وهو من الغيب ؟ </w:t>
      </w:r>
    </w:p>
    <w:p>
      <w:pPr>
        <w:pStyle w:val="BookText"/>
        <w:rPr/>
      </w:pPr>
      <w:r>
        <w:rPr>
          <w:rFonts w:ascii="Amiri" w:hAnsi="Amiri" w:eastAsia="Amiri" w:cs="Amiri"/>
          <w:color w:val="111111"/>
          <w:sz w:val="28"/>
          <w:sz w:val="28"/>
          <w:szCs w:val="28"/>
          <w:rtl w:val="true"/>
          <w:lang w:bidi="ar-SA"/>
        </w:rPr>
        <w:t>وحينئذٍ فإن أثرت زيادة قيمةٍ من الجانبين بالسوية اقتسمهما المالكان بالسوية، ولم يرجع ما قابلها للمشتري، وإن كان بالتفاوت أُعطي كلّ منهم بنسبة التفاوت، وإن أثرت من جانب واحد، أخذ ما قابلها صاحبه، ولم يأخذ الآخر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أثرت نقصاً من الجانبين بالسوية، أخذ كلّ منهما بنسبة نقصه بالسوية، وإن كان بالتفاوت فبالتفاوت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أثرت نقصاً من جانب وزيادة من آخر، أخذ مالك الزائد بنسبته ومالك الناقص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تساوت قيمة الانفراد، ولو تفاوتت قيمة الانفراد لوحظا منفردين نقصاً وزيادة ومجتمعين، فيؤخذ كلّ منهما بنسبة ذلك نقصاً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والتقويم على الكشف من حين العقد، وعلى النقل من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المالك فذهبت الهيئة الاجتماعية، ردّ الفضولي على المشتري ما 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يقومان منفردين ثمّ يقوم أحدهما منفرداً، فيأخذ البائع من الثمن بنسبة قيمته منفرداً إلى قيمتهما منفردين، ويبطل فيما سوى ذلك؛ لدفع الضرر عن البائع، للزوم الحيف عليه بنقصان ثمن مبيعه عن نسبة قيمته منفرداً إلى منفردين، أو يقومان مجتمعين ثم يقوم أحدهما منفرداً، فيأخذ البائع من الثمن بنسبة قيمته منفرداً إلى قيمتها مجتمعين، لدفع الضرر عن المشتري ؛ لإقدامه على الهيئة الاجتماعية ولم تسلم له ؟ وجهان والأقوى الأخير، كما يرشد إليه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باع ما يملك وما لا يملك كالخنزير، وكان للهيئة الاجتماعية فيه مدخلية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الهيئة الاجتماعية مؤثرةً نقصاً، انعكس الأمر، ولزم الحيف على المشتري لو دفع بنسبة قيمة أحدهما منفرداً إلى قيمتهما مجتمعين، والحيف على البائع لو أخذ بنسبة قيمة أحدهما منفرداً إلى المنفردين، وترجيح جانب المشتري لا يخلو عن قوة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العقد إذا وافق المصلحة الإلهيّة مع فقد المجيز الخاص كفى عن الإجازة الفعليّة كالعقد على مال اليتيم مع المصلحة، وعلى مال الغائب عند خوف الفساد والعقد على مال الزكاة والخمس وكلّ شيءٍ يملكه الفقراء، ولا يحتاج إلى إجازة الحاكم؛ لرضى المالك الحقيقي بالعقد بعد صدوره وإن لم يسوّغه في ابتدائه لوجود الولي، كالحاكم ونائبه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باع شخص مال الزكاة في جملة أمواله بنيّة الفضولية، صح مع المصلحة، والأحوط إجازة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غاصباً من دون مصلحةٍ، توقف على إجازة الحاكم، فإذا أجاز تبع المشتري بالثمن إن أمكنه أخذه منه، وإن لم يمكنه لم يجز له أن يجيز، فيبقى كلّ من المشتري والبائع مشغول الذمة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باعها ضامناً لها، صح البيع له، سواء أظهر الضمان أو أضمره، وسواء كان معسراً أو موسراً؛ للسيرة وأدلّة نفي الحرج </w:t>
      </w:r>
      <w:r>
        <w:rPr>
          <w:rStyle w:val="FootnoteAnchor"/>
          <w:rtl w:val="true"/>
        </w:rPr>
        <w:footnoteReference w:id="802"/>
      </w:r>
      <w:r>
        <w:rPr>
          <w:rFonts w:ascii="Amiri" w:hAnsi="Amiri" w:eastAsia="Amiri" w:cs="Amiri"/>
          <w:color w:val="111111"/>
          <w:sz w:val="28"/>
          <w:sz w:val="28"/>
          <w:szCs w:val="28"/>
          <w:rtl w:val="true"/>
          <w:lang w:bidi="ar-SA"/>
        </w:rPr>
        <w:t>وما جاء في الخرص</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الضمان 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فلو امتنع عن الأداء بعده تعلّق المال بذمته، أو موقوفاً على الأداء، فبدونه يرجع الحاكم إلى نفس العين أو يجيز البيع فيأخذ الثمن من المشتري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ينتقل مال الزكاة إلى المالك بنفس نية الضمان، أو بنفس تصرفه فيه بأكل أو بيع أو غير ذلك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غافلاً عن الضمان،وعدمه، ففي مضيّ البيع والضمان أو كونه فضوليّاً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ما يملكه واستثنى حصة الفقراء ولم تكن معلومة، بطل البيع؛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الكفّار أو المخالفون مال الزكاة أو مال الخمس، فالظاهر صحّة الشراء منهم، وليس من الفضولي، ولا يتوقف على إجازة الحاكم، ولا يجب دفع شيءٍ للفقراء من الثمن؛ للسيرة القطعية، وللأخبار </w:t>
      </w:r>
      <w:r>
        <w:rPr>
          <w:rStyle w:val="FootnoteAnchor"/>
          <w:rtl w:val="true"/>
        </w:rPr>
        <w:footnoteReference w:id="805"/>
      </w:r>
      <w:r>
        <w:rPr>
          <w:rFonts w:ascii="Amiri" w:hAnsi="Amiri" w:eastAsia="Amiri" w:cs="Amiri"/>
          <w:color w:val="111111"/>
          <w:sz w:val="28"/>
          <w:sz w:val="28"/>
          <w:szCs w:val="28"/>
          <w:rtl w:val="true"/>
          <w:lang w:bidi="ar-SA"/>
        </w:rPr>
        <w:t>الخاصة في الخمس، ولتقرير الأئمّة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إدخال ذلك في الإجازة الإلهية؛ للموافقة للمصالح الدنيوية والأخروية وإن لم يؤدّ من ثمنها المشتري شيئاً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قلنا بتعلّق الزكاة بالعين تعلّق شركة أو رهانة، وإلا فلا يجري جميع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أكثر أنواع الخمس في جواز التصرف به مع الضمان فيما جرت السيرة به، كالأرباح والغوص والمعادن، وفي عدمه مع عدم الضمان إلا على جهة الفضولية</w:t>
      </w:r>
      <w:r>
        <w:rPr>
          <w:rFonts w:eastAsia="Amiri" w:cs="Amiri" w:ascii="Amiri" w:hAnsi="Amiri"/>
          <w:color w:val="111111"/>
          <w:sz w:val="28"/>
          <w:szCs w:val="28"/>
          <w:rtl w:val="true"/>
          <w:lang w:bidi="ar-SA"/>
        </w:rPr>
        <w:t xml:space="preserve">. </w:t>
      </w:r>
      <w:bookmarkStart w:id="316" w:name="pg19000_245368"/>
    </w:p>
    <w:p>
      <w:pPr>
        <w:pStyle w:val="BookText"/>
        <w:rPr/>
      </w:pPr>
      <w:bookmarkEnd w:id="316"/>
      <w:r>
        <w:rPr>
          <w:rFonts w:ascii="Amiri" w:hAnsi="Amiri" w:eastAsia="Amiri" w:cs="Amiri"/>
          <w:color w:val="111111"/>
          <w:sz w:val="28"/>
          <w:sz w:val="28"/>
          <w:szCs w:val="28"/>
          <w:rtl w:val="true"/>
          <w:lang w:bidi="ar-SA"/>
        </w:rPr>
        <w:t xml:space="preserve">وكذا لا يجوز التصرف في كلّ مال تعلّق به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كالمرهون، وكتركة الميت مع قصورها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إذن من تعلّق له الحقّ أو إجازته، فيصح العقد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التصرف فيما تعلّق به حقٌّ كحق أرش جناية الخطأ، وينفذ نفوذاً متزلزلاً، فإن وفى عنه مضى تصرفه، وإلا كان لذي الحقّ فسخه، وذلك كثمرة النخل والأشجار والمزارع إذا تعلق بها حق الخراج</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3372348_1280447820"/>
      <w:bookmarkStart w:id="318" w:name="_Toc120"/>
      <w:bookmarkEnd w:id="317"/>
      <w:r>
        <w:rPr>
          <w:rtl w:val="true"/>
        </w:rPr>
        <w:t xml:space="preserve">سادسها </w:t>
      </w:r>
      <w:r>
        <w:rPr>
          <w:rtl w:val="true"/>
        </w:rPr>
        <w:t xml:space="preserve">: </w:t>
      </w:r>
      <w:r>
        <w:rPr>
          <w:rtl w:val="true"/>
        </w:rPr>
        <w:t>في حكم ما لو باع المالك ما يملكه وما لا يملكه</w:t>
      </w:r>
      <w:bookmarkEnd w:id="318"/>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أو نقل ما يملكه أو ما هو بحكمه وما لا يملكه المسلم أو مالك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فيما يملكه، سواء كان قصد البيع إليه أصالة والآخر تبعاً، أو العكس، أو كانا أصالتين؛ لعموم الأدلّة وإطلاقاتها، ولا مانع سوى ما يتخيل من الغرر، وهو مدفوع بصورة المقابلة ابتداء، ولا ينافيه الأوّل إلى التقسيط فى الغاية، ولأنّ العقد كعقودٍ متعدّدة يتعلّق بعضها بالقابل وبعضها بغيره، ولأنّ الأسباب الشرعيَّة كالعقليّة تؤثر في القابل دون غيره، ولا يتفاوت الحال بين الجاهل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الفساد في حق العالم؛ لتعلق النهي به، أو لأنّ إقدامه على ما لم يسلم معه مع علمه جهل في حقه بمقابله في الثمن فيلزم الغرر، مدفوعة بأن ما تعلّق النهي به أصالة نقول بفساده، وما تعلّق به من حيث اجتماعه معه لو قلنا به فهو لأمر خارج، وبأن الغرر مرتفع بمقابلة الجملة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لم يكن له قيمة 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كالفضلات والتراب والحشرات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بلزوم الجهالة فيه للعالم مع قصده أصالةً فيفسد مع احتمال الصحّة وانصراف الثمن كله إلى ما يملكه، ويكون ذكره لغواً حينئذٍ، ويبطل العقد بالنسبة إلى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ويتخيّر المشتري مع الجهل؛ لتبعيض الصفقة، ويقسّط الثمن، فيؤخذ ما قابل المملوك ويسترد الباقي، ومع علم المشتري بعدم المملوكية ودفعه الثمن وتلفه من البائع لا يسترد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كثمن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قوي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محرَّماً علينا وله قيمة عند مستحليه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بقيمته عند مستحلّيه أو عند بائعيه أو مشتريه من العصاة كالخمر والخنزير والأرنب وغيرها، فيرد من الثمن ما قابله، ويأخذ ما قابل المملوك، ولو اختلف تقويمها قدّمت قيمة مستحلّيه على </w:t>
      </w:r>
    </w:p>
    <w:p>
      <w:pPr>
        <w:pStyle w:val="BookText"/>
        <w:rPr/>
      </w:pPr>
      <w:r>
        <w:rPr>
          <w:rFonts w:ascii="Amiri" w:hAnsi="Amiri" w:eastAsia="Amiri" w:cs="Amiri"/>
          <w:color w:val="111111"/>
          <w:sz w:val="28"/>
          <w:sz w:val="28"/>
          <w:szCs w:val="28"/>
          <w:rtl w:val="true"/>
          <w:lang w:bidi="ar-SA"/>
        </w:rPr>
        <w:t>الأظهر مع احتمال القرعة والتخيير، وتثبت القيمة بشهادة عدلين مخالطين لهم، وإلا فثقتين منهم، وإلا فالمأمون من أهل الخبرة منهم، وبالشياع، ومع عدم إمكان الاستعلام يؤخذ بالأقلّ، ويقوم لو كان حُرّاً بقيمته لو كان عبداً، مراعياً لخلقه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يكون له قيمة عند مستحلّيه وكانت له قيمة عرفية قوم كذلك، فيفرض أنّه يباع ويشترى، فما تكون قيمته عند ذلك فهي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قيمة له أصلاً ورأساً فلا يبعد بطلان البيع فيه من أصله، مع احتمال الصحّة وصيرورة الثمن في مقابلة المملوك، واحتمال الفرق بين العلم فيفسد، وبين الجهل فيقوم على زعمه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المملوك بزعم أنّه غير مملوك فظهر مملوكاً، توجه الحكم بالبطلان؛ لمغايرة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المملوك غير مملوك بعد العقد والقبض، فلا عبرة به، ولو انعكس فلا عبرة به أيضاً في عدم الفساد، ويكون مباحاً للمشتري، كما إذا انقلب الخمر خَلاً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في التقويم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اجتماع وانفراد من حيث الزيادة والنقيصة، أو الزيادة والنقيصة معاً بحسبهما من تأثير الهيئة الاجتماعية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سابقاً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9000_245371"/>
      <w:bookmarkStart w:id="320" w:name="pg19000_245371"/>
      <w:bookmarkEnd w:id="320"/>
    </w:p>
    <w:p>
      <w:pPr>
        <w:pStyle w:val="Heading3"/>
        <w:numPr>
          <w:ilvl w:val="2"/>
          <w:numId w:val="1"/>
        </w:numPr>
        <w:rPr/>
      </w:pPr>
      <w:bookmarkStart w:id="321" w:name="pg19000_245371"/>
      <w:bookmarkStart w:id="322" w:name="__RefHeading___Toc13372350_1280447820"/>
      <w:bookmarkStart w:id="323" w:name="_Toc121"/>
      <w:bookmarkEnd w:id="321"/>
      <w:bookmarkEnd w:id="322"/>
      <w:r>
        <w:rPr>
          <w:rtl w:val="true"/>
        </w:rPr>
        <w:t>القول في شرائط المعقود عليه من العوضين</w:t>
      </w:r>
      <w:bookmarkEnd w:id="323"/>
    </w:p>
    <w:p>
      <w:pPr>
        <w:pStyle w:val="Heading4"/>
        <w:numPr>
          <w:ilvl w:val="3"/>
          <w:numId w:val="1"/>
        </w:numPr>
        <w:rPr/>
      </w:pPr>
      <w:bookmarkStart w:id="324" w:name="__RefHeading___Toc13372352_1280447820"/>
      <w:bookmarkStart w:id="325" w:name="_Toc122"/>
      <w:bookmarkEnd w:id="324"/>
      <w:r>
        <w:rPr>
          <w:rtl w:val="true"/>
        </w:rPr>
        <w:t>وفيه أمور</w:t>
      </w:r>
      <w:r>
        <w:rPr>
          <w:rtl w:val="true"/>
        </w:rPr>
        <w:t>:</w:t>
      </w:r>
      <w:bookmarkEnd w:id="325"/>
    </w:p>
    <w:p>
      <w:pPr>
        <w:pStyle w:val="Heading5"/>
        <w:numPr>
          <w:ilvl w:val="4"/>
          <w:numId w:val="1"/>
        </w:numPr>
        <w:rPr/>
      </w:pPr>
      <w:bookmarkStart w:id="326" w:name="__RefHeading___Toc13372354_1280447820"/>
      <w:bookmarkStart w:id="327" w:name="_Toc123"/>
      <w:bookmarkEnd w:id="326"/>
      <w:r>
        <w:rPr>
          <w:rtl w:val="true"/>
        </w:rPr>
        <w:t>أحدها</w:t>
      </w:r>
      <w:r>
        <w:rPr>
          <w:rtl w:val="true"/>
        </w:rPr>
        <w:t xml:space="preserve">: </w:t>
      </w:r>
      <w:r>
        <w:rPr>
          <w:rtl w:val="true"/>
        </w:rPr>
        <w:t>اشتراط مغايرة العوضين للمتعاقدين</w:t>
      </w:r>
      <w:bookmarkEnd w:id="32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العوضين مغايرتهما للمتعاقدين ولو كمغايرة الجزء للكلّ وشبهها، كبيع الإنسان شعره أو لبنه، أو كمغايرة الذات للمنفعة، كإجارته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مع الاتحاد في غير ما قام عليه الدليل كالكتابة، فلا يجوز للعبد أن يشتري نفسه من مولاه؛ للشك في اندراج هذه المعاملة تحت عموم أدلة العقد وخصوصها، فيحصل الشك فى ترتب أثر هذا العقد عليه، والأصل،عدمه، ولظاهر الاتفاق، ولولا هذان لأمكن القول بجوازه، والاكتفاء بالمغايرة الاعتبارية، وجواز أن يملك المولى عليه الثمن حالاً ويملك هو نفسه أيضاً كذلك دفعةً؛ لأنّ ذمّته قابلة للشغل، فيقع الملكان دفعةً من باب دور المعيّة الذي لا بأس به، كما إذا تزوّج أمةً فجعل عتقها صداقها، أو يملكه مؤجلاً، كعقد الكتابة، فتتأخر الملكية أو التأدية إلى حين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إيجار العبد نفسه لمولاه؛ لما ذكرناه، ولأنّ العبد لا يملك المولى عليه شيئاً غير ملكه له</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3372356_1280447820"/>
      <w:bookmarkStart w:id="329" w:name="_Toc124"/>
      <w:bookmarkEnd w:id="328"/>
      <w:r>
        <w:rPr>
          <w:rtl w:val="true"/>
        </w:rPr>
        <w:t>ثانيهما</w:t>
      </w:r>
      <w:r>
        <w:rPr>
          <w:rtl w:val="true"/>
        </w:rPr>
        <w:t xml:space="preserve">: </w:t>
      </w:r>
      <w:r>
        <w:rPr>
          <w:rtl w:val="true"/>
        </w:rPr>
        <w:t>اشتراط كون العوضين ممّا يمكن الانتفاع بهما</w:t>
      </w:r>
      <w:bookmarkEnd w:id="32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العوضين أن يكونا ممّا يمكن الانتفاع بهما للنوع الإنساني عادةً، فلا يصح على ما لا يمكن الوصول إليه عادةً ولا على ما لا يمكن الوصول إلى منفعته ولا على ما أسقط الشارع منفعته كآلات اللهو، ولا على ما لا منفعة فيه كالفضلات من الإنسان </w:t>
      </w:r>
    </w:p>
    <w:p>
      <w:pPr>
        <w:pStyle w:val="BookText"/>
        <w:rPr/>
      </w:pPr>
      <w:r>
        <w:rPr>
          <w:rFonts w:ascii="Amiri" w:hAnsi="Amiri" w:eastAsia="Amiri" w:cs="Amiri"/>
          <w:color w:val="111111"/>
          <w:sz w:val="28"/>
          <w:sz w:val="28"/>
          <w:szCs w:val="28"/>
          <w:rtl w:val="true"/>
          <w:lang w:bidi="ar-SA"/>
        </w:rPr>
        <w:t>وكثير من الحيوانات، عدا لبن الإنسان وشعره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يعقل في بعض هذه الملك، وفي بعضها التمليك المجاني، وفي بعضها حق الاختصاص، إلا أنّها لا تقابل بعوض، ولا يضمن غاصبها أو متلفها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فيهما أن يكونا ممّا يصلح لمقابلة المال والمعاوضة عليه عرفاً، ولا تُعدّ المعاوضة عليه في العرف سفها إما لقلته كحبة حنطة إما بشرط الانفراد، أو مطلقاً، أو بشرط الاجتماع مع مماثلها، أو مع غيره، على الأظهر في الجميع، أو لخسته لطريان وصف رديء عليه يخرجه عن ذلك، كلّ ذلك للشك في اندراج جميع ذلك تحت أدلّة العقود عموماً وخصوصاً، ولمنافاته للحكمة التي شُرّعت عليها العقود المنبئ عنها الفتوى وحديث التحف </w:t>
      </w:r>
      <w:r>
        <w:rPr>
          <w:rStyle w:val="FootnoteAnchor"/>
          <w:rtl w:val="true"/>
        </w:rPr>
        <w:footnoteReference w:id="807"/>
      </w:r>
      <w:r>
        <w:rPr>
          <w:rFonts w:ascii="Amiri" w:hAnsi="Amiri" w:eastAsia="Amiri" w:cs="Amiri"/>
          <w:color w:val="111111"/>
          <w:sz w:val="28"/>
          <w:sz w:val="28"/>
          <w:szCs w:val="28"/>
          <w:rtl w:val="true"/>
          <w:lang w:bidi="ar-SA"/>
        </w:rPr>
        <w:t>وغيره، وللزوم العبث والسفه في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تمليكها مجاناً؛ لعدم القطع بكونه سفها، وجواز تملكها بإرث ونحوه؛ الجواز ملكها ابتداءً منفردةً أو منضمّةً فعادت منفردةً، فيحرم غصبها، ويضمن بالمثل عند تلفها، ويجب ردّها مع بقاء عينها وإن لم يمكن ضمانها بالقيمة؛ إذ لا قيمة يُعتد بها لها، ولا شك في تعلق حق الاختصاص بها، وعدم جواز مزاحمة من هي في يده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الاعتياض على رفع الاختصاص بها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فيهما الطهارة فعلاً أو قوّةً بحيث يمكن تطهيره مع بقاء عينه من دون استحالة أو انقلاب، إما بماء أو بنارٍ أو شمس أو بنقص كالعصير، أو إسلام أو تبعية أو نحو ذلك، فلا تجوز المعاوضة على ما لا يقبلها كالمائعات النجسة أصالة والميتة، أو المائعات النجسة بالعارض التي لا تقبل التطهير؛ للإجماع بقسميه </w:t>
      </w:r>
      <w:r>
        <w:rPr>
          <w:rStyle w:val="FootnoteAnchor"/>
          <w:rtl w:val="true"/>
        </w:rPr>
        <w:footnoteReference w:id="808"/>
      </w:r>
      <w:r>
        <w:rPr>
          <w:rFonts w:ascii="Amiri" w:hAnsi="Amiri" w:eastAsia="Amiri" w:cs="Amiri"/>
          <w:color w:val="111111"/>
          <w:sz w:val="28"/>
          <w:sz w:val="28"/>
          <w:szCs w:val="28"/>
          <w:rtl w:val="true"/>
          <w:lang w:bidi="ar-SA"/>
        </w:rPr>
        <w:t xml:space="preserve">، وللشك في الاندراج تحت دليل الصحّة، ولظاهر حديث التحف </w:t>
      </w:r>
      <w:r>
        <w:rPr>
          <w:rStyle w:val="FootnoteAnchor"/>
          <w:rtl w:val="true"/>
        </w:rPr>
        <w:footnoteReference w:id="809"/>
      </w:r>
      <w:r>
        <w:rPr>
          <w:rFonts w:ascii="Amiri" w:hAnsi="Amiri" w:eastAsia="Amiri" w:cs="Amiri"/>
          <w:color w:val="111111"/>
          <w:sz w:val="28"/>
          <w:sz w:val="28"/>
          <w:szCs w:val="28"/>
          <w:rtl w:val="true"/>
          <w:lang w:bidi="ar-SA"/>
        </w:rPr>
        <w:t>وغيره، سوى ما أخرجه الدليل ممّا تقدَّم كالكلب والدهن النجس مع الشرائط المتقدّمة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ملكه وتمليكه مجاناً أيضاً؛ لعدم قابليته للملك أصلاً، ويتبع ملك عينه ملك منفعته، فلا يصح ملكها وتمليكها مطلقاً</w:t>
      </w:r>
      <w:r>
        <w:rPr>
          <w:rFonts w:eastAsia="Amiri" w:cs="Amiri" w:ascii="Amiri" w:hAnsi="Amiri"/>
          <w:color w:val="111111"/>
          <w:sz w:val="28"/>
          <w:szCs w:val="28"/>
          <w:rtl w:val="true"/>
          <w:lang w:bidi="ar-SA"/>
        </w:rPr>
        <w:t xml:space="preserve">. </w:t>
      </w:r>
      <w:bookmarkStart w:id="330" w:name="pg19000_245373"/>
    </w:p>
    <w:p>
      <w:pPr>
        <w:pStyle w:val="BookText"/>
        <w:rPr/>
      </w:pPr>
      <w:bookmarkEnd w:id="330"/>
      <w:r>
        <w:rPr>
          <w:rFonts w:ascii="Amiri" w:hAnsi="Amiri" w:eastAsia="Amiri" w:cs="Amiri"/>
          <w:color w:val="111111"/>
          <w:sz w:val="28"/>
          <w:sz w:val="28"/>
          <w:szCs w:val="28"/>
          <w:rtl w:val="true"/>
          <w:lang w:bidi="ar-SA"/>
        </w:rPr>
        <w:t xml:space="preserve">نعم، قد يقال بثبوت حق الاختصاص لمن هي في يده فيجوز الصلح على رفعه، ويكون ذلك طريقاً لجواز أخذ المال بسببها، كما يفعلونه اليوم في العذرات النجسة وشبهها، وما لا يجوز الانتفاع به كالميتة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ذلك فيها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فيهما أيضاً الوجود، فلا تصحّ المعاوضة على معدوم بالفعل من كانت له مادة موجودة، كالزرع أو الثمرة الموجود أصلهما، إلا ما قام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المعاوضة على الكلّيّات وإن لم يوجد فردها بالفعل أو وُجد ولكن لا يملك فردها أحد المتعاقدين؛ اكتفاء في ملكية ما في الذمة بالقدرة على شغلها به، كما تدلّ عليه السيرة والطريقة، وينطق به الإجماع، وتؤذن به الأخبار، ولا يدخل في بيع المعدوم، أو في بيع ما لا يملك، أو في بيع شيء ثم يملكه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3372358_1280447820"/>
      <w:bookmarkStart w:id="332" w:name="_Toc125"/>
      <w:bookmarkEnd w:id="331"/>
      <w:r>
        <w:rPr>
          <w:rtl w:val="true"/>
        </w:rPr>
        <w:t>ثالثها</w:t>
      </w:r>
      <w:r>
        <w:rPr>
          <w:rtl w:val="true"/>
        </w:rPr>
        <w:t xml:space="preserve">: </w:t>
      </w:r>
      <w:r>
        <w:rPr>
          <w:rtl w:val="true"/>
        </w:rPr>
        <w:t>اشتراط القدرة عقلاً وعرفاً وعادةً على تسليم العوضين</w:t>
      </w:r>
      <w:bookmarkEnd w:id="332"/>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يشترط في العوضين أيضاً القدرة عقلاً وعرفاً وعادة على تسليمهما من المتعاقدين بأنفسهما أو بوكيلهما، ببذل مال أو بدونه، حين العقد أو بعده بزمن غير متراخ أو متراخ في وجه، أو تسلّمهما منهما كذلك، ويكتفى به عن القدرة على التسليم؛ للزوم السفه والعبث والغرر بدونهما، ولمنافاته لحكمة شرع عقود المعاوضة وإن لم يناف العقود المجانية، وللإجماعات المنقولة </w:t>
      </w:r>
      <w:r>
        <w:rPr>
          <w:rStyle w:val="FootnoteAnchor"/>
          <w:rtl w:val="true"/>
        </w:rPr>
        <w:footnoteReference w:id="810"/>
      </w:r>
      <w:r>
        <w:rPr>
          <w:rFonts w:ascii="Amiri" w:hAnsi="Amiri" w:eastAsia="Amiri" w:cs="Amiri"/>
          <w:color w:val="111111"/>
          <w:sz w:val="28"/>
          <w:sz w:val="28"/>
          <w:szCs w:val="28"/>
          <w:rtl w:val="true"/>
          <w:lang w:bidi="ar-SA"/>
        </w:rPr>
        <w:t xml:space="preserve">بل المحصلة، وللأخبار الناهية عن بيع ما ليس عنده أو ما ليس له وجود </w:t>
      </w:r>
      <w:r>
        <w:rPr>
          <w:rStyle w:val="FootnoteAnchor"/>
          <w:rtl w:val="true"/>
        </w:rPr>
        <w:footnoteReference w:id="811"/>
      </w:r>
      <w:r>
        <w:rPr>
          <w:rFonts w:ascii="Amiri" w:hAnsi="Amiri" w:eastAsia="Amiri" w:cs="Amiri"/>
          <w:color w:val="111111"/>
          <w:sz w:val="28"/>
          <w:sz w:val="28"/>
          <w:szCs w:val="28"/>
          <w:rtl w:val="true"/>
          <w:lang w:bidi="ar-SA"/>
        </w:rPr>
        <w:t>، وغير ذلك، بل ربما يظهر من جملة من الفتاوى والإجماعات المنقولة اشتراط خصوص القدرة على التسليم، وعدم كفاية القدرة على التسلّم عنه، إلا أن تعليلهم ولزوم الاقتصار على اليقين من دليل المنع بعد شمول أدلّة العقود عموماً وخصوص العقود عموماً وخصوصاً كلّها يقضي بعدم الخصوصية باشتراط عدم القدرة على التسليم تعبداً، بل لكونه مانعاً من تسلّمه والانتفاع به، فإذا أمكن تسلّمه جازت المعاوضة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والقدرة على البعض دون البعض في العقد الواحد تصححه في المقدور وتبطله في غيره ويتسلّط المنقول إليه على الخيار مع الجهل والقدرة في الزمن المتراخي تسلّط على الخيار، ولا تقضي بالبطلان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القدرة على تسليم المبيع قبل قبضه بعد أن كان قادراً وقت العقد تسلّط على الخيار؛ لحديث نفي الضرار </w:t>
      </w:r>
      <w:r>
        <w:rPr>
          <w:rStyle w:val="FootnoteAnchor"/>
          <w:rtl w:val="true"/>
        </w:rPr>
        <w:footnoteReference w:id="812"/>
      </w:r>
      <w:r>
        <w:rPr>
          <w:rFonts w:ascii="Amiri" w:hAnsi="Amiri" w:eastAsia="Amiri" w:cs="Amiri"/>
          <w:color w:val="111111"/>
          <w:sz w:val="28"/>
          <w:sz w:val="28"/>
          <w:szCs w:val="28"/>
          <w:rtl w:val="true"/>
          <w:lang w:bidi="ar-SA"/>
        </w:rPr>
        <w:t>، ولا تقضي بالانفساخ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بالواسطة من شفيع أو بذل مالٍ أو توسط حاكم كالقدرة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في مكان دون مكانٍ أو حال دون حالٍ كالقدرة المطلقة، إلا إذا كان المكان مشروطاً فيه التسليم فلم يقدر أن يسلّم فيه وقدر في غيره، ففي بطلان العقد أو التسلّط على الخيار وجهان،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في المؤجل قبل الأجل ولم يقدر بعده، ففي بطلان العقد أو التسلّط على الخيار وجهان، ولو انعكس صح ولا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شرط واقعي، فلو زعم القدرة فتبين خلافها فسد، وإن زعم عدمها فأوقع العقد فتبين حصولها صح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بطريق محرّم خاصةً، فالظاهر دخوله تحت عدم القدرة، سيّما فيما لو لم يقدر سوى المشتري على تسلمه بطريقٍ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توقفت القدرة على انقلاب غير المقدور إلى نوع آخر، كان من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المقدور الطائر المملوك في الهواء إذا لم يرج عوده، ومع الرجاء عادةً من المقدور، وكذا لو كان في مكان لا يصطاد فيه عادة، أما لو كان في الهواء أو في مكان يصطاد فيه عادة فهو من المقدور على الأظهر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يصح بيع السمك وهو في الماء بحيث لا يمكن صيده عادة؛ لعدم محصوريته، أو لعدم صفاء الماء، أو لعدم انحصار الماء، ولا بيع الآبق، وهو الذاهب عن مولاه عصياناً من غير خوف أو كدّ عمل، ولا الشارد من خوف أو كدّ عمل، ولا الضائع والضال إذا لم يرج عودها ولا يرجى تحصيلها عادةً، إلّا الآبق، فالظاهر المنع فيه وإن كان عوده وتحصيله مرجوّاً؛ لإطلاق الأخبار </w:t>
      </w:r>
      <w:r>
        <w:rPr>
          <w:rStyle w:val="FootnoteAnchor"/>
          <w:rtl w:val="true"/>
        </w:rPr>
        <w:footnoteReference w:id="813"/>
      </w:r>
      <w:r>
        <w:rPr>
          <w:rFonts w:ascii="Amiri" w:hAnsi="Amiri" w:eastAsia="Amiri" w:cs="Amiri"/>
          <w:color w:val="111111"/>
          <w:sz w:val="28"/>
          <w:sz w:val="28"/>
          <w:szCs w:val="28"/>
          <w:rtl w:val="true"/>
          <w:lang w:bidi="ar-SA"/>
        </w:rPr>
        <w:t>وفتاوى الأصحاب في المنع من بيعه مطلقاً، مع احتمال تنزيلها على الغالب، وهو ما لا يرجى عوده وتحصيله، كما يظهر من جملةٍ أُخرى منهم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جميع ما قدمناه لو قدر المشتري على التسلّم جاز، كما أفتى به جملة من الأصحاب </w:t>
      </w:r>
      <w:r>
        <w:rPr>
          <w:rStyle w:val="FootnoteAnchor"/>
          <w:rtl w:val="true"/>
        </w:rPr>
        <w:footnoteReference w:id="815"/>
      </w:r>
      <w:r>
        <w:rPr>
          <w:rFonts w:ascii="Amiri" w:hAnsi="Amiri" w:eastAsia="Amiri" w:cs="Amiri"/>
          <w:color w:val="111111"/>
          <w:sz w:val="28"/>
          <w:sz w:val="28"/>
          <w:szCs w:val="28"/>
          <w:rtl w:val="true"/>
          <w:lang w:bidi="ar-SA"/>
        </w:rPr>
        <w:t xml:space="preserve">، ونقل عليه ظاهر الإجماع في الآبق </w:t>
      </w:r>
      <w:r>
        <w:rPr>
          <w:rStyle w:val="FootnoteAnchor"/>
          <w:rtl w:val="true"/>
        </w:rPr>
        <w:footnoteReference w:id="816"/>
      </w:r>
      <w:r>
        <w:rPr>
          <w:rFonts w:ascii="Amiri" w:hAnsi="Amiri" w:eastAsia="Amiri" w:cs="Amiri"/>
          <w:color w:val="111111"/>
          <w:sz w:val="28"/>
          <w:sz w:val="28"/>
          <w:szCs w:val="28"/>
          <w:rtl w:val="true"/>
          <w:lang w:bidi="ar-SA"/>
        </w:rPr>
        <w:t>، وبتنقيح المناط يسري الحكم لغيره، على أنّه مع القدرة على التسلّم يشك في شمول دليل المنع، فتشمله أدلة الجواز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تصحح بيع غير المقدور على تسليمه الضميمة؛ لإطلاق دليل المنع، سواء كانت ممّا تقابل بمال أو لا، وسواء كان القصد إليه أو إليها أو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817"/>
      </w:r>
      <w:r>
        <w:rPr>
          <w:rFonts w:ascii="Amiri" w:hAnsi="Amiri" w:eastAsia="Amiri" w:cs="Amiri"/>
          <w:color w:val="111111"/>
          <w:sz w:val="28"/>
          <w:sz w:val="28"/>
          <w:szCs w:val="28"/>
          <w:rtl w:val="true"/>
          <w:lang w:bidi="ar-SA"/>
        </w:rPr>
        <w:t xml:space="preserve">أنّه لو كان القصد إلى الضميمة وكان قصده تبعاً صح بيعه؛ لأنّه المتيقن من دليل المنع، ولإشعار ما جاء في الآبق </w:t>
      </w:r>
      <w:r>
        <w:rPr>
          <w:rStyle w:val="FootnoteAnchor"/>
          <w:rtl w:val="true"/>
        </w:rPr>
        <w:footnoteReference w:id="818"/>
      </w:r>
      <w:r>
        <w:rPr>
          <w:rFonts w:ascii="Amiri" w:hAnsi="Amiri" w:eastAsia="Amiri" w:cs="Amiri"/>
          <w:color w:val="111111"/>
          <w:sz w:val="28"/>
          <w:sz w:val="28"/>
          <w:szCs w:val="28"/>
          <w:rtl w:val="true"/>
          <w:lang w:bidi="ar-SA"/>
        </w:rPr>
        <w:t>به،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الآبق وما شابهه من الضال والشارد والذاهب ونحوها، وأما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الآبق فلا إشكال في عدم جواز بيعه منفرداً، وظاهر النصّ والفتوى أنّه ممنوع منه ولو كان مقدوراً على تسليمه، وأن له خصوصية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أيضاً في جواز بيعه مع الضميمة؛ للنصوص </w:t>
      </w:r>
      <w:r>
        <w:rPr>
          <w:rStyle w:val="FootnoteAnchor"/>
          <w:rtl w:val="true"/>
        </w:rPr>
        <w:footnoteReference w:id="819"/>
      </w:r>
      <w:r>
        <w:rPr>
          <w:rFonts w:ascii="Amiri" w:hAnsi="Amiri" w:eastAsia="Amiri" w:cs="Amiri"/>
          <w:color w:val="111111"/>
          <w:sz w:val="28"/>
          <w:sz w:val="28"/>
          <w:szCs w:val="28"/>
          <w:rtl w:val="true"/>
          <w:lang w:bidi="ar-SA"/>
        </w:rPr>
        <w:t>والفتاوى، سواء تعذر تسليمه وتسلّمه أم لا، وسواء كانت ديناً أو عيناً، وسواء كانت الضميمة هي المقصودة أولاً وبالذات، أو الآبق، أو هما معاً؛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الضميمة كونها مما تصلح للمعاوضة بانفرادها، كما يظهر من الفتوى والنصّ المعلّل للصحة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يقدر على العبد كان الثمن في مقابلة الضميمة</w:t>
      </w:r>
      <w:r>
        <w:rPr>
          <w:rStyle w:val="FootnoteAnchor"/>
          <w:rtl w:val="true"/>
        </w:rPr>
        <w:footnoteReference w:id="820"/>
      </w:r>
      <w:r>
        <w:rPr>
          <w:rFonts w:ascii="IRNazanin" w:hAnsi="IRNazanin" w:eastAsia="IRNazanin"/>
          <w:color w:val="111111"/>
          <w:sz w:val="28"/>
          <w:sz w:val="28"/>
          <w:szCs w:val="28"/>
          <w:rtl w:val="true"/>
          <w:lang w:bidi="fa-IR"/>
        </w:rPr>
        <w:t xml:space="preserve">، والآخر الناص على شراء ثوب أو متاع </w:t>
      </w:r>
      <w:r>
        <w:rPr>
          <w:rStyle w:val="FootnoteAnchor"/>
          <w:rtl w:val="true"/>
        </w:rPr>
        <w:footnoteReference w:id="821"/>
      </w:r>
      <w:r>
        <w:rPr>
          <w:rFonts w:ascii="Amiri" w:hAnsi="Amiri" w:eastAsia="Amiri" w:cs="Amiri"/>
          <w:color w:val="111111"/>
          <w:sz w:val="28"/>
          <w:sz w:val="28"/>
          <w:szCs w:val="28"/>
          <w:rtl w:val="true"/>
          <w:lang w:bidi="ar-SA"/>
        </w:rPr>
        <w:t>الظاهرين في التموّل، وكونها انضمام شطور وأجزاء للمبيع، لا انضمام شروط، كما هو الظاهر من النص، وكونها غير آبي آخر، أو غير مقدور على تسليمه، أو منفعة آبي آخر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وحدة الآبق المبيع، ولا كون الضميمة عيناً، بل لو كانت منفعةً أو حقاً 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ويؤدى ذلك بصيغة الصلح؛ لعدم جواز جريان البيع على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ضمّ المنفعة بصيغة الإجارة مع صيغة بيع الآبق إذا كان ثمنهما وقبولهما متحدين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كونه بصيغة البيع؛ بناءً على أنّ القدرة على التسليم شرط في جميع المعاوضات،</w:t>
      </w:r>
    </w:p>
    <w:p>
      <w:pPr>
        <w:pStyle w:val="BookText"/>
        <w:rPr/>
      </w:pPr>
      <w:r>
        <w:rPr>
          <w:rFonts w:ascii="Amiri" w:hAnsi="Amiri" w:eastAsia="Amiri" w:cs="Amiri"/>
          <w:color w:val="111111"/>
          <w:sz w:val="28"/>
          <w:sz w:val="28"/>
          <w:szCs w:val="28"/>
          <w:rtl w:val="true"/>
          <w:lang w:bidi="ar-SA"/>
        </w:rPr>
        <w:t>وأن الإباق مانع في جميعها، فيصح الصلح عليه أو الهبة المعوّضة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اتحاد مالك الضميمة والآبق؛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قدرة المشتري عليه بعد ذلك، بل لو تلف قبل قبضه كان الثمن في مقابلة الضميمة ولم ينفسخ البيع ؛ لبناء المعاملة على ذلك، كما يظهر من النصّ والفتوى، وهذا مما يستثنى من تلف المبيع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ذلك فيما إذا كانت الضميمة لمالك والآبق لآخر فتلف الآبق، فإنّ في صيرورة الثمن بإزاء الضميمة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عالماً، وإن كان جاهلاً فله الخيار بين الفسخ وبين الإمضاء بجميع الثمن، فإن قدر على تحصيل الآبق ازداد خيراً، وإلا كان الثمن في مقابلة الضميمة، ولا ينفسخ البيع بالنسبة إلى الآبق؛ لصحة بيعه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الضميمة استمرار ملكها للمشتري، بل لو جعل له الخيار في فسخها جاز، فإن فسخ فيها ردّ من الثمن ما قابلها عند التوزيع، ولا يردّ الثمن كله؛ لأنّه إنما يكون بإزاء الضميمة إذا تلف الآبق، ومقابلته بالثمن لا تصحّ في الابتداء لا في الاستدامة؛ لأنّ حكمها غير حكم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تلفت الضميمة قبل قبضها، سقط من الثمن ما 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فيما لو فسخ المشتري الضميمة فتلف الآبق قبل قبضه، فإنّه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تسلم له الضميمة كي يكون الثمن فيما قابلها، ولم يسلم له الآبق كي يوزّع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بيع الآبق ما يشترط في غيره من كونه معلوماً وموجوداً عند العقد، فلو كان مجهولاً فسد العقد من أصله، أو تالفاً وقت العقد فسد العقد بالنسبة إليه، وردّ ما قابله من الثمن ولا يكون الثمن ها هنا بمقابلة الضميمة فقط؛ لأنّها إنما تكون في مقابلته إذا تلف بعد العقد</w:t>
      </w:r>
      <w:r>
        <w:rPr>
          <w:rFonts w:eastAsia="Amiri" w:cs="Amiri" w:ascii="Amiri" w:hAnsi="Amiri"/>
          <w:color w:val="111111"/>
          <w:sz w:val="28"/>
          <w:szCs w:val="28"/>
          <w:rtl w:val="true"/>
          <w:lang w:bidi="ar-SA"/>
        </w:rPr>
        <w:t xml:space="preserve">. </w:t>
      </w:r>
      <w:bookmarkStart w:id="333" w:name="pg19000_245377"/>
    </w:p>
    <w:p>
      <w:pPr>
        <w:pStyle w:val="BookText"/>
        <w:rPr/>
      </w:pPr>
      <w:bookmarkEnd w:id="333"/>
      <w:r>
        <w:rPr>
          <w:rFonts w:ascii="Amiri" w:hAnsi="Amiri" w:eastAsia="Amiri" w:cs="Amiri"/>
          <w:color w:val="111111"/>
          <w:sz w:val="28"/>
          <w:sz w:val="28"/>
          <w:szCs w:val="28"/>
          <w:rtl w:val="true"/>
          <w:lang w:bidi="ar-SA"/>
        </w:rPr>
        <w:t>ولو ظهر عيب أو خلاف وصفٍ أو غبن فيه أو في الضميمة، كان للمشتري الخيار بين الفسخ أو الأخذ بجميع الثمن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شابه الآبق من الضال والذاهب والمسروق فيحتمل إلحاقها بالآبق فيصح بيعه مع الضميمة وتجري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صحّة بيعه مطلقاً؛ لإمكان الانتفاع به من عتق أو وقف أو بيع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بطلان بيعه مطلقاً؛ لعدم القدرة على التسليم فيه، وخروج الإباق للدليل لا يسري إلى غيره، وتنقيح المناط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المال المغصوب من المالك على غاصبه وعلى غيره إذا قدر المالك على تخليصه بواسطة مال أو سؤال أو قهر، وكذا إذا قدر المشتري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يقدرا معاً، كان من غير المقدور على تسليمه، فيبطل البيع فيه؛ للزوم السفه والعبث، والإجماع المنقول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صحته مع الضميمة وجه، والأوجه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اختصاص الصحّة فيما لو كان عبداً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أطلق المنع من بيع المغصوب يُحمل كلامه على ما قدمناه من عدم القدرة على التسليم أو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والتلف والعيب قبل القبض مضمونان على الغاصب، ولا ينفسخ البيع بتلفه بيده، بل يرجع عليه المشتري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غير المقدور على تسليمه بيع الفضولي؛ لأنّه مقدور من المالك بعد إجازته، ومقدور من الفضولى عرفاً بواسطة مال أو شفاعة ونحوهما لو كان كذلك، ولا بيع المرهون والمحجر عليه أيضاً؛ للقدرة على تسليمهما مع إجازة الراهن وذي الحجر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3372360_1280447820"/>
      <w:bookmarkStart w:id="335" w:name="_Toc126"/>
      <w:bookmarkEnd w:id="334"/>
      <w:r>
        <w:rPr>
          <w:rtl w:val="true"/>
        </w:rPr>
        <w:t>رابعها</w:t>
      </w:r>
      <w:r>
        <w:rPr>
          <w:rtl w:val="true"/>
        </w:rPr>
        <w:t xml:space="preserve">: </w:t>
      </w:r>
      <w:r>
        <w:rPr>
          <w:rtl w:val="true"/>
        </w:rPr>
        <w:t>اشتراط عدم كون أحد العوضين أُمّ ولد لمالكها قد علقت منه</w:t>
      </w:r>
      <w:bookmarkEnd w:id="33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يشترط في العوضين أن لا يكون أحدهما أُمّ ولد لمالكها قد علقت منه وهو مالك لها كلاً أو مالك لها بعضاً، كالأمة المشتركة أو المبعضة، سواء نقلها كلّاً أو بعضاً، وسواء </w:t>
      </w:r>
    </w:p>
    <w:p>
      <w:pPr>
        <w:pStyle w:val="BookText"/>
        <w:rPr/>
      </w:pPr>
      <w:r>
        <w:rPr>
          <w:rFonts w:ascii="Amiri" w:hAnsi="Amiri" w:eastAsia="Amiri" w:cs="Amiri"/>
          <w:color w:val="111111"/>
          <w:sz w:val="28"/>
          <w:sz w:val="28"/>
          <w:szCs w:val="28"/>
          <w:rtl w:val="true"/>
          <w:lang w:bidi="ar-SA"/>
        </w:rPr>
        <w:t xml:space="preserve">كان الولد بارزاً أو حملاً، وسواء كان من وطءٍ محرَّم في حيض أو محلّل، وسواء علم به الناقل أو جهل، كلّ ذلك للإجماع المنقول </w:t>
      </w:r>
      <w:r>
        <w:rPr>
          <w:rStyle w:val="FootnoteAnchor"/>
          <w:rtl w:val="true"/>
        </w:rPr>
        <w:footnoteReference w:id="823"/>
      </w:r>
      <w:r>
        <w:rPr>
          <w:rFonts w:ascii="Amiri" w:hAnsi="Amiri" w:eastAsia="Amiri" w:cs="Amiri"/>
          <w:color w:val="111111"/>
          <w:sz w:val="28"/>
          <w:sz w:val="28"/>
          <w:szCs w:val="28"/>
          <w:rtl w:val="true"/>
          <w:lang w:bidi="ar-SA"/>
        </w:rPr>
        <w:t>وفتاوى الأصحاب، بل الظاهر أن الإجماع محصل في جميع ما قدمناه وللأخبار الناهية عن بيع أمهات الأولاد</w:t>
      </w:r>
      <w:r>
        <w:rPr>
          <w:rStyle w:val="FootnoteAnchor"/>
          <w:rtl w:val="true"/>
        </w:rPr>
        <w:footnoteReference w:id="824"/>
      </w:r>
      <w:r>
        <w:rPr>
          <w:rFonts w:ascii="Amiri" w:hAnsi="Amiri" w:eastAsia="Amiri" w:cs="Amiri"/>
          <w:color w:val="111111"/>
          <w:sz w:val="28"/>
          <w:sz w:val="28"/>
          <w:szCs w:val="28"/>
          <w:rtl w:val="true"/>
          <w:lang w:bidi="ar-SA"/>
        </w:rPr>
        <w:t>، القاضية بالفساد؛ لتعلّقها بذات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بعض الأخبار من أنّ حدّها حدّ الأمة </w:t>
      </w:r>
      <w:r>
        <w:rPr>
          <w:rStyle w:val="FootnoteAnchor"/>
          <w:rtl w:val="true"/>
        </w:rPr>
        <w:footnoteReference w:id="825"/>
      </w:r>
      <w:r>
        <w:rPr>
          <w:rFonts w:ascii="Amiri" w:hAnsi="Amiri" w:eastAsia="Amiri" w:cs="Amiri"/>
          <w:color w:val="111111"/>
          <w:sz w:val="28"/>
          <w:sz w:val="28"/>
          <w:szCs w:val="28"/>
          <w:rtl w:val="true"/>
          <w:lang w:bidi="ar-SA"/>
        </w:rPr>
        <w:t>مطرح أو مؤوّل أو منزل على موت الولد سُمّيت بذلك لعلاقة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علقت أُمّ الولد منه وهي غير مملوكة له ثمّ ملكها لم يحرم بيعها؛ اقتصاراً على المورد اليقين من النصّ والفتوى وأخذاً بما ينصرف إليه الإطلاق منهما، وبما جاء من الأخبار المتكثرة ي مقام البيان وغيره، الدالة على ترتب الولادة على شرائها وانتقالها، الظاهرة في أنّ العلوق كان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يحرم بيعها لو مات ولدها في حياة أبيه؛ للنص </w:t>
      </w:r>
      <w:r>
        <w:rPr>
          <w:rStyle w:val="FootnoteAnchor"/>
          <w:rtl w:val="true"/>
        </w:rPr>
        <w:footnoteReference w:id="826"/>
      </w:r>
      <w:r>
        <w:rPr>
          <w:rFonts w:ascii="IRNazanin" w:hAnsi="IRNazanin" w:eastAsia="IRNazanin"/>
          <w:color w:val="111111"/>
          <w:sz w:val="28"/>
          <w:sz w:val="28"/>
          <w:szCs w:val="28"/>
          <w:rtl w:val="true"/>
          <w:lang w:bidi="fa-IR"/>
        </w:rPr>
        <w:t>والفتوى، بل الإجماع 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إن لم يخلّف ولداً، فإن خلف ولداً احتمل المنع من بيعها مطلقاً؛ لصدق أمهات الأولاد عليها، وجوازه مطلقاً؛ لانصرافهنّ إلى أمهات الولد الصلبي، ولأنّه مورد اليقين، ولتصريح الأخبار برجوعها إلى الرق المحض عند موت ولدها </w:t>
      </w:r>
      <w:r>
        <w:rPr>
          <w:rStyle w:val="FootnoteAnchor"/>
          <w:rtl w:val="true"/>
        </w:rPr>
        <w:footnoteReference w:id="827"/>
      </w:r>
      <w:r>
        <w:rPr>
          <w:rFonts w:ascii="Amiri" w:hAnsi="Amiri" w:eastAsia="Amiri" w:cs="Amiri"/>
          <w:color w:val="111111"/>
          <w:sz w:val="28"/>
          <w:sz w:val="28"/>
          <w:szCs w:val="28"/>
          <w:rtl w:val="true"/>
          <w:lang w:bidi="ar-SA"/>
        </w:rPr>
        <w:t>من غير تفصيل، واحتمل التفصيل بين كون ولد الولد وارثاً فيحرم بيعها؛ لمكان ميراثه، وبين أن لا يكون فيجوز، وجوه، أقواها الوسط؛ لعدم ثبوت أنّ الحكم معلل بأنها تعتق من نصيب وارثها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الأصحاب وجملة من الأخبار من دليل المنع من بيعها جوازه في ثمن رقبتها مع إعسار المولى عنه </w:t>
      </w:r>
      <w:r>
        <w:rPr>
          <w:rStyle w:val="FootnoteAnchor"/>
          <w:rtl w:val="true"/>
        </w:rPr>
        <w:footnoteReference w:id="828"/>
      </w:r>
      <w:r>
        <w:rPr>
          <w:rFonts w:ascii="Amiri" w:hAnsi="Amiri" w:eastAsia="Amiri" w:cs="Amiri"/>
          <w:color w:val="111111"/>
          <w:sz w:val="28"/>
          <w:sz w:val="28"/>
          <w:szCs w:val="28"/>
          <w:rtl w:val="true"/>
          <w:lang w:bidi="ar-SA"/>
        </w:rPr>
        <w:t>بأن لا يكون عنده ما يفي به ثمنها زائداً عن مستثنيات الديون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الحكم بالجواز عام لإعساره عن كلّ الثمن وعن بعضه، وعام لبيعها كلها إذا </w:t>
      </w:r>
    </w:p>
    <w:p>
      <w:pPr>
        <w:pStyle w:val="BookText"/>
        <w:rPr/>
      </w:pPr>
      <w:r>
        <w:rPr>
          <w:rFonts w:ascii="Amiri" w:hAnsi="Amiri" w:eastAsia="Amiri" w:cs="Amiri"/>
          <w:color w:val="111111"/>
          <w:sz w:val="28"/>
          <w:sz w:val="28"/>
          <w:szCs w:val="28"/>
          <w:rtl w:val="true"/>
          <w:lang w:bidi="ar-SA"/>
        </w:rPr>
        <w:t xml:space="preserve">توقف الوفاء عليه، ولبعضها إذا حصل الوفاء به، وعام لما استمر استحقاق البائع له بنفسه أو كان منتقلاً عنه بضمان وشبهه، وعام للدين الحال أو المؤجل قبل حلول أجله، وإن كان في الاقتصار على الدين الحال قوّة، وعام لحياة سيّدها ومماته؛ لشمول إطلاق رواية عمر بن يزيد </w:t>
      </w:r>
      <w:r>
        <w:rPr>
          <w:rStyle w:val="FootnoteAnchor"/>
          <w:rtl w:val="true"/>
        </w:rPr>
        <w:footnoteReference w:id="829"/>
      </w:r>
      <w:r>
        <w:rPr>
          <w:rFonts w:ascii="IRNazanin" w:hAnsi="IRNazanin" w:eastAsia="IRNazanin"/>
          <w:color w:val="111111"/>
          <w:sz w:val="28"/>
          <w:sz w:val="28"/>
          <w:szCs w:val="28"/>
          <w:rtl w:val="true"/>
          <w:lang w:bidi="fa-IR"/>
        </w:rPr>
        <w:t xml:space="preserve">لهما، وللإجماع المنقول </w:t>
      </w:r>
      <w:r>
        <w:rPr>
          <w:rStyle w:val="FootnoteAnchor"/>
          <w:rtl w:val="true"/>
        </w:rPr>
        <w:footnoteReference w:id="830"/>
      </w:r>
      <w:r>
        <w:rPr>
          <w:rFonts w:ascii="Amiri" w:hAnsi="Amiri" w:eastAsia="Amiri" w:cs="Amiri"/>
          <w:color w:val="111111"/>
          <w:sz w:val="28"/>
          <w:sz w:val="28"/>
          <w:szCs w:val="28"/>
          <w:rtl w:val="true"/>
          <w:lang w:bidi="ar-SA"/>
        </w:rPr>
        <w:t xml:space="preserve">على الشمول، والشهرة المحصلة والمنقولة </w:t>
      </w:r>
      <w:r>
        <w:rPr>
          <w:rStyle w:val="FootnoteAnchor"/>
          <w:rtl w:val="true"/>
        </w:rPr>
        <w:footnoteReference w:id="831"/>
      </w:r>
      <w:r>
        <w:rPr>
          <w:rFonts w:ascii="Amiri" w:hAnsi="Amiri" w:eastAsia="Amiri" w:cs="Amiri"/>
          <w:color w:val="111111"/>
          <w:sz w:val="28"/>
          <w:sz w:val="28"/>
          <w:szCs w:val="28"/>
          <w:rtl w:val="true"/>
          <w:lang w:bidi="ar-SA"/>
        </w:rPr>
        <w:t xml:space="preserve">، فلا التفات إلى القول بعدم جواز البيع بعد موت سيّدها، بل توقف إلى بلوغ الولد بعد تقويمها فإذا بلغ جبر على ثمنها، وإذا مات قبل ذلك بيعت في ثمنها </w:t>
      </w:r>
      <w:r>
        <w:rPr>
          <w:rStyle w:val="FootnoteAnchor"/>
          <w:rtl w:val="true"/>
        </w:rPr>
        <w:footnoteReference w:id="832"/>
      </w:r>
      <w:r>
        <w:rPr>
          <w:rFonts w:ascii="Amiri" w:hAnsi="Amiri" w:eastAsia="Amiri" w:cs="Amiri"/>
          <w:color w:val="111111"/>
          <w:sz w:val="28"/>
          <w:sz w:val="28"/>
          <w:szCs w:val="28"/>
          <w:rtl w:val="true"/>
          <w:lang w:bidi="ar-SA"/>
        </w:rPr>
        <w:t xml:space="preserve">، ولا إلى القول بهذا بشرط وجود دَيْنِ آخر </w:t>
      </w:r>
      <w:r>
        <w:rPr>
          <w:rStyle w:val="FootnoteAnchor"/>
          <w:rtl w:val="true"/>
        </w:rPr>
        <w:footnoteReference w:id="833"/>
      </w:r>
      <w:r>
        <w:rPr>
          <w:rFonts w:ascii="Amiri" w:hAnsi="Amiri" w:eastAsia="Amiri" w:cs="Amiri"/>
          <w:color w:val="111111"/>
          <w:sz w:val="28"/>
          <w:sz w:val="28"/>
          <w:szCs w:val="28"/>
          <w:rtl w:val="true"/>
          <w:lang w:bidi="ar-SA"/>
        </w:rPr>
        <w:t>، ولا إلى القول بعودها بولدها رقاً، وبقاء ثمنها في ذمة سيّدها إن لم يكن له مال سواها</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القول بالفرق بين حياته ومماته فلا تباع في الأوّل وتباع في الثاني، كما اختاره جملة من الأفاضل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يستثنى من دليل المنع صور أخرى مبنية على عدم كون دليل المنع تعبدياً، بل إمّا من جهة حق المولى، فإذا غلب عليه حق آخر مقدّماً على حقه قبل علوقها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رهانة، أو حَجْر فَلَسٍ، أو حق جناية على الغير، أو شفعة لو جرت على المملوك أو نذر وشبهه، أو اشتراط تمليك أو ضمان متعلّق بها أو خيار، أو استطاعة منحصرة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علوقها كأسرها بعد خروج المالك عن الذمة، أو لحوقها بدار الحرب فاسترقت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يلحق بالأوّل لو وطأها المالك قبل قسمة الميراث فكانت بالقسمة نصيب غيره، أو وطأها بعد أن بيعت فضولاً فأجاز بعد الوطء، بناءً على الكشف فيهما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جهة احترامه فيجوز بيعها لكفنه وحنوطه ومؤن تجهيزه مع عدم الباذل، ولدواء مرضه، وللإنفاق على من وجبت عليه نفقته، ولبقاء كفره مع تجدد إسلامها أو إسلام أحد أبويها مع نقصها، ولقتلها له أو جنايتها عليه عمداً</w:t>
      </w:r>
      <w:r>
        <w:rPr>
          <w:rFonts w:eastAsia="Amiri" w:cs="Amiri" w:ascii="Amiri" w:hAnsi="Amiri"/>
          <w:color w:val="111111"/>
          <w:sz w:val="28"/>
          <w:szCs w:val="28"/>
          <w:rtl w:val="true"/>
          <w:lang w:bidi="ar-SA"/>
        </w:rPr>
        <w:t xml:space="preserve">. </w:t>
      </w:r>
      <w:bookmarkStart w:id="336" w:name="pg19000_245380"/>
    </w:p>
    <w:p>
      <w:pPr>
        <w:pStyle w:val="BookText"/>
        <w:rPr/>
      </w:pPr>
      <w:bookmarkEnd w:id="336"/>
      <w:r>
        <w:rPr>
          <w:rFonts w:ascii="Amiri" w:hAnsi="Amiri" w:eastAsia="Amiri" w:cs="Amiri"/>
          <w:color w:val="111111"/>
          <w:sz w:val="28"/>
          <w:sz w:val="28"/>
          <w:szCs w:val="28"/>
          <w:rtl w:val="true"/>
          <w:lang w:bidi="ar-SA"/>
        </w:rPr>
        <w:t>وإما من جهة احترامها، فيجوز بيعها بعد إباقها أو ردّتها، أو لنفقتها، أو لكلّ ما يدفع الضرر عنها، أو لتعجيل عتقها بالبيع على مَنْ تنعتق عليه أو بشرط عتقها، أو لانحصار وارث المشتري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رجاء عتقها من نصيب ولدها، فيجوز لانقطاع الرجاء من النصيب لاستغراق دين، أو لعدم قابليته للإرث من قتل أو كفر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محلّ تأمل وإن كان القول في بعضها قريباً؛ لقوة دليله فيرجح على دليل المنع؛ لأنّ ما بينهما العموم من وجه، أو ينصرف دليل المنع إلى غيره، ولكن التعدي عمّا عليه إطلاق الأخبار وفتوى المشهور لا يخلو عن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ترجيح عمومات حفظ دماء المسلمين أو أعراضهم، أو حفظ بيضة الإسلام وشعائره والأماكن المحترمة على دليل المنع فيجوز بيعها لذلك، لا وجه له قطعاً؛ لأنا لو حكمنا هذه العمومات لخربنا في الفقه تخريبات، ولجاز بيع الأحرار بل وجميع ما أفسدت بيعه الأخبار وفتاوى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شرائها ممن يرى جوازه وجه، سيّما من كافر أو مخالف، إلا أن الأوجه خلافه، سيما من المجتهدين المتخالفين في الفتوى</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3372362_1280447820"/>
      <w:bookmarkStart w:id="338" w:name="_Toc127"/>
      <w:bookmarkEnd w:id="337"/>
      <w:r>
        <w:rPr>
          <w:rtl w:val="true"/>
        </w:rPr>
        <w:t>خامسها</w:t>
      </w:r>
      <w:r>
        <w:rPr>
          <w:rtl w:val="true"/>
        </w:rPr>
        <w:t xml:space="preserve">: </w:t>
      </w:r>
      <w:r>
        <w:rPr>
          <w:rtl w:val="true"/>
        </w:rPr>
        <w:t>اشتراط استقلال الملكية في العوضين</w:t>
      </w:r>
      <w:bookmarkEnd w:id="3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العوضين أيضاً الاستقلال في الملكية، فلا تصحّ المعاوضة على ما للبطون اللاحقة حق فيه، كالوقف عامة وخاصة إذا كان مؤبداً؛ للإجماع المنقول </w:t>
      </w:r>
      <w:r>
        <w:rPr>
          <w:rStyle w:val="FootnoteAnchor"/>
          <w:rtl w:val="true"/>
        </w:rPr>
        <w:footnoteReference w:id="836"/>
      </w:r>
      <w:r>
        <w:rPr>
          <w:rFonts w:ascii="Amiri" w:hAnsi="Amiri" w:eastAsia="Amiri" w:cs="Amiri"/>
          <w:color w:val="111111"/>
          <w:sz w:val="28"/>
          <w:sz w:val="28"/>
          <w:szCs w:val="28"/>
          <w:rtl w:val="true"/>
          <w:lang w:bidi="ar-SA"/>
        </w:rPr>
        <w:t xml:space="preserve">وفتوى المحققين من الفحول، وللأصل المقطوع بأصله، ولمنافاة النقل لحقيقة الوقف المتلقى عن الشارع لأخذ الدوام فيه، وكونه حبساً للعين المنافي لنقلها، فيكون كالتحرير للمملوك، ولتعلق حق الأعقاب به، فنقله أكل مال بالباطل، ولإقدام الواقف على تأبيده واشتراك الذراري به وعدم نقله، وقد نقل مستفيضاً أن الوقوف على ما يقفها أهلها </w:t>
      </w:r>
      <w:r>
        <w:rPr>
          <w:rStyle w:val="FootnoteAnchor"/>
          <w:rtl w:val="true"/>
        </w:rPr>
        <w:footnoteReference w:id="837"/>
      </w:r>
      <w:r>
        <w:rPr>
          <w:rFonts w:ascii="Amiri" w:hAnsi="Amiri" w:eastAsia="Amiri" w:cs="Amiri"/>
          <w:color w:val="111111"/>
          <w:sz w:val="28"/>
          <w:sz w:val="28"/>
          <w:szCs w:val="28"/>
          <w:rtl w:val="true"/>
          <w:lang w:bidi="ar-SA"/>
        </w:rPr>
        <w:t>، وللأخبار الواردة في وقوف الأئمّة الناهية عن البيع والشراء والهبة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ولظهور منعه بين الناس حتّى النساء والأطفال كاد أن يلحق بالضروريات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ولخصوص بعض المعتبرة فيمن شرى وقفاً بجهالة،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 ولا تدخل الغلة في ملكك ادفعها إلى مَنْ 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ما ذكرناه لا يجوز بيع الوقف العام أرضاً أو غيرها؛ لتعلّق حق جميع الموقوف عليهم من الموجودين والمعدومين،به ولشبهه بالعتق إن قلنا بخروجه عن ملك الواقف ودخوله في ملك اللّه تعالى، إلا في بعض الصور على وجه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الموقوف أرضاً، وجب إبقاؤها بحالها مهما أمكن الانتفاع بها على تلك الحال الموقوفة عليها من دار أو حمّام أو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عرض لها عدم الإمكان بحيث حصل اليأس من الانتفاع بها بتلك الجهة، آجرها المتولي في جهةٍ أخرى، متحرّياً للأقرب فالأقرب، كالانتقال من الدار إلى الخان ومنه إلى الحمام ومنه إلى الزراعة محافظاً على الآداب اللازمة للمسجدية لو كانت مسجداً، فينتقل منه إلى إيجارها للأعمال المشابهة للعبادة الخالية عن تلويثها بالنجاسة، وتُصرف أُجرتها ونماؤها فيما ماثلها من الأوقاف، فإن تعذر المماثل صُرفت في غيره، فإن تعذر غيره من الموقوفات العامة صُرفت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كانت الأرض من غير المفتوحة عنوةً أو منها وبقيت آثار التصرف، وإلا عادت عند خرابها للمسلمين كافة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الموقوف غير أرض، فإن بقي على حاله وأمكن الانتفاع به في خصوص المحل الذي أُعد له لزم الانتفاع به كذلك، وإن لم يبق على حاله بحيث لم يمكن الانتفاع به بوجه، كرضاض الحصير والبارية الموقوفين في المساجد وغيرها وبعض أجزاء الخشب والفراش، جاز نقله بعوض وشراء ما ينتفع به في ذلك المحلّ الموقوف، وإن لم يمكن ففي غيره مقدماً للأقرب فالأقرب؛ لأنّ المنع من بيعه هنا مع اضمحلاله يوجب العبث والسفه، مع احتمال الرجوع في ذلك إلى حكم الإباحة، كالملك بعد إعراض المالك عنه، أو الرجوع إلى </w:t>
      </w:r>
    </w:p>
    <w:p>
      <w:pPr>
        <w:pStyle w:val="BookText"/>
        <w:rPr/>
      </w:pPr>
      <w:r>
        <w:rPr>
          <w:rFonts w:ascii="Amiri" w:hAnsi="Amiri" w:eastAsia="Amiri" w:cs="Amiri"/>
          <w:color w:val="111111"/>
          <w:sz w:val="28"/>
          <w:sz w:val="28"/>
          <w:szCs w:val="28"/>
          <w:rtl w:val="true"/>
          <w:lang w:bidi="ar-SA"/>
        </w:rPr>
        <w:t>ملك المسلمين كافة تُصرف في مصالحهم، أو الرجوع إلى المالك الأوَّل، ومع عدم معرفته يكون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أولاً أقوى، إلا مع عدم إمكان البيع أيضاً، فاحتمال الرجوع إلى المسلمين كافة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بقي على حاله أو على حالة ينتفع به إلا أنّه لا يمكن الانتفاع به في الجهة المعدّ لها، فهناك يلزم الانتفاع بها في المماثل مقدّماً الأقرب فالأقرب، وإلا فغير المماثل، وإلا ففي منافع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تعطل نفعها بجميع الجهات، فإن خشي عليها من التلف جاز بيعها وشراء وقف آخر عوضها مقدماً الأقرب فالأقرب، فإن لم يمكن الشراء صُرفت في وجوه البر عيناً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يخش عليها، قوي القول بجواز بيعها أيضاً كذلك، إلا أن القول ببقائها في مكانها وعدم التعرّض لها إلى أن يحكم ولي الأمر فيها بحكمه هو الأسلم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أيضاً بيع الوقف الخاص مطلقاً، سواء خرب خراباً لا يرجى عوده أو كان يرجى، وسواء وُجد مَنْ يراعيه بعمارة أم لم يوجد وسواء حصلت ضرورة من الموقوف عليه إلى ثمنه أو لم تحصل، شديدة كانت أو غير شديدة، وسواء حصلت فتنة بين أربابه من جهته أم لم تحصل، وسواء أمكن تداركها أم لم يمكن، وسواء اجتمع فيه خلف الأرباب وخوف الخراب الناشئ عنه أم لا، أو اجتمع فيه خوف الخراب والحاجة الشديدة بالأرباب أو لا، أو اجتمع فيه خوف الخراب للخُلف بين الأرباب وكون البيع أعود لهم أو لا، وسواء حصلت من الموقوف عليه بسببه فتنة مثيرة للفساد أو لم تحصل، وسواء حصلت ضرورة منه أو ضرورة إليه، أو أعودية أو أنفعيّة للموقوف عليه ببيعه أو لا، وسواء تولّى بيعه الموقوف عليهم أو الواقف أو الحاكم الشرعي، وسواء صرف ثمنه على الموجودين من الموقوف عليهم أو اشتري به شيء يجعل وقفاً يسري نفعه للأعقاب ملاحظاً فيه الأقرب فالأقرب إلى مراد الواقف، كلّ ذلك للأدلة المحكمة المتقدّمة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مذهب المُجوّز للبيع عند خوف الخراب، أو الحاجة الشديدة بالأرباب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نقل عليه الإجماع </w:t>
      </w:r>
      <w:r>
        <w:rPr>
          <w:rStyle w:val="FootnoteAnchor"/>
          <w:rtl w:val="true"/>
        </w:rPr>
        <w:footnoteReference w:id="842"/>
      </w:r>
      <w:r>
        <w:rPr>
          <w:rFonts w:ascii="Amiri" w:hAnsi="Amiri" w:eastAsia="Amiri" w:cs="Amiri"/>
          <w:color w:val="111111"/>
          <w:sz w:val="28"/>
          <w:sz w:val="28"/>
          <w:szCs w:val="28"/>
          <w:rtl w:val="true"/>
          <w:lang w:bidi="ar-SA"/>
        </w:rPr>
        <w:t xml:space="preserve">، ولا مذهب مَنْ جوّزه عند الخراب الذي لا يرجى عوده وكونه لا يجدي نفعاً، ونقل عليه الإجماع </w:t>
      </w:r>
      <w:r>
        <w:rPr>
          <w:rStyle w:val="FootnoteAnchor"/>
          <w:rtl w:val="true"/>
        </w:rPr>
        <w:footnoteReference w:id="843"/>
      </w:r>
      <w:r>
        <w:rPr>
          <w:rFonts w:ascii="Amiri" w:hAnsi="Amiri" w:eastAsia="Amiri" w:cs="Amiri"/>
          <w:color w:val="111111"/>
          <w:sz w:val="28"/>
          <w:sz w:val="28"/>
          <w:szCs w:val="28"/>
          <w:rtl w:val="true"/>
          <w:lang w:bidi="ar-SA"/>
        </w:rPr>
        <w:t xml:space="preserve">، ولا مذهب مَنْ جوّزه عند خوف الخراب الناشئ عن الخُلف بين الأرباب، ونُقل عليه الشهرة </w:t>
      </w:r>
      <w:r>
        <w:rPr>
          <w:rStyle w:val="FootnoteAnchor"/>
          <w:rtl w:val="true"/>
        </w:rPr>
        <w:footnoteReference w:id="844"/>
      </w:r>
      <w:r>
        <w:rPr>
          <w:rFonts w:ascii="Amiri" w:hAnsi="Amiri" w:eastAsia="Amiri" w:cs="Amiri"/>
          <w:color w:val="111111"/>
          <w:sz w:val="28"/>
          <w:sz w:val="28"/>
          <w:szCs w:val="28"/>
          <w:rtl w:val="true"/>
          <w:lang w:bidi="ar-SA"/>
        </w:rPr>
        <w:t xml:space="preserve">، ولا مذهب مَنْ جوّزه عند الخلف بين الأرباب المؤدي إلى الفساد والخراب </w:t>
      </w:r>
      <w:r>
        <w:rPr>
          <w:rStyle w:val="FootnoteAnchor"/>
          <w:rtl w:val="true"/>
        </w:rPr>
        <w:footnoteReference w:id="845"/>
      </w:r>
      <w:r>
        <w:rPr>
          <w:rFonts w:ascii="Amiri" w:hAnsi="Amiri" w:eastAsia="Amiri" w:cs="Amiri"/>
          <w:color w:val="111111"/>
          <w:sz w:val="28"/>
          <w:sz w:val="28"/>
          <w:szCs w:val="28"/>
          <w:rtl w:val="true"/>
          <w:lang w:bidi="ar-SA"/>
        </w:rPr>
        <w:t xml:space="preserve">للصحيح فيمن وقف أرضاً وجعل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يبيع ذلك ويصل الثمن إليه </w:t>
      </w:r>
      <w:r>
        <w:rPr>
          <w:rStyle w:val="FootnoteAnchor"/>
          <w:rtl w:val="true"/>
        </w:rPr>
        <w:footnoteReference w:id="846"/>
      </w:r>
      <w:r>
        <w:rPr>
          <w:rFonts w:ascii="Amiri" w:hAnsi="Amiri" w:eastAsia="Amiri" w:cs="Amiri"/>
          <w:color w:val="111111"/>
          <w:sz w:val="28"/>
          <w:sz w:val="28"/>
          <w:szCs w:val="28"/>
          <w:rtl w:val="true"/>
          <w:lang w:bidi="ar-SA"/>
        </w:rPr>
        <w:t>، وفيما إذا كان بين الموقوف عليهم من هذه الضيعة اختلاف شديد، فإن كان ترى أن يبيع هذا الوقف ويدفع إلى كلّ إنسان منهم ما كان وقف له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علم الاختلاف ما بين أصحاب الوقف أن يبيع الوقف أمثل، فإنّه ربما جاء في الاختلاف تلف الأموال والنفوس</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وربما يستند إلى أنّ المقصود من الوقف استيفاء المنفعة، فإذا تعذر جاز بيعه تحصيلاً للغرض، وأنّ الجمود على العين مع ذلك تعطيل للمال وتضييع لغرض الواقف، ولا مذهب من اكتفى بالأعودية والأنفعية في جواز البيع بل مجرد الحاجة </w:t>
      </w:r>
      <w:r>
        <w:rPr>
          <w:rStyle w:val="FootnoteAnchor"/>
          <w:rtl w:val="true"/>
        </w:rPr>
        <w:footnoteReference w:id="848"/>
      </w:r>
      <w:r>
        <w:rPr>
          <w:rFonts w:ascii="Amiri" w:hAnsi="Amiri" w:eastAsia="Amiri" w:cs="Amiri"/>
          <w:color w:val="111111"/>
          <w:sz w:val="28"/>
          <w:sz w:val="28"/>
          <w:szCs w:val="28"/>
          <w:rtl w:val="true"/>
          <w:lang w:bidi="ar-SA"/>
        </w:rPr>
        <w:t>،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الوقف إذا احتاج إليه الموقوف عليهم ولم يكفهم ما يخرج من الغلة،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ولا غير هذه المذاهب ممّا نقلها الأصحاب؛ لضعف دليلها عن مقاومة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فمعارض بإجماع مثله أوّلاً وبأنه قابل للحمل على غير الوقف المؤبد من الأوقاف المنحصرة أهلها ثانياً، كما نزل الحلّي كلام القوم وأخبارهم عليه </w:t>
      </w:r>
      <w:r>
        <w:rPr>
          <w:rStyle w:val="FootnoteAnchor"/>
          <w:rtl w:val="true"/>
        </w:rPr>
        <w:footnoteReference w:id="850"/>
      </w:r>
      <w:r>
        <w:rPr>
          <w:rFonts w:ascii="Amiri" w:hAnsi="Amiri" w:eastAsia="Amiri" w:cs="Amiri"/>
          <w:color w:val="111111"/>
          <w:sz w:val="28"/>
          <w:sz w:val="28"/>
          <w:szCs w:val="28"/>
          <w:rtl w:val="true"/>
          <w:lang w:bidi="ar-SA"/>
        </w:rPr>
        <w:t>، وربما أشعر به ذكر الخُلف بين الأرباب والقسمة عليهم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الشهرة المنقولة والمحصلة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أرادوا بها البسيطة فهي ممنوعة؛ لعدم تحققها على </w:t>
      </w:r>
    </w:p>
    <w:p>
      <w:pPr>
        <w:pStyle w:val="BookText"/>
        <w:rPr/>
      </w:pPr>
      <w:r>
        <w:rPr>
          <w:rFonts w:ascii="Amiri" w:hAnsi="Amiri" w:eastAsia="Amiri" w:cs="Amiri"/>
          <w:color w:val="111111"/>
          <w:sz w:val="28"/>
          <w:sz w:val="28"/>
          <w:szCs w:val="28"/>
          <w:rtl w:val="true"/>
          <w:lang w:bidi="ar-SA"/>
        </w:rPr>
        <w:t>قول خاص، وإن أرادوا بها المركبة من أقوال المجوّزين فهي غير حجةٍ أولاً، بل إن المشهور بل المجمع عليه على عدم الأخذ بها ها هنا ثانياً؛ لعدم إفادتها حكماً سوى الجواز المشترك بين كلّ الأقوال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سند بعضها ضعف، وهي مشتركة في عدم أخذ قيد الدوام في الوقف، وفي ظهور الانحصار في الموقوف عليهم، فلا يكون من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ويختص الأوّل منها باشتمال صدره على جواز بيع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أحد بجواز بيع الوقف من دون داعٍ، فلا بد من حمله على كون الوقف عليه فقط لا الوقف الدائم، أو على عدم كون الحصة موقوفة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يدعها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والاستقرار، لا الوقف بمعناه، أو على عدم قبضه لها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أيضاً باشتمال عجزه على بيع الواقف له وإعطاء الموقوف عليهم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بعيد جداً؛ لأن القائل بجواز البيع إنّما يجوزه للموقوف عليهم لا للواقف، ولأنّ بيعه وشراء وقف آخر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 به جمع من أصحابنا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تفرقة ثمنه كما في الرواية </w:t>
      </w:r>
      <w:r>
        <w:rPr>
          <w:rStyle w:val="FootnoteAnchor"/>
          <w:rtl w:val="true"/>
        </w:rPr>
        <w:footnoteReference w:id="852"/>
      </w:r>
      <w:r>
        <w:rPr>
          <w:rFonts w:ascii="Amiri" w:hAnsi="Amiri" w:eastAsia="Amiri" w:cs="Amiri"/>
          <w:color w:val="111111"/>
          <w:sz w:val="28"/>
          <w:sz w:val="28"/>
          <w:szCs w:val="28"/>
          <w:rtl w:val="true"/>
          <w:lang w:bidi="ar-SA"/>
        </w:rPr>
        <w:t>، ولأنّ القواعد تقضي بخلافها من التنزل على مراتب الاضطرار عند خوف الفتنة وحصول الاختلاف، من إيجار بعضهم من بعض أو من خارج، أو المهايأة مع القرعة، أو الصلح على منفعة مدةً بمدةٍ، أو الصلح على منفعة بعض ببعض، ولأنّ الخُلف لا زال ولا يزال واقعاً بين أرباب الوقف، فتجويز بيعه لذلك مفض إلى جواز بيع الأوقاف في جميع الأعصار وسائر الأمصار، وهو بعيد عن الاعتبار وظواهر الأخبار، فحمل هذه الرواية على بيعه قبل قبضه بقرينة أنّ المتولّي للبيع هو الواقف أولى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ويختص الثاني بعدم القائل ممّن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بمضمونه من تجويز بيع الوقف إذا حصل الرضى من أهله وكان خيراً لهم، أو كانت لهم ببيعه حاجة؛ إذ قلّما يخلو </w:t>
      </w:r>
    </w:p>
    <w:p>
      <w:pPr>
        <w:pStyle w:val="BookText"/>
        <w:rPr/>
      </w:pPr>
      <w:r>
        <w:rPr>
          <w:rFonts w:ascii="Amiri" w:hAnsi="Amiri" w:eastAsia="Amiri" w:cs="Amiri"/>
          <w:color w:val="111111"/>
          <w:sz w:val="28"/>
          <w:sz w:val="28"/>
          <w:szCs w:val="28"/>
          <w:rtl w:val="true"/>
          <w:lang w:bidi="ar-SA"/>
        </w:rPr>
        <w:t>وقف عن ذلك، ولم يزل أهل الأوقاف مديونين ومحتاجين، والبيع بالنسبة إلى الموجود منهم خير له من بقائه؛ لقلة الانتفاع، أو لنقل 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فهو دالّ على كون الثمن لأهل الوقف ينفقونه عليهم، مع أن الأوفق بالقواعد شراء وقف آخر بثمنه وجعله مكانه؛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فحمل الروايتين على كون البيع قبل القبض أو على كون الوقف محصوراً بطائفة أو أشخاص معلومين، فيكون من المنقطع الأوّل فيعود حبساً، أو على كونه من قبيل وقف المعاطاة الخالي عن الصيغة، أو على كونه من الوقف المحدود بأجل أو عمر الواقف أو الموقوف عليه فيعود حبساً أيضاً، أو على كونه من المنعقد بصيغة الحبس وشبهها وإن لم يكن محصوراً، هو الأوجه؛ لأنّ طرح الصحيحة الأولى بالكلية بعد فتوى كثير من الأصحاب بمضمونها وبعد نقل الإجماع على مضمونها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إلى العمل بها حملها على الحبس، كما فهمه كثير من أصحابنا؛ لإطلاق الوقف عليه سيّما لو كان بصيغته، فإن كان على محصورين ولم يقرن بمدة كان جواز بيعه على مقتضى القواعد؛ لجواز عقده، وإن كان على جهة قربة عامة أو مقروناً بمدةٍ كان جواز بيعه خارجاً عن مقتضى القواعد، إلا أنّه في صورة الاختلاف المؤدي إلى الخراب أو كونه لا يجدي نفعاً يجوز؛ للرواية الصحيحة </w:t>
      </w:r>
      <w:r>
        <w:rPr>
          <w:rStyle w:val="FootnoteAnchor"/>
          <w:rtl w:val="true"/>
        </w:rPr>
        <w:footnoteReference w:id="854"/>
      </w:r>
      <w:r>
        <w:rPr>
          <w:rFonts w:ascii="Amiri" w:hAnsi="Amiri" w:eastAsia="Amiri" w:cs="Amiri"/>
          <w:color w:val="111111"/>
          <w:sz w:val="28"/>
          <w:sz w:val="28"/>
          <w:szCs w:val="28"/>
          <w:rtl w:val="true"/>
          <w:lang w:bidi="ar-SA"/>
        </w:rPr>
        <w:t xml:space="preserve">وفتوى الكثير والإجماع المنقول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ويتولى الواقف البيع والصرف على المحبوس عليهم كما هو مورد الرواية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أن الوقف الخاص كالعام في جواز بيعه حيث لا يمكن الانتفاع به بجهته أو بغيرها كالرضاض، ويشترى بثمنه ما يقرب إليه فيكون وقفاً، مع احتمال جواز صرف حاصله على الموجودين من أربابه على وجوه البر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أمكن الانتفاع به في غير تلك الجهة لم يجز بيعه، وانتفع به بجهة أُخرى مع ملاحظة الأقرب فالأقرب</w:t>
      </w:r>
      <w:r>
        <w:rPr>
          <w:rFonts w:eastAsia="Amiri" w:cs="Amiri" w:ascii="Amiri" w:hAnsi="Amiri"/>
          <w:color w:val="111111"/>
          <w:sz w:val="28"/>
          <w:szCs w:val="28"/>
          <w:rtl w:val="true"/>
          <w:lang w:bidi="ar-SA"/>
        </w:rPr>
        <w:t xml:space="preserve">. </w:t>
      </w:r>
      <w:bookmarkStart w:id="339" w:name="pg19000_245386"/>
    </w:p>
    <w:p>
      <w:pPr>
        <w:pStyle w:val="BookText"/>
        <w:rPr/>
      </w:pPr>
      <w:bookmarkEnd w:id="339"/>
      <w:r>
        <w:rPr>
          <w:rFonts w:ascii="Amiri" w:hAnsi="Amiri" w:eastAsia="Amiri" w:cs="Amiri"/>
          <w:color w:val="111111"/>
          <w:sz w:val="28"/>
          <w:sz w:val="28"/>
          <w:szCs w:val="28"/>
          <w:rtl w:val="true"/>
          <w:lang w:bidi="ar-SA"/>
        </w:rPr>
        <w:t>ولو وقف على قوم غير منحصرين ولكنهم متصفون بوصف خاص فانقرضوا، قام احتمال رجوعه إلى الواقف، وعوده وقفاً على المسلمين كافة، وجواز بيعه وصرفه في وجوه البرّ، والاحتمال الأوسط أوجه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3372364_1280447820"/>
      <w:bookmarkStart w:id="341" w:name="_Toc128"/>
      <w:bookmarkEnd w:id="340"/>
      <w:r>
        <w:rPr>
          <w:rtl w:val="true"/>
        </w:rPr>
        <w:t>سادسها</w:t>
      </w:r>
      <w:r>
        <w:rPr>
          <w:rtl w:val="true"/>
        </w:rPr>
        <w:t xml:space="preserve">: </w:t>
      </w:r>
      <w:r>
        <w:rPr>
          <w:rtl w:val="true"/>
        </w:rPr>
        <w:t>اشتراط عدم كون العوضين أو أحدهما مباحاً لم يدخل في ملك أحدٍ</w:t>
      </w:r>
      <w:bookmarkEnd w:id="341"/>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العوضين أن لا يكونا أو أحدهما مباحاً لم يدخل في ملك أحدٍ، كالكلاً والماء والسمك والوحش، سواء كانت في أرض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المسلمين، أو لبعضهم مع عدم المحصورية أو مع المحصورية ولم يكن الماء من نمائها، كالبئر وشبهه، وفي الحشيش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بالكلأ القصب والبردي </w:t>
      </w:r>
      <w:r>
        <w:rPr>
          <w:rStyle w:val="FootnoteAnchor"/>
          <w:rtl w:val="true"/>
        </w:rPr>
        <w:footnoteReference w:id="857"/>
      </w:r>
      <w:r>
        <w:rPr>
          <w:rFonts w:ascii="Amiri" w:hAnsi="Amiri" w:eastAsia="Amiri" w:cs="Amiri"/>
          <w:color w:val="111111"/>
          <w:sz w:val="28"/>
          <w:sz w:val="28"/>
          <w:szCs w:val="28"/>
          <w:rtl w:val="true"/>
          <w:lang w:bidi="ar-SA"/>
        </w:rPr>
        <w:t>وكلّ ما نبت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المباح ما كان مملوكاً فأعرض عنه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طرأت على المباح الحيازة صار مملوكاً وجاز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طرق المسلمين وأسواقهم ومقابرهم وحريم بلدانهم وقراهم وسورهم ومطرح ترابهم فلا يبعد إلحاقها بمباح الأصل وإن كان للمسلمين فيها حق الاختصاص ما دام لهم فيها حاجة، فإذا بطلت حاجتهم زال حق الاختصاص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الحكم بملكيتهم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 الانتفاع بها في الوجه الخاص بهم صُرفت منافعها الجديدة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رجوعها كأرض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عمر أحد شيئاً من أطرافها حيث لا يضاد منفعتها المطلوبة، ملكه تبعاً لآثار التصرف، فإذا زالت زال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بقاء ملكها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ماء البئر إذا كان في ملك خاص، ويتبع الأرض في الحكم إذا كانت وقفاً عاماً أو خاصاً، سواء وصل المالك إلى الماء بالحفر أو لم يصل؛ لأنّ الأسفل يتبع الأعلى في الملكية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يتجدد من الماء يملكه مالك الأرض؛ لحيازته له بإعداده الموضع القابل لحيازته له مع قصده ذلك</w:t>
      </w:r>
      <w:r>
        <w:rPr>
          <w:rFonts w:eastAsia="Amiri" w:cs="Amiri" w:ascii="Amiri" w:hAnsi="Amiri"/>
          <w:color w:val="111111"/>
          <w:sz w:val="28"/>
          <w:szCs w:val="28"/>
          <w:rtl w:val="true"/>
          <w:lang w:bidi="ar-SA"/>
        </w:rPr>
        <w:t xml:space="preserve">. </w:t>
      </w:r>
      <w:bookmarkStart w:id="342" w:name="pg19000_245387"/>
    </w:p>
    <w:p>
      <w:pPr>
        <w:pStyle w:val="BookText"/>
        <w:rPr/>
      </w:pPr>
      <w:bookmarkEnd w:id="342"/>
      <w:r>
        <w:rPr>
          <w:rFonts w:ascii="Amiri" w:hAnsi="Amiri" w:eastAsia="Amiri" w:cs="Amiri"/>
          <w:color w:val="111111"/>
          <w:sz w:val="28"/>
          <w:sz w:val="28"/>
          <w:szCs w:val="28"/>
          <w:rtl w:val="true"/>
          <w:lang w:bidi="ar-SA"/>
        </w:rPr>
        <w:t>ولو حفر حافر بئراً في أرض مباحة بالأصل أو في طرق المسلمين أو في أراضيهم المشتركة مع عدم تضرّر المسلمين به ملك ماءها مع نية التملك، ومع عدمه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حق الاختصاص مع عدم النية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حفر نهراً في أرض مملوكة أو مباحة بنيّة حيازة الماء ملك الماء الداخل فيه وإن لم يعمل لسدّه من آخره، عملاً بفتوى المشهور، وللسيرة القطعية، والمنع من الملك مطلقاً أو مع عدم السدّ ضعيف، وآبار النجف الآن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الخارج عنهنّ إلى غير هنّ بمنزلة المال المعرض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يلزم من الامتناع عنه العسر والحرج من المياه التي في الطرق من الأراضي المتسعة يجوز التصرّف فيه واستعماله على نحو ما جرت العادة به وإن كان مملوكاً، سواء أذن المالك أو لم يأذن، بل ولو منع؛ للسيرة الدالة على رضى المالك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المعدن في الأرض المملوكة تبعاً لها ولو تناهى في الثمن على الأظهر، ويملك في الأرض المباحة مع النية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3372366_1280447820"/>
      <w:bookmarkStart w:id="344" w:name="_Toc129"/>
      <w:bookmarkEnd w:id="343"/>
      <w:r>
        <w:rPr>
          <w:rtl w:val="true"/>
        </w:rPr>
        <w:t>سابعها</w:t>
      </w:r>
      <w:r>
        <w:rPr>
          <w:rtl w:val="true"/>
        </w:rPr>
        <w:t xml:space="preserve">: </w:t>
      </w:r>
      <w:r>
        <w:rPr>
          <w:rtl w:val="true"/>
        </w:rPr>
        <w:t>اشتراط عدم كون العوضين أو أحدهما مملوكاً لكافة المسلمين</w:t>
      </w:r>
      <w:bookmarkEnd w:id="344"/>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العوضين أن لا يكونا أو أحدهما من المملوك لكافة المسلمين،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على وجه الشركة وإن جاز أخذ الزيادة أو الكل من بعضهم؛ للدليل،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يملكون للكلّ أو الأبعاض على وجه التناول ولا مانع منه عقلاً،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يملكون أن يملكوا ولا يملكون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نقل الزكاة قبل قبضها، أو نقل الخمس أو المنذور للفقراء أو الكفارات من أعيان أو ديون قبل قبضها؛ للأصل والإجماع، وعدم دخوله فيما يملك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نقل الأرض المفتوحة عنوةً قبل التصرّف فيها بإيجاد أثر من آثار التصرف فيها، سواء كان الأثر ممّا يقبل النقل مستقلاً أو لا يقبله إلّا منضماً، بل ولو لم يقبله مطلقاً؛ لأن الظاهر أنّ أثر التصرف مملك لها ومجوّز لنقلها، سواء قصد بالنقل نفس الأرض والتصرف تابع، أو العكس، أو تساويا في القصد؛ لأصالة عدم النقل والانتقال، ولما دلّ على منع نقل </w:t>
      </w:r>
      <w:bookmarkStart w:id="345" w:name="pg19000_245388"/>
    </w:p>
    <w:p>
      <w:pPr>
        <w:pStyle w:val="BookText"/>
        <w:rPr/>
      </w:pPr>
      <w:bookmarkEnd w:id="345"/>
      <w:r>
        <w:rPr>
          <w:rFonts w:ascii="Amiri" w:hAnsi="Amiri" w:eastAsia="Amiri" w:cs="Amiri"/>
          <w:color w:val="111111"/>
          <w:sz w:val="28"/>
          <w:sz w:val="28"/>
          <w:szCs w:val="28"/>
          <w:rtl w:val="true"/>
          <w:lang w:bidi="ar-SA"/>
        </w:rPr>
        <w:t xml:space="preserve">المال المشترك </w:t>
      </w:r>
      <w:r>
        <w:rPr>
          <w:rStyle w:val="FootnoteAnchor"/>
          <w:rtl w:val="true"/>
        </w:rPr>
        <w:footnoteReference w:id="858"/>
      </w:r>
      <w:r>
        <w:rPr>
          <w:rFonts w:ascii="Amiri" w:hAnsi="Amiri" w:eastAsia="Amiri" w:cs="Amiri"/>
          <w:color w:val="111111"/>
          <w:sz w:val="28"/>
          <w:sz w:val="28"/>
          <w:szCs w:val="28"/>
          <w:rtl w:val="true"/>
          <w:lang w:bidi="ar-SA"/>
        </w:rPr>
        <w:t xml:space="preserve">مع عدم معرفة ما للناقل؛ لاشتراك الموجودين من سائر فرق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والمعدومين معه، ولعدم قدرة الناقل على التسليم والحال كذلك، ولإعدادها لمصالح المسلمين كما يظهر من الفتاوى والنصوص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منافٍ لذلك، وللإجماع المنقول </w:t>
      </w:r>
      <w:r>
        <w:rPr>
          <w:rStyle w:val="FootnoteAnchor"/>
          <w:rtl w:val="true"/>
        </w:rPr>
        <w:footnoteReference w:id="860"/>
      </w:r>
      <w:r>
        <w:rPr>
          <w:rFonts w:ascii="Amiri" w:hAnsi="Amiri" w:eastAsia="Amiri" w:cs="Amiri"/>
          <w:color w:val="111111"/>
          <w:sz w:val="28"/>
          <w:sz w:val="28"/>
          <w:szCs w:val="28"/>
          <w:rtl w:val="true"/>
          <w:lang w:bidi="ar-SA"/>
        </w:rPr>
        <w:t xml:space="preserve">، والشهرة المحصلة، وللأخبار </w:t>
      </w:r>
      <w:r>
        <w:rPr>
          <w:rStyle w:val="FootnoteAnchor"/>
          <w:rtl w:val="true"/>
        </w:rPr>
        <w:footnoteReference w:id="861"/>
      </w:r>
      <w:r>
        <w:rPr>
          <w:rFonts w:ascii="Amiri" w:hAnsi="Amiri" w:eastAsia="Amiri" w:cs="Amiri"/>
          <w:color w:val="111111"/>
          <w:sz w:val="28"/>
          <w:sz w:val="28"/>
          <w:szCs w:val="28"/>
          <w:rtl w:val="true"/>
          <w:lang w:bidi="ar-SA"/>
        </w:rPr>
        <w:t>الدالة على ذلك، المعتضدة بما قدمنا، فلا وجه لتخصيص المنع بالحضور؛ لمخالفة الإجماع فضلاً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بجواز نقلها من والي المسلمين إذا رأى مصلحتهم في النقل؛ لقيامه مقام سائرهم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ينزل عليه ما ورد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شرائه أربعة أميال من كلّ جهة مما يلي قبره الشريف وتصدّق بها على أهلها مع اشتراط ضيافة الزوّار عليهم </w:t>
      </w:r>
      <w:r>
        <w:rPr>
          <w:rStyle w:val="FootnoteAnchor"/>
          <w:rtl w:val="true"/>
        </w:rPr>
        <w:footnoteReference w:id="862"/>
      </w:r>
      <w:r>
        <w:rPr>
          <w:rFonts w:ascii="Amiri" w:hAnsi="Amiri" w:eastAsia="Amiri" w:cs="Amiri"/>
          <w:color w:val="111111"/>
          <w:sz w:val="28"/>
          <w:sz w:val="28"/>
          <w:szCs w:val="28"/>
          <w:rtl w:val="true"/>
          <w:lang w:bidi="ar-SA"/>
        </w:rPr>
        <w:t>، مع احتمال أنّها كانت مواتاً حين الفتح، أو أنّها مشتملة على آثار التصرف، كما جاء في بعض الأخبار</w:t>
      </w:r>
      <w:r>
        <w:rPr>
          <w:rStyle w:val="FootnoteAnchor"/>
          <w:rtl w:val="true"/>
        </w:rPr>
        <w:footnoteReference w:id="863"/>
      </w:r>
      <w:r>
        <w:rPr>
          <w:rFonts w:ascii="Amiri" w:hAnsi="Amiri" w:eastAsia="Amiri" w:cs="Amiri"/>
          <w:color w:val="111111"/>
          <w:sz w:val="28"/>
          <w:sz w:val="28"/>
          <w:szCs w:val="28"/>
          <w:rtl w:val="true"/>
          <w:lang w:bidi="ar-SA"/>
        </w:rPr>
        <w:t>مما يؤذن بجواز الشراء ممّن بيده أرض الخراج فإنها محمولة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 نقلها مع آثار التصرّف السيرة القطعية من إجراء حكم الأملاك والأوقاف عليها ما دامت مصاحبة للآثار، ولا بأس باتصاف شيءٍ بالملك أو الوقف في حال دون حالٍ إذا جاء به الدليل، وقد روي ذلك في أرض النيل </w:t>
      </w:r>
      <w:r>
        <w:rPr>
          <w:rStyle w:val="FootnoteAnchor"/>
          <w:rtl w:val="true"/>
        </w:rPr>
        <w:footnoteReference w:id="864"/>
      </w:r>
      <w:r>
        <w:rPr>
          <w:rFonts w:ascii="Amiri" w:hAnsi="Amiri" w:eastAsia="Amiri" w:cs="Amiri"/>
          <w:color w:val="111111"/>
          <w:sz w:val="28"/>
          <w:sz w:val="28"/>
          <w:szCs w:val="28"/>
          <w:rtl w:val="true"/>
          <w:lang w:bidi="ar-SA"/>
        </w:rPr>
        <w:t xml:space="preserve">، وفي بيع دار عقيل </w:t>
      </w:r>
      <w:r>
        <w:rPr>
          <w:rStyle w:val="FootnoteAnchor"/>
          <w:rtl w:val="true"/>
        </w:rPr>
        <w:footnoteReference w:id="865"/>
      </w:r>
      <w:r>
        <w:rPr>
          <w:rFonts w:ascii="Amiri" w:hAnsi="Amiri" w:eastAsia="Amiri" w:cs="Amiri"/>
          <w:color w:val="111111"/>
          <w:sz w:val="28"/>
          <w:sz w:val="28"/>
          <w:szCs w:val="28"/>
          <w:rtl w:val="true"/>
          <w:lang w:bidi="ar-SA"/>
        </w:rPr>
        <w:t>، فملكها حينئذٍ تابع لآثار التصرف الحادثة، ويملكها بتصرفه فيها، وأما القديمة وقت الفتح فحالها حال الأرض</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3372368_1280447820"/>
      <w:bookmarkStart w:id="347" w:name="_Toc130"/>
      <w:bookmarkEnd w:id="346"/>
      <w:r>
        <w:rPr>
          <w:rtl w:val="true"/>
        </w:rPr>
        <w:t>أحكام الأراضي المفتوحة عنوةً وخراجها وبيعها ومصارف عوائدها</w:t>
      </w:r>
      <w:bookmarkEnd w:id="347"/>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بكون الأرض المفتوحة عنوةً للمسلمين خاص بما كان معموراً حين </w:t>
      </w:r>
    </w:p>
    <w:p>
      <w:pPr>
        <w:pStyle w:val="BookText"/>
        <w:rPr/>
      </w:pPr>
      <w:r>
        <w:rPr>
          <w:rFonts w:ascii="Amiri" w:hAnsi="Amiri" w:eastAsia="Amiri" w:cs="Amiri"/>
          <w:color w:val="111111"/>
          <w:sz w:val="28"/>
          <w:sz w:val="28"/>
          <w:szCs w:val="28"/>
          <w:rtl w:val="true"/>
          <w:lang w:bidi="ar-SA"/>
        </w:rPr>
        <w:t xml:space="preserve">الفتح، كما هو ظاهر الفتوى والنصّ، خلافاً لما يظهر من بعض الأخبار </w:t>
      </w:r>
      <w:r>
        <w:rPr>
          <w:rStyle w:val="FootnoteAnchor"/>
          <w:rtl w:val="true"/>
        </w:rPr>
        <w:footnoteReference w:id="866"/>
      </w:r>
      <w:r>
        <w:rPr>
          <w:rFonts w:ascii="Amiri" w:hAnsi="Amiri" w:eastAsia="Amiri" w:cs="Amiri"/>
          <w:color w:val="111111"/>
          <w:sz w:val="28"/>
          <w:sz w:val="28"/>
          <w:szCs w:val="28"/>
          <w:rtl w:val="true"/>
          <w:lang w:bidi="ar-SA"/>
        </w:rPr>
        <w:t xml:space="preserve">والفتاوى من أنّها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مصالحها في المسلمين، فإنّها لا تعارض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خراباً فبين ما دلّ على أن الموات للإمام </w:t>
      </w:r>
      <w:r>
        <w:rPr>
          <w:rStyle w:val="FootnoteAnchor"/>
          <w:rtl w:val="true"/>
        </w:rPr>
        <w:footnoteReference w:id="867"/>
      </w:r>
      <w:r>
        <w:rPr>
          <w:rFonts w:ascii="Amiri" w:hAnsi="Amiri" w:eastAsia="Amiri" w:cs="Amiri"/>
          <w:color w:val="111111"/>
          <w:sz w:val="28"/>
          <w:sz w:val="28"/>
          <w:szCs w:val="28"/>
          <w:rtl w:val="true"/>
          <w:lang w:bidi="ar-SA"/>
        </w:rPr>
        <w:t xml:space="preserve">وبين ما دلّ على أن المفتوحة عنوةً للمسلمين </w:t>
      </w:r>
      <w:r>
        <w:rPr>
          <w:rStyle w:val="FootnoteAnchor"/>
          <w:rtl w:val="true"/>
        </w:rPr>
        <w:footnoteReference w:id="868"/>
      </w:r>
      <w:r>
        <w:rPr>
          <w:rFonts w:ascii="Amiri" w:hAnsi="Amiri" w:eastAsia="Amiri" w:cs="Amiri"/>
          <w:color w:val="111111"/>
          <w:sz w:val="28"/>
          <w:sz w:val="28"/>
          <w:szCs w:val="28"/>
          <w:rtl w:val="true"/>
          <w:lang w:bidi="ar-SA"/>
        </w:rPr>
        <w:t xml:space="preserve">عموم من وجه، فيمكن ترجيح جانب أنّه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يده أقوى، وهو أولى بالمؤمنين من أنفسهم؛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فإنّ إبقاءه على عمومه غير ممكن إلا على القول بأن الموات كله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ولعدم ملك الكفّار للموات قبل الفتح، فيكون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فيستصحب حاله إلى ما بعد الفتح، بل لو ملكه الكفار لكان من الصفايا وهو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أنّه للمسلمين؛ لعمومات أنّ المفتوحة عنوةً للمسلمين وإطلاقات أكثر العبارات، ولأصالة عدم الاختصاص، وللسيرة المستمرة على ضرب الخراج على المفتوحة عنوةً من غير سؤال، بل مع العلم بكونها مواتاً وقت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لمعارضة العمومات وإطلاق العبارات بما هو أقوى من أن الموات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ولمعارضة أصالة عدم الاختصاص بأصالة عدم الاشتراك مع الاتفاق على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في الجملة والشكّ في غيره، ولعدم حجيّة السيرة مع العلم بكون الآخذ ليس من أهل الحق، وأنّه مبطل في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القطع من السيرة بتقرير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أخذ الخراج من أيديهم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أوّلاً، ولو سلمناها فلعل الخراج يجوز أخذه من يد القاهر ولو ضربه على غير الخراجية ثانياً، فالأوّل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وقع الشكّ في كون الأرض معمورةً وقت الفتح أو خراباً، فإن كان عليها يد مسلم أو طائفة من المسلمين يدعون ملكيتها قضي عليها بالملكية لحق اليد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عليها يد مسلم أو عليها ولا يدعي ملكيتها لعدم العلم بحالها، فإن كانت </w:t>
      </w:r>
    </w:p>
    <w:p>
      <w:pPr>
        <w:pStyle w:val="BookText"/>
        <w:rPr/>
      </w:pPr>
      <w:r>
        <w:rPr>
          <w:rFonts w:ascii="Amiri" w:hAnsi="Amiri" w:eastAsia="Amiri" w:cs="Amiri"/>
          <w:color w:val="111111"/>
          <w:sz w:val="28"/>
          <w:sz w:val="28"/>
          <w:szCs w:val="28"/>
          <w:rtl w:val="true"/>
          <w:lang w:bidi="ar-SA"/>
        </w:rPr>
        <w:t xml:space="preserve">معمورة ويضرب عليها الخراج، أو كانت شبه المعمورة للقرب إليها، أو للعلم بتعميرها في كثير من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أراضي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الحكم بعمارتها وقت الفتح؛ لحصول الظن بذلك من أخذ الخراج؛ لأنّه يفيد الظنّ بذلك غالباً، لا لأصالة الصحّة؛ لعدم جريانها مع العلم بكون الآخذ غير محقِّ، مع احتمال ذلك؛ حملاً للمسلم على أقل القبيحين من فعله، ولحصول الظنّ بتعميره سابقاً؛ لعلو الهمم السابقة في التعمير حتّى أنّه قلما يوجد موضع لم يكن معموراً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كفاية الظنّ في هذا المقام؛ لعدم إمكان الوصول إلى العلم، ولزوم عدم إجراء حكم المفتوحة عنوةً في جميع الأراضي إلا ما قلّ منها؛ لعدم اليقين بعمارتها وقت الفتح، وهذا خلاف الإجماع كما قيل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فالحكم بخرابها وقت الفتح؛ لأصالة تأخر التعمير، ولأصالة عدم الاشتراك في الملك، ولأصالة عدم وجوب دفع الخراج، ولأصالة أنّ ما تحت اليد بعد دخوله تحتها الملكية وإن لم يعلم السببية، ضعيف لا يعارض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معمورةً أو شبه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أراضي العراق البعيدة عن السكني والخالية من الآثار المفيدة للظنّ بسبق،عمارتها كدور خربة أو قرية كذلك قريبة إليها؛ أو أنهار عتيقة أو آبار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بكونها مواتاً وقت الفتح؛ للاستصحاب، وكونها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الاشتراك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كلّ ما عُلم عمارته في الأزمنة المتأخرة وأن لا أثر له له باقٍ من الزمن المتقدم إلى حين التعمير، أما ما عُلم خرابه وعمارته سابقاً وشُكّ في السابق منهما فهو ملحق بالمعمور حينه وإن كان الآن خراباً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بالمفتوحة عنوةً هو ما فتحها سلطان الحقّ أو نائبه العام أو الخاص، أو ما كان مأذوناً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ابتداء أو انتهاء، لموافقة الفتح للمصلحة الإلهية؛ لأنّ إظهار كلمة الإسلام أمر مطلوب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الملك العلام كفتوحات الأ ات الأُمويين والعباسيين والسلاطين من الموافقين والمخالفين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السيرة القطعية بأخذ الخراج من سائر المفتوح للخلفاء ومعاملة خراجها كخراج المفتوح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جميع ما فتح عنوةً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أرض العراق، فإنّ أرض العراق إمام الأراضي يُفعل في جميعها ما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بشرى النبيّ للصحابة حيث برقت برقة من ضربه الصخرة فأشرقت بها أطراف بلاد المسلمين بأنهم يملكونها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عد خراسان والشام منها تأييد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بالاقتصار في المفتوحة عنوةً على ما فتح بالإذن الابتدائية خاصةً بل الصريحة؛ اقتصاراً على مورد اليقين في دخول الأرض في ملك المسلمين، وتحكيماً لما دلّ على أنّ المأخوذ بغير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وغلبة فهو له من الأنفال </w:t>
      </w:r>
      <w:r>
        <w:rPr>
          <w:rStyle w:val="FootnoteAnchor"/>
          <w:rtl w:val="true"/>
        </w:rPr>
        <w:footnoteReference w:id="873"/>
      </w:r>
      <w:r>
        <w:rPr>
          <w:rFonts w:ascii="Amiri" w:hAnsi="Amiri" w:eastAsia="Amiri" w:cs="Amiri"/>
          <w:color w:val="111111"/>
          <w:sz w:val="28"/>
          <w:sz w:val="28"/>
          <w:szCs w:val="28"/>
          <w:rtl w:val="true"/>
          <w:lang w:bidi="ar-SA"/>
        </w:rPr>
        <w:t xml:space="preserve">، والتزام تنزيل المتيقن من أنّه فتح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أنّ في الجيش كان الحسنان صلوات اللّه عليهما، كما في بعض السير والآثار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قوي، إلا أن الأوّل أقوى؛ لما قدمنا، ولإمكان تخصيص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أُخذ بغير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الأراضي أخذاً بعموم أنّ ما أُخذ بالقهر من أراضي الكفار فهو للمسلمين </w:t>
      </w:r>
      <w:r>
        <w:rPr>
          <w:rStyle w:val="FootnoteAnchor"/>
          <w:rtl w:val="true"/>
        </w:rPr>
        <w:footnoteReference w:id="875"/>
      </w:r>
      <w:r>
        <w:rPr>
          <w:rFonts w:ascii="Amiri" w:hAnsi="Amiri" w:eastAsia="Amiri" w:cs="Amiri"/>
          <w:color w:val="111111"/>
          <w:sz w:val="28"/>
          <w:sz w:val="28"/>
          <w:szCs w:val="28"/>
          <w:rtl w:val="true"/>
          <w:lang w:bidi="ar-SA"/>
        </w:rPr>
        <w:t>، أو ظهور تلك القاعدة في غير الأراضي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يبعد جواز إجراء حكم الخراج الصحيح على الخراج المأخوذ من يد الجائر من جميع تلك الأراضي وإن لم يعلم الإذن فيها؛ للسيرة الدالة على معاملة خراج جميعها معاملة المأخوذة بالإذن، بل لا يبعد القول بجواز أخذ حاكم الشرع الآن الخراج منها؛ لدلالة تلك السيرة على جواز أخذ الخراج منها للحاكم المحق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المفتوحة عنوةً كما لا يجوز التصرف بعينها لا يجوز التصرف بمنافعها ولا نقلها؛ لعدم اختصاص واحدٍ دون آخر بها، إلا ما جرت به السيرة ودلّ عليه نفي العسر والحرج من السير وحفر الآبار ونصب الخيام، وكذلك بناء الدور والقرى إذا لم يكن مفوّتاً لمصلحة من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التصرف بها بزرع أو غرس يُعتد به من دون إذن من حاكم الجور في حال الغيبة، أو حاكم الحقّ في حال الحضور؛ اقتصاراً فيما خرج عن قاعدة حرمة التصرف بمال الغير من دون إذن على المورد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التخيير بين ما دلّ على جواز الرجوع إلى حاكم الجور من الأخبار </w:t>
      </w:r>
      <w:r>
        <w:rPr>
          <w:rStyle w:val="FootnoteAnchor"/>
          <w:rtl w:val="true"/>
        </w:rPr>
        <w:footnoteReference w:id="876"/>
      </w:r>
      <w:r>
        <w:rPr>
          <w:rFonts w:ascii="Amiri" w:hAnsi="Amiri" w:eastAsia="Amiri" w:cs="Amiri"/>
          <w:color w:val="111111"/>
          <w:sz w:val="28"/>
          <w:sz w:val="28"/>
          <w:szCs w:val="28"/>
          <w:rtl w:val="true"/>
          <w:lang w:bidi="ar-SA"/>
        </w:rPr>
        <w:t xml:space="preserve">والسيرة القطعية، ومن أنّها ملك للمسلمين فتصرف في مصالحهم من حفظ الطرق وقطع مواد الفساد ومحاربة الأعداء من الكفّار والبغاة، والمتصدّي لذلك في حال الغيبة هو حاكم الجور، وبين ما دلّ من الاستقراء القطعي، وأشارت إليه جملة من الأخبار من قيام المجتهد المطلق الجامع للشرائط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فنحكم بالتخيير في الدفع إلى أيهما شاء، فإن لم يوجدا معاً استأذن المتصرّف فيها عدول المسلمين، فإن لم يكونوا تولّى التصرّف بنفسه، وقام بما يلزمه صرفه بنفسه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الرجوع إلى حاكم الجور مخالفاً للقواعد والضوابط ومنافياً لما دلّ على البعد من حُكّام الجور وحرمة إعانتهم والتحبّب لهم والركون إليهم </w:t>
      </w:r>
      <w:r>
        <w:rPr>
          <w:rStyle w:val="FootnoteAnchor"/>
          <w:rtl w:val="true"/>
        </w:rPr>
        <w:footnoteReference w:id="878"/>
      </w:r>
      <w:r>
        <w:rPr>
          <w:rFonts w:ascii="Amiri" w:hAnsi="Amiri" w:eastAsia="Amiri" w:cs="Amiri"/>
          <w:color w:val="111111"/>
          <w:sz w:val="28"/>
          <w:sz w:val="28"/>
          <w:szCs w:val="28"/>
          <w:rtl w:val="true"/>
          <w:lang w:bidi="ar-SA"/>
        </w:rPr>
        <w:t>لزم الاقتصار فيه على المورد اليقيني من السلطان المتغلب على ذلك المكان بجنوده وعسكره، المعد نفسه لحفظ ذلك الثغر من الأعداء وقُطَّاع الطرق، بحيث يُعدّ المتصرّف أنّه من رعيته ومن المشمولين لدولته، ولا عبرة بغيره ممّن بعد سلطانه أو ضعف حاله بحيث لم يبقَ له من رسم السلطنة إلا الاسم، كبعض أولاد العلماء المتصدين لدرك الفتوى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فيه أن يكون متصدياً لما يراد من إمام الحق، وكونه ذا جماعات وأعياد ورايات وطبل وقضاة وعُمّال، ولا أن يكون من العامة المخالفين، ولا أن يكون ممن يرى أن أمر </w:t>
      </w:r>
    </w:p>
    <w:p>
      <w:pPr>
        <w:pStyle w:val="BookText"/>
        <w:rPr/>
      </w:pPr>
      <w:r>
        <w:rPr>
          <w:rFonts w:ascii="Amiri" w:hAnsi="Amiri" w:eastAsia="Amiri" w:cs="Amiri"/>
          <w:color w:val="111111"/>
          <w:sz w:val="28"/>
          <w:sz w:val="28"/>
          <w:szCs w:val="28"/>
          <w:rtl w:val="true"/>
          <w:lang w:bidi="ar-SA"/>
        </w:rPr>
        <w:t>الأراضي ومصالح المسلمين بيده؛ لإطلاق الدليل، وللزوم الحرج والضيق وفساد نظام أكثر العالم لو اقتصرنا على ذلك، فإنّ أكثر أهل الأطراف متغلبون، كخراسان والهند وكثير من بلاد الإسلام، ولزوم الخراج المتعدّد وتحريم المعاملة على ما يدخلهم من جهة التسلّط حرج عظيم، ولأنّ اسم الجائر في الأخبار وكلام الأصحاب يعمّ كلّ متغلّب طلب الاستقلال لنفسه، وكذا لفظ السلطان، كما يظهر من كلام أهل اللغة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إسناد المقاسمة والأخذ في الروايات </w:t>
      </w:r>
      <w:r>
        <w:rPr>
          <w:rStyle w:val="FootnoteAnchor"/>
          <w:rtl w:val="true"/>
        </w:rPr>
        <w:footnoteReference w:id="87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يأخذه لأخذه غيره</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بخراج المسلمين ماذا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ما يدل على عموم الحكم لكل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فالجائر غاصب ظالم في أخذه، ضامن للمال ولا يحلّ التصرف له بشيءٍ من الأرض من خراج أو مقاسمة أو إقطاع أو إحالة أو إعطاء شيء مما يأخذه من نمائها؛ لأنّه غاصب لمنصب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الرجوع إليه وجاز الأخذ منه إقطاعاً وخراجاً، ولا منافاة بين حرمة تصرّفه ووجوب الرجوع إليه؛ اقتصاراً في حرمة التصرف بمال الغير من دون إذنه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بعض المتأخرين التصرّف للشيعة فقط في الأرض الخراجية في حال الغيبة من دون رجوع إلى حاكم الجور أو إلى حاكم الشرع؛ استناداً إلى الأخبار المتكثرة الدالة على أن الأرض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شيعتهم في حل ورخصة من التصرف فيها عند عدم تمكنهم، وأن ما كان في أيدي غيرهم فإن كسبهم حرام حتّى يقوم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الأرض من أيديهم ويخرجهم منها صغرةً </w:t>
      </w:r>
      <w:r>
        <w:rPr>
          <w:rStyle w:val="FootnoteAnchor"/>
          <w:rtl w:val="true"/>
        </w:rPr>
        <w:footnoteReference w:id="882"/>
      </w:r>
      <w:r>
        <w:rPr>
          <w:rFonts w:ascii="Amiri" w:hAnsi="Amiri" w:eastAsia="Amiri" w:cs="Amiri"/>
          <w:color w:val="111111"/>
          <w:sz w:val="28"/>
          <w:sz w:val="28"/>
          <w:szCs w:val="28"/>
          <w:rtl w:val="true"/>
          <w:lang w:bidi="ar-SA"/>
        </w:rPr>
        <w:t xml:space="preserve">، ولا معارض لها ممّا يدلّ على حرمة التصرف بها حال الغيبة، فيخص ما ورد من التوقف على إذنهم بزمان وجودهم وبسط يدهم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 إلا أن ظهور الأخبار في أرض الموات بعد فهم الأصحاب لها ذلك مما لا يمكن المحيص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بعد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المفتوحة عنوةً تُملك تبعاً لآثار التصرف المتجددة لا القديمة؛ لأنّ حالها حالها إذا كانت في زمن الفتح، وإنّها تُنقل تبعاً للملك، فهل يراد بالآثار ما يعم الزراعة، أو يختص بغيرها ؟ ظاهر الفتوى وجملةٍ من الأدلّة اختصاصها بغيرها، وظاهر بعض الأخبار </w:t>
      </w:r>
      <w:r>
        <w:rPr>
          <w:rStyle w:val="FootnoteAnchor"/>
          <w:rtl w:val="true"/>
        </w:rPr>
        <w:footnoteReference w:id="884"/>
      </w:r>
      <w:r>
        <w:rPr>
          <w:rFonts w:ascii="Amiri" w:hAnsi="Amiri" w:eastAsia="Amiri" w:cs="Amiri"/>
          <w:color w:val="111111"/>
          <w:sz w:val="28"/>
          <w:sz w:val="28"/>
          <w:szCs w:val="28"/>
          <w:rtl w:val="true"/>
          <w:lang w:bidi="ar-SA"/>
        </w:rPr>
        <w:t xml:space="preserve">وفتوى بعض الأخيار </w:t>
      </w:r>
      <w:r>
        <w:rPr>
          <w:rStyle w:val="FootnoteAnchor"/>
          <w:rtl w:val="true"/>
        </w:rPr>
        <w:footnoteReference w:id="885"/>
      </w:r>
      <w:r>
        <w:rPr>
          <w:rFonts w:ascii="Amiri" w:hAnsi="Amiri" w:eastAsia="Amiri" w:cs="Amiri"/>
          <w:color w:val="111111"/>
          <w:sz w:val="28"/>
          <w:sz w:val="28"/>
          <w:szCs w:val="28"/>
          <w:rtl w:val="true"/>
          <w:lang w:bidi="ar-SA"/>
        </w:rPr>
        <w:t>عموم ذلك للزراعة أيضاً مع قيام المشتري بخراجها، وحمل ما جاء من المنع على صورة البيع مع عدم قيام المشتري بخراجها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لانصراف العموم في الفتوى والرواية لغير الزراعة، ولقيام السيرة على المنع من بيع أراضي المزارع وإجراء حكم الأملاك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بإجراء حكم الأملاك عليها ونقلها ما دام الزرع فيها على أن يكون ملكها ونقلها كذلك محدودين بذلك الحد، لا على أنّ الزرع مملك لها دائماً والنقل مملك 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عودها لملك المسلمين بعد ذهاب آثار التصرف حكماً شرعياً، وعليه تنزل الأخبار المجوّزة للشراء </w:t>
      </w:r>
      <w:r>
        <w:rPr>
          <w:rStyle w:val="FootnoteAnchor"/>
          <w:rtl w:val="true"/>
        </w:rPr>
        <w:footnoteReference w:id="886"/>
      </w:r>
      <w:r>
        <w:rPr>
          <w:rFonts w:ascii="Amiri" w:hAnsi="Amiri" w:eastAsia="Amiri" w:cs="Amiri"/>
          <w:color w:val="111111"/>
          <w:sz w:val="28"/>
          <w:sz w:val="28"/>
          <w:szCs w:val="28"/>
          <w:rtl w:val="true"/>
          <w:lang w:bidi="ar-SA"/>
        </w:rPr>
        <w:t>، ولا بأس بذلك وإن كان بعيداً عن ظواهر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في التصرّف المملك أن يستند إلى إذن حاكم الجور أو الشرع إذا كان في أرض الزراعة أو الغرس؛ لأنّه بدونه منهي عنه، أو لا يشترط؛ لأنّ حرمة التصرف لا تنافي الملك؛ لأنّه من الأسباب الشرعيَّة والأحكام الوضعية، فلا تنافيه الحرمة العارضية بل والذاتية ؟ وجهان،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جواز بيع المفتوحة عنوةً وإن لم يكن للبائع فيها أثر إذا قام المشتري بخراجها؛ لما يظهر من بعض الأخبار </w:t>
      </w:r>
      <w:r>
        <w:rPr>
          <w:rStyle w:val="FootnoteAnchor"/>
          <w:rtl w:val="true"/>
        </w:rPr>
        <w:footnoteReference w:id="887"/>
      </w:r>
      <w:r>
        <w:rPr>
          <w:rFonts w:ascii="Amiri" w:hAnsi="Amiri" w:eastAsia="Amiri" w:cs="Amiri"/>
          <w:color w:val="111111"/>
          <w:sz w:val="28"/>
          <w:sz w:val="28"/>
          <w:szCs w:val="28"/>
          <w:rtl w:val="true"/>
          <w:lang w:bidi="ar-SA"/>
        </w:rPr>
        <w:t xml:space="preserve">ذلك، وحمل أخبار النهي على صورة ما لم يقم بذلك، ويظهر منه أيضاً أن البيع جائز من دون توقف على إذن حاكم الجور أو الشرع حال الغيبة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مخالف لظاهر كافة فقهائنا رضوان اللّه عليهم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اشتبهت الأرض المفتوحة عنوةً بغيرها، فالأصل أن لا تكون منها وضعاً </w:t>
      </w:r>
    </w:p>
    <w:p>
      <w:pPr>
        <w:pStyle w:val="BookText"/>
        <w:rPr/>
      </w:pPr>
      <w:r>
        <w:rPr>
          <w:rFonts w:ascii="Amiri" w:hAnsi="Amiri" w:eastAsia="Amiri" w:cs="Amiri"/>
          <w:color w:val="111111"/>
          <w:sz w:val="28"/>
          <w:sz w:val="28"/>
          <w:szCs w:val="28"/>
          <w:rtl w:val="true"/>
          <w:lang w:bidi="ar-SA"/>
        </w:rPr>
        <w:t xml:space="preserve">وشرعاً، إلا أن الظاهر الاكتفاء بالظن في الحكم بها كذلك، فيجوز لحاكم الشرع أخذ الخراج منها بمجرد الظنّ الناشئ عن قول المؤرّخين، أو الناشئ عن استمرار أخذ الخراج منها؛ لإفادته للظنّ، لا لأصالة الصحّة، أو الناشئ من اشتهار كونها كذلك، أو الناشئ من قدم عهدها وقربها للمسلمين وكونها في أيديهم بعد أن كانت في أيدي الكفّار، أو الناشئ من أصالة عدم الاختصاص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مع قوّة القول بالرجوع عند الشك إلى 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الاشتراك، وأصالة كون كلّ الأراضي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وقع الشك بين كونها مفتوحةً عنوةً أو 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وقع الشكّ بينها وبين المقطوع به أنّه ليس للإمام من سائر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بينها وبين أرض الصلح إذا عقد الحاكم الشرعي أو الجائر معهم على أن الأرض لهم كلّهم أو لبعض دون بعض أو على سبيل التوزيع أو على أنّها لنفسه، أو بينها وبين أرض الأمان إذا عقد الأمان لهم أنّ الأرض لهم أو لغيرهم معيّناً، أو بينها وبين أرض مَنْ أسلم أهلها عليها طوعاً فإنّها لهم ما داموا قائمين بعمارتها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هناك الحكم بتقديم المفتوحة عنوة؛ لأصالة عدم الاختصاص، واحتمل عدمه؛ لأصالة عدم الاشتراك، سيّما فيما كانت تحت يد أهلها، فإنّ اليد قاضية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فالظاهر جواز الأخذ من خراجها لو أخذه الجائر حتّى مع العلم بحالها؛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أرض الصلح والأمان إذا عقد الحاكم الشرعي أو حاكم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على أنّ الأرض للمسلمين فحكمها حكم المفتوحة عنوة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عقد الحاكم معهم على أن الأرض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كانت الأرض مما انجلى عنها أهلها، أو كانت ممّا سلّموها طوعاً من دون أن يوجف عليها بخيل ولا ركاب، أو كانت ممّا لا يُعلم مالكها، أو كانت من الموات عرفاً؛ لانقطاع الماء عنها أو لاستيلائه عليها أو لاستيجامها أو لاندراس رسومها لاضمحلال أهلها أو لغير ذلك، فإنّ ذلك كله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فيه حال الحضور، ويجوز حال الغيبة للشيعة خاصةً التصرّف فيه مجاناً من دون لزوم دفع خراج، وإحياؤه، ويملكه المُحيي بما يُسمّى إحياء عرفاً ما لم يسبق عليه تحجير أو كان حريماً لعامرٍ إلى أن يظهر صاحبه، له نفس النماء، فيعود الملك لأهله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الحكم فيما استعد للعمارة بنفسه؛ لانقطاع الماء عنه أو لزوال آجامه في كونه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ويجري فيه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الجائر خراجاً من هذه الأراضي، فالأظهر إجراء حكم الخراج عليه من جواز أخذه منه، ولا يجوز للحاكم الشرعي أخذ الخراج منها بعد العلم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أنّ مكة مفتوحة عنوةً بشهادة السير والتواريخ بفتحها وإطلاق أهلها وتسميتهم الطلقاء، وللإجماع المنقول </w:t>
      </w:r>
      <w:r>
        <w:rPr>
          <w:rStyle w:val="FootnoteAnchor"/>
          <w:rtl w:val="true"/>
        </w:rPr>
        <w:footnoteReference w:id="889"/>
      </w:r>
      <w:r>
        <w:rPr>
          <w:rFonts w:ascii="Amiri" w:hAnsi="Amiri" w:eastAsia="Amiri" w:cs="Amiri"/>
          <w:color w:val="111111"/>
          <w:sz w:val="28"/>
          <w:sz w:val="28"/>
          <w:szCs w:val="28"/>
          <w:rtl w:val="true"/>
          <w:lang w:bidi="ar-SA"/>
        </w:rPr>
        <w:t xml:space="preserve">، ولما ورد من إمضاء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دارعقيل </w:t>
      </w:r>
      <w:r>
        <w:rPr>
          <w:rStyle w:val="FootnoteAnchor"/>
          <w:rtl w:val="true"/>
        </w:rPr>
        <w:footnoteReference w:id="890"/>
      </w:r>
      <w:r>
        <w:rPr>
          <w:rFonts w:ascii="Amiri" w:hAnsi="Amiri" w:eastAsia="Amiri" w:cs="Amiri"/>
          <w:color w:val="111111"/>
          <w:sz w:val="28"/>
          <w:sz w:val="28"/>
          <w:szCs w:val="28"/>
          <w:rtl w:val="true"/>
          <w:lang w:bidi="ar-SA"/>
        </w:rPr>
        <w:t xml:space="preserve">ومن بيع جماعة من الصحابة وعدم الإنكار عليهم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فيجوز بيع دورها المتجددة أو المصاحبة لآثار متجددة، سواء كانت في أرض موات أو معمورة، ولا يجوز بيع دورها الباقية على حال وقت الفتح؛ لأنّها للمسلمين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الشيخ من جواز بيع دورها؛ لتحريم منع الحاج من سكناها المنقول عليه الإجماع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 والوارد فيه الأخبار المتكثرة </w:t>
      </w:r>
      <w:r>
        <w:rPr>
          <w:rStyle w:val="FootnoteAnchor"/>
          <w:rtl w:val="true"/>
        </w:rPr>
        <w:footnoteReference w:id="893"/>
      </w:r>
      <w:r>
        <w:rPr>
          <w:rFonts w:ascii="Amiri" w:hAnsi="Amiri" w:eastAsia="Amiri" w:cs="Amiri"/>
          <w:color w:val="111111"/>
          <w:sz w:val="28"/>
          <w:sz w:val="28"/>
          <w:szCs w:val="28"/>
          <w:rtl w:val="true"/>
          <w:lang w:bidi="ar-SA"/>
        </w:rPr>
        <w:t>، ضعيف لا يعارض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جواز ملكها ووجوب إيواء الوافدين من الحجاج والزائرين احتراماً لهم وإعظاماً لحقهم، بل ربما يكون ذلك شاهداً على الملك؛ إذ لو لم يتعلّق بها حق الملك لما كان لتحريم منع الحاج خصوصيّة، ولتساوى المسلمون فيه على مقتضى القواعد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منع بيعها؛ لكونها مسجداً؛ استناداً للآية</w:t>
      </w:r>
      <w:r>
        <w:rPr>
          <w:rStyle w:val="FootnoteAnchor"/>
          <w:rtl w:val="true"/>
        </w:rPr>
        <w:footnoteReference w:id="894"/>
      </w:r>
      <w:r>
        <w:rPr>
          <w:rFonts w:ascii="Amiri" w:hAnsi="Amiri" w:eastAsia="Amiri" w:cs="Amiri"/>
          <w:color w:val="111111"/>
          <w:sz w:val="28"/>
          <w:sz w:val="28"/>
          <w:szCs w:val="28"/>
          <w:rtl w:val="true"/>
          <w:lang w:bidi="ar-SA"/>
        </w:rPr>
        <w:t xml:space="preserve">لأنّه أُسري به من بيت أُم هانئ، ولبعض الأخبار </w:t>
      </w:r>
      <w:r>
        <w:rPr>
          <w:rStyle w:val="FootnoteAnchor"/>
          <w:rtl w:val="true"/>
        </w:rPr>
        <w:footnoteReference w:id="895"/>
      </w:r>
      <w:r>
        <w:rPr>
          <w:rFonts w:ascii="Amiri" w:hAnsi="Amiri" w:eastAsia="Amiri" w:cs="Amiri"/>
          <w:color w:val="111111"/>
          <w:sz w:val="28"/>
          <w:sz w:val="28"/>
          <w:szCs w:val="28"/>
          <w:rtl w:val="true"/>
          <w:lang w:bidi="ar-SA"/>
        </w:rPr>
        <w:t>الضعيفة، ضعيفة لا تعارض ما قدمناه، مع أنّه يلزم إما كونها مسجداً مع انتفاء لوازمه وعدم احترامه، أو كونها مسجداً مع إجراء حكم المساجد عليه، وكلاهما بعيد ومفتقر إلى دليل قوي، وليس فليس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المأخوذ من المفتوحة عنوةً أو غيرها من المشتركات حتّى الأوقاف العامة من طين أو لبن أو أجر أو حجر يملكه الآخذ بنيّة الملك؛ للسيرة القاضية بإجراء حكم الأملاك عليه، سواء كان عليه أثر التصرّف أو زال عنه، ولا يعود بزوال أثر التصرّف إلى أصله، وحينئذٍ فالأحجار المأخوذة من الأرض المفتوحة عنوةً والمصنوعة منها والطين المأخوذ للبناء كله مما يجري عليه حكم الملك، فإذا وضع في الأرض ملكت الأرض تبعاً له، ويجوز بیعه مستقلاً ومنضماً، معمولاً أو غير معمول، كتراب بلد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لزوم الخمس في الأرض المفتوحة عنوةً؛ لعموم الغنيمة لها، وربما ظهر من بعضهم نقل الاتفاق عليه </w:t>
      </w:r>
      <w:r>
        <w:rPr>
          <w:rStyle w:val="FootnoteAnchor"/>
          <w:rtl w:val="true"/>
        </w:rPr>
        <w:footnoteReference w:id="896"/>
      </w:r>
      <w:r>
        <w:rPr>
          <w:rFonts w:ascii="Amiri" w:hAnsi="Amiri" w:eastAsia="Amiri" w:cs="Amiri"/>
          <w:color w:val="111111"/>
          <w:sz w:val="28"/>
          <w:sz w:val="28"/>
          <w:szCs w:val="28"/>
          <w:rtl w:val="true"/>
          <w:lang w:bidi="ar-SA"/>
        </w:rPr>
        <w:t xml:space="preserve">، إلا أنّ الظاهر سقوطه في زمن الغيبة، وتحليله للشيعة؛ للأخبار الدالّة على تحليل الأراضي التي هي لهم لشيعتهم </w:t>
      </w:r>
      <w:r>
        <w:rPr>
          <w:rStyle w:val="FootnoteAnchor"/>
          <w:rtl w:val="true"/>
        </w:rPr>
        <w:footnoteReference w:id="897"/>
      </w:r>
      <w:r>
        <w:rPr>
          <w:rFonts w:ascii="Amiri" w:hAnsi="Amiri" w:eastAsia="Amiri" w:cs="Amiri"/>
          <w:color w:val="111111"/>
          <w:sz w:val="28"/>
          <w:sz w:val="28"/>
          <w:szCs w:val="28"/>
          <w:rtl w:val="true"/>
          <w:lang w:bidi="ar-SA"/>
        </w:rPr>
        <w:t>، وللسيرة المستمرة على عدم إخراج خمسها في الحضور والغيبة مع عدم الإنكار من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دفع الخراج في الأرض المفتوحة عنوةً وما في حكمها إذا تصرف بها أحد بزرع أو غرس إلى حاكم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خاف منه بعدم الدفع أم لا، وسواء كان مؤمناً أو مخالفاً، وسواء كان ذا طبل ورايات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متغلباً للإجماع محصلاً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وندرة المخالف لا تنافيه – ومنقولاً </w:t>
      </w:r>
      <w:r>
        <w:rPr>
          <w:rStyle w:val="FootnoteAnchor"/>
          <w:rtl w:val="true"/>
        </w:rPr>
        <w:footnoteReference w:id="898"/>
      </w:r>
      <w:r>
        <w:rPr>
          <w:rFonts w:ascii="Amiri" w:hAnsi="Amiri" w:eastAsia="Amiri" w:cs="Amiri"/>
          <w:color w:val="111111"/>
          <w:sz w:val="28"/>
          <w:sz w:val="28"/>
          <w:szCs w:val="28"/>
          <w:rtl w:val="true"/>
          <w:lang w:bidi="ar-SA"/>
        </w:rPr>
        <w:t xml:space="preserve">، والروايات المعتبرة </w:t>
      </w:r>
      <w:r>
        <w:rPr>
          <w:rStyle w:val="FootnoteAnchor"/>
          <w:rtl w:val="true"/>
        </w:rPr>
        <w:footnoteReference w:id="899"/>
      </w:r>
      <w:r>
        <w:rPr>
          <w:rFonts w:ascii="Amiri" w:hAnsi="Amiri" w:eastAsia="Amiri" w:cs="Amiri"/>
          <w:color w:val="111111"/>
          <w:sz w:val="28"/>
          <w:sz w:val="28"/>
          <w:szCs w:val="28"/>
          <w:rtl w:val="true"/>
          <w:lang w:bidi="ar-SA"/>
        </w:rPr>
        <w:t>، مع انجبارها بالإجماع والشهرة، والقدح في دلالتها يردّه التأمل في عباراتها وفهم الفقهاء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وحرمته على الجائر وعُمّاله وعدم دخوله في ملكهم لا ينافي ذلك بعد إذن المالك الأصلي؛ لما فيه من مصالح المسلمين وتقوية الدين وحفظ بيضة الإسلام وحقن الدماء والأعراض وقطع مواد الفساد من الرعيّة بتقوية شوكة السلطان المعد نفسه لجلب المنافع والأمان واطمئنان أهل البلدان فلا يجوز حينئذٍ الامتناع من دفع الحصة من الخراج أو المقاسمة إليه، وتحرم سرقتها وخيانتها، ويجب دفع ثمنها بعد شرائها إلى الجائر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للجائر أن يبيع مال الخراج والمقاسمة وأن يحيل عليهما، ويجوز لغيره قبضه منه؛ </w:t>
      </w:r>
    </w:p>
    <w:p>
      <w:pPr>
        <w:pStyle w:val="BookText"/>
        <w:rPr/>
      </w:pPr>
      <w:r>
        <w:rPr>
          <w:rFonts w:ascii="IRNazanin" w:hAnsi="IRNazanin" w:eastAsia="IRNazanin"/>
          <w:color w:val="111111"/>
          <w:sz w:val="28"/>
          <w:sz w:val="28"/>
          <w:szCs w:val="28"/>
          <w:rtl w:val="true"/>
          <w:lang w:bidi="fa-IR"/>
        </w:rPr>
        <w:t xml:space="preserve">للإجماع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شاذ – وللأخبار </w:t>
      </w:r>
      <w:r>
        <w:rPr>
          <w:rStyle w:val="FootnoteAnchor"/>
          <w:rtl w:val="true"/>
        </w:rPr>
        <w:footnoteReference w:id="900"/>
      </w:r>
      <w:r>
        <w:rPr>
          <w:rFonts w:ascii="Amiri" w:hAnsi="Amiri" w:eastAsia="Amiri" w:cs="Amiri"/>
          <w:color w:val="111111"/>
          <w:sz w:val="28"/>
          <w:sz w:val="28"/>
          <w:szCs w:val="28"/>
          <w:rtl w:val="true"/>
          <w:lang w:bidi="ar-SA"/>
        </w:rPr>
        <w:t xml:space="preserve">، ولفعل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وتقريرهم، إلا إذا كان الأخذ من أعوانه وعُمّاله أو دفعه لتقوية شوكته، فإنّه هناك يحرم على 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والخراج يتعلّق بالذمة، وله تعلّق بالعين تعلّق أرش الجناية في الخطأ بالجاني، والمقاسمة تتعلق بالعين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الخراج مَنْ عطّل من غير أن ينتفع بها ؟ وجهان، ولا يبعد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الأرض متغلّبان، احتمل التخيير في الدفع، واحتمل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 الخراج جائر فجاء آخر، لزم الدفع إليه ولو بعد الفراغ من الزراعة، بل لو كان على صاحب الأرض خراج من سنين متقدمة جاز دفعها للجائر الجديد، إلا إذا كان الخراج قد صالح الحاكم عليه شخصاً وأخذ،عوضه، فإنّه يجب تسليمه لمن صالحه الحاكم الأوّل كلّ سنة 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التوكيل عن حاكم الجور في قبض الخراج، ولا تجوز الولاية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إسقاط الخراج ورفعه عن صنفٍ أو شخص سنة واحدة إن اختصت ولايته بتلك السنة، وسنين متعدّدة إن لم تختص كالسلطان، مع احتمال أن للأوّل ذلك؛ لأنّ اختصاص الولاية بسنةٍ واحدة لا يقضي باختصاص أثرها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جواز أخذ الخراج من يده وشرائه وتقبيله والتوكل عليه بما إذا كان معتاداً أخذه لحكام الجور، فإذا تجاوز المعتاد حرم أخذ الزائد من كلّ وجه، ولا يجب بل يحرم دفعه إليه مع إمكان الامتناع؛ لأنّه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تقبّل سهم مقاسمة أو خراج جاز له ولا تحلّ خيانته، وهو حلال بالنسبة إليه ما لم يكن والياً أو آخذاً على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على مَنْ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خراجاً أو تملكه 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إرجاعه إلى أهله ولو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التمكن من الرجوع إلى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لعارض أو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الحاكم الشرعي؛ لولايته على مصالح المسلمين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القول بجواز الرجوع إليه ابتداءً على وجه التخيير، سيّما مع عدم طلب حاكم الجور ذلك منه، ومع عدم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واحتمال تعيّن الرجوع لحاكم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الخراج لتقوية الجنود والعساكر المعدة لحفظ الطرق ورفع الفساد، فيتولاه الجائر المعد لذلك، وليس من أموال الفقراء والمؤمنين كي يتولاه ولي المساكين الذي لا طاقة له في زمن الغيبة على الخروج بالسيف ورفع الفساد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تعيّن الرجوع لحاكم الشرع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التمكن من الحاكمين رجع إلى عدول المسلمين المتولين لمصالحهم، فإن لم يكن، عزله وصرفه في مصالح المسلمين، مع احتمال سقوطه عنه؛ لأصالة البراءة مع عدم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استئجار الأرض المفتوحة عنوةً من حاكم الجور والمزارعة عليها من المستأجر، كما يجوز التصرف بها بإذنه مع دفع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خرص حصة السلطان من المقاسمة والخراج وتقبلها بقدر معيّن بصيغة الصلح أو القبالة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دفع الخراج من المفتوحة عنوةً إلى غير المتغلّب عليها من المتغلبين على بلدان أُخَر؛ للأصل، ولزوم الاقتصار على المورد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فحلّيّة أخذ الخراج من الحاكم وعُمّاله إذا كان على النحو المعتاد أو على النحو الذي لو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لأخذه بديهي تقضي به السيرة القطعية قولاً وعملاً من غير تفاوت بين كون الآخذ من الفقراء المحتاجين، أو ممن يدخل عطاؤه تحت مصالح المسلمين أو لا يدخل، وبين ما يكون قبل قبض الجائر أو يكون بعده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ذلك الأخبار الدالة على جواز القبالة في الخراج والجزية وجواز شرائهما من حاكم الجور، وجواز استئجار الأرض منه، وجواز قبول جوائز الظلمة وعُمّالهم وأنها حلال لآخذه وأنّ له المهنا وعليهم الوزر </w:t>
      </w:r>
      <w:r>
        <w:rPr>
          <w:rStyle w:val="FootnoteAnchor"/>
          <w:rtl w:val="true"/>
        </w:rPr>
        <w:footnoteReference w:id="901"/>
      </w:r>
      <w:r>
        <w:rPr>
          <w:rFonts w:ascii="Amiri" w:hAnsi="Amiri" w:eastAsia="Amiri" w:cs="Amiri"/>
          <w:color w:val="111111"/>
          <w:sz w:val="28"/>
          <w:sz w:val="28"/>
          <w:szCs w:val="28"/>
          <w:rtl w:val="true"/>
          <w:lang w:bidi="ar-SA"/>
        </w:rPr>
        <w:t xml:space="preserve">، وجواز قبول العطاء من بيت المال، كما في خبر أبي بكر الحضرمي </w:t>
      </w:r>
      <w:r>
        <w:rPr>
          <w:rStyle w:val="FootnoteAnchor"/>
          <w:rtl w:val="true"/>
        </w:rPr>
        <w:footnoteReference w:id="902"/>
      </w:r>
      <w:r>
        <w:rPr>
          <w:rFonts w:ascii="Amiri" w:hAnsi="Amiri" w:eastAsia="Amiri" w:cs="Amiri"/>
          <w:color w:val="111111"/>
          <w:sz w:val="28"/>
          <w:sz w:val="28"/>
          <w:szCs w:val="28"/>
          <w:rtl w:val="true"/>
          <w:lang w:bidi="ar-SA"/>
        </w:rPr>
        <w:t>، وجواز الشراء من القاسم، كما في خبر الحذاء</w:t>
      </w:r>
      <w:r>
        <w:rPr>
          <w:rStyle w:val="FootnoteAnchor"/>
          <w:rtl w:val="true"/>
        </w:rPr>
        <w:footnoteReference w:id="903"/>
      </w:r>
      <w:r>
        <w:rPr>
          <w:rFonts w:ascii="Amiri" w:hAnsi="Amiri" w:eastAsia="Amiri" w:cs="Amiri"/>
          <w:color w:val="111111"/>
          <w:sz w:val="28"/>
          <w:sz w:val="28"/>
          <w:szCs w:val="28"/>
          <w:rtl w:val="true"/>
          <w:lang w:bidi="ar-SA"/>
        </w:rPr>
        <w:t xml:space="preserve">، وجواز شراء تمر عين أبي زياد، والظاهر أنّه من الخراج، كما في خبر جميل </w:t>
      </w:r>
      <w:r>
        <w:rPr>
          <w:rStyle w:val="FootnoteAnchor"/>
          <w:rtl w:val="true"/>
        </w:rPr>
        <w:footnoteReference w:id="904"/>
      </w:r>
      <w:r>
        <w:rPr>
          <w:rFonts w:ascii="Amiri" w:hAnsi="Amiri" w:eastAsia="Amiri" w:cs="Amiri"/>
          <w:color w:val="111111"/>
          <w:sz w:val="28"/>
          <w:sz w:val="28"/>
          <w:szCs w:val="28"/>
          <w:rtl w:val="true"/>
          <w:lang w:bidi="ar-SA"/>
        </w:rPr>
        <w:t>، وغير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لم يكن على المعتاد، حرم جميعه للقاعدة، والأخبار إن أخذه دفعةً واحدة، وإن أخذه تدريجاً، احتمل حلّيّة الأوّل إلى أن يصل إلى القدر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إشكال في براءة الذمة من الخراج مع الدفع إلى حاكم الجور، للسيرة والأخبار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يستشكل في ظهور الدليل على وجوب دفعه إلى حاكم الجور وحرمة سرقته وغصبه، سيّما مع عدم التقيّة، وإجراء جميع أحكام الخراج الصحيح عليه قبل قبضه وبعد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بعد الإجماع المنقول وفتوى الفحول وما يظهر من بعض الأخبار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بخراج المسلمين ماذا</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إجراء حكم الخراج الصحيح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كون الجائر مؤمناً أو مخالفاً، وإن كانت الأدلّة في المخالف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حكم الخراج للزكاة المأخوذة بحكم الجائر، فيجوز شراؤها وقبولها وقبالتها؛ للنصوص </w:t>
      </w:r>
      <w:r>
        <w:rPr>
          <w:rStyle w:val="FootnoteAnchor"/>
          <w:rtl w:val="true"/>
        </w:rPr>
        <w:footnoteReference w:id="907"/>
      </w:r>
      <w:r>
        <w:rPr>
          <w:rFonts w:ascii="Amiri" w:hAnsi="Amiri" w:eastAsia="Amiri" w:cs="Amiri"/>
          <w:color w:val="111111"/>
          <w:sz w:val="28"/>
          <w:sz w:val="28"/>
          <w:szCs w:val="28"/>
          <w:rtl w:val="true"/>
          <w:lang w:bidi="ar-SA"/>
        </w:rPr>
        <w:t>والفتاوى، وكذا شراء ما فيه الخمس ممّن لا يخمس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المقام ممّا يستثنى من قاعدة أنّ المعاوضة لو فسد أحد أركانها فسد جميعها، فتجري على حاكم الجور أحكام البيع الفاسد بالنسبة إليه وإلى عُمّاله، وتجري على المشتري أحكام البيع الصحيح بالنسبة إلينا ثمناً أو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أباح أحد الجائرين الخراج وطلبه الآخر، احتمل وجوب الدفع إليه، واحتمل عدمه، وهو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الخراج المأخوذ من غير المفتوحة عنوةً لا يجب دفعه إلا تقيّة، وتجوز سرقته، ولكنّه يعامل معاملة الخراج الصحيح بعد دفعه إلى حاكم الجور وقبضه له، بل وقبل قبضه له؛ لإطلاق النصوص الواردة في حكم الخراج فجميع العقود المترتبة على الخراج يجوز لنا التصرف فيها، ولا يجوز له التصرف بشيءٍ منها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عاد الجائر مؤمناً بعد قبض الخراج، لم يكن له التصرف فيه، ويرجع أمره إلى الجائر الآخر</w:t>
      </w:r>
      <w:r>
        <w:rPr>
          <w:rFonts w:eastAsia="Amiri" w:cs="Amiri" w:ascii="Amiri" w:hAnsi="Amiri"/>
          <w:color w:val="111111"/>
          <w:sz w:val="28"/>
          <w:szCs w:val="28"/>
          <w:rtl w:val="true"/>
          <w:lang w:bidi="ar-SA"/>
        </w:rPr>
        <w:t xml:space="preserve">. </w:t>
      </w:r>
      <w:bookmarkStart w:id="348" w:name="pg19000_245401"/>
    </w:p>
    <w:p>
      <w:pPr>
        <w:pStyle w:val="BookText"/>
        <w:rPr/>
      </w:pPr>
      <w:bookmarkEnd w:id="348"/>
      <w:r>
        <w:rPr>
          <w:rFonts w:ascii="Amiri" w:hAnsi="Amiri" w:eastAsia="Amiri" w:cs="Amiri"/>
          <w:color w:val="111111"/>
          <w:sz w:val="28"/>
          <w:sz w:val="28"/>
          <w:szCs w:val="28"/>
          <w:rtl w:val="true"/>
          <w:lang w:bidi="ar-SA"/>
        </w:rPr>
        <w:t>ولو كان قد تصرّف فيه فباعه على شخص بقي ثمنه في حكم الخراج، وكانت عينه ملك المشتري، فيجوز له التصرّف فيها ما دام جائراً وبعد ذلك</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3372370_1280447820"/>
      <w:bookmarkStart w:id="350" w:name="_Toc131"/>
      <w:bookmarkEnd w:id="349"/>
      <w:r>
        <w:rPr>
          <w:rtl w:val="true"/>
        </w:rPr>
        <w:t>ثامنها</w:t>
      </w:r>
      <w:r>
        <w:rPr>
          <w:rtl w:val="true"/>
        </w:rPr>
        <w:t xml:space="preserve">: </w:t>
      </w:r>
      <w:r>
        <w:rPr>
          <w:rtl w:val="true"/>
        </w:rPr>
        <w:t>اشتراط عدم كون العوضين مجهولاً</w:t>
      </w:r>
      <w:bookmarkEnd w:id="35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العوضين أن لا يكون أحدهما مجهولاً في كلّ عقد لم يبن على المسامحة، كالبيع والإجارة؛ للإجماع المنقول </w:t>
      </w:r>
      <w:r>
        <w:rPr>
          <w:rStyle w:val="FootnoteAnchor"/>
          <w:rtl w:val="true"/>
        </w:rPr>
        <w:footnoteReference w:id="908"/>
      </w:r>
      <w:r>
        <w:rPr>
          <w:rFonts w:ascii="Amiri" w:hAnsi="Amiri" w:eastAsia="Amiri" w:cs="Amiri"/>
          <w:color w:val="111111"/>
          <w:sz w:val="28"/>
          <w:sz w:val="28"/>
          <w:szCs w:val="28"/>
          <w:rtl w:val="true"/>
          <w:lang w:bidi="ar-SA"/>
        </w:rPr>
        <w:t xml:space="preserve">، وفتوى الفحول، ولورود النهي عنه في بعض المواضع </w:t>
      </w:r>
      <w:r>
        <w:rPr>
          <w:rStyle w:val="FootnoteAnchor"/>
          <w:rtl w:val="true"/>
        </w:rPr>
        <w:footnoteReference w:id="909"/>
      </w:r>
      <w:r>
        <w:rPr>
          <w:rFonts w:ascii="Amiri" w:hAnsi="Amiri" w:eastAsia="Amiri" w:cs="Amiri"/>
          <w:color w:val="111111"/>
          <w:sz w:val="28"/>
          <w:sz w:val="28"/>
          <w:szCs w:val="28"/>
          <w:rtl w:val="true"/>
          <w:lang w:bidi="ar-SA"/>
        </w:rPr>
        <w:t>، وبالإجماع المركب على عدم الفرق يتم به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المعتبر المروي عن سيد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وهو معتضد بالفتوى والعمل، فلا يضرّ ضعف سنده، ولا دلالته من جهة أصل النهي، أو من جهة صيغته، أو من جهة عموم البيع، أو عموم الغرر، أو معنى الغرر؛ لظهوره بالتدليس، أو من جهة اقتضائه الفساد،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المكيل جزافاً </w:t>
      </w:r>
      <w:r>
        <w:rPr>
          <w:rStyle w:val="FootnoteAnchor"/>
          <w:rtl w:val="true"/>
        </w:rPr>
        <w:footnoteReference w:id="911"/>
      </w:r>
      <w:r>
        <w:rPr>
          <w:rFonts w:ascii="Amiri" w:hAnsi="Amiri" w:eastAsia="Amiri" w:cs="Amiri"/>
          <w:color w:val="111111"/>
          <w:sz w:val="28"/>
          <w:sz w:val="28"/>
          <w:szCs w:val="28"/>
          <w:rtl w:val="true"/>
          <w:lang w:bidi="ar-SA"/>
        </w:rPr>
        <w:t>، وهو وإن كان بلفظ الكراهة إلا أن المراد منها التحريم بقرينة الفتوى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يبيع بصاع غير صاع المصر</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المنع فيه عن صاع البيت</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ما يكال ويوزن بغير كيل ووزن؟ فأجاب بنفي البأس إذا كاله البائع وأخبر به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عن الجص يكيل بعضه دون بعض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يأخذ كلّه بتصديقه، وإمّا أن يكيله كلّه</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351" w:name="pg19000_245402"/>
    </w:p>
    <w:p>
      <w:pPr>
        <w:pStyle w:val="BookText"/>
        <w:rPr/>
      </w:pPr>
      <w:bookmarkEnd w:id="351"/>
      <w:r>
        <w:rPr>
          <w:rFonts w:ascii="Amiri" w:hAnsi="Amiri" w:eastAsia="Amiri" w:cs="Amiri"/>
          <w:color w:val="111111"/>
          <w:sz w:val="28"/>
          <w:sz w:val="28"/>
          <w:szCs w:val="28"/>
          <w:rtl w:val="true"/>
          <w:lang w:bidi="ar-SA"/>
        </w:rPr>
        <w:t>فلا يجوز شراء المجهول جنساً أو نوعاً أو وصفاً أو كمّاً أو كيلاً أو وزناً أو عداً أو زماناً أو مكاناً أو شرطاً فيما يدخله الزمان والمكان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البيع بحكم المشتري؛ للرواية </w:t>
      </w:r>
      <w:r>
        <w:rPr>
          <w:rStyle w:val="FootnoteAnchor"/>
          <w:rtl w:val="true"/>
        </w:rPr>
        <w:footnoteReference w:id="916"/>
      </w:r>
      <w:r>
        <w:rPr>
          <w:rFonts w:ascii="IRNazanin" w:hAnsi="IRNazanin" w:eastAsia="IRNazanin"/>
          <w:color w:val="111111"/>
          <w:sz w:val="28"/>
          <w:sz w:val="28"/>
          <w:szCs w:val="28"/>
          <w:rtl w:val="true"/>
          <w:lang w:bidi="fa-IR"/>
        </w:rPr>
        <w:t xml:space="preserve">الدالة على صحّة ذلك، وأنّه إن لم يرض به البائع قومت فأعطي الزيادة إن كانت القيمة أزيد، وإن كانت أقلّ أُعطي الزائد بالحكم، وكذا تجویز بیع المشاهد فقط وإن كان مكيلاً أو موزوناً للأصل، وعموم الأدلّة، وعدم دليل صالح للمنع، ولخصوص ما ورد من جواز البيع بمجرد إخبار البائع بالقدر </w:t>
      </w:r>
      <w:r>
        <w:rPr>
          <w:rStyle w:val="FootnoteAnchor"/>
          <w:rtl w:val="true"/>
        </w:rPr>
        <w:footnoteReference w:id="917"/>
      </w:r>
      <w:r>
        <w:rPr>
          <w:rFonts w:ascii="Amiri" w:hAnsi="Amiri" w:eastAsia="Amiri" w:cs="Amiri"/>
          <w:color w:val="111111"/>
          <w:sz w:val="28"/>
          <w:sz w:val="28"/>
          <w:szCs w:val="28"/>
          <w:rtl w:val="true"/>
          <w:lang w:bidi="ar-SA"/>
        </w:rPr>
        <w:t xml:space="preserve">، وما ورد من جوازه بمجرد اعتباره بمكيال وأخذ الباقي بحسابه </w:t>
      </w:r>
      <w:r>
        <w:rPr>
          <w:rStyle w:val="FootnoteAnchor"/>
          <w:rtl w:val="true"/>
        </w:rPr>
        <w:footnoteReference w:id="918"/>
      </w:r>
      <w:r>
        <w:rPr>
          <w:rFonts w:ascii="Amiri" w:hAnsi="Amiri" w:eastAsia="Amiri" w:cs="Amiri"/>
          <w:color w:val="111111"/>
          <w:sz w:val="28"/>
          <w:sz w:val="28"/>
          <w:szCs w:val="28"/>
          <w:rtl w:val="true"/>
          <w:lang w:bidi="ar-SA"/>
        </w:rPr>
        <w:t>، كله ضعيف؛ لإجمال الرواية الأولى، ومخالفتها للفتوى والإجماع المنقول وعدم انطباقها على صحّة البيع، وإلا لما أكمل الناقص عن القيمة، فلابد من طرحها أو الأخذ بها تعبداً، مقتصرين على نفس مضمونها غير متعدين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وعموم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مقطوعان بما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بها، ولا تنافي اشتراط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ضعف ما ذهب إليه المرتضى من جواز كون مال السلم مشاهداً وإن لم يكن معلوماً بالتقدير </w:t>
      </w:r>
      <w:r>
        <w:rPr>
          <w:rStyle w:val="FootnoteAnchor"/>
          <w:rtl w:val="true"/>
        </w:rPr>
        <w:footnoteReference w:id="919"/>
      </w:r>
      <w:r>
        <w:rPr>
          <w:rFonts w:ascii="Amiri" w:hAnsi="Amiri" w:eastAsia="Amiri" w:cs="Amiri"/>
          <w:color w:val="111111"/>
          <w:sz w:val="28"/>
          <w:sz w:val="28"/>
          <w:szCs w:val="28"/>
          <w:rtl w:val="true"/>
          <w:lang w:bidi="ar-SA"/>
        </w:rPr>
        <w:t xml:space="preserve">، وما ذهب إليه الشيخ من صحّة بيع الجزاف </w:t>
      </w:r>
      <w:r>
        <w:rPr>
          <w:rStyle w:val="FootnoteAnchor"/>
          <w:rtl w:val="true"/>
        </w:rPr>
        <w:footnoteReference w:id="920"/>
      </w:r>
      <w:r>
        <w:rPr>
          <w:rFonts w:ascii="Amiri" w:hAnsi="Amiri" w:eastAsia="Amiri" w:cs="Amiri"/>
          <w:color w:val="111111"/>
          <w:sz w:val="28"/>
          <w:sz w:val="28"/>
          <w:szCs w:val="28"/>
          <w:rtl w:val="true"/>
          <w:lang w:bidi="ar-SA"/>
        </w:rPr>
        <w:t xml:space="preserve">، وما ذهب إليه ابن الجنيد من صحة بيع الجزاف إذا كان صبرة ثمناً أو مثمناً </w:t>
      </w:r>
      <w:r>
        <w:rPr>
          <w:rStyle w:val="FootnoteAnchor"/>
          <w:rtl w:val="true"/>
        </w:rPr>
        <w:footnoteReference w:id="921"/>
      </w:r>
      <w:r>
        <w:rPr>
          <w:rFonts w:ascii="Amiri" w:hAnsi="Amiri" w:eastAsia="Amiri" w:cs="Amiri"/>
          <w:color w:val="111111"/>
          <w:sz w:val="28"/>
          <w:sz w:val="28"/>
          <w:szCs w:val="28"/>
          <w:rtl w:val="true"/>
          <w:lang w:bidi="ar-SA"/>
        </w:rPr>
        <w:t>، وما ذهب إليه أيضاً من صحّة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بسعر 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جهالة المشتري فيكون له الخيار </w:t>
      </w:r>
      <w:r>
        <w:rPr>
          <w:rStyle w:val="FootnoteAnchor"/>
          <w:rtl w:val="true"/>
        </w:rPr>
        <w:footnoteReference w:id="922"/>
      </w:r>
      <w:r>
        <w:rPr>
          <w:rFonts w:ascii="Amiri" w:hAnsi="Amiri" w:eastAsia="Amiri" w:cs="Amiri"/>
          <w:color w:val="111111"/>
          <w:sz w:val="28"/>
          <w:sz w:val="28"/>
          <w:szCs w:val="28"/>
          <w:rtl w:val="true"/>
          <w:lang w:bidi="ar-SA"/>
        </w:rPr>
        <w:t>، إلى غير ذلك من المذاهب</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3372372_1280447820"/>
      <w:bookmarkStart w:id="353" w:name="_Toc132"/>
      <w:bookmarkEnd w:id="352"/>
      <w:r>
        <w:rPr>
          <w:rtl w:val="true"/>
        </w:rPr>
        <w:t>بيان أحكام بيع المجهول والجزاف والمكيل والموزون واجتماع بعضها مع بعض</w:t>
      </w:r>
      <w:bookmarkEnd w:id="353"/>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البيع بالمعادلة كمعادلة شيء بشيء أو بربعه، وإن جرت عليه المعاملة؛ لأنّه ليس من الكيل والوزن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عدم الجواز حتّى في المعاطاة، بناءً على أنّها بيع، مع احتمال اغتفار ذلك فيها وإن كانت بيعاً؛ لبنائها على المسامحة، لكونها من العقود الجائزة لا اللازمة، فيغتفر فيها ما لا يغتفر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البيع أيضاً برائج المعاملة كقرش وبارة وربع رومي؛ لصدقه على أفراد مختلفة جنساً ونوعاً، إلا أن يثبت له عرف خاص في شيء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الذهب والفضة إلا موزونين ما عدا المسكوك بسكة المعاملة المتعارفة، فإنّه يجوز جَعْله ثمناً ومثمناً وإن لم يُعرف وزنه إمّا لإلغاء الوزن فيه عادة ما دام على حال السكة، وإما لقيام السكة مقام الوزن في المعلومية؛ لأنّ المدار على ارتفاع الغرر، وبها يرتفع الغرر عرفاً، وإما لخروج المسكوك عن حكم الوزن؛ للدليل من جهة السيرة القطعية على المعاوضة عليه من غير،وزن وإما من جهة قيام معلوميّة وزنه بين الناس ومعرفة مقداره عند الصيارفة مقام العلم به حين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يعتبر كلّ مقدر من مكيل أو موزون أو معدود بما يناسبه مما اعتيد له في العادة العامة أو في عادة تلك البلد، وأن يكون بالكيل المعتاد عامة أو في تلك البلد، والوزن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الاعتبار بكيل مجهول قدره بالنسبة إلى الكيل المعلوم وإن اصطلح عليه المتعاقدان ورضيا به؛ للإجماع المنقول </w:t>
      </w:r>
      <w:r>
        <w:rPr>
          <w:rStyle w:val="FootnoteAnchor"/>
          <w:rtl w:val="true"/>
        </w:rPr>
        <w:footnoteReference w:id="923"/>
      </w:r>
      <w:r>
        <w:rPr>
          <w:rFonts w:ascii="Amiri" w:hAnsi="Amiri" w:eastAsia="Amiri" w:cs="Amiri"/>
          <w:color w:val="111111"/>
          <w:sz w:val="28"/>
          <w:sz w:val="28"/>
          <w:szCs w:val="28"/>
          <w:rtl w:val="true"/>
          <w:lang w:bidi="ar-SA"/>
        </w:rPr>
        <w:t xml:space="preserve">، وفتوى الفحول، وللخبر الناهي عن ذلك </w:t>
      </w:r>
      <w:r>
        <w:rPr>
          <w:rStyle w:val="FootnoteAnchor"/>
          <w:rtl w:val="true"/>
        </w:rPr>
        <w:footnoteReference w:id="924"/>
      </w:r>
      <w:r>
        <w:rPr>
          <w:rFonts w:ascii="Amiri" w:hAnsi="Amiri" w:eastAsia="Amiri" w:cs="Amiri"/>
          <w:color w:val="111111"/>
          <w:sz w:val="28"/>
          <w:sz w:val="28"/>
          <w:szCs w:val="28"/>
          <w:rtl w:val="true"/>
          <w:lang w:bidi="ar-SA"/>
        </w:rPr>
        <w:t>، ولا بالوزن المجهول بالنسبة إلى الوزن المعتاد؛ لما ذكرناه، ومثلهما العدد المجهول عند المتعاقدين، كأن يبيعه عدداً من الجوز له نصف ولنصفه نصف أو أقل عدد له، ذلك لمن لا يعرف الحساب؛ للزوم الغرر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البيان عند اشتراك لفظ الكيل بين أفراد كما إذا تعددت الصيعان، أو اشتراك لفظ الوزن، كما إذا تعدد مصداق الرطل؛ للزوم الغرر بدون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لمن لم يكن من أهل بلد خاص أن يعرف عند الشراء منهم قدر نسبة كيلهم لكيله ووزنهم للوزن الذي هو في بلده؛ للزوم الغرر لولاه، أو لا يشترط؛ لأنّه رجوع للوزن المعتاد وإن لم يكن من أهله، أو يفرّق بين مشاهدة المبيع فيكتفى به وبين عدمها فلا يكتفى به ؟ 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توكيل المشتري لصاحب البلد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اشترى المشتري بكيل تلك البلد أو وزنها، كما هو المعتاد والمنصرف إليه إطلاق العقد، وإلا لزمه البيان، وبدونه يلزم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اختلف الوزن أو الكيل في بلادهما وكانا في بريةٍ أو طريق وعلما الاختلاف، فإنّه يبطل العقد مع عدم البيان وقصد المعين، وكذا مع الجهل واختلاف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أوقعاه في بلدٍ انصرف إلى التقدير بكيله أو وزنه ما لم يقصدا خلافه، سيّما مع موافقة البلد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 كلّ منهما كيل بلد الآخر ووزنه وأطلقا من غير قصد، احتمل البطلان؛ للإجمال، والصحّة؛ حملاً له على بلد العقد مع الموافقة، أو على ما كان أقرب إليها، أو ما كان أشهر وأعظم، أو على بلد البائع في مبيعه والمشتري في ثمنه، أو الأخذ بالأقل؛ للأصل، أو بالزائد؛ للاحتياط، أو القرعة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قصدا معيناً فجهلا ما قصداه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الأربعة الأخيرة أوفق بالاحتمال هنا من احتمالها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الجزاف مكيلاً وموزوناً مع المشاهدة؛ لعدم الغرر، وبدون المشاهدة لا يجوز؛ للزوم الغرر؛ لأنّ ما جرت العادة بمشاهدته كالحطب والتبن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الغرر ببيعه إلا بها؛ لعدم العلم بقدر الرطل أو المن منه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بيع ما جرت العادة بكيله أو وزنه أو عده جزافاً كما تقدَّم </w:t>
      </w:r>
      <w:r>
        <w:rPr>
          <w:rStyle w:val="FootnoteAnchor"/>
          <w:rtl w:val="true"/>
        </w:rPr>
        <w:footnoteReference w:id="925"/>
      </w:r>
      <w:r>
        <w:rPr>
          <w:rFonts w:ascii="Amiri" w:hAnsi="Amiri" w:eastAsia="Amiri" w:cs="Amiri"/>
          <w:color w:val="111111"/>
          <w:sz w:val="28"/>
          <w:sz w:val="28"/>
          <w:szCs w:val="28"/>
          <w:rtl w:val="true"/>
          <w:lang w:bidi="ar-SA"/>
        </w:rPr>
        <w:t>إلا إذا كان يباع في العادة بكلِّ منهما فالتخيير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اختلفت البلدان، فالمدار على بلد العقد مع اتفاقها مع بلد المتعاقدين أو أحدهما، ومع اختلافها مع بلد المتعاقدين معاً فلا يبعد تقديم يبعد تقديم بلدهما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بلدان العقد، فلكل بلد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بلد المتعاقدين في البرية وشبهها لزم الاعتبار؛ ترجيحاً لجانب المقدّر في بلده مخافة الجهالة، مع احتمال التخيير بين اتباع كلّ منهما لبلد الآخر، أو القرعة، أو ترجيح الأقرب أو الأعظم من البلدين أو اتباع بلد البائع في مبيعه والمشتري في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أطلقا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الحمل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 الجزاف والمقدر، وكان كلّ منهما من بلد في أحدهما الجزاف وفي الآخر المقدّر، احتمل البطلان، واحتمل ترجيح المقدر مع علمهما بالاختلاف، واحتمل الأخذ بالأقلّ، واحتمل الأخذ بالأكثر، واحتمل الترجيح بالأقربية والأعظمية واحتمل ترجيح البائع في مبيعه والمشتري في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عينا فاشتبه ما عيناه، احتمل القرعة والوجوه الباقية، وفيها البعض المقدّم على البعض</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اختلفت العادة بحسب الزمان، جرى على كلّ زمن حكمه؛ أخذاً بالقواعد، وعموم الأدلّة، وإطلاق لفظ المشتق وصدقه، إلّا أنّه قد نُقل الإجماع </w:t>
      </w:r>
      <w:r>
        <w:rPr>
          <w:rStyle w:val="FootnoteAnchor"/>
          <w:rtl w:val="true"/>
        </w:rPr>
        <w:footnoteReference w:id="926"/>
      </w:r>
      <w:r>
        <w:rPr>
          <w:rFonts w:ascii="Amiri" w:hAnsi="Amiri" w:eastAsia="Amiri" w:cs="Amiri"/>
          <w:color w:val="111111"/>
          <w:sz w:val="28"/>
          <w:sz w:val="28"/>
          <w:szCs w:val="28"/>
          <w:rtl w:val="true"/>
          <w:lang w:bidi="ar-SA"/>
        </w:rPr>
        <w:t xml:space="preserve">على لزوم اتباع ما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واللزوم، فما جاز بيعه جزافاً جاز جزافاً وإن جرت العادة بكيله أو وزنه، وما لزم تقديره لزم تقديره ولا يباع جزافاً، ولزم تقديره أيضاً على نحو ما قدر وإن جرت العادة على تقديره بخلافه، فيكون البيع تبعاً للعادة باطلاً، إلا الحنطة والشعير، فيجوز بيعهما وزناً وإن كانا في عهده مكيلين؛ للإجماع المنقول </w:t>
      </w:r>
      <w:r>
        <w:rPr>
          <w:rStyle w:val="FootnoteAnchor"/>
          <w:rtl w:val="true"/>
        </w:rPr>
        <w:footnoteReference w:id="927"/>
      </w:r>
      <w:r>
        <w:rPr>
          <w:rFonts w:ascii="Amiri" w:hAnsi="Amiri" w:eastAsia="Amiri" w:cs="Amiri"/>
          <w:color w:val="111111"/>
          <w:sz w:val="28"/>
          <w:sz w:val="28"/>
          <w:szCs w:val="28"/>
          <w:rtl w:val="true"/>
          <w:lang w:bidi="ar-SA"/>
        </w:rPr>
        <w:t xml:space="preserve">أيضاً فيخص به الإجماع المتقدم، ولولا الإجماع المنقول والإذعان له من الفحول لمنعناه في الأوّل من جهة لزوم الغرر في أكثر الموارد، وعلى الأخذ به فالرجوع للعادة إنّما يصح في مقام جهل حاله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أو في مقام يعلم تقديره ولكن يشكّ في الخصوصية، مع احتمال أنّه مع الجهل بالخصوصية يقدّم الوزن لأصالته واحتمال أن يقدّم الكيل لغلبته واحتمال التخيير، واحتمال القرعة لاستخراجه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يراد بما كان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بلاده خاصة، أو فيما أقر أهله عليه كلّ في بلده، فكل بلد يتبعها حكمها، أو أنّه إذا اختلفت في زمنه البلدان وقد أقرّ الجميع ممن باع جزافاً وباع مقدّراً جاء التخيير، أو المدار على العادة العامة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وجوه، أقواها الأوّل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فى الجزاف والمقدّر، وأمّا المقدّر نفسه فهل يقوم بعضه مقام بعض؛ لحصول العلم في الجملة، واندفاع الغرر بالتقدير في الجملة، أو لا يقوم؛ لأن العدول عما جرت به العادة على نحو خاص إلى غيره غرر عظيم ؟ وجهان،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منع بيع الموزون كيلاً </w:t>
      </w:r>
      <w:r>
        <w:rPr>
          <w:rStyle w:val="FootnoteAnchor"/>
          <w:rtl w:val="true"/>
        </w:rPr>
        <w:footnoteReference w:id="928"/>
      </w:r>
      <w:r>
        <w:rPr>
          <w:rFonts w:ascii="Amiri" w:hAnsi="Amiri" w:eastAsia="Amiri" w:cs="Amiri"/>
          <w:color w:val="111111"/>
          <w:sz w:val="28"/>
          <w:sz w:val="28"/>
          <w:szCs w:val="28"/>
          <w:rtl w:val="true"/>
          <w:lang w:bidi="ar-SA"/>
        </w:rPr>
        <w:t xml:space="preserve">، فيلزمه منعه عداً، بل منع المكيل كذلك بالأولى، إلا أن يعرف أحدهما من الآخر وينتقل إليه، كما إذا عرف وزن الموزون بكيله بالكيلة الخاصة لغيره، أو كيله بوزنه بالوزن الخاص بغيره، أو عده بوزنه، أو كيله بالوزن أو الكيل الخاصين بغيره، ويكون التفاوت اليسير مغتفراً، كاغتفار التفاوت اليسير في الموازين والمكاييل، كما ورد في الأخبار من جواز أخذ ما تعذر وزنه أو عده باعتباره في إناء واحد وأخذ الباقي بحسابه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المناط في هذه الأخبار هو ارتفاع الغرر، فيجوز أخذ المكيل والموزون عداً أيضاً بحسابه، وليس المناط هو التعذر أو التعسّر، كما يظهر من كلام جملة منهم </w:t>
      </w:r>
      <w:r>
        <w:rPr>
          <w:rStyle w:val="FootnoteAnchor"/>
          <w:rtl w:val="true"/>
        </w:rPr>
        <w:footnoteReference w:id="930"/>
      </w:r>
      <w:r>
        <w:rPr>
          <w:rFonts w:ascii="Amiri" w:hAnsi="Amiri" w:eastAsia="Amiri" w:cs="Amiri"/>
          <w:color w:val="111111"/>
          <w:sz w:val="28"/>
          <w:sz w:val="28"/>
          <w:szCs w:val="28"/>
          <w:rtl w:val="true"/>
          <w:lang w:bidi="ar-SA"/>
        </w:rPr>
        <w:t>، فيلزم الاقتصار على موردها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أصحابنا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المكيل والمعدود وزناً؛ لأنّه الأصل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الغرر به، ولرواية وهب </w:t>
      </w:r>
      <w:r>
        <w:rPr>
          <w:rStyle w:val="FootnoteAnchor"/>
          <w:rtl w:val="true"/>
        </w:rPr>
        <w:footnoteReference w:id="932"/>
      </w:r>
      <w:r>
        <w:rPr>
          <w:rFonts w:ascii="Amiri" w:hAnsi="Amiri" w:eastAsia="Amiri" w:cs="Amiri"/>
          <w:color w:val="111111"/>
          <w:sz w:val="28"/>
          <w:sz w:val="28"/>
          <w:szCs w:val="28"/>
          <w:rtl w:val="true"/>
          <w:lang w:bidi="ar-SA"/>
        </w:rPr>
        <w:t>الدالة على جواز سلم ما يكال فيما يوزن وبالعكس، ومن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الموزون كيلاً </w:t>
      </w:r>
      <w:r>
        <w:rPr>
          <w:rStyle w:val="FootnoteAnchor"/>
          <w:rtl w:val="true"/>
        </w:rPr>
        <w:footnoteReference w:id="933"/>
      </w:r>
      <w:r>
        <w:rPr>
          <w:rFonts w:ascii="Amiri" w:hAnsi="Amiri" w:eastAsia="Amiri" w:cs="Amiri"/>
          <w:color w:val="111111"/>
          <w:sz w:val="28"/>
          <w:sz w:val="28"/>
          <w:szCs w:val="28"/>
          <w:rtl w:val="true"/>
          <w:lang w:bidi="ar-SA"/>
        </w:rPr>
        <w:t>لرواية وهب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وكلاهما ضعيف؛ لعدم اندفاع الغرر وللإجماع المنقول على منع الأخير </w:t>
      </w:r>
      <w:r>
        <w:rPr>
          <w:rStyle w:val="FootnoteAnchor"/>
          <w:rtl w:val="true"/>
        </w:rPr>
        <w:footnoteReference w:id="934"/>
      </w:r>
      <w:r>
        <w:rPr>
          <w:rFonts w:ascii="Amiri" w:hAnsi="Amiri" w:eastAsia="Amiri" w:cs="Amiri"/>
          <w:color w:val="111111"/>
          <w:sz w:val="28"/>
          <w:sz w:val="28"/>
          <w:szCs w:val="28"/>
          <w:rtl w:val="true"/>
          <w:lang w:bidi="ar-SA"/>
        </w:rPr>
        <w:t>، ولعدم دلالة الرواية على جواز العدول وإنّما موردها جواز سلم شيءٍ في شيء، لا العدول عن شيءٍ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الاعتماد على خبر البائع في الكيل والوزن ولو كان فاسقاً؛ للأخبار </w:t>
      </w:r>
      <w:r>
        <w:rPr>
          <w:rStyle w:val="FootnoteAnchor"/>
          <w:rtl w:val="true"/>
        </w:rPr>
        <w:footnoteReference w:id="935"/>
      </w:r>
      <w:r>
        <w:rPr>
          <w:rFonts w:ascii="Amiri" w:hAnsi="Amiri" w:eastAsia="Amiri" w:cs="Amiri"/>
          <w:color w:val="111111"/>
          <w:sz w:val="28"/>
          <w:sz w:val="28"/>
          <w:szCs w:val="28"/>
          <w:rtl w:val="true"/>
          <w:lang w:bidi="ar-SA"/>
        </w:rPr>
        <w:t>الدالة بإطلاقها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الاعتماد على شهادة العدلين وفي الاكتفاء بالعدل الواحد الأجنبي قوّة، وأمّا غير العدل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تعذر التقدير؛ لعدم إمكانه لعارض، فهل يحرم البيع ويجب الرجوع إلى الصلح والهبة المعوّضة، أو يجوز؛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ولأنّ الضرورات تبيح المحظورات ؟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يستنبط مما قدمنا من جواز أخذ الموزون والمعدود كيلاً بعد اعتبارهما بمكيال وأخذ الباقي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مما تجوّز بيع المجهول، فيكون أصلاً في المقام، إلّا أنا بعدما ذكرنا أن ذلك طريق من طرق العلم بالمقدّر بنيّة الشارع للتخفيف، والتفاوت اليسير مغتفر لم تبق للروايتين دلالة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التعويل على خير العدل في بيان أنّ الكيل المتعارف بهذا المقدار وأن هذه هي</w:t>
      </w:r>
    </w:p>
    <w:p>
      <w:pPr>
        <w:pStyle w:val="BookText"/>
        <w:rPr/>
      </w:pPr>
      <w:r>
        <w:rPr>
          <w:rFonts w:ascii="Amiri" w:hAnsi="Amiri" w:eastAsia="Amiri" w:cs="Amiri"/>
          <w:color w:val="111111"/>
          <w:sz w:val="28"/>
          <w:sz w:val="28"/>
          <w:szCs w:val="28"/>
          <w:rtl w:val="true"/>
          <w:lang w:bidi="ar-SA"/>
        </w:rPr>
        <w:t>الكيلة المتعارفة، أو أن معيار الوزن المتعارف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الفاسق مع الاطمئنان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حاكم الوقت للكيل أو الوزن معياراً جديداً، ففي جواز الأخذ به قبل شيوعه وقبل معرفة نسبته للمعيار الأوّل إشكال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 حال الشيء باختلاف محاله بحسب العادة من الجزاف والتقدير كالثمرة قبل الجذاذ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حكمها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اختلف باعتبار وضعه كقطع الحديد الكبار التي يمكن في العادة وزنها، أو كالصغار جداً لو ساغ بيعها لغرض، اختلف حكم التقدير وعدمه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عقد صالح للبيع وللصلح إلا أنّه في البيع أظهر وكان على مجهول، فهل يُقدّم الظاهر ويُحكم بالفساد، أو يُقدّم أصل الصحّة فيحكم بصحته صلحاً ؟ وجهان، 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المقدّر عن لزوم التقدير في الذهب والفضة والصفر بخروجها عن كيفيتها، و صيرورتها حليةً لسيف أو طلاءً أو نقشاً للباس،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عدة أشياء موزونة أو عدة مكيلة، فهل يجوز بيعها بمعيار واحد، نظراً إلى أن المجموع معلوم القدر، أو لا يجوز، نظراً إلى الجهالة بالنسبة إلى كلّ فردٍ فردٍ ؟ والأقوى الأوّل فيما إذا كانت الموزونات متقاربة في القيمة وشبهها، وأما لو 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كجمع ذهب وملح بميزان واحد وبيعه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فيقوى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موزون وغير موزون فهل يجوز بيع الجميع بوزنه، كبيع الظرف والسمن، والطعام وإنائه بأن يوزن الجميع فيباع، أو لا يجوز ؟ والأظهر العدم؛ لمكان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المنضمّ ممّا يتقوم عادة، وأما ما لا يتقوم كالتراب والذهب فوزنه معه لا فائدة فيه، فلا إشكال في عدم الاكتفاء بوزنه معه، كما أنّه لا إشكال في جواز وزن الظرف المظروف إذا صار كالجزء له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كقشر الجوز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عارضاً ممّا صار معه مع كالشيء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الإندار للظروف بما تجري العادة بقدره قبل العقد فيوقع العقد على قدر المظروف حدساً بعد حط قدر الظرف كذلك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ذلك فيما يحتمل الزيادة والنقصان والموافقة بعد الإندار، فلو قطع بالزيادة أو النقيصة بطل البيع ابتداء، وتوقف على التراضي إذا كان وفاءً لبيع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الإندار بما إذا تقدَّم العقد على معيّن مشتمل عليه قطعاً، أو كلّي وكان هو وفاءه، بل يعم المتقدم والمتأخر، خلافاً لمن خصّه باللاحق للعقد تفصياً عن الوقوع في الغرر دون السابق، فإنّه لا يصح إلا بعقد صلح وشبهه مما لا تفسده الجهالة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وجواز الإندار وإن وردت به الأخبار في مقامات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حنان في زقاق </w:t>
      </w:r>
    </w:p>
    <w:p>
      <w:pPr>
        <w:pStyle w:val="BookText"/>
        <w:rPr/>
      </w:pPr>
      <w:r>
        <w:rPr>
          <w:rFonts w:ascii="Amiri" w:hAnsi="Amiri" w:eastAsia="Amiri" w:cs="Amiri"/>
          <w:color w:val="111111"/>
          <w:sz w:val="28"/>
          <w:sz w:val="28"/>
          <w:szCs w:val="28"/>
          <w:rtl w:val="true"/>
          <w:lang w:bidi="ar-SA"/>
        </w:rPr>
        <w:t xml:space="preserve">الزيت </w:t>
      </w:r>
      <w:r>
        <w:rPr>
          <w:rStyle w:val="FootnoteAnchor"/>
          <w:rtl w:val="true"/>
        </w:rPr>
        <w:footnoteReference w:id="938"/>
      </w:r>
      <w:r>
        <w:rPr>
          <w:rFonts w:ascii="Amiri" w:hAnsi="Amiri" w:eastAsia="Amiri" w:cs="Amiri"/>
          <w:color w:val="111111"/>
          <w:sz w:val="28"/>
          <w:sz w:val="28"/>
          <w:szCs w:val="28"/>
          <w:rtl w:val="true"/>
          <w:lang w:bidi="ar-SA"/>
        </w:rPr>
        <w:t xml:space="preserve">، ورواية البطائني فيها وفي ظروف السمن </w:t>
      </w:r>
      <w:r>
        <w:rPr>
          <w:rStyle w:val="FootnoteAnchor"/>
          <w:rtl w:val="true"/>
        </w:rPr>
        <w:footnoteReference w:id="939"/>
      </w:r>
      <w:r>
        <w:rPr>
          <w:rFonts w:ascii="Amiri" w:hAnsi="Amiri" w:eastAsia="Amiri" w:cs="Amiri"/>
          <w:color w:val="111111"/>
          <w:sz w:val="28"/>
          <w:sz w:val="28"/>
          <w:szCs w:val="28"/>
          <w:rtl w:val="true"/>
          <w:lang w:bidi="ar-SA"/>
        </w:rPr>
        <w:t xml:space="preserve">، ورواية قرب الإسناد في الجوالق والناسية </w:t>
      </w:r>
      <w:r>
        <w:rPr>
          <w:rStyle w:val="FootnoteAnchor"/>
          <w:rtl w:val="true"/>
        </w:rPr>
        <w:footnoteReference w:id="940"/>
      </w:r>
      <w:r>
        <w:rPr>
          <w:rFonts w:ascii="Amiri" w:hAnsi="Amiri" w:eastAsia="Amiri" w:cs="Amiri"/>
          <w:color w:val="111111"/>
          <w:sz w:val="28"/>
          <w:sz w:val="28"/>
          <w:szCs w:val="28"/>
          <w:rtl w:val="true"/>
          <w:lang w:bidi="ar-SA"/>
        </w:rPr>
        <w:t xml:space="preserve">، وفيهما اشتراط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بتنقيح المناط وباندفاع الغر عرفا يسري الحكم إلى كلّ ظرف ومظروف عادة من مائع أو جامد متصل به اتصال الجزء أو لا ما لم تكن ظرفيته له غير معتادة، كوضع الطعام في حبّ ووزنه، أو وضع ما لا يظرف في ظرف غير معتاد وزنه كذلك، بل قد يسري الحكم إلى إندار مظروفات تعلّق القصد بظروفها، وإلى إندار خليط أو وسخ أو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يتوقف الإندار على التراضي؛ لأنّ الناس مسلّطون على أموالهم، وإن كان أحوط؛ لظاهر بعض الأخبار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الإندار للزائد فلا شك في لزوم التراضي للنصّ </w:t>
      </w:r>
      <w:r>
        <w:rPr>
          <w:rStyle w:val="FootnoteAnchor"/>
          <w:rtl w:val="true"/>
        </w:rPr>
        <w:footnoteReference w:id="942"/>
      </w:r>
      <w:r>
        <w:rPr>
          <w:rFonts w:ascii="Amiri" w:hAnsi="Amiri" w:eastAsia="Amiri" w:cs="Amiri"/>
          <w:color w:val="111111"/>
          <w:sz w:val="28"/>
          <w:sz w:val="28"/>
          <w:szCs w:val="28"/>
          <w:rtl w:val="true"/>
          <w:lang w:bidi="ar-SA"/>
        </w:rPr>
        <w:t>والفتوى إذا كان الإندار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للناقص، فظاهر جملةٍ من أصحابنا </w:t>
      </w:r>
      <w:r>
        <w:rPr>
          <w:rStyle w:val="FootnoteAnchor"/>
          <w:rtl w:val="true"/>
        </w:rPr>
        <w:footnoteReference w:id="943"/>
      </w:r>
      <w:r>
        <w:rPr>
          <w:rFonts w:ascii="Amiri" w:hAnsi="Amiri" w:eastAsia="Amiri" w:cs="Amiri"/>
          <w:color w:val="111111"/>
          <w:sz w:val="28"/>
          <w:sz w:val="28"/>
          <w:szCs w:val="28"/>
          <w:rtl w:val="true"/>
          <w:lang w:bidi="ar-SA"/>
        </w:rPr>
        <w:t>عدم التوقف على التراضي ؛ لأن الإندار حق للمشتري، فله إسقاطه وإن أضرّ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حق لو كان الإندار بيد المشتري، وأما لو كان بيد البائع أو مشتركاً بينهما كان حكمه حكم إندار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الزائد والناقص سواء في كون أحدهما مضراً بالبائع والآخر بالمشتري، وفي كون كلّ منهما إذا أراد إسقاط حقه أسقطه، وفي كون الآخر لا يسقط حق صاحبه إلا برضاه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المقصود من أحد العوضين الشمّ أو الذوق أو اللمس أو الطعم وكانت أفراده مختلفةً اختلافاً بيناً من الاتصاف به وعدمه ومن الاتصاف بقليله وكثيره، وجب اختباره قبل البيع بما يرفع الجهالة من ذوق ولمس وشم وطعم، أو بما يرفعها من وصفه على لسان أحد المتعاقدين أو غيرهما، عدلاً أو لا على إشكال، فإن طابق الوصف فلا كلام، وإلا ثبت خيار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المقصود منه ما قدمنا لا يختلف غالباً، وإنّما يحصل الاختلاف له لحصول العوارض من طول البقاء أو قرب النداوة أو وقوعه في الماء أو شبه ذلك، فالأظهر عدم وجوب الاختبار ولا لزوم الوصف، بل يجوز الإقدام على مقتضى أصل الصحّة ويصح البيع، فإن ظهر على خلاف المعتاد من الاتصاف بالعيب أو الرداءة المورثة غبناً كان له الخيار، وإلا لزم البيع، وعلى ذلك السيرة في جميع أنواع البيوع من جميع أفراد المبيع، ولولا ذلك لما صح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المشتمل على سؤال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يشتري ما يذاق، يذوقه قبل أن يشتري ؟ والجواب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فليذقه ولا يذوقن ما لا يشتري</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مع الإغماض عن سنده ظاهر في بيان المنع من ذوق مال الغير بغير إذنه، إلا مع قرينة الفحوى، كإرادة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حكم من الأصحاب بالفساد مع عدم الاختبار أراد به عدم اللزوم بقرينة تذييله في كلام مَنْ يُعتد به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عدم انطباق الوصف يثبت الخيار </w:t>
      </w:r>
      <w:r>
        <w:rPr>
          <w:rStyle w:val="FootnoteAnchor"/>
          <w:rtl w:val="true"/>
        </w:rPr>
        <w:footnoteReference w:id="946"/>
      </w:r>
      <w:r>
        <w:rPr>
          <w:rFonts w:ascii="Amiri" w:hAnsi="Amiri" w:eastAsia="Amiri" w:cs="Amiri"/>
          <w:color w:val="111111"/>
          <w:sz w:val="28"/>
          <w:sz w:val="28"/>
          <w:szCs w:val="28"/>
          <w:rtl w:val="true"/>
          <w:lang w:bidi="ar-SA"/>
        </w:rPr>
        <w:t xml:space="preserve">، ومن حكم بالفساد حقيقة مطلقاً </w:t>
      </w:r>
      <w:r>
        <w:rPr>
          <w:rStyle w:val="FootnoteAnchor"/>
          <w:rtl w:val="true"/>
        </w:rPr>
        <w:footnoteReference w:id="947"/>
      </w:r>
      <w:r>
        <w:rPr>
          <w:rFonts w:ascii="Amiri" w:hAnsi="Amiri" w:eastAsia="Amiri" w:cs="Amiri"/>
          <w:color w:val="111111"/>
          <w:sz w:val="28"/>
          <w:sz w:val="28"/>
          <w:szCs w:val="28"/>
          <w:rtl w:val="true"/>
          <w:lang w:bidi="ar-SA"/>
        </w:rPr>
        <w:t xml:space="preserve">، أو بالفساد مع عدم المشاهدة </w:t>
      </w:r>
      <w:r>
        <w:rPr>
          <w:rStyle w:val="FootnoteAnchor"/>
          <w:rtl w:val="true"/>
        </w:rPr>
        <w:footnoteReference w:id="948"/>
      </w:r>
      <w:r>
        <w:rPr>
          <w:rFonts w:ascii="Amiri" w:hAnsi="Amiri" w:eastAsia="Amiri" w:cs="Amiri"/>
          <w:color w:val="111111"/>
          <w:sz w:val="28"/>
          <w:sz w:val="28"/>
          <w:szCs w:val="28"/>
          <w:rtl w:val="true"/>
          <w:lang w:bidi="ar-SA"/>
        </w:rPr>
        <w:t xml:space="preserve">أو بالفساد مع إمكان الاختبار، دون ما كان مع عدمه </w:t>
      </w:r>
      <w:r>
        <w:rPr>
          <w:rStyle w:val="FootnoteAnchor"/>
          <w:rtl w:val="true"/>
        </w:rPr>
        <w:footnoteReference w:id="949"/>
      </w:r>
      <w:r>
        <w:rPr>
          <w:rFonts w:ascii="IRNazanin" w:hAnsi="IRNazanin" w:eastAsia="IRNazanin"/>
          <w:color w:val="111111"/>
          <w:sz w:val="28"/>
          <w:sz w:val="28"/>
          <w:szCs w:val="28"/>
          <w:rtl w:val="true"/>
          <w:lang w:bidi="fa-IR"/>
        </w:rPr>
        <w:t xml:space="preserve">، فقد خالف المشهور نقلاً </w:t>
      </w:r>
      <w:r>
        <w:rPr>
          <w:rStyle w:val="FootnoteAnchor"/>
          <w:rtl w:val="true"/>
        </w:rPr>
        <w:footnoteReference w:id="950"/>
      </w:r>
      <w:r>
        <w:rPr>
          <w:rFonts w:ascii="Amiri" w:hAnsi="Amiri" w:eastAsia="Amiri" w:cs="Amiri"/>
          <w:color w:val="111111"/>
          <w:sz w:val="28"/>
          <w:sz w:val="28"/>
          <w:szCs w:val="28"/>
          <w:rtl w:val="true"/>
          <w:lang w:bidi="ar-SA"/>
        </w:rPr>
        <w:t>بل تحصيلاً، وخرج عن القواعد فتوى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كله فيما يمكن فيه الاختبار وأما ما لا يمكن فيه الاختبار من جهة المختبر أو من جهة المختبر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الخلاف المتقدم فيه رأساً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أدّى اختباره إلى فساده كالبيض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ممّا له قشر يفسد بنزعه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أخذه نقلاً وانتقالاً من دون اختبار، بناءً على أصالة الصحّة ولزوم البيع فيه؛ لعموم الأدلّة، وفتوى المشهور، خلافاً لمن اشترط في صحّة النقل اشتراط الصحّة ناقلاً عليه الإجماع </w:t>
      </w:r>
      <w:r>
        <w:rPr>
          <w:rStyle w:val="FootnoteAnchor"/>
          <w:rtl w:val="true"/>
        </w:rPr>
        <w:footnoteReference w:id="951"/>
      </w:r>
      <w:r>
        <w:rPr>
          <w:rFonts w:ascii="IRNazanin" w:hAnsi="IRNazanin" w:eastAsia="IRNazanin"/>
          <w:color w:val="111111"/>
          <w:sz w:val="28"/>
          <w:sz w:val="28"/>
          <w:szCs w:val="28"/>
          <w:rtl w:val="true"/>
          <w:lang w:bidi="fa-IR"/>
        </w:rPr>
        <w:t xml:space="preserve">، أو مع </w:t>
      </w:r>
    </w:p>
    <w:p>
      <w:pPr>
        <w:pStyle w:val="BookText"/>
        <w:rPr/>
      </w:pPr>
      <w:r>
        <w:rPr>
          <w:rFonts w:ascii="Amiri" w:hAnsi="Amiri" w:eastAsia="Amiri" w:cs="Amiri"/>
          <w:color w:val="111111"/>
          <w:sz w:val="28"/>
          <w:sz w:val="28"/>
          <w:szCs w:val="28"/>
          <w:rtl w:val="true"/>
          <w:lang w:bidi="ar-SA"/>
        </w:rPr>
        <w:t xml:space="preserve">اشتراط البراءة من العيوب </w:t>
      </w:r>
      <w:r>
        <w:rPr>
          <w:rStyle w:val="FootnoteAnchor"/>
          <w:rtl w:val="true"/>
        </w:rPr>
        <w:footnoteReference w:id="952"/>
      </w:r>
      <w:r>
        <w:rPr>
          <w:rFonts w:ascii="Amiri" w:hAnsi="Amiri" w:eastAsia="Amiri" w:cs="Amiri"/>
          <w:color w:val="111111"/>
          <w:sz w:val="28"/>
          <w:sz w:val="28"/>
          <w:szCs w:val="28"/>
          <w:rtl w:val="true"/>
          <w:lang w:bidi="ar-SA"/>
        </w:rPr>
        <w:t xml:space="preserve">، أو اشتراط أحدهما لا بعينه مطلقاً </w:t>
      </w:r>
      <w:r>
        <w:rPr>
          <w:rStyle w:val="FootnoteAnchor"/>
          <w:rtl w:val="true"/>
        </w:rPr>
        <w:footnoteReference w:id="953"/>
      </w:r>
      <w:r>
        <w:rPr>
          <w:rFonts w:ascii="Amiri" w:hAnsi="Amiri" w:eastAsia="Amiri" w:cs="Amiri"/>
          <w:color w:val="111111"/>
          <w:sz w:val="28"/>
          <w:sz w:val="28"/>
          <w:szCs w:val="28"/>
          <w:rtl w:val="true"/>
          <w:lang w:bidi="ar-SA"/>
        </w:rPr>
        <w:t>أو في خصوص الأعمى</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 كله، سوى احتمال ظهور فساد المبيع بالمرّة فينتفي أحد ركني المعاوضة، وذلك باعث على عدم قصد المعاوضة ابتداء، أو ظهور عيب فيه فيلزم الجهالة، وهما ضعيفان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ترتب الضرر ليس علةٌ تامّةً في تسويغ البيع من دون اختبار؛ لإمكان اندفاعه بالصلح ونحوه، فيقتصر فيه على ما جرت العادة ببيعه كذلك وما أفتى به المشهور وجرت عليه السيرة، فلا يسري لما أدى اختباره إلى مشقةٍ أو إلى بذل مالٍ أو إلى خلاف تقيّة أو إلى تفاوت رغبة بل هناك من العدول من البيع إلى غيره، ولا يؤثر اشتراط الصحّة أثراً في الصحّة بعد أن يكون المبيع مجهولاً ابتداء؛ لأنّ الغرر لا يدفعه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أخذه المشتري فكسره فخرج معيباً قبل العقد أو بعده قبل القبض سقط خيار الردّ؛ للتصرّف وكان له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إن كان لمكسوره قيمة ولم يشترط عليه البائع البراءة من العيب، ولا تقدَّم علم المشتري به، وإن لم يكن لمكسوره قيمة سقط الأرش أيضاً، ولزم إرجاع الثمن؛ لأنّه أكل مال بالباطل، سواء اشترط البراءة من العيب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والتردد فيه من بعضهم </w:t>
      </w:r>
      <w:r>
        <w:rPr>
          <w:rStyle w:val="FootnoteAnchor"/>
          <w:rtl w:val="true"/>
        </w:rPr>
        <w:footnoteReference w:id="955"/>
      </w:r>
      <w:r>
        <w:rPr>
          <w:rFonts w:ascii="Amiri" w:hAnsi="Amiri" w:eastAsia="Amiri" w:cs="Amiri"/>
          <w:color w:val="111111"/>
          <w:sz w:val="28"/>
          <w:sz w:val="28"/>
          <w:szCs w:val="28"/>
          <w:rtl w:val="true"/>
          <w:lang w:bidi="ar-SA"/>
        </w:rPr>
        <w:t>، من جهة بذل الثمن على كلّ حالٍ، ضعيف جداً، سواء اشترط البراءة أو لم يشترط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ينكشف فساد العقد من أصله فالنماء للبائع وعليه مؤونة حمل الرضاض؛ لأنّه ماله وقد أدخل على غيره الضرر فيه ؟ أو من حينه ؟ لصحة البيع ظاهراً قبل الكسر، فالنماء للمشتري وعليه مؤونة حمل الرضاض؛ لأنّه ماله إلى حين الكسر، وبعد الكسر إنما صار للبائع بفعل المشتري لا بتقصير البائع، أو لأنّه بعد الكسر ليس لأحد؛ لعدم ملكه لأحد، وإخراجه عن الملك أيضاً بفعل المشتري، مع احتمال أنّه على المشتري على كلّ حالٍ؛ لأنّ الحمل لمصلحته لا بأمر البائع ولا بغروره، أو احتمال أنّه على البائع مطلقاً؛ لأن الحمل إنّما </w:t>
      </w:r>
    </w:p>
    <w:p>
      <w:pPr>
        <w:pStyle w:val="BookText"/>
        <w:rPr/>
      </w:pPr>
      <w:r>
        <w:rPr>
          <w:rFonts w:ascii="Amiri" w:hAnsi="Amiri" w:eastAsia="Amiri" w:cs="Amiri"/>
          <w:color w:val="111111"/>
          <w:sz w:val="28"/>
          <w:sz w:val="28"/>
          <w:szCs w:val="28"/>
          <w:rtl w:val="true"/>
          <w:lang w:bidi="ar-SA"/>
        </w:rPr>
        <w:t>جاء من غروره، والضرر من قبله، والمغرور يرجع على مَنْ غرّه، إلا إذا اشترط البائع عدم مؤونة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المسك بعد الفتق؛ للأصل والعموم، والإجماع بقسميه </w:t>
      </w:r>
      <w:r>
        <w:rPr>
          <w:rStyle w:val="FootnoteAnchor"/>
          <w:rtl w:val="true"/>
        </w:rPr>
        <w:footnoteReference w:id="956"/>
      </w:r>
      <w:r>
        <w:rPr>
          <w:rFonts w:ascii="Amiri" w:hAnsi="Amiri" w:eastAsia="Amiri" w:cs="Amiri"/>
          <w:color w:val="111111"/>
          <w:sz w:val="28"/>
          <w:sz w:val="28"/>
          <w:szCs w:val="28"/>
          <w:rtl w:val="true"/>
          <w:lang w:bidi="ar-SA"/>
        </w:rPr>
        <w:t xml:space="preserve">،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يتطيب به </w:t>
      </w:r>
      <w:r>
        <w:rPr>
          <w:rStyle w:val="FootnoteAnchor"/>
          <w:rtl w:val="true"/>
        </w:rPr>
        <w:footnoteReference w:id="957"/>
      </w:r>
      <w:r>
        <w:rPr>
          <w:rFonts w:ascii="Amiri" w:hAnsi="Amiri" w:eastAsia="Amiri" w:cs="Amiri"/>
          <w:color w:val="111111"/>
          <w:sz w:val="28"/>
          <w:sz w:val="28"/>
          <w:szCs w:val="28"/>
          <w:rtl w:val="true"/>
          <w:lang w:bidi="ar-SA"/>
        </w:rPr>
        <w:t xml:space="preserve">، وللسيرة والنصّ </w:t>
      </w:r>
      <w:r>
        <w:rPr>
          <w:rStyle w:val="FootnoteAnchor"/>
          <w:rtl w:val="true"/>
        </w:rPr>
        <w:footnoteReference w:id="958"/>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يتوهم من القول بتنجيسه؛ لإبانته من حي، ولكونه دماً، مردود بمنع كونه قطعةً مبانة، وإنّما يلقيه الغزال كما يلقي الطائر، ولو سُلّم فلا نسلّم نجاسة ما في نفس الجلد إلا بعد ثبوت ملاقاتها للمسك بعد الاستحالة برطوبة، وهو ممنوع، وبمنع كونه دماً بعد الاستحالة، وقبلها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بيعه في فأره وإن لم يفتق، ولا تضر جهالته لجهالة وزن الجلد بعد وزنه معه، ولا عدم العلم بالصحّة والفساد؛ للأصل، وارتفاع الغرر بالبناء على أصل الصحّة، وللسيرة القاضية بذلك، ولدخوله تحت ما يفسده الاختبار، ولدخول الجلد معه دخول الجزء في المبيع، فيصح وزنه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959"/>
      </w:r>
      <w:r>
        <w:rPr>
          <w:rFonts w:ascii="Amiri" w:hAnsi="Amiri" w:eastAsia="Amiri" w:cs="Amiri"/>
          <w:color w:val="111111"/>
          <w:sz w:val="28"/>
          <w:sz w:val="28"/>
          <w:szCs w:val="28"/>
          <w:rtl w:val="true"/>
          <w:lang w:bidi="ar-SA"/>
        </w:rPr>
        <w:t xml:space="preserve">الجواز ها هنا إلى المشهور، بل نقل أنّه لا خلاف فيه </w:t>
      </w:r>
      <w:r>
        <w:rPr>
          <w:rStyle w:val="FootnoteAnchor"/>
          <w:rtl w:val="true"/>
        </w:rPr>
        <w:footnoteReference w:id="960"/>
      </w:r>
      <w:r>
        <w:rPr>
          <w:rFonts w:ascii="Amiri" w:hAnsi="Amiri" w:eastAsia="Amiri" w:cs="Amiri"/>
          <w:color w:val="111111"/>
          <w:sz w:val="28"/>
          <w:sz w:val="28"/>
          <w:szCs w:val="28"/>
          <w:rtl w:val="true"/>
          <w:lang w:bidi="ar-SA"/>
        </w:rPr>
        <w:t>، ومع ذلك فاختباره بالشم أحوط، ويكون ذلك بإدخال خيط فيه ونحوه وشمه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يجري حكم المسك لصدف اللؤلؤ، إلّا أنّ الأحوط كسره قبل البيع، أو العدول إلى الصلح وشبهه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بعض المبيع أو ذوقه أو شمّه أو وصفه بما يرفع الجهالة كافية في اندفاع الغرر وصحة البيع؛ للسيرة، ولزوم العسر والحرج لولا ذلك، ولدلالة الجزء على الكل والظاهر على الباطن غالباً، فيرتفع الغرر المنهي عنه، فيصح بيع المائعات مع رؤية ظاهرها، وكذا الأرض والدار والعقار والحنطة والشعير وكلّ ما تعذر أو تعسّر اختبار باطنه، </w:t>
      </w:r>
    </w:p>
    <w:p>
      <w:pPr>
        <w:pStyle w:val="BookText"/>
        <w:rPr/>
      </w:pPr>
      <w:r>
        <w:rPr>
          <w:rFonts w:ascii="Amiri" w:hAnsi="Amiri" w:eastAsia="Amiri" w:cs="Amiri"/>
          <w:color w:val="111111"/>
          <w:sz w:val="28"/>
          <w:sz w:val="28"/>
          <w:szCs w:val="28"/>
          <w:rtl w:val="true"/>
          <w:lang w:bidi="ar-SA"/>
        </w:rPr>
        <w:t>كالبناءات والمركبات والحبوب والأدهان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معرفة الظاهر فإن طابقه الباطن فلا كلام، وإلا فإن خرج عن التمول تبعضت الصفقة، وإن خرج عن المطابقة بزيادة كان للبائع الخيار مع جهله، وإن خرج بنقيصة كان للمشتري الخيار كذلك، وإن خرج معيباً كان له خيار العيب فلو اشترط شيئاً فخرج خلافه، كان له خيار الشرط،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لم يشاهد المشتري أو البائع ما انتقل إليهما، فإنّه يكتفى بالوصف الرافع للجهالة من بيان نوعه وصنفه وكلّ وصفٍ تختلف القيم والرغبات باختلافه من غير خلاف يُعرف، فإن وجده المنتقل إليه بعد ما قبضه مطابقاً للوصف فلا كلام، وإلا ثبت له الخيار مع الجهل، ويثبت للمنتقل عنه أيضاً الخيار مع ظهور الزيادة والجهل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تمام الكلام في خيار الرؤية </w:t>
      </w:r>
      <w:r>
        <w:rPr>
          <w:rStyle w:val="FootnoteAnchor"/>
          <w:rtl w:val="true"/>
        </w:rPr>
        <w:footnoteReference w:id="961"/>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ما لا يدلّ جزؤه على كله ولا ظاهره على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كصبرة البطيخ والخيار وسلّة العنب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الاكتفاء برؤية جزئه ولا ظاهره؛ للزوم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أرى البائع المشتري كفّاً من حنطة فباعه وزنةٌ منها على أن يكون المرئي داخلاً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باعه على أن يكون المبيع مثله، احتمل الصحّة؛ لأنّه نوع طريق إلى معرفة المبيع، فيندفع به الغرر عرفاً، واحتمل الفساد؛ لأنّه باع بلا وصف ولا رؤية للمبيع لا كلّاً ولا جزءاً، فيكون داخلاً في قسم المجهول، مشمولاً لأدلة الغرر، واحتمل الفرق بين ما يطمئن بوجوده للرجوع إليه عند النزاع فيصح، وبين ما لا يطمئن فيفسد، واحتمل الفرق بين كون المبيع كلّيّاً قد مثله بما في كفّه فيفسد، وبين كونه شخصياً فيصح، وهذا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فرداً من أفراد القيمي مردّداً بين فردين أو أكثر، بطل للغرر، وللشكّ في شمول أدلّة البيع عموماً وخصوصاً له وتنزيله على الإشاعة غير معقول، لا من جهة العقد ولا من جهة المعقود عليه، وعلى الفرد المردّد لا يدفع الغرر، نعم، يجوز ذلك في التكليف، والفرق بينهما ظاهر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تنزيله على الكلّيّة في غير المحصور مع انضباط وصفه، وأما المحصور </w:t>
      </w:r>
    </w:p>
    <w:p>
      <w:pPr>
        <w:pStyle w:val="BookText"/>
        <w:rPr/>
      </w:pPr>
      <w:r>
        <w:rPr>
          <w:rFonts w:ascii="Amiri" w:hAnsi="Amiri" w:eastAsia="Amiri" w:cs="Amiri"/>
          <w:color w:val="111111"/>
          <w:sz w:val="28"/>
          <w:sz w:val="28"/>
          <w:szCs w:val="28"/>
          <w:rtl w:val="true"/>
          <w:lang w:bidi="ar-SA"/>
        </w:rPr>
        <w:t>فإرادة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تؤول إلى الغرر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المثليات فلا يصح بيع فردٍ منها مردّداً، كبيع أحد الأصواع، سواء اجتمعت أو تفرقت؛ للإبهام والغرر عرفاً، ويصح بيع كلّي منها، كبيع صاع كلّيّ من هذه الأصواع، سواء كانت مجتمعة أو متفرّقةً؛ لارتفاع الإبهام عرفاً فيها دون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تدور مدار العرف فيما لم يقم عليه دليل خاص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ينزل بيع الكلّي على الإشاعة، فيكون بمنزلة الكسر المعلوم، فلو تلف من المجموع شيء سقط بحسابه، أو ينزل على الفرد المضمون، فيبقى المبيع ما بقي صاع، إلا أن ينقص عنه فيكون من تلف المبيع قبل قبضه ؟ وجهان، والأقوى الأخير؛ لحكم العرف بذلك، ولفتوى الأكثر </w:t>
      </w:r>
      <w:r>
        <w:rPr>
          <w:rStyle w:val="FootnoteAnchor"/>
          <w:rtl w:val="true"/>
        </w:rPr>
        <w:footnoteReference w:id="962"/>
      </w:r>
      <w:r>
        <w:rPr>
          <w:rFonts w:ascii="Amiri" w:hAnsi="Amiri" w:eastAsia="Amiri" w:cs="Amiri"/>
          <w:color w:val="111111"/>
          <w:sz w:val="28"/>
          <w:sz w:val="28"/>
          <w:szCs w:val="28"/>
          <w:rtl w:val="true"/>
          <w:lang w:bidi="ar-SA"/>
        </w:rPr>
        <w:t xml:space="preserve">، ولأصالة الوجوب على البائع في وجه ولخبر الأطنان </w:t>
      </w:r>
      <w:r>
        <w:rPr>
          <w:rStyle w:val="FootnoteAnchor"/>
          <w:rtl w:val="true"/>
        </w:rPr>
        <w:footnoteReference w:id="963"/>
      </w:r>
      <w:r>
        <w:rPr>
          <w:rFonts w:ascii="Amiri" w:hAnsi="Amiri" w:eastAsia="Amiri" w:cs="Amiri"/>
          <w:color w:val="111111"/>
          <w:sz w:val="28"/>
          <w:sz w:val="28"/>
          <w:szCs w:val="28"/>
          <w:rtl w:val="true"/>
          <w:lang w:bidi="ar-SA"/>
        </w:rPr>
        <w:t>، الدال على أن الباقي بعد الحرق للبائع ويسري لغيره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الإطلاق وأمّا مع التصريح فالحكم تابع لما وقع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بيع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تساوت أجزاء المبيع أو اختلفت إذا كان المجموع معلوماً لئلا يتجهل المبيع؛ للأصل والإجماع بقسميه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ويُنزل على الإشاعة مع الإطلاق؛ قضاء لحق العرف إلا مع التصريح بإرادة الفرد المضمون منه فيعود كالكلّي المراد منه فرداً مضموناً، ويجري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المشاع مما يفتقر إلى حساب لا يعرفه أحدهما، بطل؛ للجهالة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بيع الكلّي من شيءٍ مشتمل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كالصاع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باشتمالها عليه كما يظهر من بعضهم </w:t>
      </w:r>
      <w:r>
        <w:rPr>
          <w:rStyle w:val="FootnoteAnchor"/>
          <w:rtl w:val="true"/>
        </w:rPr>
        <w:footnoteReference w:id="965"/>
      </w:r>
      <w:r>
        <w:rPr>
          <w:rFonts w:ascii="Amiri" w:hAnsi="Amiri" w:eastAsia="Amiri" w:cs="Amiri"/>
          <w:color w:val="111111"/>
          <w:sz w:val="28"/>
          <w:sz w:val="28"/>
          <w:szCs w:val="28"/>
          <w:rtl w:val="true"/>
          <w:lang w:bidi="ar-SA"/>
        </w:rPr>
        <w:t>، أو لا يشترط، أو يشترط مع قصد الإشاعة دون قصد الفرد المضمون ؟ وجوه، أوجهها الوسط؛ للأصل، وعموم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وللإجماع منقولاً على الإطلاق، ومحصلاً مع عدم البناء على الإشاعة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تفاوت بين ظنّ الاشتمال أو الشكّ أو ظنّ عدمه، على إشكال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أيضاً بين ظهور الاشتمال بعد ذلك على الصاع وبين عدمه، فيثبت للمشتري خيار التبعيض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بيع صبرة مشتملة على صيعان مجهولة، ولا بيع صيعانها كلّ صاع بكذا مع جهالة مقدارها؛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بيعها مع العلم جملةً، وكلّ صاع منها بكذا، وصاع واحد منها على سبيل الإشاعة أو الفرد المضمون، وكقفيز منها مشاعاً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بيع كلّ قفيز منها بكذا مع عدم ضبط قدر الأقفزة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ذراعاً من أرض أو ثوب يعلمان قدرهما مع قصد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أجزاؤهما أو تماثلت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ومع الإطلاق يُنزل على الإشاعة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قصدا معيناً من غير تعيين أو كلياً مضموناً منها، بطل؛ للإبهام في الأوَّل، ولاختلاف الأغراض في الثاني، وللإجماع المنقول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عين الذراع مبدأ أو آخراً أو وسطاً، أو كونه من أول الثوب أو آخره أو وسطه، جاز؛ لعدم الغرر، ولفتوى المشهور بل نُسب </w:t>
      </w:r>
      <w:r>
        <w:rPr>
          <w:rStyle w:val="FootnoteAnchor"/>
          <w:rtl w:val="true"/>
        </w:rPr>
        <w:footnoteReference w:id="968"/>
      </w:r>
      <w:r>
        <w:rPr>
          <w:rFonts w:ascii="IRNazanin" w:hAnsi="IRNazanin" w:eastAsia="IRNazanin"/>
          <w:color w:val="111111"/>
          <w:sz w:val="28"/>
          <w:sz w:val="28"/>
          <w:szCs w:val="28"/>
          <w:rtl w:val="true"/>
          <w:lang w:bidi="fa-IR"/>
        </w:rPr>
        <w:t>للأصحاب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الفرق بينه وبين الكلّي إشكال؛ لأنّ تعيّن الذراع في مبدإ الثوب قبل ذرعه لا يعلم قدره منه حين البيع فيعود كالكلّي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البيع مع إبهام السلوك والشرب وسائر الحقوق اللازمة ما لم ينصرف إليها إطلاق البيع،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بحقوقها، فإنّه يصح؛ للأصل، وارتفاع الغرر الناشئ من الجهالة، ويثبت للمشتري السلوك للاستطراق والشرب من جميع الجوانب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الإبهام إن كان بترديد لفظي أو قصدي بطل، وإن كان للإطلاق صح، ويدخل ما يتوقف عليه منفعة الاستطراق تبعاً، ويكون الخيار للبائع في تعيينه، فيكون الفرق بين المطلق والعام هو كون الخيار للبائع في الأوَّل، والمشتري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يصحح بيع المجهول انضمامه إلى المعلوم جزءاً أو شرطاً، مقصوداً أصالة أو تبعاً إذا جيء به بلفظه ولم يكن من توابع المبيع الداخلة فيه تبعاً عرفاً أو من الشرائط الخارجة عمّا يتعلق بالعوضين وليست مقصودة أوّلاً وبالذات، فلا يصح بيع الصوف والجلد على ظهر الغنم منضمين، ولا بيع الجلد منضماً إلى غيره، ولا بيع ما تحت الجلد من لحم أو شحم أو عظم منضماً إلى ما على الظهر أو إلى غيره من الأعيان أو المنافع الخارجة، إلا إذا انضم إلى الحيوان نفسه، فإنّه لا بأس به؛ لعوده مبيعاً واحداً، ولا بيع الحمل منضماً إلى غير أمه ويجوز منضمّاً إلى أُمّه على وجه الشرطية أو الجزئية التابعة؛ لمكان الضرورة، والإجماع المنقول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جواز بيع الحمل منضماً إلى الصوف </w:t>
      </w:r>
      <w:r>
        <w:rPr>
          <w:rStyle w:val="FootnoteAnchor"/>
          <w:rtl w:val="true"/>
        </w:rPr>
        <w:footnoteReference w:id="970"/>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بيع الصوف والشعر على الظهر منفردين مطلقاً للأصل، والعمومات، والخبر المجوّز لبيع الصوف منضمّاً إلى الحمل </w:t>
      </w:r>
      <w:r>
        <w:rPr>
          <w:rStyle w:val="FootnoteAnchor"/>
          <w:rtl w:val="true"/>
        </w:rPr>
        <w:footnoteReference w:id="971"/>
      </w:r>
      <w:r>
        <w:rPr>
          <w:rFonts w:ascii="Amiri" w:hAnsi="Amiri" w:eastAsia="Amiri" w:cs="Amiri"/>
          <w:color w:val="111111"/>
          <w:sz w:val="28"/>
          <w:sz w:val="28"/>
          <w:szCs w:val="28"/>
          <w:rtl w:val="true"/>
          <w:lang w:bidi="ar-SA"/>
        </w:rPr>
        <w:t xml:space="preserve">فبدونه بطريق أولى، وللإجماع المنقول </w:t>
      </w:r>
      <w:r>
        <w:rPr>
          <w:rStyle w:val="FootnoteAnchor"/>
          <w:rtl w:val="true"/>
        </w:rPr>
        <w:footnoteReference w:id="972"/>
      </w:r>
      <w:r>
        <w:rPr>
          <w:rFonts w:ascii="Amiri" w:hAnsi="Amiri" w:eastAsia="Amiri" w:cs="Amiri"/>
          <w:color w:val="111111"/>
          <w:sz w:val="28"/>
          <w:sz w:val="28"/>
          <w:szCs w:val="28"/>
          <w:rtl w:val="true"/>
          <w:lang w:bidi="ar-SA"/>
        </w:rPr>
        <w:t xml:space="preserve">، أو لا يجوز مطلقاً؛ لدليل الغرر </w:t>
      </w:r>
      <w:r>
        <w:rPr>
          <w:rStyle w:val="FootnoteAnchor"/>
          <w:rtl w:val="true"/>
        </w:rPr>
        <w:footnoteReference w:id="973"/>
      </w:r>
      <w:r>
        <w:rPr>
          <w:rFonts w:ascii="IRNazanin" w:hAnsi="IRNazanin" w:eastAsia="IRNazanin"/>
          <w:color w:val="111111"/>
          <w:sz w:val="28"/>
          <w:sz w:val="28"/>
          <w:szCs w:val="28"/>
          <w:rtl w:val="true"/>
          <w:lang w:bidi="fa-IR"/>
        </w:rPr>
        <w:t xml:space="preserve">، وضعف الإجماع والخبر ؛ لمخالفتهما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اشتهر، وقياسه على الثمرة فوق الشجرة من القياس الغير المعتبر، أو يجوز مع اشتراط الجز أو بلوغ أوانه، ولا يجوز مع عدمه؛ لاستلزامه اختلاط المالين فيؤول إلى النزاع؟ أقوال، وفي الأوّل قوة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بيع السمك مع عدم مشاهدته وجهالته ولو منضماً إلى غيره من قصب الآجام أو غيره من سمك أو غيره، ولا بيع اللبن في الضرع ولو منضماً إلى لبن محلوب أو إلى غيره، سواء في ذلك أصالة القصد إليهما، أو تبعية أحدهما وأصالة الآخر، كله لدليل نفي الغرر </w:t>
      </w:r>
      <w:r>
        <w:rPr>
          <w:rStyle w:val="FootnoteAnchor"/>
          <w:rtl w:val="true"/>
        </w:rPr>
        <w:footnoteReference w:id="975"/>
      </w:r>
      <w:r>
        <w:rPr>
          <w:rFonts w:ascii="Amiri" w:hAnsi="Amiri" w:eastAsia="Amiri" w:cs="Amiri"/>
          <w:color w:val="111111"/>
          <w:sz w:val="28"/>
          <w:sz w:val="28"/>
          <w:szCs w:val="28"/>
          <w:rtl w:val="true"/>
          <w:lang w:bidi="ar-SA"/>
        </w:rPr>
        <w:t xml:space="preserve">، وفتوى الأشهر، والإجماع المنقول على منع بيع السمك في الماء </w:t>
      </w:r>
      <w:r>
        <w:rPr>
          <w:rStyle w:val="FootnoteAnchor"/>
          <w:rtl w:val="true"/>
        </w:rPr>
        <w:footnoteReference w:id="976"/>
      </w:r>
      <w:r>
        <w:rPr>
          <w:rFonts w:ascii="Amiri" w:hAnsi="Amiri" w:eastAsia="Amiri" w:cs="Amiri"/>
          <w:color w:val="111111"/>
          <w:sz w:val="28"/>
          <w:sz w:val="28"/>
          <w:szCs w:val="28"/>
          <w:rtl w:val="true"/>
          <w:lang w:bidi="ar-SA"/>
        </w:rPr>
        <w:t>على جهة الإطلاق، وللزوم جواز بيع كلّ مجهول ضمّ إلى معلوم، وهو منافٍ للنصوص والفتاوى، وليس للسمك واللبن 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بالجواز </w:t>
      </w:r>
      <w:r>
        <w:rPr>
          <w:rStyle w:val="FootnoteAnchor"/>
          <w:rtl w:val="true"/>
        </w:rPr>
        <w:footnoteReference w:id="977"/>
      </w:r>
      <w:r>
        <w:rPr>
          <w:rFonts w:ascii="IRNazanin" w:hAnsi="IRNazanin" w:eastAsia="IRNazanin"/>
          <w:color w:val="111111"/>
          <w:sz w:val="28"/>
          <w:sz w:val="28"/>
          <w:szCs w:val="28"/>
          <w:rtl w:val="true"/>
          <w:lang w:bidi="fa-IR"/>
        </w:rPr>
        <w:t xml:space="preserve">، استناداً إلى أخبار </w:t>
      </w:r>
      <w:r>
        <w:rPr>
          <w:rStyle w:val="FootnoteAnchor"/>
          <w:rtl w:val="true"/>
        </w:rPr>
        <w:footnoteReference w:id="978"/>
      </w:r>
      <w:r>
        <w:rPr>
          <w:rFonts w:ascii="Amiri" w:hAnsi="Amiri" w:eastAsia="Amiri" w:cs="Amiri"/>
          <w:color w:val="111111"/>
          <w:sz w:val="28"/>
          <w:sz w:val="28"/>
          <w:szCs w:val="28"/>
          <w:rtl w:val="true"/>
          <w:lang w:bidi="ar-SA"/>
        </w:rPr>
        <w:t xml:space="preserve">ضعيفة سنداً، وجملة منها غير صريحة الدلالة، وإلى إجماعات منقولة </w:t>
      </w:r>
      <w:r>
        <w:rPr>
          <w:rStyle w:val="FootnoteAnchor"/>
          <w:rtl w:val="true"/>
        </w:rPr>
        <w:footnoteReference w:id="979"/>
      </w:r>
      <w:r>
        <w:rPr>
          <w:rFonts w:ascii="Amiri" w:hAnsi="Amiri" w:eastAsia="Amiri" w:cs="Amiri"/>
          <w:color w:val="111111"/>
          <w:sz w:val="28"/>
          <w:sz w:val="28"/>
          <w:szCs w:val="28"/>
          <w:rtl w:val="true"/>
          <w:lang w:bidi="ar-SA"/>
        </w:rPr>
        <w:t xml:space="preserve">لا يعتمد عليها، مع فتوى المشهور بخلافها، فالأخذ بها أو تنزيلها على ما إذا كانت الضميمة مقصودةً بالأصالة لا معنى له مع وجود معارض أقوى لها، ومع ضعفها سنداً، وورود بعضها في بيع الأجمة </w:t>
      </w:r>
      <w:r>
        <w:rPr>
          <w:rStyle w:val="FootnoteAnchor"/>
          <w:rtl w:val="true"/>
        </w:rPr>
        <w:footnoteReference w:id="980"/>
      </w:r>
      <w:r>
        <w:rPr>
          <w:rFonts w:ascii="Amiri" w:hAnsi="Amiri" w:eastAsia="Amiri" w:cs="Amiri"/>
          <w:color w:val="111111"/>
          <w:sz w:val="28"/>
          <w:sz w:val="28"/>
          <w:szCs w:val="28"/>
          <w:rtl w:val="true"/>
          <w:lang w:bidi="ar-SA"/>
        </w:rPr>
        <w:t xml:space="preserve">لا السمك، والصحيح </w:t>
      </w:r>
      <w:r>
        <w:rPr>
          <w:rStyle w:val="FootnoteAnchor"/>
          <w:rtl w:val="true"/>
        </w:rPr>
        <w:footnoteReference w:id="981"/>
      </w:r>
      <w:r>
        <w:rPr>
          <w:rFonts w:ascii="Amiri" w:hAnsi="Amiri" w:eastAsia="Amiri" w:cs="Amiri"/>
          <w:color w:val="111111"/>
          <w:sz w:val="28"/>
          <w:sz w:val="28"/>
          <w:szCs w:val="28"/>
          <w:rtl w:val="true"/>
          <w:lang w:bidi="ar-SA"/>
        </w:rPr>
        <w:t xml:space="preserve">منها مرمي بالإجمال؛ لقيام الاحتمال، والموثق </w:t>
      </w:r>
      <w:r>
        <w:rPr>
          <w:rStyle w:val="FootnoteAnchor"/>
          <w:rtl w:val="true"/>
        </w:rPr>
        <w:footnoteReference w:id="982"/>
      </w:r>
      <w:r>
        <w:rPr>
          <w:rFonts w:ascii="Amiri" w:hAnsi="Amiri" w:eastAsia="Amiri" w:cs="Amiri"/>
          <w:color w:val="111111"/>
          <w:sz w:val="28"/>
          <w:sz w:val="28"/>
          <w:szCs w:val="28"/>
          <w:rtl w:val="true"/>
          <w:lang w:bidi="ar-SA"/>
        </w:rPr>
        <w:t>منها قابل للحمل على الوعد والمساومة، لا يصلح لإثبات حكم يخالف فتوى المشهور والقواعد المحكمة والأصول 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حكمنا بالبطلان في بيع المجهول لزم على كلّ من المتعاقدين الضمان، فيضمن العين كلّ منهما مع تلفها أو امتناعها أو حجبها بقبضه أو قبض وكيله الجاهل، عالماً كان أو جاهلاً، قبض بإذن من الناقل أو بدونها؛ للإجماع المنقول </w:t>
      </w:r>
      <w:r>
        <w:rPr>
          <w:rStyle w:val="FootnoteAnchor"/>
          <w:rtl w:val="true"/>
        </w:rPr>
        <w:footnoteReference w:id="983"/>
      </w:r>
      <w:r>
        <w:rPr>
          <w:rFonts w:ascii="Amiri" w:hAnsi="Amiri" w:eastAsia="Amiri" w:cs="Amiri"/>
          <w:color w:val="111111"/>
          <w:sz w:val="28"/>
          <w:sz w:val="28"/>
          <w:szCs w:val="28"/>
          <w:rtl w:val="true"/>
          <w:lang w:bidi="ar-SA"/>
        </w:rPr>
        <w:t xml:space="preserve">، ولقاعدة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ولاحترام مال المسلم، وإقدام كلّ منهما على طبيعة الضمان لا بقصد المجان، وللزوم أكل المال بالباطل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ردّ العين مع الإمكان، وردّ البدل مع عدمه؛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وللإجماع بقسميه </w:t>
      </w:r>
      <w:r>
        <w:rPr>
          <w:rStyle w:val="FootnoteAnchor"/>
          <w:rtl w:val="true"/>
        </w:rPr>
        <w:footnoteReference w:id="985"/>
      </w:r>
      <w:r>
        <w:rPr>
          <w:rFonts w:ascii="Amiri" w:hAnsi="Amiri" w:eastAsia="Amiri" w:cs="Amiri"/>
          <w:color w:val="111111"/>
          <w:sz w:val="28"/>
          <w:sz w:val="28"/>
          <w:szCs w:val="28"/>
          <w:rtl w:val="true"/>
          <w:lang w:bidi="ar-SA"/>
        </w:rPr>
        <w:t>، ولدخوله تحت 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لكونه تأدية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ظهورها في ردّ العين أو في خصوص الغصب ممنوعة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فيضمن المنقول إليه مع عدم غروره من جهة الناقل المثل؛ لأنّه الأقرب في البدلية إذا كان مثليّاً عرفاً، أو إذا كان له مثل ولو كان قيميّاً في وجه مع عدم التفاحش بين قيمة المثل </w:t>
      </w:r>
    </w:p>
    <w:p>
      <w:pPr>
        <w:pStyle w:val="BookText"/>
        <w:rPr/>
      </w:pPr>
      <w:r>
        <w:rPr>
          <w:rFonts w:ascii="Amiri" w:hAnsi="Amiri" w:eastAsia="Amiri" w:cs="Amiri"/>
          <w:color w:val="111111"/>
          <w:sz w:val="28"/>
          <w:sz w:val="28"/>
          <w:szCs w:val="28"/>
          <w:rtl w:val="true"/>
          <w:lang w:bidi="ar-SA"/>
        </w:rPr>
        <w:t xml:space="preserve">وقت الإتلاف وقيمته وقت الاستيفاء، ومع التفاحش فالرجوع إلى القيمة؛ لنفي الضرار </w:t>
      </w:r>
      <w:r>
        <w:rPr>
          <w:rStyle w:val="FootnoteAnchor"/>
          <w:rtl w:val="true"/>
        </w:rPr>
        <w:footnoteReference w:id="987"/>
      </w:r>
      <w:r>
        <w:rPr>
          <w:rFonts w:ascii="Amiri" w:hAnsi="Amiri" w:eastAsia="Amiri" w:cs="Amiri"/>
          <w:color w:val="111111"/>
          <w:sz w:val="28"/>
          <w:sz w:val="28"/>
          <w:szCs w:val="28"/>
          <w:rtl w:val="true"/>
          <w:lang w:bidi="ar-SA"/>
        </w:rPr>
        <w:t>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يوجد المثل، انتقل إلى القيمة حين الإعواز، أو حين المطالبة، أو حين الاستيفاء وهو الأظهر، والأعلى ما بينها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ويضمن القيمة إذا كان قيميّاً وقت التلف وهو الأظهر الأشهر؛ لأنّه زمن الانتقال إليها، أو وقت القبض؛ لتعلّق الخطاب بالقيمة مرتبة على العين حينه؛ ولحديث البغل </w:t>
      </w:r>
      <w:r>
        <w:rPr>
          <w:rStyle w:val="FootnoteAnchor"/>
          <w:rtl w:val="true"/>
        </w:rPr>
        <w:footnoteReference w:id="988"/>
      </w:r>
      <w:r>
        <w:rPr>
          <w:rFonts w:ascii="Amiri" w:hAnsi="Amiri" w:eastAsia="Amiri" w:cs="Amiri"/>
          <w:color w:val="111111"/>
          <w:sz w:val="28"/>
          <w:sz w:val="28"/>
          <w:szCs w:val="28"/>
          <w:rtl w:val="true"/>
          <w:lang w:bidi="ar-SA"/>
        </w:rPr>
        <w:t xml:space="preserve">ونُسب </w:t>
      </w:r>
      <w:r>
        <w:rPr>
          <w:rStyle w:val="FootnoteAnchor"/>
          <w:rtl w:val="true"/>
        </w:rPr>
        <w:footnoteReference w:id="989"/>
      </w:r>
      <w:r>
        <w:rPr>
          <w:rFonts w:ascii="Amiri" w:hAnsi="Amiri" w:eastAsia="Amiri" w:cs="Amiri"/>
          <w:color w:val="111111"/>
          <w:sz w:val="28"/>
          <w:sz w:val="28"/>
          <w:szCs w:val="28"/>
          <w:rtl w:val="true"/>
          <w:lang w:bidi="ar-SA"/>
        </w:rPr>
        <w:t xml:space="preserve">للأكثر، وهو قويّ، إلّا أنّ الأوّل أظهر، أو يضمن أعلى القيم ما بين القبض والتلف؛ لانتقال القيمة باختلاف أحوالها إلى المالك فيملك أعلاها، ولحديث البغل </w:t>
      </w:r>
      <w:r>
        <w:rPr>
          <w:rStyle w:val="FootnoteAnchor"/>
          <w:rtl w:val="true"/>
        </w:rPr>
        <w:footnoteReference w:id="990"/>
      </w:r>
      <w:r>
        <w:rPr>
          <w:rFonts w:ascii="Amiri" w:hAnsi="Amiri" w:eastAsia="Amiri" w:cs="Amiri"/>
          <w:color w:val="111111"/>
          <w:sz w:val="28"/>
          <w:sz w:val="28"/>
          <w:szCs w:val="28"/>
          <w:rtl w:val="true"/>
          <w:lang w:bidi="ar-SA"/>
        </w:rPr>
        <w:t xml:space="preserve">، وللاحتياط، ونسب </w:t>
      </w:r>
      <w:r>
        <w:rPr>
          <w:rStyle w:val="FootnoteAnchor"/>
          <w:rtl w:val="true"/>
        </w:rPr>
        <w:footnoteReference w:id="991"/>
      </w:r>
      <w:r>
        <w:rPr>
          <w:rFonts w:ascii="Amiri" w:hAnsi="Amiri" w:eastAsia="Amiri" w:cs="Amiri"/>
          <w:color w:val="111111"/>
          <w:sz w:val="28"/>
          <w:sz w:val="28"/>
          <w:szCs w:val="28"/>
          <w:rtl w:val="true"/>
          <w:lang w:bidi="ar-SA"/>
        </w:rPr>
        <w:t>للأشهر، وهو ضعيف؛ لمنع ضمان القيم مع وجود العين، ومنع دلالة حديث البغل، والاحتياط لا يفيد لزوماً، أو أعلاها ما بين القبض والاستيفاء، أو أعلاها ما بين التلف والاستيفاء، أو يضمن قيمة وقت الاستيفاء، أقوال ووجوه أكثرها سيّما الأخيرة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مع ردّ العين أرش نقصها وضمان منافعها ونمائها وبذل أُجرة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زادها عيناً أو صفة كالعين كانت له، وفي مقام يمكن فيه الشركة يكون شريكاً، ولو كانت بفعل اللّه تعالى فللمالك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يرجع على المالك بغراماته على العين أو إتلافاته أو إنفاقه مع عدم كونه مغروراً من قبله بتدليس وشبهه؛ للأصل، وعلم المالك وجهل القابض ليس من الغرور؛ لتفريطه بجهله، فليس مغروراً من قبله</w:t>
      </w:r>
      <w:r>
        <w:rPr>
          <w:rFonts w:eastAsia="Amiri" w:cs="Amiri" w:ascii="Amiri" w:hAnsi="Amiri"/>
          <w:color w:val="111111"/>
          <w:sz w:val="28"/>
          <w:szCs w:val="28"/>
          <w:rtl w:val="true"/>
          <w:lang w:bidi="ar-SA"/>
        </w:rPr>
        <w:t xml:space="preserve">. </w:t>
      </w:r>
      <w:bookmarkStart w:id="354" w:name="pg19000_245419"/>
    </w:p>
    <w:p>
      <w:pPr>
        <w:pStyle w:val="Heading3"/>
        <w:numPr>
          <w:ilvl w:val="2"/>
          <w:numId w:val="1"/>
        </w:numPr>
        <w:rPr/>
      </w:pPr>
      <w:bookmarkStart w:id="355" w:name="__RefHeading___Toc13372374_1280447820"/>
      <w:bookmarkStart w:id="356" w:name="_Toc133"/>
      <w:bookmarkEnd w:id="354"/>
      <w:bookmarkEnd w:id="355"/>
      <w:r>
        <w:rPr>
          <w:rtl w:val="true"/>
        </w:rPr>
        <w:t>القول في الخيارات</w:t>
      </w:r>
      <w:bookmarkEnd w:id="356"/>
    </w:p>
    <w:p>
      <w:pPr>
        <w:pStyle w:val="Heading4"/>
        <w:numPr>
          <w:ilvl w:val="3"/>
          <w:numId w:val="1"/>
        </w:numPr>
        <w:rPr/>
      </w:pPr>
      <w:bookmarkStart w:id="357" w:name="__RefHeading___Toc13372376_1280447820"/>
      <w:bookmarkStart w:id="358" w:name="_Toc134"/>
      <w:bookmarkEnd w:id="357"/>
      <w:r>
        <w:rPr>
          <w:rtl w:val="true"/>
        </w:rPr>
        <w:t>إشارة</w:t>
      </w:r>
      <w:r>
        <w:rPr>
          <w:rtl w:val="true"/>
        </w:rPr>
        <w:t>:</w:t>
      </w:r>
      <w:bookmarkEnd w:id="358"/>
    </w:p>
    <w:p>
      <w:pPr>
        <w:pStyle w:val="BookText"/>
        <w:rPr/>
      </w:pPr>
      <w:r>
        <w:rPr>
          <w:rFonts w:ascii="Amiri" w:hAnsi="Amiri" w:eastAsia="Amiri" w:cs="Amiri"/>
          <w:color w:val="111111"/>
          <w:sz w:val="28"/>
          <w:sz w:val="28"/>
          <w:szCs w:val="28"/>
          <w:rtl w:val="true"/>
          <w:lang w:bidi="ar-SA"/>
        </w:rPr>
        <w:t>الخيار حقيقة شرعية أو متشرعيّة في ملك إقرار العقد أو إزالته بعد وقوعه في مدة معلومة الوصف أو القدر، أو في وقتٍ تسبّب عن وصفٍ متقدم، فخرج بالأوّل الانفساخ لتلف مبيع، أو رضاع أو إسلام في النكاح، وخرج بالقيود الأخيرة الطلاق والإقالة والجواز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وأقسامه كثيرة ذكر منها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وتذكر في مظان الفقه خيارات كثيرة لم يعنونها الفقهاء، كخيار من ابتاع ما فيه خيار، وخيار المرابحة لو ظهر كذب المخبر، وخيار مشتري الجارية مع العلم بوطئ مولاها قبل استبرائها، وخيار العبد إذا ظهرت عليه جناية أو حد، وخيار الجلال أو الموطوء من الحيوان وخيار المكاتب لو أجزنا بيعه، وخيار فساد العقيدة وخيار خوف التلف إذا كان العبد في حرب أو بلد طاعون، وغير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إرجاع الجميع للخيارات المعنونة، كالعيب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وصف الخيار خلاف الأصل؛ لأنّ الأصل في العقد اللزوم، بمعنى المستصحب، أو بمعنى الظاهر فيما لم يكن مبنياً على الجواز كالعارية وشبهها، أو بمعنى الدليل والقاعدة الشرعيَّة المأخوذة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فإنّه أوجب الوفاء بمقتضاها</w:t>
      </w:r>
      <w:r>
        <w:rPr>
          <w:rFonts w:eastAsia="IRNazanin" w:cs="IRNazanin"/>
          <w:color w:val="111111"/>
          <w:sz w:val="28"/>
          <w:szCs w:val="28"/>
          <w:rtl w:val="true"/>
          <w:lang w:bidi="fa-IR"/>
        </w:rPr>
        <w:t xml:space="preserve">. </w:t>
      </w:r>
      <w:bookmarkStart w:id="359" w:name="pg19000_245420"/>
    </w:p>
    <w:p>
      <w:pPr>
        <w:pStyle w:val="BookText"/>
        <w:rPr/>
      </w:pPr>
      <w:bookmarkEnd w:id="359"/>
      <w:r>
        <w:rPr>
          <w:rFonts w:ascii="Amiri" w:hAnsi="Amiri" w:eastAsia="Amiri" w:cs="Amiri"/>
          <w:color w:val="111111"/>
          <w:sz w:val="28"/>
          <w:sz w:val="28"/>
          <w:szCs w:val="28"/>
          <w:rtl w:val="true"/>
          <w:lang w:bidi="ar-SA"/>
        </w:rPr>
        <w:t>و مقتضى العقود اللزوم والدوام فيما عدا ما بني على الجواز، فيجب الوفاء بها على نحو ذلك ويزداد عقد البيع بأصالة اللزوم على سائر العقود قوةً، ظهوراً ودليلاً؛ لزيادة ظهوره في ذلك، ولخصوص الأدلّة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استصحاب اللزوم فيه ثبوت خيار المجلس؛ لتعلّق الاستصحاب بغير جهته أو لتعلقه به بعد انتهائه أو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تثبت أصالة اللزوم للعقود بالنسبة إلى الأفراد على جهة العموم تثبت كذلك بالنسبة إلى الأزمنة؛ لأنّ مقتضى العقود اللزوم في جميع الأزمنة، وإلا فلا ثمرة يُعتد بها في كثيرٍ منها، فيجب بمقتضى الدليل العمل على مقتضاها، ولأنّ المفهوم من شرع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هو اللزوم في الأفراد والأزمنة، لأنّها شرعت لقطع مادة النزاع وحسم مفاسد الاختلاف</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372378_1280447820"/>
      <w:bookmarkStart w:id="361" w:name="_Toc135"/>
      <w:bookmarkEnd w:id="360"/>
      <w:r>
        <w:rPr>
          <w:rtl w:val="true"/>
        </w:rPr>
        <w:t>وفي الخيارات مباحث</w:t>
      </w:r>
      <w:r>
        <w:rPr>
          <w:rtl w:val="true"/>
        </w:rPr>
        <w:t>:</w:t>
      </w:r>
      <w:bookmarkEnd w:id="361"/>
    </w:p>
    <w:p>
      <w:pPr>
        <w:pStyle w:val="Heading5"/>
        <w:numPr>
          <w:ilvl w:val="4"/>
          <w:numId w:val="1"/>
        </w:numPr>
        <w:rPr/>
      </w:pPr>
      <w:bookmarkStart w:id="362" w:name="__RefHeading___Toc13372380_1280447820"/>
      <w:bookmarkStart w:id="363" w:name="_Toc136"/>
      <w:bookmarkEnd w:id="362"/>
      <w:r>
        <w:rPr>
          <w:rtl w:val="true"/>
        </w:rPr>
        <w:t>أحدها</w:t>
      </w:r>
      <w:r>
        <w:rPr>
          <w:rtl w:val="true"/>
        </w:rPr>
        <w:t xml:space="preserve">: </w:t>
      </w:r>
      <w:r>
        <w:rPr>
          <w:rtl w:val="true"/>
        </w:rPr>
        <w:t>خيار المجلس وما يتعلّق به</w:t>
      </w:r>
      <w:bookmarkEnd w:id="36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وإضافته من قبيل إضافة الحال للمحلّ، فيراد به إما المجلس حقيقة؛ لأغلبية الاجتماع فيه، ويلحق غيره من موارد الاجتماع به، أو يراد به كناية عن عدم التفرّق؛ لما بينهما من التناسب، أو أنّه حقيقة عرفية سُمّي به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ثبوته السنة </w:t>
      </w:r>
      <w:r>
        <w:rPr>
          <w:rStyle w:val="FootnoteAnchor"/>
          <w:rtl w:val="true"/>
        </w:rPr>
        <w:footnoteReference w:id="994"/>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وأنكره أبو حنيفة </w:t>
      </w:r>
      <w:r>
        <w:rPr>
          <w:rStyle w:val="FootnoteAnchor"/>
          <w:rtl w:val="true"/>
        </w:rPr>
        <w:footnoteReference w:id="995"/>
      </w:r>
      <w:r>
        <w:rPr>
          <w:rFonts w:ascii="Amiri" w:hAnsi="Amiri" w:eastAsia="Amiri" w:cs="Amiri"/>
          <w:color w:val="111111"/>
          <w:sz w:val="28"/>
          <w:sz w:val="28"/>
          <w:szCs w:val="28"/>
          <w:rtl w:val="true"/>
          <w:lang w:bidi="ar-SA"/>
        </w:rPr>
        <w:t xml:space="preserve">، ورد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ردِّه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وخيار المجلس خاص بالبيع؛ للأصل والإجماع، ويعمّ جميع أفراد البيع اللازمة والجائزة بالأصل والعارض، وتوارد علل الجواز على معلول واحد لا بأس به، مع احتمال الفرق بين الجائز بالأصل والعارض فينتفي في الأوّل ويثبت في الثاني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ثبوت الخيار في الجائز بالأصل عند لزومه بالعارض، كالتصرف بالمعاطاة من </w:t>
      </w:r>
    </w:p>
    <w:p>
      <w:pPr>
        <w:pStyle w:val="BookText"/>
        <w:rPr/>
      </w:pPr>
      <w:r>
        <w:rPr>
          <w:rFonts w:ascii="Amiri" w:hAnsi="Amiri" w:eastAsia="Amiri" w:cs="Amiri"/>
          <w:color w:val="111111"/>
          <w:sz w:val="28"/>
          <w:sz w:val="28"/>
          <w:szCs w:val="28"/>
          <w:rtl w:val="true"/>
          <w:lang w:bidi="ar-SA"/>
        </w:rPr>
        <w:t>جانب غير المتصرّف وإلا فالتصرف من جانبه التزام أو فسخ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ثبوت الخيار أصلاً؛ للشك في شمول أدلته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خيار المجلس الافتراق بالأبدان، لا بالأرواح ولا بالعقول؛ لتعليق حكم الخيار على عدم التفرّق </w:t>
      </w:r>
      <w:r>
        <w:rPr>
          <w:rStyle w:val="FootnoteAnchor"/>
          <w:rtl w:val="true"/>
        </w:rPr>
        <w:footnoteReference w:id="996"/>
      </w:r>
      <w:r>
        <w:rPr>
          <w:rFonts w:ascii="Amiri" w:hAnsi="Amiri" w:eastAsia="Amiri" w:cs="Amiri"/>
          <w:color w:val="111111"/>
          <w:sz w:val="28"/>
          <w:sz w:val="28"/>
          <w:szCs w:val="28"/>
          <w:rtl w:val="true"/>
          <w:lang w:bidi="ar-SA"/>
        </w:rPr>
        <w:t>الظاهر في ذلك، كما أنّ الظاهر في الافتراق هو الافتراق العرفي، سواء كان بمشي أو بجثو أو بغير ذلك، ولا يراد الافتراق الحكمي قطعاً؛ لعدم انصراف إطلاق اللفظ إليه مع أصالة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العرفي الخطوة، كما فهم الأصحاب ونُقل عليه الإجماع </w:t>
      </w:r>
      <w:r>
        <w:rPr>
          <w:rStyle w:val="FootnoteAnchor"/>
          <w:rtl w:val="true"/>
        </w:rPr>
        <w:footnoteReference w:id="997"/>
      </w:r>
      <w:r>
        <w:rPr>
          <w:rFonts w:ascii="Amiri" w:hAnsi="Amiri" w:eastAsia="Amiri" w:cs="Amiri"/>
          <w:color w:val="111111"/>
          <w:sz w:val="28"/>
          <w:sz w:val="28"/>
          <w:szCs w:val="28"/>
          <w:rtl w:val="true"/>
          <w:lang w:bidi="ar-SA"/>
        </w:rPr>
        <w:t>، مع احتمال لزوم تعدّد الخطا؛ لأنّه المتيقن في حصول الافتراق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مشيت خُطأ</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ولو لا الاحتياج إلى التعدد لما صدر من الإمام،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التفرّق ذهاب واحدٍ وبقاء آخر اختياراً، كما هو المفهوم من الفتوى والرواية المتقدّمة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تناديا من مكان بعيد بحيث يُعدّ أنّهما متفرّقان عرفاً، احتمل سقوط الخيار، وبقاؤه إلى أن يتباعدا عنه أو يسقطاه، وبقاؤه دائماً، ولو تدانيا بعضاً إلى بعض لم يؤثر التداني شيئاً غير ما كانا عليه حالة العقد، وخير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 المتعاقدان فتفرّقا أو سهوا أو غير ذلك من نوم أو شبهه، فالأقوى القول بسقوط خيارهما؛ أخذاً بظاهر النصّ والفتوى مع احتمال بقاء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ويتولاه الولي كما لو لم يتفرّقا، إما لاحتمال أن تفرّق العقول بمنزلة تفرّق الأبدان، أو لانصراف لفظ التفرّق للمقصود، ولكنه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 أحدهما فافترق عن الآخر، فإن تبعه الآخر لم يسقط خيارهما، وإن لم يتبعه سقط خياره قطعاً وسقط خيار المجنون إلا على الوجه الضعيف فيبقى خياره فقط</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والمُكرهين لو بلغ إكراههما إلى حدّ الإلجاء، لم يسقط خيارهما؛ لفتوى الأصحاب، </w:t>
      </w:r>
    </w:p>
    <w:p>
      <w:pPr>
        <w:pStyle w:val="BookText"/>
        <w:rPr/>
      </w:pPr>
      <w:r>
        <w:rPr>
          <w:rFonts w:ascii="Amiri" w:hAnsi="Amiri" w:eastAsia="Amiri" w:cs="Amiri"/>
          <w:color w:val="111111"/>
          <w:sz w:val="28"/>
          <w:sz w:val="28"/>
          <w:szCs w:val="28"/>
          <w:rtl w:val="true"/>
          <w:lang w:bidi="ar-SA"/>
        </w:rPr>
        <w:t>ولاستناد التفرّق للملجئ حقيقةً فلا عبرة بتفرّقهما، وبهذا يحصل الفرق بين الإلجاء وبين الإكراه بتهديد أو توعيد أو تقيّة، وكذا النوم والسهو وشبههما، فإنّه لا يسقط في الأوّل ويسقط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بقاء الخيار مع التفرّق كرهاً عدم تمكنهما من الفسخ لو أراداه، فلو تمكنا فلم يفعلا قدّم الظاهر هنا وعمل به، وسقط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أحدهما على التفرّق والآخر على الجلوس مع عدم تمكنهما من الفسخ، كان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أحدهما على التفرّق ولم يتمكن من الفسخ ولم يكره الآخر على الجلوس، سقط خياره؛ حيث إنّه لم يتبعه، وبقي خيار المكره؛ استصحاباً للحكم السابق، وعليه ظاهر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أكره على الجلوس دون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فيتحقق بقاء الخيار لهما بإكراه الاثنين على الأربع، وإلا سقط منهما أو من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العاقدان، بقي خيارهما، وينتقل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السقوط؛ لأنّ مفارقة الدنيا أولى من مفارقة المجلس،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يبقى دائماً؛ لعدم إمكان الافتراق منهما اختياراً، أو يبقى إلى أن يُحملا من ذلك المجلس؛ تنزيلاً لذلك منزلة التفرّق، أو يبقى إلى أن يفترقا بحملهما، فإن لم يفترقا بحملهما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دفنا بمكان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سقوط ؟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أحدهما احتمل أيضاً سقوط الخيار أصلاً، واحتمل بقاؤه ما دام مع الآخر في ذلك المجلس، واحتمل بقاؤه إلى أن يفارقه الآخر ولو عند الإقبار، واحتمل سقوطه بالنسبة إلى الحي إذا أمكنه المتابعة فلم يتابع أو أمكنه الفسخ فلم يفسخ بعد نقل الميت، وبقاؤه بالنسبة إلى الميت فينتقل إلى الوارث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لو لم نعتبر اجتماع الميت وافتراقه وقلنا بانتقال الخيار إلى الوارث، احتمل بقاؤه دائماً، واحتمل ثبوته فوراً، واحتمل امتداده بامتداد مجلس الوارث مع الحي أو الوارثين إن كان الوارث حاضراً، وإن كان غائباً امتد بامتداد مجلس وصول الخبر إليهما أو إليه، والأظهر هو الاحتمال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ارتفع الإكراه من المكره عن التفرّق، احتمل ثبوته لهما دائماً، واحتمل فوراً واحتمل امتداده بامتداد مجلس ارتفاع الإكراه فإن تدانيا معاً أو دنا أحدهما ولم يبعد الآخر بقي الخيار، وإن تباعدا عنه سقط الخيار، والأظهر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تعاقد الأصيلان فلا إشكال بأن الخيار لهما، وغايته تفرقهما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تعاقد الوكيلان، فهل يكون الخيار لهما قهراً؛ لأنهما بيعان، أو يكون لهما مع تفويض أمره لهما من الموكل، أو لا يكون لهما أصلاً إلا بمجرّد الوكالة في الفسخ أو الإمضاء ؟ وعلى تقديره فهل للأصيل خيار حينئذٍ معهما أو لا معهما أو ليس له ؟ وجوه مبنية على تحقيق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فهل هو مَنْ صدر منهما العقد، أو مَنْ كان لهما العقد، أو الأعم، وعلى كلّ التقادير فهل الغاية التي هي التفرّق تدور مدار من له الخيار، فإن كان الوكيلين كان العبرة بتفرقهما، وإن كان الأصيلين فكذلك، وإن كان الجميع فالعبرة بتفرق الأربع أو الست بإضافة تفرّق الأصيل عن الوكيل أيضاً ؟ وجوه مبنيّة على تحقيق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يتفرقا</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المدار في التفرّق وعدمه على مباشر العقد، والخيار وعدمه على من كان له العقد، وهو المنطبق على القواعد الفقهيّة ومذاق الفقهاء، وإن احتاج استخراجه من الرواية إلى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تعاقد الوليّان، فالخيار لهما مع الغبطة، وبدونها تعبداً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تعاقد الفضوليان فأجاز المالك، فإن كانت كاشفةً فهل المدار على تفرقهما أو تفرّق الأصيلين أو الجميع ؟ كما تقدَّم في الوكيلين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ناقلة، احتمل ذلك، واحتمل دوران الأمر مدار تفرّق المجيزين أو أحدهما مع الآخر المجاز له واحتمل دورانه مدار قيامه عن مجلس الإجازة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والعاقد عن اثنين له الخيار ما دام في مجلس العقد، مع احتمال بقائه دائماً؛ لعدم حصول الغاية له مع ثبوت المغيّى، واحتمل عدم تعلّق الخيار به أصلاً؛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لعدم حصول الغاية له التي هي بمنزلة الوصف، فينتفي الموصوف بانتفائها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والاثنان على عقد واحد تجري فيهما جملة من هذه الوجوه، وأظهر الوجوه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وفي الأوّل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ويسقط هذا الخيار من المتعاقدين معاً أو من أحدهما في جميع العوضين أو في أبعاضهما باشتراط سقوطه على حسب ما يشترطانه في متن العقد أو قبله من غير فاصل يُعتد به بحيث یبنی العقد عليه، أخذاً بالمتيقن من عموم أدلّة الشروط </w:t>
      </w:r>
      <w:r>
        <w:rPr>
          <w:rStyle w:val="FootnoteAnchor"/>
          <w:rtl w:val="true"/>
        </w:rPr>
        <w:footnoteReference w:id="1002"/>
      </w:r>
      <w:r>
        <w:rPr>
          <w:rFonts w:ascii="IRNazanin" w:hAnsi="IRNazanin" w:eastAsia="IRNazanin"/>
          <w:color w:val="111111"/>
          <w:sz w:val="28"/>
          <w:sz w:val="28"/>
          <w:szCs w:val="28"/>
          <w:rtl w:val="true"/>
          <w:lang w:bidi="fa-IR"/>
        </w:rPr>
        <w:t xml:space="preserve">، خلافاً لمن أجاز الشرط مطلقاً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ويسقط بالصلح على إسقاطه، لعموم أدلّته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يصح نقله بالصلح ؟ وجه، والأظهر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بإسقاطه بعد العقد، أو الالتزام بالعقد بعده؛ لأنّه حق مالي يصح إسقاطه كما يصح إبراؤه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بتصرّف أحدهما فيما انتقل إليه؛ لدلالته على الرضى ظاهراً، وللضرار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 التصرّف ليس للرضى بل لغرض آخر أو لا لغرض،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أيضاً بشراء مَنْ ينعتق عليه؛ لتقديم جانب الحُرّيّة، والحُرّ لا يعود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بقاؤه، ويكون العتق كالتلف، فيعود عليه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عوده رقاً مطلقاً أو فيما إذا فسخ البائع،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التفرّق وعدمه، كان القولُ قول منكره؛ لأصالة عدمه، طال الزمان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 مع طول الزمان يغلب جانب الظاهر فيكون القول قول مدعيه احتمال لا عبرة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اتفقا على عدم التفرق وادعى أحدهما الفسخ بسبب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 شيء لا يعلم إلا من قبله فيُقبل قول مدعيه فيه،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وقوع التفرّق والفسخ واختلفا في تقدَّم الفسخ عليه وتأخره، احتمل التعارض فيكونان كالمتداعيين، واحتمل تقديم مدعي التفرّق قبله؛ لأصالة لزوم البيع، واحتمل تقديم قول مدعي الفسخ؛ لأصالة صحّة وقوع لفظه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جهل تأريخهما، وإلا فتقديم ما تقدَّم هو الأوجه</w:t>
      </w:r>
      <w:r>
        <w:rPr>
          <w:rFonts w:eastAsia="Amiri" w:cs="Amiri" w:ascii="Amiri" w:hAnsi="Amiri"/>
          <w:color w:val="111111"/>
          <w:sz w:val="28"/>
          <w:szCs w:val="28"/>
          <w:rtl w:val="true"/>
          <w:lang w:bidi="ar-SA"/>
        </w:rPr>
        <w:t xml:space="preserve">. </w:t>
      </w:r>
      <w:bookmarkStart w:id="364" w:name="pg19000_245425"/>
    </w:p>
    <w:p>
      <w:pPr>
        <w:pStyle w:val="Heading5"/>
        <w:numPr>
          <w:ilvl w:val="4"/>
          <w:numId w:val="1"/>
        </w:numPr>
        <w:rPr/>
      </w:pPr>
      <w:bookmarkStart w:id="365" w:name="__RefHeading___Toc13372382_1280447820"/>
      <w:bookmarkStart w:id="366" w:name="_Toc137"/>
      <w:bookmarkEnd w:id="364"/>
      <w:bookmarkEnd w:id="365"/>
      <w:r>
        <w:rPr>
          <w:rtl w:val="true"/>
        </w:rPr>
        <w:t>ثانيها</w:t>
      </w:r>
      <w:r>
        <w:rPr>
          <w:rtl w:val="true"/>
        </w:rPr>
        <w:t xml:space="preserve">: </w:t>
      </w:r>
      <w:r>
        <w:rPr>
          <w:rtl w:val="true"/>
        </w:rPr>
        <w:t>خيار الحيوان وما يتعلق به</w:t>
      </w:r>
      <w:bookmarkEnd w:id="36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صغيراً أو كبيراً، كلاً لا بعضاً معيناً، حياً لا ميتاً، والظاهر أن البعض المشاع حكمه حكم الكلّ، ثلاثة أيام تدخل فيها الليلتان إن لم تنكسر، والثلاثة إن انكسرت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احتساب المكسور يوماً، أو عدم احتسابه، أو احتسابه إذا قلّ كسره لا إذا كثر، أو احتسابه ملفقاً من اليوم الرابع، وجوه، أقواها الأخير؛ لأنّ المفهوم عرفاً من المحدود إذا انكسر ذلك، ومن المستبعد لزوم العقد في المنكسر وجوازه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الليل يقضي به ظاهر الخطاب على وجه الحقيقة لهذا التركيب عرفاً، أو المجاز، وفهم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ومبدؤها من حين العقد، خلافاً لمن جعله انقضاء خيار المجلس </w:t>
      </w:r>
      <w:r>
        <w:rPr>
          <w:rStyle w:val="FootnoteAnchor"/>
          <w:rtl w:val="true"/>
        </w:rPr>
        <w:footnoteReference w:id="1005"/>
      </w:r>
      <w:r>
        <w:rPr>
          <w:rFonts w:ascii="IRNazanin" w:hAnsi="IRNazanin" w:eastAsia="IRNazanin"/>
          <w:color w:val="111111"/>
          <w:sz w:val="28"/>
          <w:sz w:val="28"/>
          <w:szCs w:val="28"/>
          <w:rtl w:val="true"/>
          <w:lang w:bidi="fa-IR"/>
        </w:rPr>
        <w:t>، حذراً من اجتماع العلل والأمثال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 في نفسه، ومخالف لظاهر النصوص والفتاوى الظاهرة في أن المبدأ من حين تمام العقد، على أنّه يلزم سقوط هذا الخيار بامتداد الاجتماع إلى ثلاثة أيام، وهو بعيد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المبيع حيواناً وغيره، يثبت الخيار فيه دون غيره، وكان للبائع الفسخ عند فسخ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ثابت للمشتري فقط؛ للأصل والنصوص الظاهرة في ذلك، المقيدة له بالمشتري في مقابلة خيار المجلس الشامل لهما، كما في جملةٍ منها </w:t>
      </w:r>
      <w:r>
        <w:rPr>
          <w:rStyle w:val="FootnoteAnchor"/>
          <w:rtl w:val="true"/>
        </w:rPr>
        <w:footnoteReference w:id="1006"/>
      </w:r>
      <w:r>
        <w:rPr>
          <w:rFonts w:ascii="Amiri" w:hAnsi="Amiri" w:eastAsia="Amiri" w:cs="Amiri"/>
          <w:color w:val="111111"/>
          <w:sz w:val="28"/>
          <w:sz w:val="28"/>
          <w:szCs w:val="28"/>
          <w:rtl w:val="true"/>
          <w:lang w:bidi="ar-SA"/>
        </w:rPr>
        <w:t xml:space="preserve">، والمعبّرة عنه بصاحب الحيوان </w:t>
      </w:r>
      <w:r>
        <w:rPr>
          <w:rStyle w:val="FootnoteAnchor"/>
          <w:rtl w:val="true"/>
        </w:rPr>
        <w:footnoteReference w:id="1007"/>
      </w:r>
      <w:r>
        <w:rPr>
          <w:rFonts w:ascii="Amiri" w:hAnsi="Amiri" w:eastAsia="Amiri" w:cs="Amiri"/>
          <w:color w:val="111111"/>
          <w:sz w:val="28"/>
          <w:sz w:val="28"/>
          <w:szCs w:val="28"/>
          <w:rtl w:val="true"/>
          <w:lang w:bidi="ar-SA"/>
        </w:rPr>
        <w:t>الظاهر فيمن انتقل إليه بنفس اللفظ، أو بمعونة تقيده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أُخرى </w:t>
      </w:r>
      <w:r>
        <w:rPr>
          <w:rStyle w:val="FootnoteAnchor"/>
          <w:rtl w:val="true"/>
        </w:rPr>
        <w:footnoteReference w:id="1008"/>
      </w:r>
      <w:r>
        <w:rPr>
          <w:rFonts w:ascii="Amiri" w:hAnsi="Amiri" w:eastAsia="Amiri" w:cs="Amiri"/>
          <w:color w:val="111111"/>
          <w:sz w:val="28"/>
          <w:sz w:val="28"/>
          <w:szCs w:val="28"/>
          <w:rtl w:val="true"/>
          <w:lang w:bidi="ar-SA"/>
        </w:rPr>
        <w:t xml:space="preserve">، والحاكمة بأنّ ضمان الحيوان على البائع في الثلاثة، ومن المعلوم أنّ الضمان على مَنْ لا خيار له، كما في جملةٍ ثالثة </w:t>
      </w:r>
      <w:r>
        <w:rPr>
          <w:rStyle w:val="FootnoteAnchor"/>
          <w:rtl w:val="true"/>
        </w:rPr>
        <w:footnoteReference w:id="1009"/>
      </w:r>
      <w:r>
        <w:rPr>
          <w:rFonts w:ascii="Amiri" w:hAnsi="Amiri" w:eastAsia="Amiri" w:cs="Amiri"/>
          <w:color w:val="111111"/>
          <w:sz w:val="28"/>
          <w:sz w:val="28"/>
          <w:szCs w:val="28"/>
          <w:rtl w:val="true"/>
          <w:lang w:bidi="ar-SA"/>
        </w:rPr>
        <w:t>، مضافاً إلى خصوص ما ورد في الجواب بعد السؤال عمّن له الخيار من البائع أو المشتري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لمن اشترى نظرة ثلاثة أيام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وإلى خصوص فتوى المشهور والإجماع المنقول </w:t>
      </w:r>
      <w:r>
        <w:rPr>
          <w:rStyle w:val="FootnoteAnchor"/>
          <w:rtl w:val="true"/>
        </w:rPr>
        <w:footnoteReference w:id="1011"/>
      </w:r>
      <w:r>
        <w:rPr>
          <w:rFonts w:ascii="Amiri" w:hAnsi="Amiri" w:eastAsia="Amiri" w:cs="Amiri"/>
          <w:color w:val="111111"/>
          <w:sz w:val="28"/>
          <w:sz w:val="28"/>
          <w:szCs w:val="28"/>
          <w:rtl w:val="true"/>
          <w:lang w:bidi="ar-SA"/>
        </w:rPr>
        <w:t xml:space="preserve">، فتسوية المرتضى بين البائع </w:t>
      </w:r>
    </w:p>
    <w:p>
      <w:pPr>
        <w:pStyle w:val="BookText"/>
        <w:rPr/>
      </w:pPr>
      <w:r>
        <w:rPr>
          <w:rFonts w:ascii="Amiri" w:hAnsi="Amiri" w:eastAsia="Amiri" w:cs="Amiri"/>
          <w:color w:val="111111"/>
          <w:sz w:val="28"/>
          <w:sz w:val="28"/>
          <w:szCs w:val="28"/>
          <w:rtl w:val="true"/>
          <w:lang w:bidi="ar-SA"/>
        </w:rPr>
        <w:t xml:space="preserve">والمشتري في ثبوت الخيار </w:t>
      </w:r>
      <w:r>
        <w:rPr>
          <w:rStyle w:val="FootnoteAnchor"/>
          <w:rtl w:val="true"/>
        </w:rPr>
        <w:footnoteReference w:id="1012"/>
      </w:r>
      <w:r>
        <w:rPr>
          <w:rFonts w:ascii="Amiri" w:hAnsi="Amiri" w:eastAsia="Amiri" w:cs="Amiri"/>
          <w:color w:val="111111"/>
          <w:sz w:val="28"/>
          <w:sz w:val="28"/>
          <w:szCs w:val="28"/>
          <w:rtl w:val="true"/>
          <w:lang w:bidi="ar-SA"/>
        </w:rPr>
        <w:t xml:space="preserve">استناداً إلى ضعيف من الأخبار </w:t>
      </w:r>
      <w:r>
        <w:rPr>
          <w:rStyle w:val="FootnoteAnchor"/>
          <w:rtl w:val="true"/>
        </w:rPr>
        <w:footnoteReference w:id="1013"/>
      </w:r>
      <w:r>
        <w:rPr>
          <w:rFonts w:ascii="Amiri" w:hAnsi="Amiri" w:eastAsia="Amiri" w:cs="Amiri"/>
          <w:color w:val="111111"/>
          <w:sz w:val="28"/>
          <w:sz w:val="28"/>
          <w:szCs w:val="28"/>
          <w:rtl w:val="true"/>
          <w:lang w:bidi="ar-SA"/>
        </w:rPr>
        <w:t>عن مقاومة تلك الأخبار المؤيدة بالانجبار ضعيفة جداً، وخبره مطرح أو مؤوّل بإرادة ثبوت الحكم للمجموع باعتبار ثبوته 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ما إذا كان البيع لحيوان بحيوان؛ جمعاً بين الأخبار، وقضاء لحق حكمة الخيار من خفاء عيبه على من انتقل إليه، بعيد أيضاً؛ لأن الجمع فرع المقاومة، وليس فليس، على أن ثبوت الخيار للبائع للحيوان بحيوان إن كان من جهة ما انتقل منه فلا دليل عليه، ولا يجري فيه دليل الحكمة، وإن كان من جهة ما انتقل إليه فله وجه، إلا أنّه لا يخص بائع الحيوان بالحيوان أوّلاً بل لو باع دراهم بحيوان لكان كذلك، ولا دليل عليه يعارض ما قدمناه ثانياً؛ إذ العلة مستنبطة وليست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ذكر المشتري في الأخبار وارد مورد الغالب، وإلا فالمراد به ما انتقل إليه المعبر عنه بصاحب الحيوان في جملة من الأخبار </w:t>
      </w:r>
      <w:r>
        <w:rPr>
          <w:rStyle w:val="FootnoteAnchor"/>
          <w:rtl w:val="true"/>
        </w:rPr>
        <w:footnoteReference w:id="1014"/>
      </w:r>
      <w:r>
        <w:rPr>
          <w:rFonts w:ascii="Amiri" w:hAnsi="Amiri" w:eastAsia="Amiri" w:cs="Amiri"/>
          <w:color w:val="111111"/>
          <w:sz w:val="28"/>
          <w:sz w:val="28"/>
          <w:szCs w:val="28"/>
          <w:rtl w:val="true"/>
          <w:lang w:bidi="ar-SA"/>
        </w:rPr>
        <w:t>، أو أنّه ذكر من باب المثال، دعوى غير مسموعةٍ في مقابلة التنصيص عليه في النصّ والفتوى، سيّما بعد ذكر صاحب الحيوان الذي يراد به صاحبه المنتقل إليه، على أنّه يكفي في نفي الخيار الشكّ في تعلقه به؛ لأصالة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تبادلا حيواناً بحيوان بحيث لم يتميّز البائع من المشتري، احتمل تعلّق الخيار بهما؛ لأنّ كلاً منهما بائع ومشتري واحتمل نفيه؛ للشك في تعلقه، واحتمل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باشتراط سقوطه في متن العقد أو قبله متصلاً به من البائع أو بعده متصلاً به من المشتري ؛ لعموم أدلّة الشروط </w:t>
      </w:r>
      <w:r>
        <w:rPr>
          <w:rStyle w:val="FootnoteAnchor"/>
          <w:rtl w:val="true"/>
        </w:rPr>
        <w:footnoteReference w:id="1015"/>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أنّه منافٍ لمقتضى العقد ضعيفة؛ لأنّه منافٍ للعقد المطلق لا المشروط، على أن الخيار من أحكام العقد المطلق لا من مقتضياته، فهو من الحقوق المشروع إسقاطها بالأسباب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بإسقاطه بعد العقد، وبالصلح على إسقاطه، لا على انتقاله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ما يدلّ على أن الالتزام به والرضى مسقط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367" w:name="pg19000_245427"/>
    </w:p>
    <w:p>
      <w:pPr>
        <w:pStyle w:val="BookText"/>
        <w:rPr/>
      </w:pPr>
      <w:bookmarkEnd w:id="367"/>
      <w:r>
        <w:rPr>
          <w:rFonts w:ascii="Amiri" w:hAnsi="Amiri" w:eastAsia="Amiri" w:cs="Amiri"/>
          <w:color w:val="111111"/>
          <w:sz w:val="28"/>
          <w:sz w:val="28"/>
          <w:szCs w:val="28"/>
          <w:rtl w:val="true"/>
          <w:lang w:bidi="ar-SA"/>
        </w:rPr>
        <w:t>ويصح اشتراط إسقاطه في بعض الزمان دون بعض، وكذا إسقاطه والالتزام به على إشكال في تبعيض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بتصرّف المشتري فيه، أو إحداث حدث من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 أو لا، مغيّر للحيوان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 أو لا، لازم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تسميته حدثاً وتصرفاً؛ للنص </w:t>
      </w:r>
      <w:r>
        <w:rPr>
          <w:rStyle w:val="FootnoteAnchor"/>
          <w:rtl w:val="true"/>
        </w:rPr>
        <w:footnoteReference w:id="1017"/>
      </w:r>
      <w:r>
        <w:rPr>
          <w:rFonts w:ascii="Amiri" w:hAnsi="Amiri" w:eastAsia="Amiri" w:cs="Amiri"/>
          <w:color w:val="111111"/>
          <w:sz w:val="28"/>
          <w:sz w:val="28"/>
          <w:szCs w:val="28"/>
          <w:rtl w:val="true"/>
          <w:lang w:bidi="ar-SA"/>
        </w:rPr>
        <w:t>والفتوى المعلقين السقوط على الحدث، فالمدار على ما يُسمّى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خصوصية لحدث دون آخر وإن ورد في بعض النصوص </w:t>
      </w:r>
      <w:r>
        <w:rPr>
          <w:rStyle w:val="FootnoteAnchor"/>
          <w:rtl w:val="true"/>
        </w:rPr>
        <w:footnoteReference w:id="1018"/>
      </w:r>
      <w:r>
        <w:rPr>
          <w:rFonts w:ascii="Amiri" w:hAnsi="Amiri" w:eastAsia="Amiri" w:cs="Amiri"/>
          <w:color w:val="111111"/>
          <w:sz w:val="28"/>
          <w:sz w:val="28"/>
          <w:szCs w:val="28"/>
          <w:rtl w:val="true"/>
          <w:lang w:bidi="ar-SA"/>
        </w:rPr>
        <w:t>ذكر بعض دون بعض، فذكر بعض الخصوصيات في الأخبار من قبيل المثال، فلا يقيد ما ورد من سقوط الخيار بالحدث مطلقاً؛ لأنّ المفهوم منها بعد ضم بعض إلى بعض والذي فهمه الأصحاب وأفتوا به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منه عرفاً هو التصرف في المبيع تصرفاً نافذاً بقول أو فعل، فلا تُعد الوصية والهبة قبل القبض منه، ولا يُعدّ اللمس والقُبلة للغلام منه، ولا تُعدّ المحاورة والخطاب منه، ولا يُعد الانتفاع بالضياء والاستظلال بالحائط منه، وإن عد النظر إلى الجارية واللمس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إسقاطه تعبّدي؛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رضى منه</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بحمله على إرادة أنّه بمنزلته، أو لكشفه عن الرضى بحمله على إرادة التعليل؛ اقتصاراً على مورد اليقين، فعلى ذلك فلو علم أن تصرفه للاختبار أو بلا قصد، لم يكن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إشعار به حيث أمر برد الشاة مع الأمداد إذا شرب لبنها </w:t>
      </w:r>
      <w:r>
        <w:rPr>
          <w:rStyle w:val="FootnoteAnchor"/>
          <w:rtl w:val="true"/>
        </w:rPr>
        <w:footnoteReference w:id="1020"/>
      </w:r>
      <w:r>
        <w:rPr>
          <w:rFonts w:ascii="Amiri" w:hAnsi="Amiri" w:eastAsia="Amiri" w:cs="Amiri"/>
          <w:color w:val="111111"/>
          <w:sz w:val="28"/>
          <w:sz w:val="28"/>
          <w:szCs w:val="28"/>
          <w:rtl w:val="true"/>
          <w:lang w:bidi="ar-SA"/>
        </w:rPr>
        <w:t>، 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بالإكراه، أو التصرّف لضرورة التعيش، أو التصرّف لكونه مالكاً سابقاً كالمستأجر لا يفيد سقوطاً على الأظهر؛ لعدم تبادره من النص</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3372384_1280447820"/>
      <w:bookmarkStart w:id="369" w:name="_Toc138"/>
      <w:bookmarkEnd w:id="368"/>
      <w:r>
        <w:rPr>
          <w:rtl w:val="true"/>
        </w:rPr>
        <w:t>ثالثها</w:t>
      </w:r>
      <w:r>
        <w:rPr>
          <w:rtl w:val="true"/>
        </w:rPr>
        <w:t xml:space="preserve">: </w:t>
      </w:r>
      <w:r>
        <w:rPr>
          <w:rtl w:val="true"/>
        </w:rPr>
        <w:t>خيار الشرط وما يتعلق به</w:t>
      </w:r>
      <w:bookmarkEnd w:id="36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الثابت به لا الثابت بفواته، وهو بحسب ما يشترط لهما أو لأحدهما أو لأجنبي عنهما، أو لهما ولأجنبي أو لأحدهما ولأجنبي، سواء كان الأجنبي عنهما أو عن </w:t>
      </w:r>
    </w:p>
    <w:p>
      <w:pPr>
        <w:pStyle w:val="BookText"/>
        <w:rPr/>
      </w:pPr>
      <w:r>
        <w:rPr>
          <w:rFonts w:ascii="Amiri" w:hAnsi="Amiri" w:eastAsia="Amiri" w:cs="Amiri"/>
          <w:color w:val="111111"/>
          <w:sz w:val="28"/>
          <w:sz w:val="28"/>
          <w:szCs w:val="28"/>
          <w:rtl w:val="true"/>
          <w:lang w:bidi="ar-SA"/>
        </w:rPr>
        <w:t xml:space="preserve">أحدهما، كلّ ذلك لعموم النصّ في العقود والشروط </w:t>
      </w:r>
      <w:r>
        <w:rPr>
          <w:rStyle w:val="FootnoteAnchor"/>
          <w:rtl w:val="true"/>
        </w:rPr>
        <w:footnoteReference w:id="1021"/>
      </w:r>
      <w:r>
        <w:rPr>
          <w:rFonts w:ascii="Amiri" w:hAnsi="Amiri" w:eastAsia="Amiri" w:cs="Amiri"/>
          <w:color w:val="111111"/>
          <w:sz w:val="28"/>
          <w:sz w:val="28"/>
          <w:szCs w:val="28"/>
          <w:rtl w:val="true"/>
          <w:lang w:bidi="ar-SA"/>
        </w:rPr>
        <w:t xml:space="preserve">وللفتوى والإجماع بقسميه </w:t>
      </w:r>
      <w:r>
        <w:rPr>
          <w:rStyle w:val="FootnoteAnchor"/>
          <w:rtl w:val="true"/>
        </w:rPr>
        <w:footnoteReference w:id="1022"/>
      </w:r>
      <w:r>
        <w:rPr>
          <w:rFonts w:ascii="Amiri" w:hAnsi="Amiri" w:eastAsia="Amiri" w:cs="Amiri"/>
          <w:color w:val="111111"/>
          <w:sz w:val="28"/>
          <w:sz w:val="28"/>
          <w:szCs w:val="28"/>
          <w:rtl w:val="true"/>
          <w:lang w:bidi="ar-SA"/>
        </w:rPr>
        <w:t xml:space="preserve">على الظاهر، والأخبار الخاصة </w:t>
      </w:r>
      <w:r>
        <w:rPr>
          <w:rStyle w:val="FootnoteAnchor"/>
          <w:rtl w:val="true"/>
        </w:rPr>
        <w:footnoteReference w:id="1023"/>
      </w:r>
      <w:r>
        <w:rPr>
          <w:rFonts w:ascii="Amiri" w:hAnsi="Amiri" w:eastAsia="Amiri" w:cs="Amiri"/>
          <w:color w:val="111111"/>
          <w:sz w:val="28"/>
          <w:sz w:val="28"/>
          <w:szCs w:val="28"/>
          <w:rtl w:val="true"/>
          <w:lang w:bidi="ar-SA"/>
        </w:rPr>
        <w:t>الواردة في اشتراط الفسخ على المشتري عند ردّ الثمن بزمن معين، فإنّها بضميمة تنقيح المناط وعدم القول بالفصل وفهم الفقهاء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اشتراط للخيار من البائع، لا اشتراط للفسخ على المشتري فيلزمه خيار البائع عند عدم الوفاء بالشرط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بعموم أدلة الشروط </w:t>
      </w:r>
      <w:r>
        <w:rPr>
          <w:rStyle w:val="FootnoteAnchor"/>
          <w:rtl w:val="true"/>
        </w:rPr>
        <w:footnoteReference w:id="1024"/>
      </w:r>
      <w:r>
        <w:rPr>
          <w:rFonts w:ascii="Amiri" w:hAnsi="Amiri" w:eastAsia="Amiri" w:cs="Amiri"/>
          <w:color w:val="111111"/>
          <w:sz w:val="28"/>
          <w:sz w:val="28"/>
          <w:szCs w:val="28"/>
          <w:rtl w:val="true"/>
          <w:lang w:bidi="ar-SA"/>
        </w:rPr>
        <w:t>وشمولها لاشتراط الخيار؛ لأنّه منافٍ لمقتضى العقد من اللزوم ويحلّل حراماً غير مسموعةٍ بعد فتوى الأصحاب، وانصراف المحرم والمحلل لغير ما في الباب من المحرمات الأصلية المذكورة في الكتب الفقهية، ومنع منافاة الخيار للعقد مطلقاً لمشروعية الإقالة فيه وهي شبيهة له أو قريبة إليه، أو منع منافاته لمطلق العقد حتّى للمشروط، فلا 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وقوع الشرط بين الإيجاب والقبول، أو متقدّماً أو متأخراً على وجه الاتصال والبناء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اشتراط الخيار في كلّ من العوضين وفي أحدهما وفي بعض منهما؛ لعموم الأدلّة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ويصح اشتراطه في زمن موصول بالعقد ومفصول عنه طويل أو قصير، أو مفصول وموصول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الاجتماع في اشتراط الخيار بالنسبة إلى المتعاقدين والأجنبي، واشتراط الافتراق، ولو ضربت صور اشتراط الخيار بالنسبة إلى الأشخاص والأحوال والأزمنة والأوصاف والكلّ والبعض لانتهت إلى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اقترانه بمدةٍ مجهولة، أو تعليقه بوصف غير منضبط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يصح إطلاق الاشتراط فيه ؟ فينصرف إلى الثلاثة بحكم الشرع؛ للإجماع المنقول</w:t>
      </w:r>
      <w:r>
        <w:rPr>
          <w:rStyle w:val="FootnoteAnchor"/>
          <w:rtl w:val="true"/>
        </w:rPr>
        <w:footnoteReference w:id="1026"/>
      </w:r>
      <w:r>
        <w:rPr>
          <w:rFonts w:ascii="Amiri" w:hAnsi="Amiri" w:eastAsia="Amiri" w:cs="Amiri"/>
          <w:color w:val="111111"/>
          <w:sz w:val="28"/>
          <w:sz w:val="28"/>
          <w:szCs w:val="28"/>
          <w:rtl w:val="true"/>
          <w:lang w:bidi="ar-SA"/>
        </w:rPr>
        <w:t xml:space="preserve">، والشهرة المحكية من القدماء </w:t>
      </w:r>
      <w:r>
        <w:rPr>
          <w:rStyle w:val="FootnoteAnchor"/>
          <w:rtl w:val="true"/>
        </w:rPr>
        <w:footnoteReference w:id="1027"/>
      </w:r>
      <w:r>
        <w:rPr>
          <w:rFonts w:ascii="Amiri" w:hAnsi="Amiri" w:eastAsia="Amiri" w:cs="Amiri"/>
          <w:color w:val="111111"/>
          <w:sz w:val="28"/>
          <w:sz w:val="28"/>
          <w:szCs w:val="28"/>
          <w:rtl w:val="true"/>
          <w:lang w:bidi="ar-SA"/>
        </w:rPr>
        <w:t xml:space="preserve">، وبعض الروايات المرسلة في الخلاف </w:t>
      </w:r>
      <w:r>
        <w:rPr>
          <w:rStyle w:val="FootnoteAnchor"/>
          <w:rtl w:val="true"/>
        </w:rPr>
        <w:footnoteReference w:id="1028"/>
      </w:r>
      <w:r>
        <w:rPr>
          <w:rFonts w:ascii="Amiri" w:hAnsi="Amiri" w:eastAsia="Amiri" w:cs="Amiri"/>
          <w:color w:val="111111"/>
          <w:sz w:val="28"/>
          <w:sz w:val="28"/>
          <w:szCs w:val="28"/>
          <w:rtl w:val="true"/>
          <w:lang w:bidi="ar-SA"/>
        </w:rPr>
        <w:t xml:space="preserve">، ومفهوم الصحيح </w:t>
      </w:r>
    </w:p>
    <w:p>
      <w:pPr>
        <w:pStyle w:val="BookText"/>
        <w:rPr/>
      </w:pPr>
      <w:r>
        <w:rPr>
          <w:rFonts w:ascii="Amiri" w:hAnsi="Amiri" w:eastAsia="Amiri" w:cs="Amiri"/>
          <w:color w:val="111111"/>
          <w:sz w:val="28"/>
          <w:sz w:val="28"/>
          <w:szCs w:val="28"/>
          <w:rtl w:val="true"/>
          <w:lang w:bidi="ar-SA"/>
        </w:rPr>
        <w:t xml:space="preserve">الوارد في خيار الحيوان </w:t>
      </w:r>
      <w:r>
        <w:rPr>
          <w:rStyle w:val="FootnoteAnchor"/>
          <w:rtl w:val="true"/>
        </w:rPr>
        <w:footnoteReference w:id="1029"/>
      </w:r>
      <w:r>
        <w:rPr>
          <w:rFonts w:ascii="Amiri" w:hAnsi="Amiri" w:eastAsia="Amiri" w:cs="Amiri"/>
          <w:color w:val="111111"/>
          <w:sz w:val="28"/>
          <w:sz w:val="28"/>
          <w:szCs w:val="28"/>
          <w:rtl w:val="true"/>
          <w:lang w:bidi="ar-SA"/>
        </w:rPr>
        <w:t xml:space="preserve">على ما قيل </w:t>
      </w:r>
      <w:r>
        <w:rPr>
          <w:rStyle w:val="FootnoteAnchor"/>
          <w:rtl w:val="true"/>
        </w:rPr>
        <w:footnoteReference w:id="1030"/>
      </w:r>
      <w:r>
        <w:rPr>
          <w:rFonts w:ascii="Amiri" w:hAnsi="Amiri" w:eastAsia="Amiri" w:cs="Amiri"/>
          <w:color w:val="111111"/>
          <w:sz w:val="28"/>
          <w:sz w:val="28"/>
          <w:szCs w:val="28"/>
          <w:rtl w:val="true"/>
          <w:lang w:bidi="ar-SA"/>
        </w:rPr>
        <w:t xml:space="preserve">، أو ينصرف إلى الثلاثة بحكم العرف، والشرع كاشف عن ذلك، أو يفسد؛ لأدلة الغرر </w:t>
      </w:r>
      <w:r>
        <w:rPr>
          <w:rStyle w:val="FootnoteAnchor"/>
          <w:rtl w:val="true"/>
        </w:rPr>
        <w:footnoteReference w:id="1031"/>
      </w:r>
      <w:r>
        <w:rPr>
          <w:rFonts w:ascii="Amiri" w:hAnsi="Amiri" w:eastAsia="Amiri" w:cs="Amiri"/>
          <w:color w:val="111111"/>
          <w:sz w:val="28"/>
          <w:sz w:val="28"/>
          <w:szCs w:val="28"/>
          <w:rtl w:val="true"/>
          <w:lang w:bidi="ar-SA"/>
        </w:rPr>
        <w:t>، وشهرة المتأخرين، وضعف الأدلّة المتقدّمة سنداً في الأوَّل، ودلالةً في الأخير ؟ وهذا الأخير أقوى، وتُنزّل الأخبار والإجماعات على إرادة ظهور الثلاث من الإطلاق عرفاً زمن الصدور وزمن نقل الإجماع وفتواهم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اشتراط الخيار منهما أو من أحدهما للأجنبي توكيل منهما، فينحل الشرط له إلى كون الخيار لمشترطه، والوكيل على الفسخ هو الأجنبي، فعلى ذلك يصح اجتماع المشترط مع الأجنبي في الخيار، وينعزل الأجنبي بما ينعزل به الوكيل، ويلزم عليه مراعاة المصلحة، أو تمليك له، فلا يشاركه المشترط، ولا يصح عزله، ولا ينعزل بما ينعزل به الوكيل، وترثه ورثته، ويصح الصلح على إسقاطه ولا يلزم عليه مراعاة المصلحة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توكيل ولا تمليك؛ لما يظهر من مطاوي كلمات الفقهاء أنّه لا تجري عليه جميع أحكام الوكالة ولا أحكام التمليك، بل هو تحكيم له من المشترط، فلا يصح عزله، ولا ينعزل، ولا يجب فيه القبول منه، ولا يصح الصلح عليه، ولا يورث، إلى غير ذلك مما هو المتيقن من ثبوته ونفي تلك اللوازم، ولو ردّ الأجنبي الشرط لم ينفسخ الشرط، وجازت له المباشرة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تعينهما لأجنبي، فلا يجوز جعله لواحدٍ مردّد، ولا لواحد من أهل البلد، أو عقلائهم، أو غير ذلك؛ للزوم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فهل يختصّ تحكيمه بمشيئته الفسخ فقط فليس له الالتزام، أو يعتهما حتى لو التزم لم يمكنه الفسخ بعد ذلك ؟ وجهان، وظاهر اشتراط الخيار الأخير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اشتراط المؤامرة، وهي الرجوع لأمر مَنْ شاؤوا من المتعاقدين أو أجنبي أو أحدهما معه أو كلاهما كذلك، مجتمعين أو متفرقين أو مختلفين في الكل أو البعض إلى غير ذلك من الصور؛ لعموم الشروط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عليه اعتماد المصلحة في الأمر لشبهه بالتوكيل ؟ الظاهر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إطلاق الرجوع لأمره شامل لما إذا أمر بالالتزام، أو يخص ما إذا أمر بالفسخ فقط ؟ والظاهر أنّه لا يتوقف الالتزام على الرجوع لأمره، بل يتوقف الفسخ فقط، ولا يجوز للمأمور الاستبداد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 الفسخ عند الأمر به، إلا بعد اشتراط الفسخ عند د الأمر، وأما لو اشترط الخيار عند أمره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بما فيه مفسدة لم يسمع أمره، ولا تجوز متابعته إلا مع التصريح بالمتابعة حتّى مع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تعيين المدة وضبطها، كما مر في الخيار المشترط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الأمر مثال، فيشمل الإباحة والإذن والمشورة، بل كلّ وصف وحال من أحوال المتعاقدين أو غيرهما إذا قيد بها الخيار في مدة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جميعها ترك ذكر ما يوهم التعليق،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بل يؤتى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ضاهاها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الفسخ عند الأمر فوراً، بل لو تأخر ثمّ فسخ جاز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تفاوت في جواز الفسخ بين ابتداء الأمر، وبين كونه بعد الاستثمار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المستأمرون، فإن شرط الاجتماع لم يجز الفسخ حتّى يجتمعوا، ولو لم يشترط ذلك فأمر أحدهما دون الآخر، اتبع الأمر بالفسخ ولو أمر الباقون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جواز جعل الاستثمار لأحد الشخصين أو لواحدٍ من قرية، أو من العقلاء أو غير ذلك؛ لعدم الغرر فيه، بخلاف شرط الخيار فإنّه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المؤامرة في غير البيع من العقود على الأظهر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يشترط البائع ردّ المبيع في مدةٍ معينة يردّ فيها الثمن؛ للإجماع والأخبار </w:t>
      </w:r>
      <w:r>
        <w:rPr>
          <w:rStyle w:val="FootnoteAnchor"/>
          <w:rtl w:val="true"/>
        </w:rPr>
        <w:footnoteReference w:id="1033"/>
      </w:r>
      <w:r>
        <w:rPr>
          <w:rFonts w:ascii="Amiri" w:hAnsi="Amiri" w:eastAsia="Amiri" w:cs="Amiri"/>
          <w:color w:val="111111"/>
          <w:sz w:val="28"/>
          <w:sz w:val="28"/>
          <w:szCs w:val="28"/>
          <w:rtl w:val="true"/>
          <w:lang w:bidi="ar-SA"/>
        </w:rPr>
        <w:t>وعموم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ويلحق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وتنقيح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المشتري رد الثمن عند ردّ المبيع، من غير تفاوت فيهما بين ردّ الكلّ بالكلّ أو البعض بالبعض أو الاختلاف، ولكن مع ضبط المدة في الجميع خوفاً من حصول الضرر، سواء كانت مفصولةً أو موصولة، أو مفصولةً وموصولة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إطلاق مدة الرد بإطلاق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تقييد الخيار بعد الردّ شهراً أو نحوه في ضمن تلك السنة، ولا يجوز تقييد مدة الرد وإطلاق مدة الخيار بعدها؛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اشتراط ردّ المبيع بردّ عين الثمن، أو برد ثمن آخر لمبيع آخر أو برد ثمن مبيع الغير ونحو ذلك مع ضبط المدة ؟ وجهان، أوجههما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إذا اشترط ذلك بوصفٍ آخر أو حالٍ آخر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تبنى المسألة على أن اشتراط الردّ بالردّ هل هو على وفق قواعد الشروط وعموماتها فيعم سائر الصور، وذكر الفقهاء للأوّل بخصوصه؛ لأنّه مورد الأخبار، أو أنّه جاء به الدليل بخصوصه، لكونه تعليقاً للخيار أو ما يشبه التعليق فيقتصر فيه على مورد اليقين، أو يفرّق بين تقييده بأداة التعليق فلا يوافق القواعد، وبين تقييده بظرف ونحوه فيوافق ؟ ولا يبعد ترجيح الوجه الأخير من هذه الوجوه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الرواية </w:t>
      </w:r>
      <w:r>
        <w:rPr>
          <w:rStyle w:val="FootnoteAnchor"/>
          <w:rtl w:val="true"/>
        </w:rPr>
        <w:footnoteReference w:id="1034"/>
      </w:r>
      <w:r>
        <w:rPr>
          <w:rFonts w:ascii="Amiri" w:hAnsi="Amiri" w:eastAsia="Amiri" w:cs="Amiri"/>
          <w:color w:val="111111"/>
          <w:sz w:val="28"/>
          <w:sz w:val="28"/>
          <w:szCs w:val="28"/>
          <w:rtl w:val="true"/>
          <w:lang w:bidi="ar-SA"/>
        </w:rPr>
        <w:t xml:space="preserve">وجملة من الفتاوى </w:t>
      </w:r>
      <w:r>
        <w:rPr>
          <w:rStyle w:val="FootnoteAnchor"/>
          <w:rtl w:val="true"/>
        </w:rPr>
        <w:footnoteReference w:id="1035"/>
      </w:r>
      <w:r>
        <w:rPr>
          <w:rFonts w:ascii="Amiri" w:hAnsi="Amiri" w:eastAsia="Amiri" w:cs="Amiri"/>
          <w:color w:val="111111"/>
          <w:sz w:val="28"/>
          <w:sz w:val="28"/>
          <w:szCs w:val="28"/>
          <w:rtl w:val="true"/>
          <w:lang w:bidi="ar-SA"/>
        </w:rPr>
        <w:t xml:space="preserve">هو اشتراط الردّ عند الردّ، وظاهره أنّه اشتراط للغاية، فينفسخ البيع حينئذٍ بمجرد الردّ من دون احتياج إلى أمر، ولكن ظاهر جملة من الفقهاء </w:t>
      </w:r>
      <w:r>
        <w:rPr>
          <w:rStyle w:val="FootnoteAnchor"/>
          <w:rtl w:val="true"/>
        </w:rPr>
        <w:footnoteReference w:id="1036"/>
      </w:r>
      <w:r>
        <w:rPr>
          <w:rFonts w:ascii="Amiri" w:hAnsi="Amiri" w:eastAsia="Amiri" w:cs="Amiri"/>
          <w:color w:val="111111"/>
          <w:sz w:val="28"/>
          <w:sz w:val="28"/>
          <w:szCs w:val="28"/>
          <w:rtl w:val="true"/>
          <w:lang w:bidi="ar-SA"/>
        </w:rPr>
        <w:t>أنّ هذا نوع اشتراط للخيار، وأنّ التعبير بالرد في الأخبار تعبير باللازم؛ لتوقف الردّ على الانفساخ الموقوف على الفسخ الموقوف على ثبوت الخيار، أو أنّه بنفسه فسخ لدلالته عليه، ولا يحتاج الفسخ للفظ، والظاهر ذلك؛ لاستبعاد كون دفع الثمن بنفسه فاسخاً، وحينئذٍ فيثبت الخيار بعد الردّ، ويكون تلف المبيع ممن لا خيار له بعد ذلك، ولا يجب الفسخ فوراً على الأظهر</w:t>
      </w:r>
      <w:r>
        <w:rPr>
          <w:rFonts w:eastAsia="Amiri" w:cs="Amiri" w:ascii="Amiri" w:hAnsi="Amiri"/>
          <w:color w:val="111111"/>
          <w:sz w:val="28"/>
          <w:szCs w:val="28"/>
          <w:rtl w:val="true"/>
          <w:lang w:bidi="ar-SA"/>
        </w:rPr>
        <w:t xml:space="preserve">. </w:t>
      </w:r>
      <w:bookmarkStart w:id="370" w:name="pg19000_245432"/>
    </w:p>
    <w:p>
      <w:pPr>
        <w:pStyle w:val="BookText"/>
        <w:rPr/>
      </w:pPr>
      <w:bookmarkEnd w:id="370"/>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هذا كله لو وقع الاشتراط بلفظ الردّ عند الردّ، أما لو وقع بلفظ الخيار فلا شك في توقفه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هذا الخيار بالتصرّف قبل الرد؛ لعدم حصوله قبله كالتصرف في المؤامرة قبل الرجوع إلى الأمر على الأظهر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إطلاق اشتراط ردّ المبيع هو ردّ نفس العين لا مثلها ولا قيمتها، إلا إذا تلفت العين أو حال دونها حائل فإنّه ينتقل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ردّ الثمن المشروط به هو ردّ عينه أو مثله أو قيمته، سيّما لو كان من النقدين؛ لأنّ الظاهر بل المقطوع به هو التصرف به وإتلافه لمكان الحاجة إليه غالباً بل لو كان موجوداً لا يلزم رده بعينه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 عين الثمن نفسه أو مثله أو قيمته، اتبع الشرط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الثمن فوجد المشتري غائباً، قام مقامه الحاكم، وإلا فعدول المسلمين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مسقط لخيار الشرط والخيار الرد بعد الرد؛ للرواية الدالة على سقوط الشرط بإقامة الثوب في السوق للبيع وإن لم يبعه </w:t>
      </w:r>
      <w:r>
        <w:rPr>
          <w:rStyle w:val="FootnoteAnchor"/>
          <w:rtl w:val="true"/>
        </w:rPr>
        <w:footnoteReference w:id="1037"/>
      </w:r>
      <w:r>
        <w:rPr>
          <w:rFonts w:ascii="Amiri" w:hAnsi="Amiri" w:eastAsia="Amiri" w:cs="Amiri"/>
          <w:color w:val="111111"/>
          <w:sz w:val="28"/>
          <w:sz w:val="28"/>
          <w:szCs w:val="28"/>
          <w:rtl w:val="true"/>
          <w:lang w:bidi="ar-SA"/>
        </w:rPr>
        <w:t xml:space="preserve">، ولظاهر التعليل في الأخبار </w:t>
      </w:r>
      <w:r>
        <w:rPr>
          <w:rStyle w:val="FootnoteAnchor"/>
          <w:rtl w:val="true"/>
        </w:rPr>
        <w:footnoteReference w:id="1038"/>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039"/>
      </w:r>
      <w:r>
        <w:rPr>
          <w:rFonts w:ascii="IRNazanin" w:hAnsi="IRNazanin" w:eastAsia="IRNazanin"/>
          <w:color w:val="111111"/>
          <w:sz w:val="28"/>
          <w:sz w:val="28"/>
          <w:szCs w:val="28"/>
          <w:rtl w:val="true"/>
          <w:lang w:bidi="fa-IR"/>
        </w:rPr>
        <w:t>وفتوى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اشترط عدم سقوط خيار الشرط بالتصرف بل كلّ خيار، ففي صحّة ذلك الشرط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جريان خيار الشرط في سائر العقود حتّى الصرف والضمان، خلافاً لمن منعه فيهما </w:t>
      </w:r>
      <w:r>
        <w:rPr>
          <w:rStyle w:val="FootnoteAnchor"/>
          <w:rtl w:val="true"/>
        </w:rPr>
        <w:footnoteReference w:id="1040"/>
      </w:r>
      <w:r>
        <w:rPr>
          <w:rFonts w:ascii="Amiri" w:hAnsi="Amiri" w:eastAsia="Amiri" w:cs="Amiri"/>
          <w:color w:val="111111"/>
          <w:sz w:val="28"/>
          <w:sz w:val="28"/>
          <w:szCs w:val="28"/>
          <w:rtl w:val="true"/>
          <w:lang w:bidi="ar-SA"/>
        </w:rPr>
        <w:t>، إلا ما دلّ عليه الدليل كالنكاح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الإيقاعات فالأصل عدم الجريان إلا فيما دلّ الدليل عليه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3372386_1280447820"/>
      <w:bookmarkStart w:id="372" w:name="_Toc139"/>
      <w:bookmarkEnd w:id="371"/>
      <w:r>
        <w:rPr>
          <w:rtl w:val="true"/>
        </w:rPr>
        <w:t>رابعها</w:t>
      </w:r>
      <w:r>
        <w:rPr>
          <w:rtl w:val="true"/>
        </w:rPr>
        <w:t xml:space="preserve">: </w:t>
      </w:r>
      <w:r>
        <w:rPr>
          <w:rtl w:val="true"/>
        </w:rPr>
        <w:t>خيار الغبن وما يتعلّق به</w:t>
      </w:r>
      <w:bookmarkEnd w:id="372"/>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وهو الخديعة، وفي عرف المتشرّعة هو زيادة أحد العوضين على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بما لا يتسامح به عادةً مع الجهل بذلك، أو العقد الموجب لتلك الزيادة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ثابت بالإجماع المنقول </w:t>
      </w:r>
      <w:r>
        <w:rPr>
          <w:rStyle w:val="FootnoteAnchor"/>
          <w:rtl w:val="true"/>
        </w:rPr>
        <w:footnoteReference w:id="1041"/>
      </w:r>
      <w:r>
        <w:rPr>
          <w:rFonts w:ascii="Amiri" w:hAnsi="Amiri" w:eastAsia="Amiri" w:cs="Amiri"/>
          <w:color w:val="111111"/>
          <w:sz w:val="28"/>
          <w:sz w:val="28"/>
          <w:szCs w:val="28"/>
          <w:rtl w:val="true"/>
          <w:lang w:bidi="ar-SA"/>
        </w:rPr>
        <w:t xml:space="preserve">، وفتوى المشهور، وحديث الضرار </w:t>
      </w:r>
      <w:r>
        <w:rPr>
          <w:rStyle w:val="FootnoteAnchor"/>
          <w:rtl w:val="true"/>
        </w:rPr>
        <w:footnoteReference w:id="1042"/>
      </w:r>
      <w:r>
        <w:rPr>
          <w:rFonts w:ascii="Amiri" w:hAnsi="Amiri" w:eastAsia="Amiri" w:cs="Amiri"/>
          <w:color w:val="111111"/>
          <w:sz w:val="28"/>
          <w:sz w:val="28"/>
          <w:szCs w:val="28"/>
          <w:rtl w:val="true"/>
          <w:lang w:bidi="ar-SA"/>
        </w:rPr>
        <w:t xml:space="preserve">لإشعاره بالانجبار، ولا شيء ها هنا سوى الخيار حتّى بذل التفاوت، كما هو المشهور بين العلماء الأبرار، وحديث تلقي الركبان </w:t>
      </w:r>
      <w:r>
        <w:rPr>
          <w:rStyle w:val="FootnoteAnchor"/>
          <w:rtl w:val="true"/>
        </w:rPr>
        <w:footnoteReference w:id="1043"/>
      </w:r>
      <w:r>
        <w:rPr>
          <w:rFonts w:ascii="Amiri" w:hAnsi="Amiri" w:eastAsia="Amiri" w:cs="Amiri"/>
          <w:color w:val="111111"/>
          <w:sz w:val="28"/>
          <w:sz w:val="28"/>
          <w:szCs w:val="28"/>
          <w:rtl w:val="true"/>
          <w:lang w:bidi="ar-SA"/>
        </w:rPr>
        <w:t>المشتمل على الخيار المسبب عن الغبن كما هو الظاهر من الأخبار وفتوى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بما جاء من تحريم الغبن والنهي عنه </w:t>
      </w:r>
      <w:r>
        <w:rPr>
          <w:rStyle w:val="FootnoteAnchor"/>
          <w:rtl w:val="true"/>
        </w:rPr>
        <w:footnoteReference w:id="104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للتنزيه لا للتحريم؛ لمعارضته العمومات الدالة على جواز البيع وغيره، وهو مبني على المغالبة والمغابنة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للتحريم لكان مخصوصاً بما فيه خدع وغرور وتدليس؛ لحرمتها قطعاً، وظهور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للتحريم لكان متعلقاً بأمرٍ خارج، فلا يفيد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تعلّق بنفس المعاملة لأفاد فسادها، لا عدم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الرضى صورةً، صح ولزم، وإن أُريد حقيقةً، فسد وحرم، وكذا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انضمام الصوري للحقيقي بعده يفيد لزوماً، وعدمه يفيد صحّة وجوازاً،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للبائع بالنسبة إلى الثمن زيادةً، وللمشتري بالنسبة للمبيع نقصاناً، وشمل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وشرطه الجهل بالقيمة وقت العقد ولو بسهو أو بنسيان، سواء كان مغروراً من قبل البائع أو 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تنازعا في العلم وعدمه، فإن كان من أهل الخبرة كان القول قول من ادعي عليه العلم؛ لأصالة اللزوم، ولتقديم الظاهر، وإلا كان القولُ قولَ مَنْ نفى العلم للأصل، ولأنّه أمر لا يُعلم إلا من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اتفقا على العلم سابقاً فادعى المغبون طرق الجهل أو النسيان، لم يُسمع قوله، مع احتمال السماع؛ لأنّه أمر لا يُعرف إلا من قبله، وتكليفه البينة عسر، وتكليف منكره اليمين قد لا يمكن؛ لعدم اطلاعه ولكنه مع يمينه لإثبات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 المغبون القيمة السوقية وعرف ثمن المبيع المدفوع ولكن لم يعرف كونه مغبوناً بالتفاوت، لم يجر عليه حكم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تسالما على ترقّي القيمة السوقية واختلفا أنّه هل كان قبل العقد أو بعده، رجع للمعلوم تأريخه فيحكم بتقديمه، ومع الجهل فالأصل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التفاوت بالقيمة بما لا يتسامح بمثله عادة، ويُسمّى غبناً فاحشاً، وإلا فالبيع مبني على المغابنة، ولا ميزان له من تحديده بنقصان خُمس أو ربع أو ثلث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القيمة بالشياع على الأظهر، وبالبينة، وكذا الغبن يثبت أيضاً بالبينة، ومع تعارض البينتين فالترجيح، وحيث لا ترجيح فالأظهر عدم ثبوت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قيمة بلد العقد والمتعاقدين والتسليم، فإن اتفقا فلا كلام، وإلا فهل المدار على بلد العقد، أو المتعاقدين، أو التسليم، أو العقد إذا اجتمع مع التسليم، أو المتعاقدين كذلك ؟</w:t>
      </w:r>
    </w:p>
    <w:p>
      <w:pPr>
        <w:pStyle w:val="BookText"/>
        <w:rPr/>
      </w:pPr>
      <w:r>
        <w:rPr>
          <w:rFonts w:ascii="Amiri" w:hAnsi="Amiri" w:eastAsia="Amiri" w:cs="Amiri"/>
          <w:color w:val="111111"/>
          <w:sz w:val="28"/>
          <w:sz w:val="28"/>
          <w:szCs w:val="28"/>
          <w:rtl w:val="true"/>
          <w:lang w:bidi="ar-SA"/>
        </w:rPr>
        <w:t>ولو لم يكونا عند العقد في بلد، ولا كان التسليم في بلدٍ، فهل المدار على بلد المتعاقدين أو يسقط الغبن ؟</w:t>
      </w:r>
    </w:p>
    <w:p>
      <w:pPr>
        <w:pStyle w:val="BookText"/>
        <w:rPr/>
      </w:pPr>
      <w:r>
        <w:rPr>
          <w:rFonts w:ascii="Amiri" w:hAnsi="Amiri" w:eastAsia="Amiri" w:cs="Amiri"/>
          <w:color w:val="111111"/>
          <w:sz w:val="28"/>
          <w:sz w:val="28"/>
          <w:szCs w:val="28"/>
          <w:rtl w:val="true"/>
          <w:lang w:bidi="ar-SA"/>
        </w:rPr>
        <w:t xml:space="preserve">ولو اختلف بلد المتعاقدين، فهل يسقط الغبن، أو يرجح المغبون في بلاده؛ لنفي الضرر </w:t>
      </w:r>
      <w:r>
        <w:rPr>
          <w:rStyle w:val="FootnoteAnchor"/>
          <w:rtl w:val="true"/>
        </w:rPr>
        <w:footnoteReference w:id="1047"/>
      </w:r>
      <w:r>
        <w:rPr>
          <w:rFonts w:ascii="Amiri" w:hAnsi="Amiri" w:eastAsia="Amiri" w:cs="Amiri"/>
          <w:color w:val="111111"/>
          <w:sz w:val="28"/>
          <w:sz w:val="28"/>
          <w:szCs w:val="28"/>
          <w:rtl w:val="true"/>
          <w:lang w:bidi="ar-SA"/>
        </w:rPr>
        <w:t>، أو غير المغبون؛ لأصالة اللزوم ؟ وجوه تحتاج إلى تأمل وترجيح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الغبن زمن العقد ما بين الإيجاب والقبول، فلو ترقى قبل تمام القبول بزيادة أو نقصان بالنسبة إلى البائع أو المشتري كان غبناً، ولو ترقى بعد القبول فلا عبرة به، إلّا فيما يتوقف على القبض فإنّه لا يبعد أنّه لو ترقى فيما بين القبول والقبض يجيئه حكم الغبن كالصرف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ذلك بين ثمن أو مثمن، في بيع أو في سائر العقود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يسقط ببذل التفاوت؛ لما فيه من المنّة، فلا يُجبر الضرر بالضرر، وللاستصحاب، مع احتمال السقوط؛ لمقابلة المبذول بعوضه فلا منّة، وللشكّ في الجواز، والأصل اللزوم، ولشبه المبذول بالأرش، والأوّل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خياره مع العلم فوري؛ اقتصاراً فيما خالف أصالة اللزوم في جميع الأزمان على مورد اليقين من زمن الفور، أو متراخ للاستصحاب، ومنع العموم في اللزوم للأزمان؟ 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بالخيار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الجهل بالفورية عذر أم لا ؟ وجهان، والأوجه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مبدأ الخيار من حين العقد، أو حين العلم بالغبن ؟ وجهان، أوجههما الأوَّل، ويترتب على ذلك أحكام الخيار من التلف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هذا الخيار باشتراط سقوطه، وبالرضى بعد العلم 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بتصرف المغبون فيما انتقل إليه بعد العلم بالغبن تصرفاً منبئاً عن رضاه به، كأن يتصرف فيه من غير إكراه أو نسيان، ومن غير قصد للحفظ أو الإنفاق أو الاختبار؛ لأنّ ظاهر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الرضى، كما أشعرت به الأخبار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كان تصرّفه فيما انتقل إليه غير منبئ عن ذلك، جاز له الفسخ على الأقوى حتّى مع التلف، أو مع ما يمنع من الرد كالاستيلاد والعتق والنقل بعقد لازم، فيرد العين مع بقائها، والمثل أو القيمة مع تلفها، أو ما هو بمنزلة ذلك؛ جمعاً بين حقى المغبون والمالك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 للأشهر من سقوط الخيار مع التلف وشبهه؛ لأنّ إرجاع غير العين ضرر أيضاً، ولا يقابله ضرر المغبون؛ لإقدامه عليه بسوء اختياره لتقصيره في السؤال وعدم معرفة الحال منظور فيه؛ لأنّ الإقدام بأمر الملك العلّام لا يُسقط حق ضرره المتقدم على حق ضرر غيره، الممكن جبره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العين بتصرّفه ناقصةً أو معيبةً، ردّها مع أرش النقصان والعيب، ولو عمل بها عملاً لا يرجع بأجرة عمله؛ لأنّه في ماله، ولو زادها عيناً تزيد قيمتها بها كان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شغلها بزرع، لزم قلعه عليه، ولا أرش له لو نقص، ولو رضي مالك الأرض ببقائه بأجرةٍ كان له، ولو أراد المغبون قلعه وأراد المالك إبقاءه خوفاً على الأرض من عيبٍ ونحوه، لم تجب إجابته، وكان له قلعه، وعليه أرش الأرض</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آجرها، دفع إليه قيمة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تصرّف المغبون فيما انتقل إليه قبل العلم بالغبن فلا دلالة له على شيء، وخياره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تصرّفه فيما انتقل عنه قبل العلم بالغبن فلا شيء فيه، ولا يدلّ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تصرّفه بعد العلم بالغبن، فإن علم قصده أو علم أنّه ساءٍ أو غافل فلا يدلّ على شيء، وإلا فلا يبعد أن ظاهر التصرّف فيما انتقل عنه فسخ؛ ولأن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المسلم على الصحّة مهما أمكن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خيار المغبون بتصرّف الغابن فيما انتقل إليه، بل له الفسخ والرجوع بالعين مع بقائها، وبها مع أرشها مع نقصها وعيبها، ولا يغرم أجرةً لو عمل بها ما يقضي بالأُجرة، والرجوع بالمثل والقيمة مع تلفها ومع ما يمنع من ردّها كالاستيلاد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ارتفع المانع، فإن كان قبل قبض المثل والقيمة ردّها بعينها، وإن كان بعده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نفس العين؛ لأنّها الأصل، ومن إبقاء المثل والقيمة؛ لأنّهما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وجدها منتقلةً بعقد لازم، احتمل أنّه كالمانع من الرد، فيرجع بالمثل أو القيمة، واحتمل أن له فسخه؛ لتعلّق حقه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إليه بعد النقل، فإن دفع العوض فلا رجوع بالعين، وإلا فالوجهان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وجدها منتقلةً بعقد جائز، كان له إجبار الغابن على فسخه، وإلا رجع للحاكم، وإلا فسخه هو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وجدها مستأجرةً، انتظر فراغها، وأخذ قيمة المنفعة من المغبون؛ لتفويته لها عليه، مع احتمال أن له فسخ الإجارة، أو أن له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وجدها مشغولة بزرع، كان له قلعه رضي الغابن أم لا، ولا أرش عليه لو نقص الزرع بقلعه مع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الغابن إبقاء الزرع بأجرة، لم تجب إجابته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أفسد الأرض بقلعه، لم تجب إجابته للإبقاء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كلّ منهما الغبن وأقام بينةً، احتمل سقوط الغبن عنهما، وبقاؤه لهما معاً، فيكون كلٌّ منهما غابناً ومغبوناً، كما لو كانا من بلدين كلّ منهما مغبون في بلده</w:t>
      </w:r>
      <w:r>
        <w:rPr>
          <w:rFonts w:eastAsia="Amiri" w:cs="Amiri" w:ascii="Amiri" w:hAnsi="Amiri"/>
          <w:color w:val="111111"/>
          <w:sz w:val="28"/>
          <w:szCs w:val="28"/>
          <w:rtl w:val="true"/>
          <w:lang w:bidi="ar-SA"/>
        </w:rPr>
        <w:t xml:space="preserve">. </w:t>
      </w:r>
      <w:bookmarkStart w:id="373" w:name="pg19000_245437"/>
    </w:p>
    <w:p>
      <w:pPr>
        <w:pStyle w:val="Heading5"/>
        <w:numPr>
          <w:ilvl w:val="4"/>
          <w:numId w:val="1"/>
        </w:numPr>
        <w:rPr/>
      </w:pPr>
      <w:bookmarkStart w:id="374" w:name="__RefHeading___Toc13372388_1280447820"/>
      <w:bookmarkStart w:id="375" w:name="_Toc140"/>
      <w:bookmarkEnd w:id="373"/>
      <w:bookmarkEnd w:id="374"/>
      <w:r>
        <w:rPr>
          <w:rtl w:val="true"/>
        </w:rPr>
        <w:t>خامسها</w:t>
      </w:r>
      <w:r>
        <w:rPr>
          <w:rtl w:val="true"/>
        </w:rPr>
        <w:t xml:space="preserve">: </w:t>
      </w:r>
      <w:r>
        <w:rPr>
          <w:rtl w:val="true"/>
        </w:rPr>
        <w:t>خيار التأخير وما يتعلّق به</w:t>
      </w:r>
      <w:bookmarkEnd w:id="375"/>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 وهو تأخير الثمن عن ثلاثة أيام، بأن لا يدفعه إلى البائع لا لغرض أو سهواً أو نسياناً، أو لغرض يعود إليه حتّى لو كان للمقاصة؛ لعدم تسليم البائع له المبيع على إشكال، فإنّ البائع له الخيار بعد الثلاثة أيّام التامة الداخلة فيها الليلتان المتوسطتان مع عدم الانكسار والثلاث مع الانكسار، كما هو المفهوم من هذه التراكيب عرفاً أو شرعاً، يثبت بفهم الأصحاب واتفاقهم واستقراء الموارد الفقهية لما كان معلّقاً على الأيام من حيض أو إقامة أو خيار أو أجل في بيع أو نكاح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ويحتسب المنكسر يوماً تاماً إن كان الكسر قليلاً، ويسقط حكمه إن كان كثيراً، والتلفيق منه ومن اليوم الرابع قل أو كثر هو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البيع في الثلاثة، ويدلّ عليها العموم </w:t>
      </w:r>
      <w:r>
        <w:rPr>
          <w:rStyle w:val="FootnoteAnchor"/>
          <w:rtl w:val="true"/>
        </w:rPr>
        <w:footnoteReference w:id="1050"/>
      </w:r>
      <w:r>
        <w:rPr>
          <w:rFonts w:ascii="Amiri" w:hAnsi="Amiri" w:eastAsia="Amiri" w:cs="Amiri"/>
          <w:color w:val="111111"/>
          <w:sz w:val="28"/>
          <w:sz w:val="28"/>
          <w:szCs w:val="28"/>
          <w:rtl w:val="true"/>
          <w:lang w:bidi="ar-SA"/>
        </w:rPr>
        <w:t xml:space="preserve">والإجماع، وفي أخبار الجواز بعد الثلاثة </w:t>
      </w:r>
      <w:r>
        <w:rPr>
          <w:rStyle w:val="FootnoteAnchor"/>
          <w:rtl w:val="true"/>
        </w:rPr>
        <w:footnoteReference w:id="1051"/>
      </w:r>
      <w:r>
        <w:rPr>
          <w:rFonts w:ascii="Amiri" w:hAnsi="Amiri" w:eastAsia="Amiri" w:cs="Amiri"/>
          <w:color w:val="111111"/>
          <w:sz w:val="28"/>
          <w:sz w:val="28"/>
          <w:szCs w:val="28"/>
          <w:rtl w:val="true"/>
          <w:lang w:bidi="ar-SA"/>
        </w:rPr>
        <w:t>دلالة على اللزوم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بمبدئها تمام العقد، أو العقد والقبض فيما يتوقف على القبض، إلا في الفضولي فيحتسب فيه من حين الإجازة ولو على الكشف على الأظهر مع احتمال احتساب المبدأ</w:t>
      </w:r>
    </w:p>
    <w:p>
      <w:pPr>
        <w:pStyle w:val="BookText"/>
        <w:rPr/>
      </w:pPr>
      <w:r>
        <w:rPr>
          <w:rFonts w:ascii="Amiri" w:hAnsi="Amiri" w:eastAsia="Amiri" w:cs="Amiri"/>
          <w:color w:val="111111"/>
          <w:sz w:val="28"/>
          <w:sz w:val="28"/>
          <w:szCs w:val="28"/>
          <w:rtl w:val="true"/>
          <w:lang w:bidi="ar-SA"/>
        </w:rPr>
        <w:t>ر، في خيار المجلس من حين التفرّق، لا لأنّ لزوم البيع لا يجامع الخيار؛ لضعفه باختلاف الجهة، بل لإشعار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فيما بينه وبين ثلاثة أيام، وإلا فلا بيع له</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به؛ لأن المجيء مؤذن بالتفرّق،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فمضت ثلاثة أيام ولم يجى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بعد الثلاثة، ويدلّ عليه الإجماع المنقول </w:t>
      </w:r>
      <w:r>
        <w:rPr>
          <w:rStyle w:val="FootnoteAnchor"/>
          <w:rtl w:val="true"/>
        </w:rPr>
        <w:footnoteReference w:id="1054"/>
      </w:r>
      <w:r>
        <w:rPr>
          <w:rFonts w:ascii="Amiri" w:hAnsi="Amiri" w:eastAsia="Amiri" w:cs="Amiri"/>
          <w:color w:val="111111"/>
          <w:sz w:val="28"/>
          <w:sz w:val="28"/>
          <w:szCs w:val="28"/>
          <w:rtl w:val="true"/>
          <w:lang w:bidi="ar-SA"/>
        </w:rPr>
        <w:t xml:space="preserve">بل المحصل؛ لعدم اعتبار ما رواه الصدوق من الانتظار في الجارية إلى شهر وإلا فلا بيع له </w:t>
      </w:r>
      <w:r>
        <w:rPr>
          <w:rStyle w:val="FootnoteAnchor"/>
          <w:rtl w:val="true"/>
        </w:rPr>
        <w:footnoteReference w:id="1055"/>
      </w:r>
      <w:r>
        <w:rPr>
          <w:rFonts w:ascii="IRNazanin" w:hAnsi="IRNazanin" w:eastAsia="IRNazanin"/>
          <w:color w:val="111111"/>
          <w:sz w:val="28"/>
          <w:sz w:val="28"/>
          <w:szCs w:val="28"/>
          <w:rtl w:val="true"/>
          <w:lang w:bidi="fa-IR"/>
        </w:rPr>
        <w:t>لشذوذه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الأخبار الخاصة النافية للبيع ما بين البائع والمشتري أو عن المشتري </w:t>
      </w:r>
      <w:r>
        <w:rPr>
          <w:rStyle w:val="FootnoteAnchor"/>
          <w:rtl w:val="true"/>
        </w:rPr>
        <w:footnoteReference w:id="1056"/>
      </w:r>
      <w:r>
        <w:rPr>
          <w:rFonts w:ascii="Amiri" w:hAnsi="Amiri" w:eastAsia="Amiri" w:cs="Amiri"/>
          <w:color w:val="111111"/>
          <w:sz w:val="28"/>
          <w:sz w:val="28"/>
          <w:szCs w:val="28"/>
          <w:rtl w:val="true"/>
          <w:lang w:bidi="ar-SA"/>
        </w:rPr>
        <w:t>المحمول على نفي اللزوم بقرينة فهم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ونفي البيع عن المشتري خاصةً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نفي الصحّة لما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عنهما بعض غير مضر؛ لجواز انتفاء الشيء عن المجموع بانتفائه عن واحد، وأن اللزوم قيد ظاهر في البيع فيتسلّط عليه النفي، فهو أقرب من نفي الصحّة، وأن الظاهر من هذا الخيار أنّه إرفاق بالبائع لا إضرار، ومع الفساد ينتقض،الغرض وأن كثيراً ما يستعمل نفي البيع بنفي اللزوم، وإثباته بإثباته، وقد ورد في خيار المجلس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البيع</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أي يلزم، وفي خيار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فالبيع لك</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وأن سوق الروايات مسوق لدفع توهم لزوم المعاملة لا صحتها،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هذا الخيار بالبيع وبالبائع دون المشتري لو لم يدفع الثمن ولم يقبض المبيع؛ لمخالفته الأصل، فيقتصر على مورد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والضرر الحاصل بالتأخر فى غير ما ورد به الدليل مجبور بالمقاصة وشبهها، فدعوى ثبوت الخيار لمن تعذر عليه قبض الثمن مطلقاً ولو في الثلاثة،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هذا الخيار كون المبيع عيناً؛ اقتصاراً على الظاهر من مورد الرواية، فلو كان دَيْناً أو كلّيّاً فلا خيار على الأظهر، مع احتمال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مؤجلاً ثمناً على الأظهر أو مثمناً في وجه، أو هما معاً في أقل من ثلاثة أيام أو أكثر على الأظهر، مع احتمال احتساب الثلاثة من بعد الأجل بالنسبة إلى الثمن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صرفاً، وإلا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سلّم المبيع تاماً، بل بقي عنده لسهو أو نسيان، أو لقصد المقاصة حيث يسلّمه المشتري الثمن لامتناع أو لغير قصد أو لقصد المقاصة حيث لم يسلّمه المبيع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وتسليم بعض المبيع لا يُسقط الخيار، أخذاً بإطلاق الفتوى والنص، ولانصراف المبيع في الفتوى إلى كله لا إلى أبعاضه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Style w:val="FootnoteAnchor"/>
          <w:rtl w:val="true"/>
        </w:rPr>
        <w:footnoteReference w:id="1059"/>
      </w:r>
      <w:r>
        <w:rPr>
          <w:rFonts w:ascii="Amiri" w:hAnsi="Amiri" w:eastAsia="Amiri" w:cs="Amiri"/>
          <w:color w:val="111111"/>
          <w:sz w:val="28"/>
          <w:sz w:val="28"/>
          <w:szCs w:val="28"/>
          <w:rtl w:val="true"/>
          <w:lang w:bidi="ar-SA"/>
        </w:rPr>
        <w:t>وفتاوى الفقهاء حتّى كاد أن يكون إجماعاً ما يدلّ على اشتراط هذا، فلا يضر خلوّ أكثر الأخبار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وقبض المبيع بغير إذن كلا قبض؛ لصدق أنّه ما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 يكون قد تسلّم الثمن كلّه تامّاً على نحو ما ذكرناه في المبيع، ويدلّ عليه النصّ والإجماع ورواية المحمل </w:t>
      </w:r>
      <w:r>
        <w:rPr>
          <w:rStyle w:val="FootnoteAnchor"/>
          <w:rtl w:val="true"/>
        </w:rPr>
        <w:footnoteReference w:id="1060"/>
      </w:r>
      <w:r>
        <w:rPr>
          <w:rFonts w:ascii="Amiri" w:hAnsi="Amiri" w:eastAsia="Amiri" w:cs="Amiri"/>
          <w:color w:val="111111"/>
          <w:sz w:val="28"/>
          <w:sz w:val="28"/>
          <w:szCs w:val="28"/>
          <w:rtl w:val="true"/>
          <w:lang w:bidi="ar-SA"/>
        </w:rPr>
        <w:t>، إلا أنّ قبضه هنا من غير إذن مسقط للخيار؛ لصدق أنّه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عرض عليه الثمن فلم يقبله، أو قبله فطلب منه المبيع فلم يدفعه فحبس عنه الثمن لمكان حبس المبيع على الأظهر من الأخبار؛ لظهورها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رضي للمشتري بتأخيره إلى ثلاثة أو أدون ولو إلى ساعة واحدة في وجه؛ اقتصاراً على مورد اليقين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أحضر المشتري الثمن بعد الثلاثة قبل الفسخ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اشترط سقوطه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أسقطه البائع بعد الثلاثة أو في أثنائها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البائع قد طلب الثمن بعد الثلاثة؛ لدلالته على الرضى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تصرّف البائع في الثمن بعد الثلاثة وإن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قد قبضه بعد الثلاثة وإن لم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له خيار في الثلاثة من أيّ أنواع الخيارات في وجه؛ للاقتصار على مورد اليقين من الصورة الواردة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أن لا يكون للمشتري خيار في الثلاثة أيضاً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بعض الثمن أو المثمن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كثير مما قدمنا من سقوط الخيار به هو الاقتصار فيما خالف الأصل على الصورة الواردة في النصّ والمجمع عليها في الفتوى والشكّ في شمول الإطلاق له؛ لانصرافه في السؤال أو الجواب لغيره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كثيرٍ من إطلاقات الأخبار وترك الاستفصال فيها في ثبوت الخيار مما قدمنا ورسمنا، فلا بد من التأمل التام في مثل هذا المقام</w:t>
      </w:r>
      <w:r>
        <w:rPr>
          <w:rFonts w:eastAsia="Amiri" w:cs="Amiri" w:ascii="Amiri" w:hAnsi="Amiri"/>
          <w:color w:val="111111"/>
          <w:sz w:val="28"/>
          <w:szCs w:val="28"/>
          <w:rtl w:val="true"/>
          <w:lang w:bidi="ar-SA"/>
        </w:rPr>
        <w:t xml:space="preserve">. </w:t>
      </w:r>
      <w:bookmarkStart w:id="376" w:name="pg19000_245440"/>
    </w:p>
    <w:p>
      <w:pPr>
        <w:pStyle w:val="BookText"/>
        <w:rPr/>
      </w:pPr>
      <w:bookmarkEnd w:id="376"/>
      <w:r>
        <w:rPr>
          <w:rFonts w:ascii="Amiri" w:hAnsi="Amiri" w:eastAsia="Amiri" w:cs="Amiri"/>
          <w:color w:val="111111"/>
          <w:sz w:val="28"/>
          <w:sz w:val="28"/>
          <w:szCs w:val="28"/>
          <w:rtl w:val="true"/>
          <w:lang w:bidi="ar-SA"/>
        </w:rPr>
        <w:t xml:space="preserve">ولو تلف المبيع في الثلاثة فمن البائع؛ للأخبار </w:t>
      </w:r>
      <w:r>
        <w:rPr>
          <w:rStyle w:val="FootnoteAnchor"/>
          <w:rtl w:val="true"/>
        </w:rPr>
        <w:footnoteReference w:id="1061"/>
      </w:r>
      <w:r>
        <w:rPr>
          <w:rFonts w:ascii="IRNazanin" w:hAnsi="IRNazanin" w:eastAsia="IRNazanin"/>
          <w:color w:val="111111"/>
          <w:sz w:val="28"/>
          <w:sz w:val="28"/>
          <w:szCs w:val="28"/>
          <w:rtl w:val="true"/>
          <w:lang w:bidi="fa-IR"/>
        </w:rPr>
        <w:t xml:space="preserve">عموماً وخصوصاً؛ وللإجماع المنقول </w:t>
      </w:r>
      <w:r>
        <w:rPr>
          <w:rStyle w:val="FootnoteAnchor"/>
          <w:rtl w:val="true"/>
        </w:rPr>
        <w:footnoteReference w:id="1062"/>
      </w:r>
      <w:r>
        <w:rPr>
          <w:rFonts w:ascii="Amiri" w:hAnsi="Amiri" w:eastAsia="Amiri" w:cs="Amiri"/>
          <w:color w:val="111111"/>
          <w:sz w:val="28"/>
          <w:sz w:val="28"/>
          <w:szCs w:val="28"/>
          <w:rtl w:val="true"/>
          <w:lang w:bidi="ar-SA"/>
        </w:rPr>
        <w:t>والشهرة المحصلة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بأنّه من المبتاع </w:t>
      </w:r>
      <w:r>
        <w:rPr>
          <w:rStyle w:val="FootnoteAnchor"/>
          <w:rtl w:val="true"/>
        </w:rPr>
        <w:footnoteReference w:id="1063"/>
      </w:r>
      <w:r>
        <w:rPr>
          <w:rFonts w:ascii="Amiri" w:hAnsi="Amiri" w:eastAsia="Amiri" w:cs="Amiri"/>
          <w:color w:val="111111"/>
          <w:sz w:val="28"/>
          <w:sz w:val="28"/>
          <w:szCs w:val="28"/>
          <w:rtl w:val="true"/>
          <w:lang w:bidi="ar-SA"/>
        </w:rPr>
        <w:t>ضعيف المأخذ وقليل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عرضه البائع على المشتري فلم يقبله وامتنع من أخذه قوي ذلك؛ لقيام الامتناع مقام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تلف بعد الثلاثة؛ ترجيحاً لدليل ضمان المبيع قبل قبضه من بائعه على دليل أن ما تلف في زمن الخيار فممن لا خيار له وإن كان مالكاً، كالمشتري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الفورية في هذا الخيار لثبوته بالنص، لا بعموم لا ضرر ولا ضرار</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3372390_1280447820"/>
      <w:bookmarkStart w:id="378" w:name="_Toc141"/>
      <w:bookmarkEnd w:id="377"/>
      <w:r>
        <w:rPr>
          <w:rtl w:val="true"/>
        </w:rPr>
        <w:t>سادسها</w:t>
      </w:r>
      <w:r>
        <w:rPr>
          <w:rtl w:val="true"/>
        </w:rPr>
        <w:t xml:space="preserve">: </w:t>
      </w:r>
      <w:r>
        <w:rPr>
          <w:rtl w:val="true"/>
        </w:rPr>
        <w:t>خيار ما يفسد من يومه وما يتعلّق به</w:t>
      </w:r>
      <w:bookmarkEnd w:id="378"/>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ما يفسد من يومه، فإنّه ينتظر به إلى الليل، فإن جاء بالثمن وإلا فلا بيع له، هكذا مضمون ما ورد فيه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نفي الضرار وفتوى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اللزوم، لا نفي الصحّة، وأنّ فساده بالمبيت لا بنفس اليوم، وإلا لزم تأخير الخيار عن الفساد أو مقارنته له، ولا ثمرة فيه، بل لا يبعد إرادة أنّ ما يفسده البقاء، سواء بيع ليلاً أو نهاراً، وسواء كان البقاء يوماً أو ليلةً أو بعضهما ولو ساعةً على حسب اختلاف جنس المبيع وزمانه ومكانه، فإنّ لبائعه الخيار في الفسخ فيعود إليه، وفي الإبقاء عنده أمانة إلى أن يفسد فيكون ضمانه من مال البائع للقاعدة المعلومة، إلّا إذا عرضه عليه فلم يقبله فلا يبعد أنّه بمنزلة قبضه حينئذٍ</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يلحق به ما يفسده بقاؤه يومين في ثبوت الخيار في اليوم الثاني، وبقاؤه ثلاثة في ثبوت الخيار في اليوم الثالث</w:t>
      </w:r>
      <w:r>
        <w:rPr>
          <w:rFonts w:eastAsia="Amiri" w:cs="Amiri" w:ascii="Amiri" w:hAnsi="Amiri"/>
          <w:color w:val="111111"/>
          <w:sz w:val="28"/>
          <w:szCs w:val="28"/>
          <w:rtl w:val="true"/>
          <w:lang w:bidi="ar-SA"/>
        </w:rPr>
        <w:t xml:space="preserve">. </w:t>
      </w:r>
      <w:bookmarkStart w:id="379" w:name="pg19000_245441"/>
    </w:p>
    <w:p>
      <w:pPr>
        <w:pStyle w:val="BookText"/>
        <w:rPr/>
      </w:pPr>
      <w:bookmarkEnd w:id="379"/>
      <w:r>
        <w:rPr>
          <w:rFonts w:ascii="Amiri" w:hAnsi="Amiri" w:eastAsia="Amiri" w:cs="Amiri"/>
          <w:color w:val="111111"/>
          <w:sz w:val="28"/>
          <w:sz w:val="28"/>
          <w:szCs w:val="28"/>
          <w:rtl w:val="true"/>
          <w:lang w:bidi="ar-SA"/>
        </w:rPr>
        <w:t>ويلحق بما يخشى عليه من الفساد كلّاً ما يخشى الفساد على بعضه وما يخشى عليه من نقصان عين أو تغيير صفة أو قلّة راغب أو غصب أو سارق أو حرق أو فوات سوق فيؤدي إلى تعطيله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بالمبيع الثمن؛ لأنّه مثله، وبالبيع غيره من أنواع العقود، كلّ ذلك لحصول الضرر بالتأخير وعدم الجابر لذهاب المبيع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يناقش في جواز التمسك بعموم نفي الضرار </w:t>
      </w:r>
      <w:r>
        <w:rPr>
          <w:rStyle w:val="FootnoteAnchor"/>
          <w:rtl w:val="true"/>
        </w:rPr>
        <w:footnoteReference w:id="1066"/>
      </w:r>
      <w:r>
        <w:rPr>
          <w:rFonts w:ascii="Amiri" w:hAnsi="Amiri" w:eastAsia="Amiri" w:cs="Amiri"/>
          <w:color w:val="111111"/>
          <w:sz w:val="28"/>
          <w:sz w:val="28"/>
          <w:szCs w:val="28"/>
          <w:rtl w:val="true"/>
          <w:lang w:bidi="ar-SA"/>
        </w:rPr>
        <w:t>من دون اعتضاده بشهرة أو إجماع؛ لتأديته إلى انفتاح أبواب في الفقه لا تُعدّ ولا تُحصى، ويناقش في تسريته إلى غير البيع؛ لأنّ المتلوف قبل قبضه فيه ليس من ضمان ناقله، ويناقش في تسريته إلى غير ما يخشى تلفه لجواز إبقائه أمانة عنده، أمانة عنده، أو يرجع به إلى الحاكم فيأخذه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المدار في هذا الخيار نفس الخوف من الفساد ولو لم يترتب عليه، أو الخوف المترتب عليه الفساد، فلو لم يترتب تبيّن أن لا خيار ؟ وجهان، أجودهما الأول؛ لأنّه أنسب بحديث نفي الضرار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فيه ما يشترط في خيار التأخير، ويختص بالبيع، ويجبر ضره في غيره بالمقاصة، وتلف المبيع فيه من مال البائع؛ لقاعدة كلّ مبيع تلف قبل قبضه فهو من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خيار ما يفسد ليومه بالمعين، ولا يجري حكمه للكلّي، إلا إذا شرطا كون الكلي من فرد بعينه، فلا يبعد هناك ثبوت الخيار أيضاً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3372392_1280447820"/>
      <w:bookmarkStart w:id="381" w:name="_Toc142"/>
      <w:bookmarkEnd w:id="380"/>
      <w:r>
        <w:rPr>
          <w:rtl w:val="true"/>
        </w:rPr>
        <w:t>سابعها</w:t>
      </w:r>
      <w:r>
        <w:rPr>
          <w:rtl w:val="true"/>
        </w:rPr>
        <w:t xml:space="preserve">: </w:t>
      </w:r>
      <w:r>
        <w:rPr>
          <w:rtl w:val="true"/>
        </w:rPr>
        <w:t>خيار كذب الوصف حين العقد أو خلاف الرؤية المتقدمة على العقد</w:t>
      </w:r>
      <w:bookmarkEnd w:id="381"/>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كذب الوصف حين العقد، أو خلاف الرؤية المتقدّمة على العقد لا المقارنة له، فإنّهما يوجبان الخيار؛ لحديث الضرار </w:t>
      </w:r>
      <w:r>
        <w:rPr>
          <w:rStyle w:val="FootnoteAnchor"/>
          <w:rtl w:val="true"/>
        </w:rPr>
        <w:footnoteReference w:id="1068"/>
      </w:r>
      <w:r>
        <w:rPr>
          <w:rFonts w:ascii="Amiri" w:hAnsi="Amiri" w:eastAsia="Amiri" w:cs="Amiri"/>
          <w:color w:val="111111"/>
          <w:sz w:val="28"/>
          <w:sz w:val="28"/>
          <w:szCs w:val="28"/>
          <w:rtl w:val="true"/>
          <w:lang w:bidi="ar-SA"/>
        </w:rPr>
        <w:t xml:space="preserve">وفتوى الأخيار، ولخصوص بعض الأخبار الواردة في المرئي بعضه دون بعض المثبتة للخيار فيه </w:t>
      </w:r>
      <w:r>
        <w:rPr>
          <w:rStyle w:val="FootnoteAnchor"/>
          <w:rtl w:val="true"/>
        </w:rPr>
        <w:footnoteReference w:id="1069"/>
      </w:r>
      <w:r>
        <w:rPr>
          <w:rFonts w:ascii="Amiri" w:hAnsi="Amiri" w:eastAsia="Amiri" w:cs="Amiri"/>
          <w:color w:val="111111"/>
          <w:sz w:val="28"/>
          <w:sz w:val="28"/>
          <w:szCs w:val="28"/>
          <w:rtl w:val="true"/>
          <w:lang w:bidi="ar-SA"/>
        </w:rPr>
        <w:t>، وظاهرها وإن كان لا يخلو عن مناقشة مجبور بفهم الأصحاب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خاص بالمعين دون الكلي، فإنّه يلزم فيه الإبدال دون الخيار، إلا مع اشتراط كون الكلي من فردٍ معيّن موصوف فخرج خلاف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يعم البيع وغيره، والبائع والمشتري بالنسبة إلى المنقول إليه والمنقول عنه، كما إذا باع ماله بوصف غيره، أو برؤية قديمة فخرج زائداً على ذلك مما لا يتسامح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على البائع والمشتري الخيار فيما إذا وصف المبيع لهما ثالث فخرج زائداً من طرف البائع وناقصاً من طرف المشتري، ويُقدّم الفاسخ على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خلاف الوصف في بعض دون بعض، ثبت الخيار في فسخ الكلّ أو إبقائه، ولا يجوز التبعيض؛ لحصول الضرر به فلا يجبر الضرر بالضرر والتغيير الجزئي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هذا الخيار انحطاط القيمة بالتغيير أو قلة الرغبة، بل لو زادت القيمة في ظهور خلاف الوصف كان الخيار ثابتاً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عبرة بالتغيير الجزئي؛ للتسامح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باشتراط سقوطه في ابتداء العقد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فوري أو على التراخي ؟ وجهان،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تغيّره قبل العقد أو بعده، فإن علم تاريخ أحدهما أخر عنه المجهول، وإلا فالأصل في البيع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 له الأدنى فظهر الأعلى، فإن لم يكن له غرض في الوصف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برؤية مشتبهة عليه باختياره، فلا خيار له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بالرؤية المسموع والمشموم والملموس إذا اختبر قديماً فظهر تغيّره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المبيع بالوصف ذكر الأوصاف التي يحصل ضرر وغرر للمنقول إليه بتركها، ولا يجب الاستقصاء؛ لعدم الحاجة إليه، بل ربما يعسر وجوده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ظهر كذب الوصف أو الرؤية في بعض المبيع، كان له الخيار في الكلّ دون البعض، لا لعدم تبعيض موجب الخيار؛ للزومه تجزئة العقد الممنوعة شرعاً، لورود المنع عليه بجواز التبعيض </w:t>
      </w:r>
      <w:r>
        <w:rPr>
          <w:rStyle w:val="FootnoteAnchor"/>
          <w:rtl w:val="true"/>
        </w:rPr>
        <w:footnoteReference w:id="1070"/>
      </w:r>
      <w:r>
        <w:rPr>
          <w:rFonts w:ascii="Amiri" w:hAnsi="Amiri" w:eastAsia="Amiri" w:cs="Amiri"/>
          <w:color w:val="111111"/>
          <w:sz w:val="28"/>
          <w:sz w:val="28"/>
          <w:szCs w:val="28"/>
          <w:rtl w:val="true"/>
          <w:lang w:bidi="ar-SA"/>
        </w:rPr>
        <w:t>، وعدم لزوم تجزئة العقد بل المعقود عليه وأحدهما غير الآخر، بل لحصول الضرر كما تقدم</w:t>
      </w:r>
      <w:r>
        <w:rPr>
          <w:rFonts w:eastAsia="Amiri" w:cs="Amiri" w:ascii="Amiri" w:hAnsi="Amiri"/>
          <w:color w:val="111111"/>
          <w:sz w:val="28"/>
          <w:szCs w:val="28"/>
          <w:rtl w:val="true"/>
          <w:lang w:bidi="ar-SA"/>
        </w:rPr>
        <w:t xml:space="preserve">. </w:t>
      </w:r>
      <w:bookmarkStart w:id="382" w:name="pg19000_245443"/>
    </w:p>
    <w:p>
      <w:pPr>
        <w:pStyle w:val="Heading5"/>
        <w:numPr>
          <w:ilvl w:val="4"/>
          <w:numId w:val="1"/>
        </w:numPr>
        <w:rPr/>
      </w:pPr>
      <w:bookmarkStart w:id="383" w:name="__RefHeading___Toc13372394_1280447820"/>
      <w:bookmarkStart w:id="384" w:name="_Toc143"/>
      <w:bookmarkEnd w:id="382"/>
      <w:bookmarkEnd w:id="383"/>
      <w:r>
        <w:rPr>
          <w:rtl w:val="true"/>
        </w:rPr>
        <w:t>ثامنها</w:t>
      </w:r>
      <w:r>
        <w:rPr>
          <w:rtl w:val="true"/>
        </w:rPr>
        <w:t xml:space="preserve">: </w:t>
      </w:r>
      <w:r>
        <w:rPr>
          <w:rtl w:val="true"/>
        </w:rPr>
        <w:t>في أن الخيار يورث</w:t>
      </w:r>
      <w:bookmarkEnd w:id="384"/>
    </w:p>
    <w:p>
      <w:pPr>
        <w:pStyle w:val="BookText"/>
        <w:rPr/>
      </w:pPr>
      <w:r>
        <w:rPr>
          <w:rFonts w:ascii="Amiri" w:hAnsi="Amiri" w:eastAsia="Amiri" w:cs="Amiri"/>
          <w:color w:val="111111"/>
          <w:sz w:val="28"/>
          <w:sz w:val="28"/>
          <w:szCs w:val="28"/>
          <w:rtl w:val="true"/>
          <w:lang w:bidi="ar-SA"/>
        </w:rPr>
        <w:t xml:space="preserve">ثامنها الخيار يورث؛ لعموم الأدلّة </w:t>
      </w:r>
      <w:r>
        <w:rPr>
          <w:rStyle w:val="FootnoteAnchor"/>
          <w:rtl w:val="true"/>
        </w:rPr>
        <w:footnoteReference w:id="1071"/>
      </w:r>
      <w:r>
        <w:rPr>
          <w:rFonts w:ascii="Amiri" w:hAnsi="Amiri" w:eastAsia="Amiri" w:cs="Amiri"/>
          <w:color w:val="111111"/>
          <w:sz w:val="28"/>
          <w:sz w:val="28"/>
          <w:szCs w:val="28"/>
          <w:rtl w:val="true"/>
          <w:lang w:bidi="ar-SA"/>
        </w:rPr>
        <w:t>، وخصوص ما ورد في إرث الحق</w:t>
      </w:r>
      <w:r>
        <w:rPr>
          <w:rStyle w:val="FootnoteAnchor"/>
          <w:rtl w:val="true"/>
        </w:rPr>
        <w:footnoteReference w:id="1072"/>
      </w:r>
      <w:r>
        <w:rPr>
          <w:rFonts w:ascii="IRNazanin" w:hAnsi="IRNazanin" w:eastAsia="IRNazanin"/>
          <w:color w:val="111111"/>
          <w:sz w:val="28"/>
          <w:sz w:val="28"/>
          <w:szCs w:val="28"/>
          <w:rtl w:val="true"/>
          <w:lang w:bidi="fa-IR"/>
        </w:rPr>
        <w:t>، المنجبر بفتوى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يختص إرثه بوارث المال المتعلّق به الخيار، فلا ترث الزوجة غير ذات الولد خيار الأرض المشتراة لمورثها أو المبيعة بأرض أُخرى، وترث خيار الأرض المبيعة بغيرها؛ لكونها مالاً موروثاً لها وإن لم يترتب لها إرث فيها عند الفسخ أو لا يختص ؛ لأنّه حق موروث ولا تلازم بينه وبين إرث المال ؟ وجهان أظهرهما الأوَّل، بل لا يبعد القول بعدم إرث الخيار المتعلّق بالأرض المبيعة بغيرها؛ لعدم الثمرة المترتبة عليه عند الفسخ، فيشك في شمول دليل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يرث الخيار مجموع الورّاث فلا يصح الفسخ من أحدهم إلا أن يجتمعوا عليه، أو أحدهم حتّى أنّ كلّ واحدٍ له الفسخ؛ لأنّ له الخيار مستقلاً، أو يتوزّع على نسبة رؤوسهم فيتعلق بالمال كذلك، أو على نسبة سهامهم فيتعلّق بالمال كذلك بنسبة سهمه ؟ وجوه، أقواها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يصح لأحدهم فسخ القدر الموروث له فقط دون غيره؛ لأن الخيار بيده، أو لا يجوز؛ لضرر التبعيض على الناقل ؟ وجهان،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قدم الفاسخ على الملتزم، مع احتمال جواز تبعيض المفسوخ ها هنا، وينفذ بحصته دون حصة من التزم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وخيار الأجنبي لا يرثه وارثه؛ لعدم تحقق كونه تمليكاً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المجعول له الخيار ينتقل الخيار إلى مولاه في وجه؛ لأنّ ما يملك لمولاه، مع احتمال عدم الانتقال؛ لشبهه بالتوكيل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عبد أحد المتعاقدين فينتقل، وبين عبد الأجنبي فلا ينتقل، ضعيف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يتوقف جعل الخيار للعبد أو فسخه بعد جعل الخيار له على رضى مولاه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فسخه تصرّف فهو منهي عنه؛ لأنّ النهي لا يقضي بالفساد ها هنا</w:t>
      </w:r>
      <w:r>
        <w:rPr>
          <w:rFonts w:eastAsia="Amiri" w:cs="Amiri" w:ascii="Amiri" w:hAnsi="Amiri"/>
          <w:color w:val="111111"/>
          <w:sz w:val="28"/>
          <w:szCs w:val="28"/>
          <w:rtl w:val="true"/>
          <w:lang w:bidi="ar-SA"/>
        </w:rPr>
        <w:t xml:space="preserve">. </w:t>
      </w:r>
      <w:bookmarkStart w:id="385" w:name="pg19000_245444"/>
    </w:p>
    <w:p>
      <w:pPr>
        <w:pStyle w:val="Heading5"/>
        <w:numPr>
          <w:ilvl w:val="4"/>
          <w:numId w:val="1"/>
        </w:numPr>
        <w:rPr/>
      </w:pPr>
      <w:bookmarkStart w:id="386" w:name="__RefHeading___Toc13372396_1280447820"/>
      <w:bookmarkStart w:id="387" w:name="_Toc144"/>
      <w:bookmarkEnd w:id="385"/>
      <w:bookmarkEnd w:id="386"/>
      <w:r>
        <w:rPr>
          <w:rtl w:val="true"/>
        </w:rPr>
        <w:t>تاسعها</w:t>
      </w:r>
      <w:r>
        <w:rPr>
          <w:rtl w:val="true"/>
        </w:rPr>
        <w:t xml:space="preserve">: </w:t>
      </w:r>
      <w:r>
        <w:rPr>
          <w:rtl w:val="true"/>
        </w:rPr>
        <w:t>في أن التصرف مسقط لخيار الحيوان والشرط</w:t>
      </w:r>
      <w:bookmarkEnd w:id="387"/>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مسقط لخيار الحيوان والشرط بالنص </w:t>
      </w:r>
      <w:r>
        <w:rPr>
          <w:rStyle w:val="FootnoteAnchor"/>
          <w:rtl w:val="true"/>
        </w:rPr>
        <w:footnoteReference w:id="1073"/>
      </w:r>
      <w:r>
        <w:rPr>
          <w:rFonts w:ascii="Amiri" w:hAnsi="Amiri" w:eastAsia="Amiri" w:cs="Amiri"/>
          <w:color w:val="111111"/>
          <w:sz w:val="28"/>
          <w:sz w:val="28"/>
          <w:szCs w:val="28"/>
          <w:rtl w:val="true"/>
          <w:lang w:bidi="ar-SA"/>
        </w:rPr>
        <w:t>والفتوى، وظاهر إطلاقهما فيهما أنّه مسقط مع ظهور قصد الرضى بالبيع والإسقاط به، ومع عدم ظهور ذلك منه، كالتصرف نسياناً وغفلةً، بل ومع ظهور عدمه كأن يعلم أنّه قصد الحفظ أو الاستخبار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يمنع في غير الصورة الأولى؛ استصحاباً للخيار بعد تحققه، سيّما في الصورة الأخيرة؛ لعدم انصراف الأخبار إليهما، ولإشعار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الحيوان فيمن أحدث بالحيوان حدثاً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رضى منه</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بالتعليل بالرضى في السقوط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الخبرية وبيان المساواة في الأحكام أظهر، فلا أقل من دخول الصورة الثانية في التصرف المانع، فيكون الأصل السقوط بالتصرف، إلا إذا علم قصد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احتمال تخصیصه بالاحتمال الأوّل فهل الأصل والظاهر من التصرف هو الرضى حتى يقوم دليل على الخلاف أو أنّ الفعل مجمل لا دلالة فيه ؟ وجهان، أظهرهما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يُحمل الحديث على ذلك، ويراد منه بيان أنّ الأصل والظاهر من التصرف هو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التصرّف المسقط في خيار الشرط على الإطلاق حتّى قبل تحقق الخيار فيما لو كان خياره متأخراً، أو خاص فيما بعد حصوله، فلا يُسقط التصرف الخيار المتأخر فيما إذا اشترط تأخره، أو في خيار الردّ، أو في فوات الشرط، أو في المؤامرة إلا بعد حلول وقته وحصول الردّ وفوات الشرط ووقوع الأمر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اقتصاراً على مورد اليقين في سقوط الخيار بعد تحققه، ولم يقم دليل يشمل جميع أزمنة التصرف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الشارع له في خيار الحيوان بمنزلة الرضى فيكون بمنزلة الإسقاط فلا يختص بوقت، لا يعم جميع أنواع الخيار؛ لورود ذلك في الحيوان سؤالاً وجواباً، ولاختصاص سياقه به فلا يعم الجميع، فارتفع ما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سقوط الخيار بالتصرف العلم بالخيار من المتصرف؛ لإطلاق الفتوى والنص</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يصح إسقاط سقوط الخيار به باشتراط عدم سقوط الخيار به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التصرف فيما انتقل من ذي الخيار فسخ تعبداً، أو إذا دلّ الدليل على ذلك، أو </w:t>
      </w:r>
      <w:bookmarkStart w:id="388" w:name="pg19000_245445"/>
    </w:p>
    <w:p>
      <w:pPr>
        <w:pStyle w:val="BookText"/>
        <w:rPr/>
      </w:pPr>
      <w:bookmarkEnd w:id="388"/>
      <w:r>
        <w:rPr>
          <w:rFonts w:ascii="Amiri" w:hAnsi="Amiri" w:eastAsia="Amiri" w:cs="Amiri"/>
          <w:color w:val="111111"/>
          <w:sz w:val="28"/>
          <w:sz w:val="28"/>
          <w:szCs w:val="28"/>
          <w:rtl w:val="true"/>
          <w:lang w:bidi="ar-SA"/>
        </w:rPr>
        <w:t>يُحكم بأنّه فاسخ ما لم يعلم عدم القصد به، أو قصد خلافه ؟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فسخ إذا ظهر منه ذلك بقرائن الأحوال أو الأقوال، أو قضاء عادةٍ أو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التصرف في باقي أنواع الخيار فلم يدلّ دليل يشمل بإطلاقه جميع أنواعه في سائر أزمنته، فيقتصر فيه على مورد اليقين من إجماع أو حديث نفي الضرار </w:t>
      </w:r>
      <w:r>
        <w:rPr>
          <w:rStyle w:val="FootnoteAnchor"/>
          <w:rtl w:val="true"/>
        </w:rPr>
        <w:footnoteReference w:id="1075"/>
      </w:r>
      <w:r>
        <w:rPr>
          <w:rFonts w:ascii="Amiri" w:hAnsi="Amiri" w:eastAsia="Amiri" w:cs="Amiri"/>
          <w:color w:val="111111"/>
          <w:sz w:val="28"/>
          <w:sz w:val="28"/>
          <w:szCs w:val="28"/>
          <w:rtl w:val="true"/>
          <w:lang w:bidi="ar-SA"/>
        </w:rPr>
        <w:t>، أو غير ذلك، فلا يكون التصرف مسقطاً في خيار التأخير إلا بعد الثلاثة، ولا في خيار فوات الشرط إلا بعد فواته، ولا في خيار الغبن والعيب والرؤية إلا بعد الاطلاع على الغبن والعيب وحصول الرؤية المخالفة إن قلنا بعدم تحقق الخيار إلا بعد الاطلاع وحصول الرؤية،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مسقطاً أيضاً إلا إذا كان في التصرف نوع تغيير للمتصرف فيه، وما لم يكن فيه تغيير فلا عبرة به؛ لأن العمدة في سقوط الخيار به إما الإجماع أو حديث نفي الضرار </w:t>
      </w:r>
      <w:r>
        <w:rPr>
          <w:rStyle w:val="FootnoteAnchor"/>
          <w:rtl w:val="true"/>
        </w:rPr>
        <w:footnoteReference w:id="1076"/>
      </w:r>
      <w:r>
        <w:rPr>
          <w:rFonts w:ascii="Amiri" w:hAnsi="Amiri" w:eastAsia="Amiri" w:cs="Amiri"/>
          <w:color w:val="111111"/>
          <w:sz w:val="28"/>
          <w:sz w:val="28"/>
          <w:szCs w:val="28"/>
          <w:rtl w:val="true"/>
          <w:lang w:bidi="ar-SA"/>
        </w:rPr>
        <w:t>، والمتيقن منهما هو ما حصل منه نوع تغيير للصورة أو المادة أو الصفة أو القيمة أو الرغبة، إلا في خيار العيب ففيه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مسقطاً أيضاً إلا إذا دلّ على الرضى أو لم يدلّ على شيء؛ بناءً على أن الأصل والظاهر منه الرضى، إلا أن يقوم دليل على خلافه، وأما لو دلّ على قصد غيره من حفظ أو استخبار أو اتفاق أو وقع سهواً أو غفلةً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مسقطاً في خيار الغبن إلا مع العلم به، وبدون العلم به لا يكون مسقطاً حتّى مع تلف العين أو ذهابها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خيار العيب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خيار الرؤية أيضاً، فإنّه لا يكون مسقطاً إلا مع العلم بحصول المخالفة على الأظهر</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3372398_1280447820"/>
      <w:bookmarkStart w:id="390" w:name="_Toc145"/>
      <w:bookmarkEnd w:id="389"/>
      <w:r>
        <w:rPr>
          <w:rtl w:val="true"/>
        </w:rPr>
        <w:t>عاشرها</w:t>
      </w:r>
      <w:r>
        <w:rPr>
          <w:rtl w:val="true"/>
        </w:rPr>
        <w:t xml:space="preserve">: </w:t>
      </w:r>
      <w:r>
        <w:rPr>
          <w:rtl w:val="true"/>
        </w:rPr>
        <w:t>في أنّه يملك المبيع للمشتري والثمن للبائع بنفس العقد</w:t>
      </w:r>
      <w:bookmarkEnd w:id="39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المبيع للمشتري والثمن للبائع بنفس العقد؛ لفتوى المشهور والإجماع المنقول </w:t>
      </w:r>
      <w:r>
        <w:rPr>
          <w:rStyle w:val="FootnoteAnchor"/>
          <w:rtl w:val="true"/>
        </w:rPr>
        <w:footnoteReference w:id="1077"/>
      </w:r>
      <w:r>
        <w:rPr>
          <w:rFonts w:ascii="Amiri" w:hAnsi="Amiri" w:eastAsia="Amiri" w:cs="Amiri"/>
          <w:color w:val="111111"/>
          <w:sz w:val="28"/>
          <w:sz w:val="28"/>
          <w:szCs w:val="28"/>
          <w:rtl w:val="true"/>
          <w:lang w:bidi="ar-SA"/>
        </w:rPr>
        <w:t xml:space="preserve">، لتعليق إباحة التصرّف كتاباً </w:t>
      </w:r>
      <w:r>
        <w:rPr>
          <w:rStyle w:val="FootnoteAnchor"/>
          <w:rtl w:val="true"/>
        </w:rPr>
        <w:footnoteReference w:id="1078"/>
      </w:r>
      <w:r>
        <w:rPr>
          <w:rFonts w:ascii="Amiri" w:hAnsi="Amiri" w:eastAsia="Amiri" w:cs="Amiri"/>
          <w:color w:val="111111"/>
          <w:sz w:val="28"/>
          <w:sz w:val="28"/>
          <w:szCs w:val="28"/>
          <w:rtl w:val="true"/>
          <w:lang w:bidi="ar-SA"/>
        </w:rPr>
        <w:t xml:space="preserve">، وسنّةً </w:t>
      </w:r>
      <w:r>
        <w:rPr>
          <w:rStyle w:val="FootnoteAnchor"/>
          <w:rtl w:val="true"/>
        </w:rPr>
        <w:footnoteReference w:id="1079"/>
      </w:r>
      <w:r>
        <w:rPr>
          <w:rFonts w:ascii="IRNazanin" w:hAnsi="IRNazanin" w:eastAsia="IRNazanin"/>
          <w:color w:val="111111"/>
          <w:sz w:val="28"/>
          <w:sz w:val="28"/>
          <w:szCs w:val="28"/>
          <w:rtl w:val="true"/>
          <w:lang w:bidi="fa-IR"/>
        </w:rPr>
        <w:t xml:space="preserve">على وقوع العقد وحصول الرضى وقد وقعا، </w:t>
      </w:r>
    </w:p>
    <w:p>
      <w:pPr>
        <w:pStyle w:val="BookText"/>
        <w:rPr/>
      </w:pPr>
      <w:r>
        <w:rPr>
          <w:rFonts w:ascii="Amiri" w:hAnsi="Amiri" w:eastAsia="Amiri" w:cs="Amiri"/>
          <w:color w:val="111111"/>
          <w:sz w:val="28"/>
          <w:sz w:val="28"/>
          <w:szCs w:val="28"/>
          <w:rtl w:val="true"/>
          <w:lang w:bidi="ar-SA"/>
        </w:rPr>
        <w:t xml:space="preserve">ولأنه لو لم يتصف بالصحّة حال وقوعه لما اتصف بتعلّق الخيار؛ لأنّه لاحق للعقد الصحيح، ولأن العقد سبب شرعي في الملك والتمليك كتاباً </w:t>
      </w:r>
      <w:r>
        <w:rPr>
          <w:rStyle w:val="FootnoteAnchor"/>
          <w:rtl w:val="true"/>
        </w:rPr>
        <w:footnoteReference w:id="1080"/>
      </w:r>
      <w:r>
        <w:rPr>
          <w:rFonts w:ascii="Amiri" w:hAnsi="Amiri" w:eastAsia="Amiri" w:cs="Amiri"/>
          <w:color w:val="111111"/>
          <w:sz w:val="28"/>
          <w:sz w:val="28"/>
          <w:szCs w:val="28"/>
          <w:rtl w:val="true"/>
          <w:lang w:bidi="ar-SA"/>
        </w:rPr>
        <w:t>وسنة</w:t>
      </w:r>
      <w:r>
        <w:rPr>
          <w:rStyle w:val="FootnoteAnchor"/>
          <w:rtl w:val="true"/>
        </w:rPr>
        <w:footnoteReference w:id="1081"/>
      </w:r>
      <w:r>
        <w:rPr>
          <w:rFonts w:ascii="Amiri" w:hAnsi="Amiri" w:eastAsia="Amiri" w:cs="Amiri"/>
          <w:color w:val="111111"/>
          <w:sz w:val="28"/>
          <w:sz w:val="28"/>
          <w:szCs w:val="28"/>
          <w:rtl w:val="true"/>
          <w:lang w:bidi="ar-SA"/>
        </w:rPr>
        <w:t>، فتوقفه على أمر آخر يحتاج إلى دليل، وليس فليس ولأنّه لو لم ينتقل إلى المتعاقدين لبقي موقوفاً كالفضولي، واللازم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وللأخبار الدالة على جواز بيع المتاع قبل قبضه </w:t>
      </w:r>
      <w:r>
        <w:rPr>
          <w:rStyle w:val="FootnoteAnchor"/>
          <w:rtl w:val="true"/>
        </w:rPr>
        <w:footnoteReference w:id="1082"/>
      </w:r>
      <w:r>
        <w:rPr>
          <w:rFonts w:ascii="Amiri" w:hAnsi="Amiri" w:eastAsia="Amiri" w:cs="Amiri"/>
          <w:color w:val="111111"/>
          <w:sz w:val="28"/>
          <w:sz w:val="28"/>
          <w:szCs w:val="28"/>
          <w:rtl w:val="true"/>
          <w:lang w:bidi="ar-SA"/>
        </w:rPr>
        <w:t xml:space="preserve">مطلقاً من دون تفصيل، والدالة على أن كلّ مبيع تلف قبل قبضه فهو من مال بائعه </w:t>
      </w:r>
      <w:r>
        <w:rPr>
          <w:rStyle w:val="FootnoteAnchor"/>
          <w:rtl w:val="true"/>
        </w:rPr>
        <w:footnoteReference w:id="1083"/>
      </w:r>
      <w:r>
        <w:rPr>
          <w:rFonts w:ascii="Amiri" w:hAnsi="Amiri" w:eastAsia="Amiri" w:cs="Amiri"/>
          <w:color w:val="111111"/>
          <w:sz w:val="28"/>
          <w:sz w:val="28"/>
          <w:szCs w:val="28"/>
          <w:rtl w:val="true"/>
          <w:lang w:bidi="ar-SA"/>
        </w:rPr>
        <w:t xml:space="preserve">من دون تقييد بمضي زمن الخيار، والدالة على أنّ مال العبد للمشتري </w:t>
      </w:r>
      <w:r>
        <w:rPr>
          <w:rStyle w:val="FootnoteAnchor"/>
          <w:rtl w:val="true"/>
        </w:rPr>
        <w:footnoteReference w:id="1084"/>
      </w:r>
      <w:r>
        <w:rPr>
          <w:rFonts w:ascii="Amiri" w:hAnsi="Amiri" w:eastAsia="Amiri" w:cs="Amiri"/>
          <w:color w:val="111111"/>
          <w:sz w:val="28"/>
          <w:sz w:val="28"/>
          <w:szCs w:val="28"/>
          <w:rtl w:val="true"/>
          <w:lang w:bidi="ar-SA"/>
        </w:rPr>
        <w:t xml:space="preserve">مطلقاً أو مع علم البائع من غير تقييد، والدالة على أن النماء والتلف في زمن خيار الشرط من المشتري </w:t>
      </w:r>
      <w:r>
        <w:rPr>
          <w:rStyle w:val="FootnoteAnchor"/>
          <w:rtl w:val="true"/>
        </w:rPr>
        <w:footnoteReference w:id="1085"/>
      </w:r>
      <w:r>
        <w:rPr>
          <w:rFonts w:ascii="Amiri" w:hAnsi="Amiri" w:eastAsia="Amiri" w:cs="Amiri"/>
          <w:color w:val="111111"/>
          <w:sz w:val="28"/>
          <w:sz w:val="28"/>
          <w:szCs w:val="28"/>
          <w:rtl w:val="true"/>
          <w:lang w:bidi="ar-SA"/>
        </w:rPr>
        <w:t>خاصة، والدالة على أن البيع بعد الشراء</w:t>
      </w:r>
      <w:r>
        <w:rPr>
          <w:rStyle w:val="FootnoteAnchor"/>
          <w:rtl w:val="true"/>
        </w:rPr>
        <w:footnoteReference w:id="1086"/>
      </w:r>
      <w:r>
        <w:rPr>
          <w:rFonts w:ascii="Amiri" w:hAnsi="Amiri" w:eastAsia="Amiri" w:cs="Amiri"/>
          <w:color w:val="111111"/>
          <w:sz w:val="28"/>
          <w:sz w:val="28"/>
          <w:szCs w:val="28"/>
          <w:rtl w:val="true"/>
          <w:lang w:bidi="ar-SA"/>
        </w:rPr>
        <w:t xml:space="preserve">من دون تفصيل، أو بعد الملك كما في الصحيح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قصد البائع الملك ابتداء، فبدونه ينبغي البطلان من رأس، وللسيرة القطعية الحاكمة بجواز التصرف من المتعاقدين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بتوقف الملك على العقد وانقضاء مدة الخيار أو الالتزام بالعقد 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ابن الجنيد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كان الخيار للبائع أو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الشيخ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يخرج عن ملك البائع ولا يدخل في ملك المشتري إلا بعد انقضاء مدة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 عن الشيخ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وموافق لفتوى العامة بأي معنى كان سواء كان انقضاء مدة الخيار ناقلاً من حينه، أو ناقلاً من أصله، أو كاشفاً له كذلك؛ لضعف دليله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يمكن الاستناد إليه من الأصل وظواهر بعض الأخبار كالتعبير في خيار المجلس </w:t>
      </w:r>
      <w:bookmarkStart w:id="391" w:name="pg19000_245447"/>
    </w:p>
    <w:p>
      <w:pPr>
        <w:pStyle w:val="BookText"/>
        <w:rPr/>
      </w:pPr>
      <w:bookmarkEnd w:id="391"/>
      <w:r>
        <w:rPr>
          <w:rFonts w:ascii="Amiri" w:hAnsi="Amiri" w:eastAsia="Amiri" w:cs="Amiri"/>
          <w:color w:val="111111"/>
          <w:sz w:val="28"/>
          <w:sz w:val="28"/>
          <w:szCs w:val="28"/>
          <w:rtl w:val="true"/>
          <w:lang w:bidi="ar-SA"/>
        </w:rPr>
        <w:t xml:space="preserve">بوجوب البيع </w:t>
      </w:r>
      <w:r>
        <w:rPr>
          <w:rStyle w:val="FootnoteAnchor"/>
          <w:rtl w:val="true"/>
        </w:rPr>
        <w:footnoteReference w:id="1091"/>
      </w:r>
      <w:r>
        <w:rPr>
          <w:rFonts w:ascii="Amiri" w:hAnsi="Amiri" w:eastAsia="Amiri" w:cs="Amiri"/>
          <w:color w:val="111111"/>
          <w:sz w:val="28"/>
          <w:sz w:val="28"/>
          <w:szCs w:val="28"/>
          <w:rtl w:val="true"/>
          <w:lang w:bidi="ar-SA"/>
        </w:rPr>
        <w:t xml:space="preserve">والتعبير في غيره بنفيه </w:t>
      </w:r>
      <w:r>
        <w:rPr>
          <w:rStyle w:val="FootnoteAnchor"/>
          <w:rtl w:val="true"/>
        </w:rPr>
        <w:footnoteReference w:id="1092"/>
      </w:r>
      <w:r>
        <w:rPr>
          <w:rFonts w:ascii="Amiri" w:hAnsi="Amiri" w:eastAsia="Amiri" w:cs="Amiri"/>
          <w:color w:val="111111"/>
          <w:sz w:val="28"/>
          <w:sz w:val="28"/>
          <w:szCs w:val="28"/>
          <w:rtl w:val="true"/>
          <w:lang w:bidi="ar-SA"/>
        </w:rPr>
        <w:t xml:space="preserve">كخيار التأخير، وكالأخبار الدالة على أن تلف المبيع في زمن خيار المشتري من البائع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ما ذكرنا؛ لما قدمنا من أن التعبير بذلك أمر معلوم وشائع مفهوم في نفي اللزوم، والقاعدة الأخيرة مسلّمة كتلف المبيع قبل قبضه مطلقاً لا مخالف فيهما، فيخصص بهما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الأخير فلا يصح التصرّف من ذي الخيار ولا من غيره فيما انتقل إليهما، ويكون التصرف ممّن انتقل إليه، كمن باع شيئاً ثم ملكه، ويكون نماء المنتقل للناقل وتكون النفقة عليه، ويكون احتسابه من أمواله في خمس أو زكاة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يصح التصرف من المنتقل إليه مطلقاً، وتمضى عقوده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فسخ ذو الخيار احتمل أن له فسخها؛ لأنّها في معرض الجواز، واحتمل بقاؤها والرجوع إليه بالمثل أو القيمة؛ لأنّها بمنزلة التلف واحتمل فوات الخيار منه فليس له الفسخ، واحتُمل بطلان أصل العقود لا لعدم الملك، بل لتعلّق حق الغير فلا ينفذ العقد حينئذٍ،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التصرف مملك على القول الأخير، كما أنّه ملزم على القول الأوّل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الخيار المؤخّر في بطلان العقد به كخيار التأخير كالمقدم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يبعد القول الأخير</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3372400_1280447820"/>
      <w:bookmarkStart w:id="393" w:name="_Toc146"/>
      <w:bookmarkEnd w:id="392"/>
      <w:r>
        <w:rPr>
          <w:rtl w:val="true"/>
        </w:rPr>
        <w:t>حادي عشرها</w:t>
      </w:r>
      <w:r>
        <w:rPr>
          <w:rtl w:val="true"/>
        </w:rPr>
        <w:t xml:space="preserve">: </w:t>
      </w:r>
      <w:r>
        <w:rPr>
          <w:rtl w:val="true"/>
        </w:rPr>
        <w:t>حكم ما لو تلف المبيع في البيع قبل قبضه بآفةٍ سماوية أو أرضية أو بقصاص</w:t>
      </w:r>
      <w:bookmarkEnd w:id="39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العقود؛ اقتصاراً على مورد اليقين، ودون الثمن في وجه قوي، وتنقيح المناط بينهما لم يثبت كمنقول الإجماع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باب القبض 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بآفةٍ سماوية أو أرضيّة أو بقصاص، أو أتلف نفسه بقتل ونحوه، أو حد أو شبههما مما فرضه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بتلف إنساني من أحد المتعاقدين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معيّناً لا كلّيّاً، فانتفت أفراده وارتفع وجوده فإنّه يثبت به الخيار بين الصبر والفسخ أو </w:t>
      </w:r>
    </w:p>
    <w:p>
      <w:pPr>
        <w:pStyle w:val="BookText"/>
        <w:rPr/>
      </w:pPr>
      <w:r>
        <w:rPr>
          <w:rFonts w:ascii="Amiri" w:hAnsi="Amiri" w:eastAsia="Amiri" w:cs="Amiri"/>
          <w:color w:val="111111"/>
          <w:sz w:val="28"/>
          <w:sz w:val="28"/>
          <w:szCs w:val="28"/>
          <w:rtl w:val="true"/>
          <w:lang w:bidi="ar-SA"/>
        </w:rPr>
        <w:t xml:space="preserve">أخذ القيمة، وكان المشتري غير ممتنع من قبضه بعد عرضه عليه فتلفه من مال بائعه، بمعنى انفساخه من حينه، اقتصاراً على مورد اليقين بعد الحكم بصحة العقد والملك، لا من أصله كما احتمله بعضهم </w:t>
      </w:r>
      <w:r>
        <w:rPr>
          <w:rStyle w:val="FootnoteAnchor"/>
          <w:rtl w:val="true"/>
        </w:rPr>
        <w:footnoteReference w:id="1095"/>
      </w:r>
      <w:r>
        <w:rPr>
          <w:rFonts w:ascii="Amiri" w:hAnsi="Amiri" w:eastAsia="Amiri" w:cs="Amiri"/>
          <w:color w:val="111111"/>
          <w:sz w:val="28"/>
          <w:sz w:val="28"/>
          <w:szCs w:val="28"/>
          <w:rtl w:val="true"/>
          <w:lang w:bidi="ar-SA"/>
        </w:rPr>
        <w:t>، ولا بمعنى ضمانه للمشتري المثل أو القيمة، كما قد يظهر من معنى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الانفساخ فتوى المشهور، والإجماع المنقول </w:t>
      </w:r>
      <w:r>
        <w:rPr>
          <w:rStyle w:val="FootnoteAnchor"/>
          <w:rtl w:val="true"/>
        </w:rPr>
        <w:footnoteReference w:id="1096"/>
      </w:r>
      <w:r>
        <w:rPr>
          <w:rFonts w:ascii="Amiri" w:hAnsi="Amiri" w:eastAsia="Amiri" w:cs="Amiri"/>
          <w:color w:val="111111"/>
          <w:sz w:val="28"/>
          <w:sz w:val="28"/>
          <w:szCs w:val="28"/>
          <w:rtl w:val="true"/>
          <w:lang w:bidi="ar-SA"/>
        </w:rPr>
        <w:t>، والرواية العامية</w:t>
      </w:r>
      <w:r>
        <w:rPr>
          <w:rStyle w:val="FootnoteAnchor"/>
          <w:rtl w:val="true"/>
        </w:rPr>
        <w:footnoteReference w:id="1097"/>
      </w:r>
      <w:r>
        <w:rPr>
          <w:rFonts w:ascii="Amiri" w:hAnsi="Amiri" w:eastAsia="Amiri" w:cs="Amiri"/>
          <w:color w:val="111111"/>
          <w:sz w:val="28"/>
          <w:sz w:val="28"/>
          <w:szCs w:val="28"/>
          <w:rtl w:val="true"/>
          <w:lang w:bidi="ar-SA"/>
        </w:rPr>
        <w:t xml:space="preserve">، وجملة من الروايات الخاصة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التلف من أجنبي سارق أو غاصب مجهول أو معلوم، لم ينفسخ البيع، ورجع المشتري عليه بالمثل أو القيمة، مع احتمال الفرق بين المجهول فينفسخ البيع؛ تنزيلاً له منزلة التلف، وللخبر الدال على أنّ المبيع إذا سرق من البائع كان من ماله </w:t>
      </w:r>
      <w:r>
        <w:rPr>
          <w:rStyle w:val="FootnoteAnchor"/>
          <w:rtl w:val="true"/>
        </w:rPr>
        <w:footnoteReference w:id="1099"/>
      </w:r>
      <w:r>
        <w:rPr>
          <w:rFonts w:ascii="Amiri" w:hAnsi="Amiri" w:eastAsia="Amiri" w:cs="Amiri"/>
          <w:color w:val="111111"/>
          <w:sz w:val="28"/>
          <w:sz w:val="28"/>
          <w:szCs w:val="28"/>
          <w:rtl w:val="true"/>
          <w:lang w:bidi="ar-SA"/>
        </w:rPr>
        <w:t>، والمعلوم فيرجع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يثبت للمشتري الخيار بين الفسخ؛ لحديث الضرار</w:t>
      </w:r>
      <w:r>
        <w:rPr>
          <w:rStyle w:val="FootnoteAnchor"/>
          <w:rtl w:val="true"/>
        </w:rPr>
        <w:footnoteReference w:id="1100"/>
      </w:r>
      <w:r>
        <w:rPr>
          <w:rFonts w:ascii="Amiri" w:hAnsi="Amiri" w:eastAsia="Amiri" w:cs="Amiri"/>
          <w:color w:val="111111"/>
          <w:sz w:val="28"/>
          <w:sz w:val="28"/>
          <w:szCs w:val="28"/>
          <w:rtl w:val="true"/>
          <w:lang w:bidi="ar-SA"/>
        </w:rPr>
        <w:t>، وبين عدمه فيرجع على المتلف، فإن كان معلوماً أخذ منه، وإن كان مجهولاً انتظر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المتلف هو البائع، فإنّ الحكم بالخيار أولى من الحكم بالانفساخ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أتلفه المشتري قبل قبضه، فالظاهر أنّه بمنزلة قبضه فيذهب من ماله؛ لاستبعاد انفساخ العقد مع ضمان المثل أو القيمة للبائع مع كونه هو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شارك الآفة السماوية في التلف الأجنبي أو أحد المتعاقدين، فإن استند الفعل إليها فالحكم بالانفساخ واضح وإن استند إليهما فالحكم بعدمه، وإن استند إلى الكل مجتمعاً أو كان كلّ سبباً مستقلاً لو انفرد، فالظاهر عدم الانفساخ أيضاً؛ اقتصاراً في الحكم المخالف للأصل على مورد اليقين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الانفساخ يسترجع المشتري الثمن إن دفعه وكان موجوداً، فإن تلف فالمثل أو القيمة</w:t>
      </w:r>
      <w:r>
        <w:rPr>
          <w:rFonts w:eastAsia="Amiri" w:cs="Amiri" w:ascii="Amiri" w:hAnsi="Amiri"/>
          <w:color w:val="111111"/>
          <w:sz w:val="28"/>
          <w:szCs w:val="28"/>
          <w:rtl w:val="true"/>
          <w:lang w:bidi="ar-SA"/>
        </w:rPr>
        <w:t xml:space="preserve">. </w:t>
      </w:r>
      <w:bookmarkStart w:id="394" w:name="pg19000_245449"/>
    </w:p>
    <w:p>
      <w:pPr>
        <w:pStyle w:val="BookText"/>
        <w:rPr/>
      </w:pPr>
      <w:bookmarkEnd w:id="394"/>
      <w:r>
        <w:rPr>
          <w:rFonts w:ascii="Amiri" w:hAnsi="Amiri" w:eastAsia="Amiri" w:cs="Amiri"/>
          <w:color w:val="111111"/>
          <w:sz w:val="28"/>
          <w:sz w:val="28"/>
          <w:szCs w:val="28"/>
          <w:rtl w:val="true"/>
          <w:lang w:bidi="ar-SA"/>
        </w:rPr>
        <w:t>ويلحق بالتلف بيعه أو عتقه أو صيرورتها أُمّ ولد للبائع، مع احتمال عودها للمشتري؛ لأنّه بمنزلة الملك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الانفساخ هنا للشكّ في شمول دليله لهذه الصورة، أو احتمال خروجها عن ملك الأوّل وعدم دخولها في ملك المشتري فتبقى بلا مالك، ضعيفان جداً</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3372402_1280447820"/>
      <w:bookmarkStart w:id="396" w:name="_Toc147"/>
      <w:bookmarkEnd w:id="395"/>
      <w:r>
        <w:rPr>
          <w:rtl w:val="true"/>
        </w:rPr>
        <w:t>ثاني عشرها</w:t>
      </w:r>
      <w:r>
        <w:rPr>
          <w:rtl w:val="true"/>
        </w:rPr>
        <w:t xml:space="preserve">: </w:t>
      </w:r>
      <w:r>
        <w:rPr>
          <w:rtl w:val="true"/>
        </w:rPr>
        <w:t>حكم ما لو تلف المبيع بآفةٍ سماوية ونحوها بعد قبضه في زمن الخيار المختص</w:t>
      </w:r>
      <w:bookmarkEnd w:id="396"/>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بآفةٍ سماوية ونحوها في عقد البيع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قبضه في زمن الخيار المختص، كان التلف ممن لا خيار له، فلو تلف والخيار للبائع فلا كلام أنّه من المشتري؛ لموافقته القاعدة، ولو تلف والخيار للمشتري خاصةً بأصل الشرع كخيار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بالشرط، كان التلف من البائع للأخبار الواردة في خيار الحيوان وخيار الشرط </w:t>
      </w:r>
      <w:r>
        <w:rPr>
          <w:rStyle w:val="FootnoteAnchor"/>
          <w:rtl w:val="true"/>
        </w:rPr>
        <w:footnoteReference w:id="1101"/>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102"/>
      </w:r>
      <w:r>
        <w:rPr>
          <w:rFonts w:ascii="Amiri" w:hAnsi="Amiri" w:eastAsia="Amiri" w:cs="Amiri"/>
          <w:color w:val="111111"/>
          <w:sz w:val="28"/>
          <w:sz w:val="28"/>
          <w:szCs w:val="28"/>
          <w:rtl w:val="true"/>
          <w:lang w:bidi="ar-SA"/>
        </w:rPr>
        <w:t>، على عدم الفرق بينهما وبين غيرهما، ولفهم العلة من الأصحاب على ما يظهر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بتلفه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العقد من حينه ورجوع كلّ إلى ماله على ما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الخيار المشترك بين المشتري والأجنبي وخيار الأجنبي إذا كان باشتراط المشتري خاصةً وخيار عبد المشتري خاصةً بخيار المشتري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يخلو من إشكال؛ لمخالفة الحكم للقاعدة، فيقتصر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إلحاق الثمن بالمبيع إذا كان الخيار للبائع خاصةً، بمعنى انفساخ البيع حينئذٍ، ويكون الثمن من المشتري، فإنّه لا يبعد بل هو الظاهر من الأصحاب، إلا أنّه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التلف بآفة سماوية ونحوها كما تقدّم، أما لو كان المتلف المشتري فلا ينفسخ العقد بل يذهب المبيع من ماله؛ لأنّه أقوى من التصرّف، ولو كان المتلف البائع أو الأجنبي بقي له الخيار بين الفسخ وذهاب المبيع من مال البائع وبين الإمضاء فيرجع على المتلف بالمثل أو القيمة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والتالف قبل مدة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من مالكه على وفق القاعدة، كما أنّ التالف في الخيار المشترك بين البائع والمشتري أو التالف إذا كان مبيعاً في زمن خيار البائع </w:t>
      </w:r>
      <w:bookmarkStart w:id="397" w:name="pg19000_245450"/>
    </w:p>
    <w:p>
      <w:pPr>
        <w:pStyle w:val="BookText"/>
        <w:rPr/>
      </w:pPr>
      <w:bookmarkEnd w:id="397"/>
      <w:r>
        <w:rPr>
          <w:rFonts w:ascii="Amiri" w:hAnsi="Amiri" w:eastAsia="Amiri" w:cs="Amiri"/>
          <w:color w:val="111111"/>
          <w:sz w:val="28"/>
          <w:sz w:val="28"/>
          <w:szCs w:val="28"/>
          <w:rtl w:val="true"/>
          <w:lang w:bidi="ar-SA"/>
        </w:rPr>
        <w:t>خاصة والتالف في الخيار المشترك بينه وبين الأجنبي أو المشترك بين الثلاثة أو المشروط لأجنبي منهما أو من البائع خاصةً أو من المشتري في وجه قوي على وفق القواعد</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3372404_1280447820"/>
      <w:bookmarkStart w:id="399" w:name="_Toc148"/>
      <w:bookmarkEnd w:id="398"/>
      <w:r>
        <w:rPr>
          <w:rtl w:val="true"/>
        </w:rPr>
        <w:t>ثالث عشرها</w:t>
      </w:r>
      <w:r>
        <w:rPr>
          <w:rtl w:val="true"/>
        </w:rPr>
        <w:t xml:space="preserve">: </w:t>
      </w:r>
      <w:r>
        <w:rPr>
          <w:rtl w:val="true"/>
        </w:rPr>
        <w:t>حصول الفسخ من ذي الخيار بالقول والفعل</w:t>
      </w:r>
      <w:bookmarkEnd w:id="399"/>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الفسخ من ذي الخيار بالقول وبالفعل، والظاهر أنّه يحصل بالوطء وبالعقد الناقل أو العتق، ولا يتوقفان على فسخ متقدّم؛ لحلّية الوطء أو نفوذ العقود أو العتق لعدم تسليم حرمة الوطء المحصل للفسخ، وعدم نفوذ العقد المقارن له، مع احتمال تقدير تقدَّم الفسخ والملك آناً ما عند إرادة الفسخ بهما فيقع الوطء والعقد موقعهما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الإجازة تحصل بالقول والفعل أيضاً إذا كانا ظاهرين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تصرف غير ذي الخيار بما انتقل إليه، فالظاهر جوازه؛ للأصل، مع احتمال الحرمة؛ لتعلّق حق الغير به، ولكنّه مخالف لظاهر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رتب عليه عقوداً، قوي القول بنفوذها، ويلتزم بالمثل أو القيمة عند فسخ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نفوذها إلا مع الإجازة؛ لتعلّق حق الغير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نفوذها متزلزلاً، فلذي الخيار فسخها، إلا إذا كان مما بني على التغليب كالعتق وشبهه؛ لأنّ الحُرّ لا يعود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ذو الخيار فعلاً دالاً على الإجازة والفسخ كما إذا اشترى عبداً بجارية وله الخيار فأعتقهما، احتمل تقديم ما دلّ على الفسخ؛ لقوته، فيصح عتق الجارية، واحتمل تقديم ما دلّ على الإجازة؛ استصحاباً لبقاء عقده، فيصح عتق العبد، واحتمل بطلان العتقين وبقاء العقد على الصحّة والخيار؛ لعدم تحقق ما يوجب الفسخ، وامتناع الحكم بأحد العتقين دون الآخر؛ للترجيح من دون مرجّح، واحتمل صحّة عتق أحدهما واستخراجه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فسخ ذو الخيار، فالأظهر كون العين التي في يده أمانة، وكذا عينه التي في يد مَنْ لا خيار له، لا تُضمن إلا بالتعدي والتفريط؛ للأصل، والشكّ في شمول دليل الضمان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هو المشهور في الصورتين، مع احتمال الضمان في الصورة الأولى؛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ولأنّ الفسخ جاء من قبله، فلا يسقط حق غيره، ولشبهه بالمقبوض بالسوم، ولإقدامه على ضمانه، وهو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 عشرها خيار تبعيض الصفقة، وهو ثابت بالإجماع، والنص، والأخبار </w:t>
      </w:r>
      <w:r>
        <w:rPr>
          <w:rStyle w:val="FootnoteAnchor"/>
          <w:rtl w:val="true"/>
        </w:rPr>
        <w:footnoteReference w:id="1104"/>
      </w:r>
      <w:r>
        <w:rPr>
          <w:rFonts w:ascii="Amiri" w:hAnsi="Amiri" w:eastAsia="Amiri" w:cs="Amiri"/>
          <w:color w:val="111111"/>
          <w:sz w:val="28"/>
          <w:sz w:val="28"/>
          <w:szCs w:val="28"/>
          <w:rtl w:val="true"/>
          <w:lang w:bidi="ar-SA"/>
        </w:rPr>
        <w:t xml:space="preserve">، وحديث نفي الضرار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اشترى أشياء على أنّها معدودة أو مذروعة أو مكيلة أو موزونة على نحو خاص فتبين نقصانها، أو كان رآها كذلك فتبين نقصانها، أو كان رآها بالمشاهدة فيما تكفي فيه المشاهدة على نحو فتبين نقصانه عنه، كان له الخيار بين الرد للباقي وأخذ ثمنه، وبين جميع الإمضاء وأخذ الباقي بمقابله من الثمن واسترجاعه الباقي، كما في الخبر </w:t>
      </w:r>
      <w:r>
        <w:rPr>
          <w:rStyle w:val="FootnoteAnchor"/>
          <w:rtl w:val="true"/>
        </w:rPr>
        <w:footnoteReference w:id="1106"/>
      </w:r>
      <w:r>
        <w:rPr>
          <w:rFonts w:ascii="Amiri" w:hAnsi="Amiri" w:eastAsia="Amiri" w:cs="Amiri"/>
          <w:color w:val="111111"/>
          <w:sz w:val="28"/>
          <w:sz w:val="28"/>
          <w:szCs w:val="28"/>
          <w:rtl w:val="true"/>
          <w:lang w:bidi="ar-SA"/>
        </w:rPr>
        <w:t xml:space="preserve">، وهو فتوى الأكثر </w:t>
      </w:r>
      <w:r>
        <w:rPr>
          <w:rStyle w:val="FootnoteAnchor"/>
          <w:rtl w:val="true"/>
        </w:rPr>
        <w:footnoteReference w:id="1107"/>
      </w:r>
      <w:r>
        <w:rPr>
          <w:rFonts w:ascii="Amiri" w:hAnsi="Amiri" w:eastAsia="Amiri" w:cs="Amiri"/>
          <w:color w:val="111111"/>
          <w:sz w:val="28"/>
          <w:sz w:val="28"/>
          <w:szCs w:val="28"/>
          <w:rtl w:val="true"/>
          <w:lang w:bidi="ar-SA"/>
        </w:rPr>
        <w:t xml:space="preserve">، ويؤيده حديث نفي الضرار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للشيخ حيث خير بين الردّ وبين الإمضاء بجميع الثمن</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موهن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في هذا القسم بين أن يكون النقصان قد وقع قبل العقد أو بعده قبل القبض؛ لأنّ ما قبل القبض مضمون على البائع بمعنى تلفه منه، فيساوي ما قبل العقد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يتفاوت الحال بين بذل البائع النقصان ممّا يساوي الناقص وبين عدمه؛ لإطلاق الفتوى، وحديث نفى الضرار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فأسقط الخيار بالإتمام بالأرض لو اشتراها على أنّها جربان معينة فظهرت ناقصة، فإنّه إذا أتمها من أرض أُخرى بجنبها مثلها لزم البيع </w:t>
      </w:r>
      <w:r>
        <w:rPr>
          <w:rStyle w:val="FootnoteAnchor"/>
          <w:rtl w:val="true"/>
        </w:rPr>
        <w:footnoteReference w:id="1111"/>
      </w:r>
      <w:r>
        <w:rPr>
          <w:rFonts w:ascii="IRNazanin" w:hAnsi="IRNazanin" w:eastAsia="IRNazanin"/>
          <w:color w:val="111111"/>
          <w:sz w:val="28"/>
          <w:sz w:val="28"/>
          <w:szCs w:val="28"/>
          <w:rtl w:val="true"/>
          <w:lang w:bidi="fa-IR"/>
        </w:rPr>
        <w:t xml:space="preserve">للخبر </w:t>
      </w:r>
      <w:r>
        <w:rPr>
          <w:rStyle w:val="FootnoteAnchor"/>
          <w:rtl w:val="true"/>
        </w:rPr>
        <w:footnoteReference w:id="1112"/>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محمول على عدم التعيين عند الشراء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هذا الخيار في جميع العقود، ويتعلّق فيما اتحد ثمنه، تعدد المبيع فيه أو اتحد، بل لو تعدد العقد إيجاباً ومبيعاً واتحد الثمن، أو تعدّد إيجاباً واختلف متعلّقه كبيع وإجارة أو غيرهما مع اتحاد الثمن، لكان كذلك، ولا يدور مدار تعدد القبول وعدمه حكم بعد ما كان الثمن متحداً</w:t>
      </w:r>
      <w:r>
        <w:rPr>
          <w:rFonts w:eastAsia="Amiri" w:cs="Amiri" w:ascii="Amiri" w:hAnsi="Amiri"/>
          <w:color w:val="111111"/>
          <w:sz w:val="28"/>
          <w:szCs w:val="28"/>
          <w:rtl w:val="true"/>
          <w:lang w:bidi="ar-SA"/>
        </w:rPr>
        <w:t xml:space="preserve">. </w:t>
      </w:r>
      <w:bookmarkStart w:id="400" w:name="pg19000_245452"/>
    </w:p>
    <w:p>
      <w:pPr>
        <w:pStyle w:val="Heading3"/>
        <w:numPr>
          <w:ilvl w:val="2"/>
          <w:numId w:val="1"/>
        </w:numPr>
        <w:rPr/>
      </w:pPr>
      <w:bookmarkStart w:id="401" w:name="__RefHeading___Toc13372406_1280447820"/>
      <w:bookmarkStart w:id="402" w:name="_Toc149"/>
      <w:bookmarkEnd w:id="400"/>
      <w:bookmarkEnd w:id="401"/>
      <w:r>
        <w:rPr>
          <w:rtl w:val="true"/>
        </w:rPr>
        <w:t>القول في النقد والنسيئة</w:t>
      </w:r>
      <w:bookmarkEnd w:id="402"/>
    </w:p>
    <w:p>
      <w:pPr>
        <w:pStyle w:val="Heading4"/>
        <w:numPr>
          <w:ilvl w:val="3"/>
          <w:numId w:val="1"/>
        </w:numPr>
        <w:rPr/>
      </w:pPr>
      <w:bookmarkStart w:id="403" w:name="__RefHeading___Toc13372408_1280447820"/>
      <w:bookmarkStart w:id="404" w:name="_Toc150"/>
      <w:bookmarkEnd w:id="403"/>
      <w:r>
        <w:rPr>
          <w:rtl w:val="true"/>
        </w:rPr>
        <w:t>إشارة</w:t>
      </w:r>
      <w:r>
        <w:rPr>
          <w:rtl w:val="true"/>
        </w:rPr>
        <w:t>:</w:t>
      </w:r>
      <w:bookmarkEnd w:id="404"/>
    </w:p>
    <w:p>
      <w:pPr>
        <w:pStyle w:val="BookText"/>
        <w:rPr/>
      </w:pPr>
      <w:r>
        <w:rPr>
          <w:rFonts w:ascii="Amiri" w:hAnsi="Amiri" w:eastAsia="Amiri" w:cs="Amiri"/>
          <w:color w:val="111111"/>
          <w:sz w:val="28"/>
          <w:sz w:val="28"/>
          <w:szCs w:val="28"/>
          <w:rtl w:val="true"/>
          <w:lang w:bidi="ar-SA"/>
        </w:rPr>
        <w:t>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حالاً بثمن حال، من نقدتُه إذا أعطيته وقبضته، سُمّي به الحال؛ لكونه كالمقبوض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بتأخير الثمن، من النسيء، وهو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أنّهما حقيقتان شرعيّتان في ذلك، والظاهر اختصاصهما في بيع الكلّي، فلا يجري في الشخصي المتأخر تسليم ثمنه أو الحال</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3372410_1280447820"/>
      <w:bookmarkStart w:id="406" w:name="_Toc151"/>
      <w:bookmarkEnd w:id="405"/>
      <w:r>
        <w:rPr>
          <w:rtl w:val="true"/>
        </w:rPr>
        <w:t>وفيهما أُمور</w:t>
      </w:r>
      <w:r>
        <w:rPr>
          <w:rtl w:val="true"/>
        </w:rPr>
        <w:t>:</w:t>
      </w:r>
      <w:bookmarkEnd w:id="406"/>
    </w:p>
    <w:p>
      <w:pPr>
        <w:pStyle w:val="Heading5"/>
        <w:numPr>
          <w:ilvl w:val="4"/>
          <w:numId w:val="1"/>
        </w:numPr>
        <w:rPr/>
      </w:pPr>
      <w:bookmarkStart w:id="407" w:name="__RefHeading___Toc13372412_1280447820"/>
      <w:bookmarkStart w:id="408" w:name="_Toc152"/>
      <w:bookmarkEnd w:id="407"/>
      <w:r>
        <w:rPr>
          <w:rtl w:val="true"/>
        </w:rPr>
        <w:t>أحدها</w:t>
      </w:r>
      <w:r>
        <w:rPr>
          <w:rtl w:val="true"/>
        </w:rPr>
        <w:t xml:space="preserve">: </w:t>
      </w:r>
      <w:r>
        <w:rPr>
          <w:rtl w:val="true"/>
        </w:rPr>
        <w:t>حكم بيع الثمن والمثمن كلّ منهما بالآخر إن كانا شخصيين أو كليين أو دينين في ذمتين قبل العقد أو</w:t>
      </w:r>
      <w:bookmarkEnd w:id="40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والمثمن إن كانا شخصيين جاز بيع كلّ منهما بالآخر مع حلول التسليم فيهما ومع تأجيله، ومع الاختلاف، فتجوز الصور الأربع، والظاهر أنّه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كانا كلّيين، جاز بيع أحدهما بالآخر حالين، ولم يجز مؤجلين؛ لأنّه من بيع الكالي بالكالئ، وهو ممنوع عند الأصحاب، وورد النهى عنه </w:t>
      </w:r>
      <w:r>
        <w:rPr>
          <w:rStyle w:val="FootnoteAnchor"/>
          <w:rtl w:val="true"/>
        </w:rPr>
        <w:footnoteReference w:id="1113"/>
      </w:r>
      <w:r>
        <w:rPr>
          <w:rFonts w:ascii="Amiri" w:hAnsi="Amiri" w:eastAsia="Amiri" w:cs="Amiri"/>
          <w:color w:val="111111"/>
          <w:sz w:val="28"/>
          <w:sz w:val="28"/>
          <w:szCs w:val="28"/>
          <w:rtl w:val="true"/>
          <w:lang w:bidi="ar-SA"/>
        </w:rPr>
        <w:t>، وجاز تأجيل الثمن فقط، وجاز تأجيل المثمن، وهو السَّلَم، فهذه صور أربع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دينين في ذمتين قبل العقد حالين أو مؤجلين قبل العقد أو بعده، فهل يصح بيعها بصورها الست؛ للأصل، وعدم دليل مثبتٍ للمنع، أو لا يصح مطلقاً؛ لأنّه بيع دَيْنٍ بدَيْنٍ وهو منهي عنه، أو لا يصح في المؤجلين قبل العقد أو المؤجلين بعده دون الحالين؛ لشبه المؤجلين سيّما بعد العقد ببيع الكالي بالكالئ دون الحالين ؟ وجوه، أحوطها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عليها </w:t>
      </w:r>
      <w:r>
        <w:rPr>
          <w:rStyle w:val="FootnoteAnchor"/>
          <w:rtl w:val="true"/>
        </w:rPr>
        <w:footnoteReference w:id="111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مختلفين بالكلية والتشخيص، جاز بيع كلّ منهما بالآخر؛ للأصل، سواء في </w:t>
      </w:r>
      <w:bookmarkStart w:id="409" w:name="pg19000_245453"/>
    </w:p>
    <w:p>
      <w:pPr>
        <w:pStyle w:val="BookText"/>
        <w:rPr/>
      </w:pPr>
      <w:bookmarkEnd w:id="409"/>
      <w:r>
        <w:rPr>
          <w:rFonts w:ascii="Amiri" w:hAnsi="Amiri" w:eastAsia="Amiri" w:cs="Amiri"/>
          <w:color w:val="111111"/>
          <w:sz w:val="28"/>
          <w:sz w:val="28"/>
          <w:szCs w:val="28"/>
          <w:rtl w:val="true"/>
          <w:lang w:bidi="ar-SA"/>
        </w:rPr>
        <w:t>ذلك المؤجلين أو الحالين أو المختلفين في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مختلفين بالتشخيص والدينية، جاز أيضاً بيع كلّ منهما بالآخر، سواء في ذلك التأجيل أو التعجيل والتأجيل السابق للدين أو المتأخر بالصُّور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مختلفين بالدينية والكلّيّة، جاز البيع من صوره الست في ثلاث، وهي ما إذا كان أحدهما كلّيّاً حالاً، وامتنع في ثلاث، وهو ما إذا كان أحدهما كليّاً مؤجلاً وكان الثاني دَيْناً حالاً أو مؤجّلاً قبل العقد أو بعده على الأظهر، فهذه ثلاثون صورة ينبغي التأمل فيها</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3372414_1280447820"/>
      <w:bookmarkStart w:id="411" w:name="_Toc153"/>
      <w:bookmarkEnd w:id="410"/>
      <w:r>
        <w:rPr>
          <w:rtl w:val="true"/>
        </w:rPr>
        <w:t>ثانيها</w:t>
      </w:r>
      <w:r>
        <w:rPr>
          <w:rtl w:val="true"/>
        </w:rPr>
        <w:t xml:space="preserve">: </w:t>
      </w:r>
      <w:r>
        <w:rPr>
          <w:rtl w:val="true"/>
        </w:rPr>
        <w:t>في أن إطلاق العقد يقضي بالتعجيل</w:t>
      </w:r>
      <w:bookmarkEnd w:id="41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يقضي بالتعجيل؛ لاقتضائه الملك المقتضي لدفعه للمالك، وشرطه مؤكد، إلا أن فائدته التسلّط على الخيار عند تأخيره، سواء اشترط التعجيل مطلقاً أو التعجيل في وقت خاص فأخره عن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التأجيل إذا كان مضبوطاً آخره بما لا يحتمل الزيادة والنقصان من جهة وقوعه كقدوم الحاج، أو من جهة عدم العلم به كظهور الصاحب وقيام الساعة، أو من جهة اشتباه لفظه لكونه قدراً مشتركاً كيوم جمعة أو شهر رجب، أو لكونه مشتركاً لفظياً كربيع وجمادى وطلوع الشعراء، كلّ ذلك لمكان الغرر، من غير فرق بين التحديد بحرف الجرّ أو التحديد بالشرط، إلا إذا انصرف ظاهر الخطاب إلى أوّل جمعة وأول رجب، كما هو الظاهر من تعريف أيام الأسبوع، أو إلى أوّل الربيعين وجماديين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المدة القصيرة والطويلة ولو زادت على العمر، فلو مات مَنْ عليه الأجل حلّ ما عليه، ويكون لوارثه الخيار؛ لأنّ للأجل قسطاً من الثمن، فيكون كتبعيض الصفقة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أجل لقيام الساعة احتمل بطلان العقد، وصحته معجّلاً؛ لكونه من الشرائط الملغاة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تأجيل الثمن حقٌّ للمشتري فقط، فلا يجوز للبائع مطالبته قبله، وإلا فلو دفعه إليه قبله وجب قبوله، أو حق لهما، فلا يجب على البائع القبول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3372416_1280447820"/>
      <w:bookmarkStart w:id="413" w:name="_Toc154"/>
      <w:bookmarkEnd w:id="412"/>
      <w:r>
        <w:rPr>
          <w:rtl w:val="true"/>
        </w:rPr>
        <w:t>ثالثها</w:t>
      </w:r>
      <w:r>
        <w:rPr>
          <w:rtl w:val="true"/>
        </w:rPr>
        <w:t xml:space="preserve">: </w:t>
      </w:r>
      <w:r>
        <w:rPr>
          <w:rtl w:val="true"/>
        </w:rPr>
        <w:t>اشتراط تعيين الثمن والمثمن والجزم في البيع</w:t>
      </w:r>
      <w:bookmarkEnd w:id="41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البيع الجزم والتعيين في ثمن أو مثمن، فلو باع شيئاً بأحد الثمنين مطلقاً، أو بأحدهما على تقدير دفعه في زمان أو مكان أو حال أو وصف وبالآخر على </w:t>
      </w:r>
    </w:p>
    <w:p>
      <w:pPr>
        <w:pStyle w:val="BookText"/>
        <w:rPr/>
      </w:pPr>
      <w:r>
        <w:rPr>
          <w:rFonts w:ascii="Amiri" w:hAnsi="Amiri" w:eastAsia="Amiri" w:cs="Amiri"/>
          <w:color w:val="111111"/>
          <w:sz w:val="28"/>
          <w:sz w:val="28"/>
          <w:szCs w:val="28"/>
          <w:rtl w:val="true"/>
          <w:lang w:bidi="ar-SA"/>
        </w:rPr>
        <w:t xml:space="preserve">تقدير آخر، أو اشترى بشيء أحد المبيعين مطلقاً، أو أحدهما على تقدير والآخر على تقدير آخر، أو باع أحد الشيئين بأحد الثمنين على تقدير والآخر بالآخر على تقدير آخر، بطل البيع؛ للأصل، وعدم انصراف أدلة العقود جنساً ونوعاً لما اشتمل على ذلك، وللغرر والجهالة، ولما ورد من النهي عن شرطين في بيع طين في بيع </w:t>
      </w:r>
      <w:r>
        <w:rPr>
          <w:rStyle w:val="FootnoteAnchor"/>
          <w:rtl w:val="true"/>
        </w:rPr>
        <w:footnoteReference w:id="1115"/>
      </w:r>
      <w:r>
        <w:rPr>
          <w:rFonts w:ascii="Amiri" w:hAnsi="Amiri" w:eastAsia="Amiri" w:cs="Amiri"/>
          <w:color w:val="111111"/>
          <w:sz w:val="28"/>
          <w:sz w:val="28"/>
          <w:szCs w:val="28"/>
          <w:rtl w:val="true"/>
          <w:lang w:bidi="ar-SA"/>
        </w:rPr>
        <w:t xml:space="preserve">وعن بيعين في بيع </w:t>
      </w:r>
      <w:r>
        <w:rPr>
          <w:rStyle w:val="FootnoteAnchor"/>
          <w:rtl w:val="true"/>
        </w:rPr>
        <w:footnoteReference w:id="1116"/>
      </w:r>
      <w:r>
        <w:rPr>
          <w:rFonts w:ascii="Amiri" w:hAnsi="Amiri" w:eastAsia="Amiri" w:cs="Amiri"/>
          <w:color w:val="111111"/>
          <w:sz w:val="28"/>
          <w:sz w:val="28"/>
          <w:szCs w:val="28"/>
          <w:rtl w:val="true"/>
          <w:lang w:bidi="ar-SA"/>
        </w:rPr>
        <w:t>، الشامل لمفروض المسألة، المؤيَّد بفتوى المشهور، وبقاعدة الجزم في العقود المسلمة عندهم، وبظاهر الاتفاق على بطلان تأثير المردّد فيه على أنّ أثره التخيير فيه، كما هو المفهوم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ذكرناه لا يصح بيع شيء بثمنين أقل أو أكثر الأقل في مقابلة الحلول والأكثر في مقابلة التأجيل، أو الأقل في مقابلة الأجل الناقص والأكثر في مقابلة الزائد؛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إلى أنّ للبائع أقل الثمنين إلى أبعد الأجلين</w:t>
      </w:r>
      <w:r>
        <w:rPr>
          <w:rStyle w:val="FootnoteAnchor"/>
          <w:rtl w:val="true"/>
        </w:rPr>
        <w:footnoteReference w:id="1117"/>
      </w:r>
      <w:r>
        <w:rPr>
          <w:rFonts w:ascii="Amiri" w:hAnsi="Amiri" w:eastAsia="Amiri" w:cs="Amiri"/>
          <w:color w:val="111111"/>
          <w:sz w:val="28"/>
          <w:sz w:val="28"/>
          <w:szCs w:val="28"/>
          <w:rtl w:val="true"/>
          <w:lang w:bidi="ar-SA"/>
        </w:rPr>
        <w:t xml:space="preserve">استناداً لرواية النوفلي عن السكوني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لا يعارض ما قدمنا؛ لضعفه سنداً، ولاشتماله على ما لا تقتضيه القواعد؛ لأن العقد إن صح فالمذهب التخيير، وإن فسد كان الثمن سحتاً، فدفع أقلّ الثمنين في أبعد الأجلين تجارة عن غير تراض وأكل مال بالباطل، والاستناد إلى الصحيح الآتي </w:t>
      </w:r>
      <w:r>
        <w:rPr>
          <w:rStyle w:val="FootnoteAnchor"/>
          <w:rtl w:val="true"/>
        </w:rPr>
        <w:footnoteReference w:id="1119"/>
      </w:r>
      <w:r>
        <w:rPr>
          <w:rFonts w:ascii="Amiri" w:hAnsi="Amiri" w:eastAsia="Amiri" w:cs="Amiri"/>
          <w:color w:val="111111"/>
          <w:sz w:val="28"/>
          <w:sz w:val="28"/>
          <w:szCs w:val="28"/>
          <w:rtl w:val="true"/>
          <w:lang w:bidi="ar-SA"/>
        </w:rPr>
        <w:t>غير صالح؛ لإجماله، وعدم وضوح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من باب الأسباب الشرعيَّة والأحكام القهرية جاء به الدليل، لا من باب تأثيرات العقود الاختيارية والنواقل الوصفية، لا وجه لها؛ لافتقار الحكم بها إلى دليل واضح وبرهان 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هذا الحكم بين بقاء العين أو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مع تلفها رد المثل أو القيمة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لجمع من أصحابنا </w:t>
      </w:r>
      <w:r>
        <w:rPr>
          <w:rStyle w:val="FootnoteAnchor"/>
          <w:rtl w:val="true"/>
        </w:rPr>
        <w:footnoteReference w:id="1120"/>
      </w:r>
      <w:r>
        <w:rPr>
          <w:rFonts w:ascii="Amiri" w:hAnsi="Amiri" w:eastAsia="Amiri" w:cs="Amiri"/>
          <w:color w:val="111111"/>
          <w:sz w:val="28"/>
          <w:sz w:val="28"/>
          <w:szCs w:val="28"/>
          <w:rtl w:val="true"/>
          <w:lang w:bidi="ar-SA"/>
        </w:rPr>
        <w:t xml:space="preserve">، فأوجبوا أقلّ الثمنين في أبعد الأجلين، زاد عن قيمته أو نقص عنها، واستندوا للإجماع المنقول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414" w:name="pg19000_245455"/>
    </w:p>
    <w:p>
      <w:pPr>
        <w:pStyle w:val="BookText"/>
        <w:rPr/>
      </w:pPr>
      <w:bookmarkEnd w:id="414"/>
      <w:r>
        <w:rPr>
          <w:rFonts w:ascii="Amiri" w:hAnsi="Amiri" w:eastAsia="Amiri" w:cs="Amiri"/>
          <w:color w:val="111111"/>
          <w:sz w:val="28"/>
          <w:sz w:val="28"/>
          <w:szCs w:val="28"/>
          <w:rtl w:val="true"/>
          <w:lang w:bidi="ar-SA"/>
        </w:rPr>
        <w:t>وهو ضعيف بمخالفته القواعد، ولفتوى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سلعةً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ثمنها كذا وكذا يداً بيد، وكذا وكذا نظرة، فخُذ بأيّ ثمنٍ شئت، وجعل صفقتهما واحدةً، فليس له إلّا أقلهما وإن كان نظرة</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مجمل الدلالة يخالف طرفاه وسطه، وظاهره مشعر بما قاله الشيخ سابقاً، وليس فيه دلالة على التلف بوجه، وليس فيه تصريح بوقوع الإيجاب على ذلك النحو عند التزام صيغة البيع، ولا وقوع القبول، فليطرح أو يُحمل على وقوع الترديد بالمقاولة قبل البيع وعلى إرادة الإرشاد إلى الأخذ بالأقل من النفي وما بعده، أو يُحمل على الأمر بأخذ ثمن معين ونفي جواز الترديد وأنّه ليس له حينئذٍ إلا الأقل فتأمل، أو يُحمل على أن الأقل هی قیمته بعد التلف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القول الأوّل أو الأخير فالحكم مخالف للقواعد، فيقتصر فيه على مورد الروايات من البيع والترديد بين ثمنين وأن أحدهما حال والآخر مؤجل، فلا يسري للمؤجلين قريباً وبعيداً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نسبه بعض </w:t>
      </w:r>
      <w:r>
        <w:rPr>
          <w:rStyle w:val="FootnoteAnchor"/>
          <w:rtl w:val="true"/>
        </w:rPr>
        <w:footnoteReference w:id="1123"/>
      </w:r>
      <w:r>
        <w:rPr>
          <w:rFonts w:ascii="Amiri" w:hAnsi="Amiri" w:eastAsia="Amiri" w:cs="Amiri"/>
          <w:color w:val="111111"/>
          <w:sz w:val="28"/>
          <w:sz w:val="28"/>
          <w:szCs w:val="28"/>
          <w:rtl w:val="true"/>
          <w:lang w:bidi="ar-SA"/>
        </w:rPr>
        <w:t xml:space="preserve">للأصحاب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الرواية</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3372418_1280447820"/>
      <w:bookmarkStart w:id="416" w:name="_Toc155"/>
      <w:bookmarkEnd w:id="415"/>
      <w:r>
        <w:rPr>
          <w:rtl w:val="true"/>
        </w:rPr>
        <w:t>رابعها</w:t>
      </w:r>
      <w:r>
        <w:rPr>
          <w:rtl w:val="true"/>
        </w:rPr>
        <w:t xml:space="preserve">: </w:t>
      </w:r>
      <w:r>
        <w:rPr>
          <w:rtl w:val="true"/>
        </w:rPr>
        <w:t>حكم شراء ماباعه نسيئةً قبل حلول الأجل نسيئةً ونقداً</w:t>
      </w:r>
      <w:bookmarkEnd w:id="41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ما باعه نسيئةً قبل حلول الأجل نسيئة ونقداً، بنقصان وبزيادة بجنس الثمن وبغيره؛ للعمومات </w:t>
      </w:r>
      <w:r>
        <w:rPr>
          <w:rStyle w:val="FootnoteAnchor"/>
          <w:rtl w:val="true"/>
        </w:rPr>
        <w:footnoteReference w:id="1124"/>
      </w:r>
      <w:r>
        <w:rPr>
          <w:rFonts w:ascii="Amiri" w:hAnsi="Amiri" w:eastAsia="Amiri" w:cs="Amiri"/>
          <w:color w:val="111111"/>
          <w:sz w:val="28"/>
          <w:sz w:val="28"/>
          <w:szCs w:val="28"/>
          <w:rtl w:val="true"/>
          <w:lang w:bidi="ar-SA"/>
        </w:rPr>
        <w:t xml:space="preserve">، ولخصوص ما جاء في ذلك </w:t>
      </w:r>
      <w:r>
        <w:rPr>
          <w:rStyle w:val="FootnoteAnchor"/>
          <w:rtl w:val="true"/>
        </w:rPr>
        <w:footnoteReference w:id="1125"/>
      </w:r>
      <w:r>
        <w:rPr>
          <w:rFonts w:ascii="IRNazanin" w:hAnsi="IRNazanin" w:eastAsia="IRNazanin"/>
          <w:color w:val="111111"/>
          <w:sz w:val="28"/>
          <w:sz w:val="28"/>
          <w:szCs w:val="28"/>
          <w:rtl w:val="true"/>
          <w:lang w:bidi="fa-IR"/>
        </w:rPr>
        <w:t>، ولفتوى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الأخبار ما يدلّ على النهي عن البيع نسيئة على من كان مطلوباً له بطعام أو بقر أو غنم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مجمل لا تصريح فيه بالنهي عمّا نحن فيه مع أنّه مخالف للفتوى والرواية فليحمل على الكراهة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يشترط الشراء حين البيع، وإلا لم يجز الشراء ثانياً،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وتدلّ عليه رواية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باع ثوباً بعشرة فأراد شراءه بخمسة،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 أن الشراء الثاني ليس ممنوعاً مع الشرط تعبداً مع صحّة البيع الأوَّل، بل ممنوع؛ لفساد العقد الأوّل أيضاً، بل ظاهرهم شمول ذلك لبيع النسيئة وغيره بل شموله لسائر العقود؛ لأنّهم علّلوا المنع بأن بيعه ثانياً عليه موقوف على ملكيته له الموقوفة على بيعه، وبعدم القصد إلى نقله إلى المشتري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التوقف على حصول الشرط هو لزوم البيع لا صحته، غايته أن تملك البائع موقوف على تملك المشتري، وأمّا تملك المشتري فلا يتوقف على شيء؛ ولأنّ هذا جارٍ في سائر الشروط كشرط العتق وشرط بيعه للغير، ولا قائل ببطلان البيع فيها قطعاً، على أن اشتراط بيعه بعد الأجل ممّا يوجب تخلّل ملك المشتري، فلا وجه لمنعه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في بيعه أنّه بعد بيعه يكون مبيعاً عليه، كان من البيعين في بيع،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اشتراط بيعه منه ثانياً ممّا يؤكد القصد إلى البيع الأوّل لا مما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جواز البيع الأوَّل، وصحة الشرط، وجواز البيع الثاني، إلا أن ينعقد إجماع على عدم جواز البيع الثاني أو بطلان البيع الأوَّل، فلا تسوغ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استند إليه بعض المتأخرين </w:t>
      </w:r>
      <w:r>
        <w:rPr>
          <w:rStyle w:val="FootnoteAnchor"/>
          <w:rtl w:val="true"/>
        </w:rPr>
        <w:footnoteReference w:id="1129"/>
      </w:r>
      <w:r>
        <w:rPr>
          <w:rFonts w:ascii="Amiri" w:hAnsi="Amiri" w:eastAsia="Amiri" w:cs="Amiri"/>
          <w:color w:val="111111"/>
          <w:sz w:val="28"/>
          <w:sz w:val="28"/>
          <w:szCs w:val="28"/>
          <w:rtl w:val="true"/>
          <w:lang w:bidi="ar-SA"/>
        </w:rPr>
        <w:t>مما ورد فيمن يشتري المتاع ثم يبيعه ثم يشتريه مكانه،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بالخيار إن شاء باع وإن شاء لم يبع، وكنت أنت بالخيار إن شئت اشتريت وإن شئت لم تشتر فلا بأس</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مجمل لا يصلح أن يكون شاهداً لدعوى البطلان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تحريم الشراء ثانياً وهو غير المراد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شراء ما باعه نسيئة بعد حلول الأجل فجائز بجميع صوره؛ لعموم الأدلّة وخصوصها </w:t>
      </w:r>
      <w:r>
        <w:rPr>
          <w:rStyle w:val="FootnoteAnchor"/>
          <w:rtl w:val="true"/>
        </w:rPr>
        <w:footnoteReference w:id="1131"/>
      </w:r>
      <w:r>
        <w:rPr>
          <w:rFonts w:ascii="Amiri" w:hAnsi="Amiri" w:eastAsia="Amiri" w:cs="Amiri"/>
          <w:color w:val="111111"/>
          <w:sz w:val="28"/>
          <w:sz w:val="28"/>
          <w:szCs w:val="28"/>
          <w:rtl w:val="true"/>
          <w:lang w:bidi="ar-SA"/>
        </w:rPr>
        <w:t xml:space="preserve">، إلا فيما إذا شراه بجنس ثمنه الذي باع به أوّلاً بزيادة أو نقصان ففي جوازه قولان وروايتان، </w:t>
      </w:r>
      <w:bookmarkStart w:id="417" w:name="pg19000_245457"/>
    </w:p>
    <w:p>
      <w:pPr>
        <w:pStyle w:val="BookText"/>
        <w:rPr/>
      </w:pPr>
      <w:bookmarkEnd w:id="417"/>
      <w:r>
        <w:rPr>
          <w:rFonts w:ascii="Amiri" w:hAnsi="Amiri" w:eastAsia="Amiri" w:cs="Amiri"/>
          <w:color w:val="111111"/>
          <w:sz w:val="28"/>
          <w:sz w:val="28"/>
          <w:szCs w:val="28"/>
          <w:rtl w:val="true"/>
          <w:lang w:bidi="ar-SA"/>
        </w:rPr>
        <w:t xml:space="preserve">أشهرهما رواية </w:t>
      </w:r>
      <w:r>
        <w:rPr>
          <w:rStyle w:val="FootnoteAnchor"/>
          <w:rtl w:val="true"/>
        </w:rPr>
        <w:footnoteReference w:id="1132"/>
      </w:r>
      <w:r>
        <w:rPr>
          <w:rFonts w:ascii="Amiri" w:hAnsi="Amiri" w:eastAsia="Amiri" w:cs="Amiri"/>
          <w:color w:val="111111"/>
          <w:sz w:val="28"/>
          <w:sz w:val="28"/>
          <w:szCs w:val="28"/>
          <w:rtl w:val="true"/>
          <w:lang w:bidi="ar-SA"/>
        </w:rPr>
        <w:t>وفتوى الجواز، وجملة منها وإن كان ظاهرها الاستيفاء من المشتري لما عليه لا الشراء منه إلا أنّها بإطلاقها شاملة للوفاء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بها الشيخ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وهي ضعيفة عن مقاومة الأخبار سنداً وعدداً ودلالة؛ لأن في إحداهما النهي عن الشراء بعد الأجل مطلقاً، وأنّه لا خير فيه </w:t>
      </w:r>
      <w:r>
        <w:rPr>
          <w:rStyle w:val="FootnoteAnchor"/>
          <w:rtl w:val="true"/>
        </w:rPr>
        <w:footnoteReference w:id="1134"/>
      </w:r>
      <w:r>
        <w:rPr>
          <w:rFonts w:ascii="Amiri" w:hAnsi="Amiri" w:eastAsia="Amiri" w:cs="Amiri"/>
          <w:color w:val="111111"/>
          <w:sz w:val="28"/>
          <w:sz w:val="28"/>
          <w:szCs w:val="28"/>
          <w:rtl w:val="true"/>
          <w:lang w:bidi="ar-SA"/>
        </w:rPr>
        <w:t xml:space="preserve">، وفي الثانية الأمر بالأخذ بسعر بسعر يومه </w:t>
      </w:r>
      <w:r>
        <w:rPr>
          <w:rStyle w:val="FootnoteAnchor"/>
          <w:rtl w:val="true"/>
        </w:rPr>
        <w:footnoteReference w:id="1135"/>
      </w:r>
      <w:r>
        <w:rPr>
          <w:rFonts w:ascii="Amiri" w:hAnsi="Amiri" w:eastAsia="Amiri" w:cs="Amiri"/>
          <w:color w:val="111111"/>
          <w:sz w:val="28"/>
          <w:sz w:val="28"/>
          <w:szCs w:val="28"/>
          <w:rtl w:val="true"/>
          <w:lang w:bidi="ar-SA"/>
        </w:rPr>
        <w:t>، فمضمون الأولى لا يقوله أحد، فحملها على الكراهة سيّما بضميمة 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حملها على النهي عن فرد خاص والاستدلال به على المطلوب والمجاز هنا خير من التخصيص، ومضمون الثانية لا دلالة فيه على النهي عن الأخذ بزيادة أو نقيصة، والأمر بالأخذ بسعر يومه أعمّ، والعام لا يدلّ على الخاص، على أنّ موردهما الطعام، فلا تعمّ سائر أفراد المقام</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3372420_1280447820"/>
      <w:bookmarkStart w:id="419" w:name="_Toc156"/>
      <w:bookmarkEnd w:id="418"/>
      <w:r>
        <w:rPr>
          <w:rtl w:val="true"/>
        </w:rPr>
        <w:t>خامسها</w:t>
      </w:r>
      <w:r>
        <w:rPr>
          <w:rtl w:val="true"/>
        </w:rPr>
        <w:t xml:space="preserve">: </w:t>
      </w:r>
      <w:r>
        <w:rPr>
          <w:rtl w:val="true"/>
        </w:rPr>
        <w:t>عدم وجوب دفع الثمن والمبيع قبل الأجل إن كان مؤجلاً</w:t>
      </w:r>
      <w:bookmarkEnd w:id="41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المشتري دفع الثمن قبل الأجل ولا على البائع دفع المبيع كذلك لو كان مؤجلاً، ولا يجب القبول على البائع لو دفع إليه الثمن قبل أجله، وكذلك المشتري بالنسبة إلى المثمن على ما نُقل عليه الإجماع </w:t>
      </w:r>
      <w:r>
        <w:rPr>
          <w:rStyle w:val="FootnoteAnchor"/>
          <w:rtl w:val="true"/>
        </w:rPr>
        <w:footnoteReference w:id="1136"/>
      </w:r>
      <w:r>
        <w:rPr>
          <w:rFonts w:ascii="Amiri" w:hAnsi="Amiri" w:eastAsia="Amiri" w:cs="Amiri"/>
          <w:color w:val="111111"/>
          <w:sz w:val="28"/>
          <w:sz w:val="28"/>
          <w:szCs w:val="28"/>
          <w:rtl w:val="true"/>
          <w:lang w:bidi="ar-SA"/>
        </w:rPr>
        <w:t>ونطق به ظاهر الأصحاب، ولولا ذلك لأمكن القول بالوجوب، سيّما لو كان الاشتراط من المديون لغرض التوسعة عليه وللإرفاق بنفسه، أو منهما مراعاةً لحال الغريم، لا تحديداً لابتداء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المديون عليه القبول إذا جاء به قبل الأجل، صح الشرط، ولزمه القبول، والتأجيل ليس تعليقاً للإنشاء؛ لامتناع التعليق فيه ولا تعليقاً أو تأخيراً للملك؛ لأن أثر العقد لا يؤثر، وإنّما هو تحديد للتأدية، فقبل الأجل لا يجب الأداء وإن تحقق الشغل وصح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 حق يصح الصلح على إسقاطه، فيطالب فوراً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يسقط بالإسقاط من دون صلح كسائر الحقوق ؟ يحتمل ذلك، والأوجه خلافه، حتى أنّه لو أسقطه جاز أن يعود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الصلح على الدين ببعضه حالاً، كما دلّ على ذلك النصّ </w:t>
      </w:r>
      <w:r>
        <w:rPr>
          <w:rStyle w:val="FootnoteAnchor"/>
          <w:rtl w:val="true"/>
        </w:rPr>
        <w:footnoteReference w:id="1137"/>
      </w:r>
      <w:r>
        <w:rPr>
          <w:rFonts w:ascii="Amiri" w:hAnsi="Amiri" w:eastAsia="Amiri" w:cs="Amiri"/>
          <w:color w:val="111111"/>
          <w:sz w:val="28"/>
          <w:sz w:val="28"/>
          <w:szCs w:val="28"/>
          <w:rtl w:val="true"/>
          <w:lang w:bidi="ar-SA"/>
        </w:rPr>
        <w:t>والفتوى، ويكون بمنزلة الإبراء، ولا يحتاج إلى صيغة الصلح على الأظهر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عقد مستقل جاء به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لسائر المعاوضات؛ لاتحاد العوض والمعوّض، فيقتصر فيه على مورد اليقين، كما لا يجوز تأجيل الحال أو زيادة المؤجل بأزيد منه؛ للزوم الربا في القرض إن شرط في عقد القرض والربا في المعاوضة إن اجتمعت فيه شرائط الربا، ويجوز إن لم يشترط في القرض، أو يكون فيه مانع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الغريم الدين بعد حلوله للديان فأبى أن يقبله، دفعه للحاكم وبرئ من ضمانه، ولا يبعد أنّ له ذلك إذا كان الدّيّان غائباً؛ لأنّ شغل الذمة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بعدم الاحتياج للرجوع إلى الحاكم، بل له تعيينه عند الامتناع وطرحه عليه، أو إبقاؤه عنده أمانةً، ويبرأ من ضمانه ما دام لم يتصرف فيه، كما إذا لم يمكنه الرجوع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مع تعيينه وإبقائه عنده أو طرحه عليه يكون للديان ونماؤه له، أو هو باق على ملك المديون ولكن ذمّة المديون تفرغ بعزله وطرحه عليه إبقائه عنده أمانةً، فإن تلف كان مال البائع، عقوبةً له على امتناعه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 أو نقل مرابحة أو مواضعة أو تولية من دون ذكر أجل بعد أن انتقل إليه بأجل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البيع؛ لعموم الأدلّة </w:t>
      </w:r>
      <w:r>
        <w:rPr>
          <w:rStyle w:val="FootnoteAnchor"/>
          <w:rtl w:val="true"/>
        </w:rPr>
        <w:footnoteReference w:id="1138"/>
      </w:r>
      <w:r>
        <w:rPr>
          <w:rFonts w:ascii="Amiri" w:hAnsi="Amiri" w:eastAsia="Amiri" w:cs="Amiri"/>
          <w:color w:val="111111"/>
          <w:sz w:val="28"/>
          <w:sz w:val="28"/>
          <w:szCs w:val="28"/>
          <w:rtl w:val="true"/>
          <w:lang w:bidi="ar-SA"/>
        </w:rPr>
        <w:t>والإجماع، وكان له الخيار؛ لحديث نفي الضرار</w:t>
      </w:r>
      <w:r>
        <w:rPr>
          <w:rStyle w:val="FootnoteAnchor"/>
          <w:rtl w:val="true"/>
        </w:rPr>
        <w:footnoteReference w:id="1139"/>
      </w:r>
      <w:r>
        <w:rPr>
          <w:rFonts w:ascii="Amiri" w:hAnsi="Amiri" w:eastAsia="Amiri" w:cs="Amiri"/>
          <w:color w:val="111111"/>
          <w:sz w:val="28"/>
          <w:sz w:val="28"/>
          <w:szCs w:val="28"/>
          <w:rtl w:val="true"/>
          <w:lang w:bidi="ar-SA"/>
        </w:rPr>
        <w:t>، ولفتوى المشهور من الأخيار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للمشتري من الأجل مثل ما كان له قهراً بحكم الشارع </w:t>
      </w:r>
      <w:r>
        <w:rPr>
          <w:rStyle w:val="FootnoteAnchor"/>
          <w:rtl w:val="true"/>
        </w:rPr>
        <w:footnoteReference w:id="1140"/>
      </w:r>
      <w:r>
        <w:rPr>
          <w:rFonts w:ascii="Amiri" w:hAnsi="Amiri" w:eastAsia="Amiri" w:cs="Amiri"/>
          <w:color w:val="111111"/>
          <w:sz w:val="28"/>
          <w:sz w:val="28"/>
          <w:szCs w:val="28"/>
          <w:rtl w:val="true"/>
          <w:lang w:bidi="ar-SA"/>
        </w:rPr>
        <w:t xml:space="preserve">، سواء قصد المشتري الحلول أو قصد شراء المبيع على نحو شرائه سابقاً؛ للأخبار </w:t>
      </w:r>
      <w:r>
        <w:rPr>
          <w:rStyle w:val="FootnoteAnchor"/>
          <w:rtl w:val="true"/>
        </w:rPr>
        <w:footnoteReference w:id="1141"/>
      </w:r>
      <w:r>
        <w:rPr>
          <w:rFonts w:ascii="Amiri" w:hAnsi="Amiri" w:eastAsia="Amiri" w:cs="Amiri"/>
          <w:color w:val="111111"/>
          <w:sz w:val="28"/>
          <w:sz w:val="28"/>
          <w:szCs w:val="28"/>
          <w:rtl w:val="true"/>
          <w:lang w:bidi="ar-SA"/>
        </w:rPr>
        <w:t>المعتبرة، وفيها الصحيح، وفيها مَنْ أجمعت العصابة على تصحيح ما يصح عنه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والقول به لا بأس به من جهة الأخبار المعتبرة الصريحة المعمول بها في الجملة، وحملها على استحباب التأخير عن المطالبة من البائع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فهو حكم شرعي يختص بالبيع ثانياً، ولا يجري إلى غيره؛ اقتصاراً على ما في الأخبار، ويختص بالمرابحة أيضاً؛ لذلك، ويختص بالبيع الحال، فلو باعه بأجل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للأجل الأوَّل، أو ناقص، أو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مثل ذلك الأجل، ويختص بما إذا لم يشترط عليه أنّه إذا تبين لك الأجل فليس لك علَيَّ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تأجيل القرض الحالّ بعقد لازم فيلزم التأجيل، ولا يلزم لو كان التأجيل بنفس عقد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التأجيل بالعقد اللازم يجوز جعل مال عوض التأجيل بذلك العقد أيضاً في مقابلة غير الأجل حيلةً، ويشترط التأجيل فيه، فيجوز أن يقول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كذا بكذا على أن لا تطالبني بدينك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بعتك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يسوى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على أن أؤجل لك الدين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حيلة في تأجيل الدين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جوازه عموم الأدلّة </w:t>
      </w:r>
      <w:r>
        <w:rPr>
          <w:rStyle w:val="FootnoteAnchor"/>
          <w:rtl w:val="true"/>
        </w:rPr>
        <w:footnoteReference w:id="1143"/>
      </w:r>
      <w:r>
        <w:rPr>
          <w:rFonts w:ascii="Amiri" w:hAnsi="Amiri" w:eastAsia="Amiri" w:cs="Amiri"/>
          <w:color w:val="111111"/>
          <w:sz w:val="28"/>
          <w:sz w:val="28"/>
          <w:szCs w:val="28"/>
          <w:rtl w:val="true"/>
          <w:lang w:bidi="ar-SA"/>
        </w:rPr>
        <w:t xml:space="preserve">، والشك في شمول أدلة المنع من الربا له، وخصوص الأخبار </w:t>
      </w:r>
      <w:r>
        <w:rPr>
          <w:rStyle w:val="FootnoteAnchor"/>
          <w:rtl w:val="true"/>
        </w:rPr>
        <w:footnoteReference w:id="1144"/>
      </w:r>
      <w:r>
        <w:rPr>
          <w:rFonts w:ascii="Amiri" w:hAnsi="Amiri" w:eastAsia="Amiri" w:cs="Amiri"/>
          <w:color w:val="111111"/>
          <w:sz w:val="28"/>
          <w:sz w:val="28"/>
          <w:szCs w:val="28"/>
          <w:rtl w:val="true"/>
          <w:lang w:bidi="ar-SA"/>
        </w:rPr>
        <w:t>المتكثّرة المعتبرة الدالة على جواز بيع ما يسوى قليلاً من المال بكثير على أن يؤجل له الدين، فالحكم لا شبهة فيه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جعل مال عوض التأجيل بحيث يكون هو العوض، لا بصلح ولا بغيره، وحكمه كحكم جعل مالٍ في عقد القرض في مقابلة الأجل في كون كلّ منهما رباً ونفعاً في نفس القرض</w:t>
      </w:r>
      <w:r>
        <w:rPr>
          <w:rFonts w:eastAsia="Amiri" w:cs="Amiri" w:ascii="Amiri" w:hAnsi="Amiri"/>
          <w:color w:val="111111"/>
          <w:sz w:val="28"/>
          <w:szCs w:val="28"/>
          <w:rtl w:val="true"/>
          <w:lang w:bidi="ar-SA"/>
        </w:rPr>
        <w:t xml:space="preserve">. </w:t>
      </w:r>
      <w:bookmarkStart w:id="420" w:name="pg19000_245460"/>
    </w:p>
    <w:p>
      <w:pPr>
        <w:pStyle w:val="Heading3"/>
        <w:numPr>
          <w:ilvl w:val="2"/>
          <w:numId w:val="1"/>
        </w:numPr>
        <w:rPr/>
      </w:pPr>
      <w:bookmarkStart w:id="421" w:name="__RefHeading___Toc13372422_1280447820"/>
      <w:bookmarkStart w:id="422" w:name="_Toc157"/>
      <w:bookmarkEnd w:id="420"/>
      <w:bookmarkEnd w:id="421"/>
      <w:r>
        <w:rPr>
          <w:rtl w:val="true"/>
        </w:rPr>
        <w:t>القول فيما يدخل في المبيع وفي كلّ منقول بعقد معاوضةٍ أو مجاني كالهبة والوقف والوصية</w:t>
      </w:r>
      <w:bookmarkEnd w:id="422"/>
    </w:p>
    <w:p>
      <w:pPr>
        <w:pStyle w:val="Heading4"/>
        <w:numPr>
          <w:ilvl w:val="3"/>
          <w:numId w:val="1"/>
        </w:numPr>
        <w:rPr/>
      </w:pPr>
      <w:bookmarkStart w:id="423" w:name="__RefHeading___Toc13372424_1280447820"/>
      <w:bookmarkStart w:id="424" w:name="_Toc158"/>
      <w:bookmarkEnd w:id="423"/>
      <w:r>
        <w:rPr>
          <w:rtl w:val="true"/>
        </w:rPr>
        <w:t>في أنّ ما يدخل في المبيع إما أن يكون بحكم الشرع أو بحكم العرف واللغة</w:t>
      </w:r>
      <w:bookmarkEnd w:id="424"/>
    </w:p>
    <w:p>
      <w:pPr>
        <w:pStyle w:val="BookText"/>
        <w:rPr/>
      </w:pP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بحكم الشرع إما تعبداً كالوصية بالسهم والجزء مثلاً، وإما لكونه من الأسباب الشرعيَّة لذلك، وهو قريب لذلك، وإما لكونه كاشفاً عن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حكم الشارع بدخوله، ولم يدلّ عليه عرف أو لغة، أو كان مقصوداً للمتعاقدين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تنزيل غير المؤبر من ثمر النخل في بيع النخل على ذلك، وكذا تنزيل ما جاء من تبعية الحمل للحامل في بعض الموارد </w:t>
      </w:r>
      <w:r>
        <w:rPr>
          <w:rStyle w:val="FootnoteAnchor"/>
          <w:rtl w:val="true"/>
        </w:rPr>
        <w:footnoteReference w:id="1145"/>
      </w:r>
      <w:r>
        <w:rPr>
          <w:rFonts w:ascii="Amiri" w:hAnsi="Amiri" w:eastAsia="Amiri" w:cs="Amiri"/>
          <w:color w:val="111111"/>
          <w:sz w:val="28"/>
          <w:sz w:val="28"/>
          <w:szCs w:val="28"/>
          <w:rtl w:val="true"/>
          <w:lang w:bidi="ar-SA"/>
        </w:rPr>
        <w:t xml:space="preserve">، وما جاء من أنّ من اشترى نخلة أو استثناها من بيع البستان كان له المرور دخولاً إليها وخروجاً منها ومدى جرائدها من الأرض </w:t>
      </w:r>
      <w:r>
        <w:rPr>
          <w:rStyle w:val="FootnoteAnchor"/>
          <w:rtl w:val="true"/>
        </w:rPr>
        <w:footnoteReference w:id="1146"/>
      </w:r>
      <w:r>
        <w:rPr>
          <w:rFonts w:ascii="Amiri" w:hAnsi="Amiri" w:eastAsia="Amiri" w:cs="Amiri"/>
          <w:color w:val="111111"/>
          <w:sz w:val="28"/>
          <w:sz w:val="28"/>
          <w:szCs w:val="28"/>
          <w:rtl w:val="true"/>
          <w:lang w:bidi="ar-SA"/>
        </w:rPr>
        <w:t>على ذلك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بحكم العرف واللغة،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في بيع شيء مذكور بلفظه أو بالإشارة إليه بقرينة أو إضمار أو فعل بيع شيء آخر معه، فيكونان مبيعين في بيع واحد، كما أنّ الأمر بشيءٍ أمر بمقدمته، أو نهي عن ضدّه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أنّه يدخل بنفس لفظ المبيع؛ ضرورة خروج كثير مما يدخل في بيع شيءٍ عن مصداقه، كنعل الدابة وثياب العبد، ولا المراد أنّه يلزم المبيع عقلاً أو عرفاً؛ ضرورة أنّ المكان من لوازم المبيع ولا يدخل في بيعه، والحائط من لوازم السقف ولا يدخل في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يدلّ عليه المبيع مطابقة أو تضمّناً لا ريب في دخوله؛ لأنّه نفس بيعه، وحينئذٍ، </w:t>
      </w:r>
    </w:p>
    <w:p>
      <w:pPr>
        <w:pStyle w:val="BookText"/>
        <w:rPr/>
      </w:pPr>
      <w:r>
        <w:rPr>
          <w:rFonts w:ascii="Amiri" w:hAnsi="Amiri" w:eastAsia="Amiri" w:cs="Amiri"/>
          <w:color w:val="111111"/>
          <w:sz w:val="28"/>
          <w:sz w:val="28"/>
          <w:szCs w:val="28"/>
          <w:rtl w:val="true"/>
          <w:lang w:bidi="ar-SA"/>
        </w:rPr>
        <w:t>فالضابط إما صدق المبيع عليه لغةً أو عرفاً، أو كونه مدلولاً له تضمّناً، أو كونه مما يحكم العرف ببيعه عند بيع ذلك الشيء إما على سبيل القصد التفصيلي وملاحظته من غير إجمال، أو على سبيل القصد الإجمالي بحيث لو سئل عمّا باع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وهذا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لو خُلّينا والقواعد لمنعنا بيع ما لا يدخل في لفظ المبيع؛ لعدم وقوع لفظ البيع عليه، لعدم استعمال لفظ المبيع فيه قطعاً، وعدم تقديره ونصب قرينة عليه وقت البيع، بل قد لا يستحضره حين العقد، فلم يتعلّق به بيع إلا ضمناً على جهة الإجمال، وكون مثل هذا الإجمال في قصد النقل والانتقال ممّا يكفي محلّ نظر وسؤال، إلا أن ظاهر بعض الأخبار </w:t>
      </w:r>
      <w:r>
        <w:rPr>
          <w:rStyle w:val="FootnoteAnchor"/>
          <w:rtl w:val="true"/>
        </w:rPr>
        <w:footnoteReference w:id="1147"/>
      </w:r>
      <w:r>
        <w:rPr>
          <w:rFonts w:ascii="Amiri" w:hAnsi="Amiri" w:eastAsia="Amiri" w:cs="Amiri"/>
          <w:color w:val="111111"/>
          <w:sz w:val="28"/>
          <w:sz w:val="28"/>
          <w:szCs w:val="28"/>
          <w:rtl w:val="true"/>
          <w:lang w:bidi="ar-SA"/>
        </w:rPr>
        <w:t>وفتوى الأخيار والسيرة القطعية في الباب ممّا حكمت بصحة هذا النقل وترتب أثره عليه، فلا محيص عن الحكم بذلك، وكما دلّت على أصل الحكم دلّت على اغتفار الجهالة فيه، والاكتفاء بالقصد الإجمالي إليه حتّى لو صُرّح به وأخذ شرطاً أو جزءاً، كما يظهر من السيرة وفتوى الأصحاب،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في الثواني والتوابع ما لا يغتفر في الأوائل والمتبوعات، فلا يشترط العلم به قدراً أو مشاهدة أو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كونه عيناً، بل يدخل ولو كان منفعةً أو انتفاعاً، فينتقلان بعقد البيع وإن لم يصح إجراء صيغة البيع عليهما، كما يملك مشتري الثمرة إبقاءها على النخلة بعقد بيعها وشرائها، وكذا مشتري الزرع ومشتري الأشجار، ويكون ذلك من قبيل الشرائط الضمنية، إلا أنّ الفرق بينها وبين الشرائط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الابتدائية لا تلزم إلا بالتصريح بها، بخلاف هذه التابعة لعقد البيع فإنّها تلزم وإن لم يصرح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في كشف قصد المتعاقدين كون هذا مما يدخل في بيعه بحسب عرفهما الخاص، وهو مقدم على غيره؛ لأنّ الظاهر أنّ المتكلّم يتكلّم بعرفه، والحقيقة الشرعيَّة من العرف الخاص عند أهل الشرع، فإن لم يكن لهما عرف خاص كان المدار على العرف العام؛ لأنّه الظاهر عند فقد الخاص، فإن لم يكن فاللغة؛ لما ذكرنا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علّقا البيع على نفس الاسم من دون ملاحظة، أو قصدا الإجمال، أو شكا بقصدهما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يعلم الغير قصدهما، وإن عُلم أنّهما قصدا خلاف ذلك، كأن قصدا خروج ما هو داخل </w:t>
      </w:r>
      <w:bookmarkStart w:id="425" w:name="pg19000_245462"/>
    </w:p>
    <w:p>
      <w:pPr>
        <w:pStyle w:val="BookText"/>
        <w:rPr/>
      </w:pPr>
      <w:bookmarkEnd w:id="425"/>
      <w:r>
        <w:rPr>
          <w:rFonts w:ascii="Amiri" w:hAnsi="Amiri" w:eastAsia="Amiri" w:cs="Amiri"/>
          <w:color w:val="111111"/>
          <w:sz w:val="28"/>
          <w:sz w:val="28"/>
          <w:szCs w:val="28"/>
          <w:rtl w:val="true"/>
          <w:lang w:bidi="ar-SA"/>
        </w:rPr>
        <w:t>عرفاً، اتبع قصدهما قطعاً، وإن انعكس الأمر فعلم أنّهما قصدا دخول ما كان خارجاً عند أهل العرف على وجه أنّهما يدخلاه تبعاً، لا على أنّ اللفظ المذكور مستعملاً فيه وفي معناه مجازاً، ففي صحّة البيع إشكال، وإن كان الأوجه الصحّة، ويكون كالبيع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اصطلاحهما في الداخل والخارج وجب البيان، وإلا بطل البيع؛ للجهالة، سواء علما اختلاف الاصطلاح أو لم يعلما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3372426_1280447820"/>
      <w:bookmarkStart w:id="427" w:name="_Toc159"/>
      <w:bookmarkEnd w:id="426"/>
      <w:r>
        <w:rPr>
          <w:rtl w:val="true"/>
        </w:rPr>
        <w:t>وهنا أُمور</w:t>
      </w:r>
      <w:r>
        <w:rPr>
          <w:rtl w:val="true"/>
        </w:rPr>
        <w:t>:</w:t>
      </w:r>
      <w:bookmarkEnd w:id="427"/>
    </w:p>
    <w:p>
      <w:pPr>
        <w:pStyle w:val="Heading5"/>
        <w:numPr>
          <w:ilvl w:val="4"/>
          <w:numId w:val="1"/>
        </w:numPr>
        <w:rPr/>
      </w:pPr>
      <w:bookmarkStart w:id="428" w:name="__RefHeading___Toc13372428_1280447820"/>
      <w:bookmarkStart w:id="429" w:name="_Toc160"/>
      <w:bookmarkEnd w:id="428"/>
      <w:r>
        <w:rPr>
          <w:rtl w:val="true"/>
        </w:rPr>
        <w:t>أحدها</w:t>
      </w:r>
      <w:r>
        <w:rPr>
          <w:rtl w:val="true"/>
        </w:rPr>
        <w:t xml:space="preserve">: </w:t>
      </w:r>
      <w:r>
        <w:rPr>
          <w:rtl w:val="true"/>
        </w:rPr>
        <w:t>في أنّه لا يدخل في بيع الأرض وما في معناها ما كان مثبتاً فيها</w:t>
      </w:r>
      <w:bookmarkEnd w:id="42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بيع الأرض وما في معناها ما كان مثبتاً فيها من زرع ونخل أو شجر، كان بقاؤه زمناً طويلاً أو قصيراً، كان فوق الأرض أو كان كائناً فيها؛ للأصل وقضاء العرف،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 لأنّ أهل العرف لا يريدون بالحقوق إلا مجرى ماء الأرض وممرها ونحو ذلك، خلافاً لمن قال بالشمول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استناداً لما لا يصلح سنداً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 عليه سورها أو أُغلق عليه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المكان العرف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معلوميته إن كان ظاهراً، وإن كان مستوراً من شأنه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ككثير من الأحجار وجملة من المزارع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رؤية ما ظهر، وبه يندفع عرفاً الغرر سيّما في التوابع والثواني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 دخول ذلك فلو وُجد وعلم به المشتري فلا خيار ويجب عليه إبقاؤه مدة بقائه عرفاً، فالزرع له مدّة، والشجر له مدة، والنخل له مدة، ولا يجبر المشتري البائع على القلع، سواء تضرّر البائع بالقلع أم لا، وسواء تضرّر المشتري بالإبقاء أم لا، بل لو تضرر البائع بالإبقاء لكان له الإبقاء أيضاً، كلّ ذلك لأنّه حق من حقوقه قضى به عقد البيع ضمناً، فيكون كالشرائط الضمنية عرفاً الصادرة من البائع على المشتري، أو الصادرة من المشتري على البائع، كما إذا اشترى ثمرةً أو اشترى زرعاً أو اشترى نخلاً أو شجراً، فإنّ للمشتري الإبقاء في ملك البائع قضاءً لحق العرف وتنزيلاً لهذا الشرط الضمني منزلة المصرح به، بل لو صرح به كان مؤكداً</w:t>
      </w:r>
      <w:r>
        <w:rPr>
          <w:rFonts w:eastAsia="Amiri" w:cs="Amiri" w:ascii="Amiri" w:hAnsi="Amiri"/>
          <w:color w:val="111111"/>
          <w:sz w:val="28"/>
          <w:szCs w:val="28"/>
          <w:rtl w:val="true"/>
          <w:lang w:bidi="ar-SA"/>
        </w:rPr>
        <w:t xml:space="preserve">. </w:t>
      </w:r>
      <w:bookmarkStart w:id="430" w:name="pg19000_245463"/>
    </w:p>
    <w:p>
      <w:pPr>
        <w:pStyle w:val="BookText"/>
        <w:rPr/>
      </w:pPr>
      <w:bookmarkEnd w:id="430"/>
      <w:r>
        <w:rPr>
          <w:rFonts w:ascii="Amiri" w:hAnsi="Amiri" w:eastAsia="Amiri" w:cs="Amiri"/>
          <w:color w:val="111111"/>
          <w:sz w:val="28"/>
          <w:sz w:val="28"/>
          <w:szCs w:val="28"/>
          <w:rtl w:val="true"/>
          <w:lang w:bidi="ar-SA"/>
        </w:rPr>
        <w:t>ويغتفر في هذا الشرط الجهالة في المدة؛ لكونه تابعاً عرفاً فيغتفر فيه ما لا يغتفر في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البائع والمشتري الانتفاع لا المنفعة؛ لأنّه مورد اليقين، فلو قلعه أحدهما أو انقلع بآفةٍ سماوية لم يكن لأحدهما على الآخر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قلع أحدهما قبل أوانه كان للآخر إرجاعه إن أمكن، وتجب تبقيته إلى أوان حصاده ودياسته وتصفيته ونقله، ولا يجوز له قلعه وإن لم يحصل بالقلع ضرر، أو دفع أرش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الزرع الخاص عن معتاد الزرع المتعارف، فالظاهر جواز قلعه لمالك الأرض، ولا يجب إبقاؤه ولو دفع إليه أجرة على الإبقاء، وكذا لو تضرّر البائع بالقلع ولم يتضرّر المشتري، مع احتمال وجوب الإبقاء على المشتري مع تضرّر البائع وعدم تضرره وبذل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علم المشتري فله الخيار بين الفسخ وبين الإبقاء مجاناً، وليس له الأرش؛ لاختصاصه بالعيب، ولا أُجرة له لو طلبها أيضاً، مع احتمال لزوم الأجرة في هذه الصورة؛ لعدم علمه ابتداء بكون الأرض 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البائع الزرع للمشتري أو قلعه بسرعة، فالأظهر عدم سقوط الخيار؛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البائع القلع قبل المدة، كان له، سواء تضرّر المشتري بالقلع أو لا؛ لأنّه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تعيّبت الأرض بقلعه قبل المدة احتمل أنّ للمشتري الأرش، ولو تعيبت الأرض بقلعه بعد المدة ففي ثبوت الأرش وجهان</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3372430_1280447820"/>
      <w:bookmarkStart w:id="432" w:name="_Toc161"/>
      <w:bookmarkEnd w:id="431"/>
      <w:r>
        <w:rPr>
          <w:rtl w:val="true"/>
        </w:rPr>
        <w:t>ثانيها</w:t>
      </w:r>
      <w:r>
        <w:rPr>
          <w:rtl w:val="true"/>
        </w:rPr>
        <w:t xml:space="preserve">: </w:t>
      </w:r>
      <w:r>
        <w:rPr>
          <w:rtl w:val="true"/>
        </w:rPr>
        <w:t>عدم دخول الثمر في بيع الشجر والنخل وكذا الورد قبل تفتحه</w:t>
      </w:r>
      <w:bookmarkEnd w:id="43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الثمر في بيع الشجر ولا النخل بعد الانعقاد، ولا الورد قبل تفتحه؛ للأصل، ولعدم حكم العرف بذلك، ولظاهر الإجماع، إلا ثمر النخل قبل تأبيره فيدخل بحكم الشارع تعبداً ولكشفه عن العرف؛ لمفهوم الأخبار </w:t>
      </w:r>
      <w:r>
        <w:rPr>
          <w:rStyle w:val="FootnoteAnchor"/>
          <w:rtl w:val="true"/>
        </w:rPr>
        <w:footnoteReference w:id="1150"/>
      </w:r>
      <w:r>
        <w:rPr>
          <w:rFonts w:ascii="Amiri" w:hAnsi="Amiri" w:eastAsia="Amiri" w:cs="Amiri"/>
          <w:color w:val="111111"/>
          <w:sz w:val="28"/>
          <w:sz w:val="28"/>
          <w:szCs w:val="28"/>
          <w:rtl w:val="true"/>
          <w:lang w:bidi="ar-SA"/>
        </w:rPr>
        <w:t xml:space="preserve">المعتضدة بالإجماع المنقول </w:t>
      </w:r>
      <w:r>
        <w:rPr>
          <w:rStyle w:val="FootnoteAnchor"/>
          <w:rtl w:val="true"/>
        </w:rPr>
        <w:footnoteReference w:id="1151"/>
      </w:r>
      <w:r>
        <w:rPr>
          <w:rFonts w:ascii="Amiri" w:hAnsi="Amiri" w:eastAsia="Amiri" w:cs="Amiri"/>
          <w:color w:val="111111"/>
          <w:sz w:val="28"/>
          <w:sz w:val="28"/>
          <w:szCs w:val="28"/>
          <w:rtl w:val="true"/>
          <w:lang w:bidi="ar-SA"/>
        </w:rPr>
        <w:t>وفتوى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لمخالفته القاعدة يقتصر فيه على مورد اليقين من النخل دون غيره، ومن إناثه دون ذكوره؛ لأنّه الفرد المتعارف، وعلى البيع دون غيره من عقود المعاوضة وغيرها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 بعض البستان دون بعض، لحق كلّ حكمه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النخلة الواحدة يحتمل كونها للمشتري؛ لصدق عدم تأبير النخلة واحتمل كونها للبائع؛ لصدق أنّها مؤبّرة عرفاً، ويحتمل لحوق كلّ حكمه، وهو الأظهر</w:t>
      </w:r>
      <w:r>
        <w:rPr>
          <w:rFonts w:eastAsia="Amiri" w:cs="Amiri" w:ascii="Amiri" w:hAnsi="Amiri"/>
          <w:color w:val="111111"/>
          <w:sz w:val="28"/>
          <w:szCs w:val="28"/>
          <w:rtl w:val="true"/>
          <w:lang w:bidi="ar-SA"/>
        </w:rPr>
        <w:t xml:space="preserve">. </w:t>
      </w:r>
      <w:bookmarkStart w:id="433" w:name="pg19000_245464"/>
    </w:p>
    <w:p>
      <w:pPr>
        <w:pStyle w:val="BookText"/>
        <w:rPr/>
      </w:pPr>
      <w:bookmarkEnd w:id="433"/>
      <w:r>
        <w:rPr>
          <w:rFonts w:ascii="Amiri" w:hAnsi="Amiri" w:eastAsia="Amiri" w:cs="Amiri"/>
          <w:color w:val="111111"/>
          <w:sz w:val="28"/>
          <w:sz w:val="28"/>
          <w:szCs w:val="28"/>
          <w:rtl w:val="true"/>
          <w:lang w:bidi="ar-SA"/>
        </w:rPr>
        <w:t>ويجب على المشتري إبقاء الثمرة إلى أوان صلاحها عرفاً وعادةً، كما يجب على البائع لو باع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العادة في الإبقاء لزم البيان للزوم الغرر، مع احتمال الأخذ بأقل العادتين؛ للأصل، أو أكثر هما؛ للاستصحاب، أو القرعة بعد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لكلِّ من المتعاقدين عادة، احتمل تقديم الناقل، والمنقول إليه،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في وقت العقد عادة فزادت، احتمل لزوم الإبقاء إليها مع الأجرة، واحتمل لزومه مجاناً، واحتمل جواز القطع مجاناً، واحتمل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الإبقاء على مالك الأصول مجاناً بحكم الشارع، سواء تضرر بالإبقاء أم لا، وسواء تضرّر مالك الثمرة بالقلع أم لا، بل لو تضرر بالإبقاء لم يجز </w:t>
      </w:r>
      <w:r>
        <w:rPr>
          <w:rStyle w:val="FootnoteAnchor"/>
          <w:rtl w:val="true"/>
        </w:rPr>
        <w:footnoteReference w:id="1152"/>
      </w:r>
      <w:r>
        <w:rPr>
          <w:rFonts w:ascii="Amiri" w:hAnsi="Amiri" w:eastAsia="Amiri" w:cs="Amiri"/>
          <w:color w:val="111111"/>
          <w:sz w:val="28"/>
          <w:sz w:val="28"/>
          <w:szCs w:val="28"/>
          <w:rtl w:val="true"/>
          <w:lang w:bidi="ar-SA"/>
        </w:rPr>
        <w:t>إجباره على القلع، مع احتمال ذلك؛ لأنّ الإبقاء كان لمصلحته، وحيث يلزمه الفساد بالإبقاء 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لمالك الأصول القلع مع تضرره بالإبقاء حتّى لو تضرّر صاحب الثمرة بالقلع، ترجيحاً لجانب الأُصول، إلا أنّ على صاحب الأصول الأرش على إشكال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لمالك الثمرة القلع أي وقت أراد؛ لأنّ الإبقاء حق له، سواء تضرر بالقلع أم لا، وسواء تضرّر صاحب الأصول بها أم لا، لإقدام صاحب الأصول على ذلك، مع احتمال ثبوت الأرش على صاحب الثمرة لو تعيبت الأصول بالقلع؛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الثمرة إذا لم يتضرّر وتضرّر صاحب الأصول ضرراً لا يتحمّل عادة لزم القطع إن تضرّر بالإبقاء، والإبقاء إن تضرّر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حق المشتري مطلقاً، سواء اشترى الأصول أو اشترى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حق البائع مطلقاً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قبل الانعقاد والورد قبل تفتحه للمشتري؛ قضاء لحق العرف</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3372432_1280447820"/>
      <w:bookmarkStart w:id="435" w:name="_Toc162"/>
      <w:bookmarkEnd w:id="434"/>
      <w:r>
        <w:rPr>
          <w:rtl w:val="true"/>
        </w:rPr>
        <w:t>ثالثها</w:t>
      </w:r>
      <w:r>
        <w:rPr>
          <w:rtl w:val="true"/>
        </w:rPr>
        <w:t xml:space="preserve">: </w:t>
      </w:r>
      <w:r>
        <w:rPr>
          <w:rtl w:val="true"/>
        </w:rPr>
        <w:t>في أنّه لا تدخل في بيع الأرض الأحجار الموضوعة فيها ولا الكنوز والخبايا</w:t>
      </w:r>
      <w:bookmarkEnd w:id="43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في بيع الأرض الأحجار الموضوعة فيها ولا الكنوز ولا الخبايا، إلا إذا كانت أرض دارٍ معمورة فخربت فوقعت أحجارها فيها فإنّها تدخل كما تدخل في بيع الدار</w:t>
      </w:r>
      <w:r>
        <w:rPr>
          <w:rFonts w:eastAsia="Amiri" w:cs="Amiri" w:ascii="Amiri" w:hAnsi="Amiri"/>
          <w:color w:val="111111"/>
          <w:sz w:val="28"/>
          <w:szCs w:val="28"/>
          <w:rtl w:val="true"/>
          <w:lang w:bidi="ar-SA"/>
        </w:rPr>
        <w:t xml:space="preserve">. </w:t>
      </w:r>
      <w:bookmarkStart w:id="436" w:name="pg19000_245465"/>
    </w:p>
    <w:p>
      <w:pPr>
        <w:pStyle w:val="BookText"/>
        <w:rPr/>
      </w:pPr>
      <w:bookmarkEnd w:id="436"/>
      <w:r>
        <w:rPr>
          <w:rFonts w:ascii="Amiri" w:hAnsi="Amiri" w:eastAsia="Amiri" w:cs="Amiri"/>
          <w:color w:val="111111"/>
          <w:sz w:val="28"/>
          <w:sz w:val="28"/>
          <w:szCs w:val="28"/>
          <w:rtl w:val="true"/>
          <w:lang w:bidi="ar-SA"/>
        </w:rPr>
        <w:t>ولو اشترى أرضاً فيها أحجار عالماً بها، لزم البيع وله إجبار البائع على نقلها لتفريغ المبيع، ولا يستحق أُجرة على مدة القلع المتعارف، ويستحق على المدة الزائدة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أثر القلع حفراً، وجب على البائع تسوية الحفر وطمه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بوجوب الأرش؛ لأنّها جناية تضمن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المشتري عالماً بالأحجار، فإن كانت يسيرةً يعتاد وجودها في الأرض فلا خيار، وإن كانت كثيرةً لا يضر إبقاؤها ولا يؤثر قلعها ضرراً ولا يفوت بسببها منفعة على المشتري ولا يفتقر قلعها إلى زمن كثير، فلا خيار أيضاً، وإن كانت متصفة بأحد ما ذكرناه، ثبت للمشتري الخيار على الأظهر؛ لحديث نفي الضرار </w:t>
      </w:r>
      <w:r>
        <w:rPr>
          <w:rStyle w:val="FootnoteAnchor"/>
          <w:rtl w:val="true"/>
        </w:rPr>
        <w:footnoteReference w:id="1154"/>
      </w:r>
      <w:r>
        <w:rPr>
          <w:rFonts w:ascii="Amiri" w:hAnsi="Amiri" w:eastAsia="Amiri" w:cs="Amiri"/>
          <w:color w:val="111111"/>
          <w:sz w:val="28"/>
          <w:sz w:val="28"/>
          <w:szCs w:val="28"/>
          <w:rtl w:val="true"/>
          <w:lang w:bidi="ar-SA"/>
        </w:rPr>
        <w:t>، فإن فسخ فلا كلام، وإن أمضى فلا أرش له، إلا إذا كانت عيباً، وله جبر البائع على القلع، ولا أجرة له على مدة القلع المتعارف، وله على الزائد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البائع الحجارة للمشتري أو أعرض عنها له أو ملكه إياها بعقد معاوضة، فالظاهر عدم سقوط الخيار؛ للاستصحاب، مع احتمال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البائع الأجرة على الإبقاء، لم تجب إجابته، سواء تضررت أحجاره بالقلع أم لم تتضرر، وسواء كان الإبقاء مضرّاً بالمشتري أم لا، بل لو تضرر بالقلع أيضاً لم يجب عليه إجابة البائع؛ لأنّه حقٌّ له، فلا يجب عليه لدفع ضرره أو ضرر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المشتري دفع الأرش لو نقصت الحجارة أو تعيبت أيضاً؛ للأصل، ولإقدام البائع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والأحجار المتخلّقة في الأرض تدخل فيها إذا كانت صغاراً وليس لها قيمة يُعتد بها، وتخرج عن بيعها وإن دخلت فيها إذا كانت كباراً ولها قيمة يُعتد بها؛ لمكان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المعادن تخرج عنها إذا كانت منطبقةً أو كانت كالياقوت والزمرد والعقيق، وتدخل فيها إذا كانت شيئاً لا يُعتد به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ما فوق المعدن وما تحته قطعاً</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3372434_1280447820"/>
      <w:bookmarkStart w:id="438" w:name="_Toc163"/>
      <w:bookmarkEnd w:id="437"/>
      <w:r>
        <w:rPr>
          <w:rtl w:val="true"/>
        </w:rPr>
        <w:t>رابعها</w:t>
      </w:r>
      <w:r>
        <w:rPr>
          <w:rtl w:val="true"/>
        </w:rPr>
        <w:t xml:space="preserve">: </w:t>
      </w:r>
      <w:r>
        <w:rPr>
          <w:rtl w:val="true"/>
        </w:rPr>
        <w:t>في أنّه يجوز لصاحب الأصل ولصاحب الثمرة سقي النخل لمصلحته إذا لم يتضرّر الآخر بالسقي</w:t>
      </w:r>
      <w:bookmarkEnd w:id="43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لصاحب الأصل ولصاحب الثمرة سقي النخل لمصلحته إذا لم يتضرر </w:t>
      </w:r>
    </w:p>
    <w:p>
      <w:pPr>
        <w:pStyle w:val="BookText"/>
        <w:rPr/>
      </w:pPr>
      <w:r>
        <w:rPr>
          <w:rFonts w:ascii="Amiri" w:hAnsi="Amiri" w:eastAsia="Amiri" w:cs="Amiri"/>
          <w:color w:val="111111"/>
          <w:sz w:val="28"/>
          <w:sz w:val="28"/>
          <w:szCs w:val="28"/>
          <w:rtl w:val="true"/>
          <w:lang w:bidi="ar-SA"/>
        </w:rPr>
        <w:t>الآخر بالسقي، فإن امتنع أحدهما أجبر الممتنع الحاكم أو العدول حسبةً أو صاحب المال مرتباً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مصلحة لأحدهما ولا ضرر يعود عليهما بالسقي وعدمه، ففي جواز إجبار الممتنع، أو حرمة التصرّف إلا بالإذن من الآخر، أو ترجيح جانب الأصول وجوه، أحوطها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أضر بأحدهما ولم تكن فيه مصلحة للآخر، فالأقوى عدم جواز جبر المضرور؛ ولدليل نفي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أضرّ السقي بواحدٍ وفوّت عدمه للآخر مصلحةً فقط ولم يضره الترك، فالظاهر أنّ حكمه كحكم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أضرّ السقي بأحدهما وأضرّ عدمه بالآخر، احتمل أنّ لهما الخيار في فسخ العقد حينئذٍ؛ لعدم إمكان الجمع ولحديث نفي الضرار </w:t>
      </w:r>
      <w:r>
        <w:rPr>
          <w:rStyle w:val="FootnoteAnchor"/>
          <w:rtl w:val="true"/>
        </w:rPr>
        <w:footnoteReference w:id="1155"/>
      </w:r>
      <w:r>
        <w:rPr>
          <w:rFonts w:ascii="Amiri" w:hAnsi="Amiri" w:eastAsia="Amiri" w:cs="Amiri"/>
          <w:color w:val="111111"/>
          <w:sz w:val="28"/>
          <w:sz w:val="28"/>
          <w:szCs w:val="28"/>
          <w:rtl w:val="true"/>
          <w:lang w:bidi="ar-SA"/>
        </w:rPr>
        <w:t>، واحتمل القرعة فمن وقعت عليه تحمّل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يتحمّله مجاناً أو مع الأرش؟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الأرش فيما لو أحاط بقيمة ما للآخر من الأصول إن ملكها، أو الثمرة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تقديم حق البائع؛ لسبق حقه إن وقع بينهما بيع، سواء باع الثمرة أو الأصول، واحتمل تقديم حق المشتري مطلقاً؛ لإقدام البائع على تسليط المشتري عليه، والمشهور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يقدم حقه مجاناً حتّى لو أتلف به جميع حق البائع وحتى لو كان ضرره يسيراً، أو يقدم حقه مع الأرش حتّى لو أحاط بجميع ما يملكه البائع قيمة، أو يفرّق بين الضرر الكثير واليسير، أو بين ضمان الكثير المحاط بقيمة ماله وعدمه ؟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الرجوع للتراجيح في تحمّل الضرر قلةً وكثرةً وفي الجبران كذلك هو الأقوى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مسائل كثيرة ذكرناها في شرح القواعد</w:t>
      </w:r>
      <w:r>
        <w:rPr>
          <w:rFonts w:eastAsia="Amiri" w:cs="Amiri" w:ascii="Amiri" w:hAnsi="Amiri"/>
          <w:color w:val="111111"/>
          <w:sz w:val="28"/>
          <w:szCs w:val="28"/>
          <w:rtl w:val="true"/>
          <w:lang w:bidi="ar-SA"/>
        </w:rPr>
        <w:t xml:space="preserve">. </w:t>
      </w:r>
      <w:bookmarkStart w:id="439" w:name="pg19000_245467"/>
    </w:p>
    <w:p>
      <w:pPr>
        <w:pStyle w:val="Heading3"/>
        <w:numPr>
          <w:ilvl w:val="2"/>
          <w:numId w:val="1"/>
        </w:numPr>
        <w:rPr/>
      </w:pPr>
      <w:bookmarkStart w:id="440" w:name="__RefHeading___Toc13372436_1280447820"/>
      <w:bookmarkStart w:id="441" w:name="_Toc164"/>
      <w:bookmarkEnd w:id="439"/>
      <w:bookmarkEnd w:id="440"/>
      <w:r>
        <w:rPr>
          <w:rtl w:val="true"/>
        </w:rPr>
        <w:t>القول في التسليم</w:t>
      </w:r>
      <w:bookmarkEnd w:id="441"/>
    </w:p>
    <w:p>
      <w:pPr>
        <w:pStyle w:val="Heading4"/>
        <w:numPr>
          <w:ilvl w:val="3"/>
          <w:numId w:val="1"/>
        </w:numPr>
        <w:rPr/>
      </w:pPr>
      <w:bookmarkStart w:id="442" w:name="__RefHeading___Toc13372438_1280447820"/>
      <w:bookmarkStart w:id="443" w:name="_Toc165"/>
      <w:bookmarkEnd w:id="442"/>
      <w:r>
        <w:rPr>
          <w:rtl w:val="true"/>
        </w:rPr>
        <w:t>اشتراك التسليم بين معان متعدّدة</w:t>
      </w:r>
      <w:bookmarkEnd w:id="443"/>
    </w:p>
    <w:p>
      <w:pPr>
        <w:pStyle w:val="BookText"/>
        <w:rPr/>
      </w:pPr>
      <w:r>
        <w:rPr>
          <w:rFonts w:ascii="Amiri" w:hAnsi="Amiri" w:eastAsia="Amiri" w:cs="Amiri"/>
          <w:color w:val="111111"/>
          <w:sz w:val="28"/>
          <w:sz w:val="28"/>
          <w:szCs w:val="28"/>
          <w:rtl w:val="true"/>
          <w:lang w:bidi="ar-SA"/>
        </w:rPr>
        <w:t>وهو مشترك بين معان متعدّدة،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التقبيض، وهو المراد ها هنا، وعبر جمع بالقبض، كما هو كثير في الأخبار، والمراد به التقبيض الذي هو من فعل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جُلّ الأحكام عليه دون القبض الذي هو من فعل المشتري، ويؤيده تفسيرهم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فعل البائع مع احتمال إرادة القبض نفسه الذي هو من فعل المشتري؛ لتلازمهما غالباً، فتدور الأحكام مدارهما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القبض والتقبيض والتسليم من الموضوعات العرفية أو الشرعيَّة التي تدور مدارها أحكام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التلف قبل القبض في البيع، ومن جواز بيعه قبله فيه وعدمه، ومن لزومه في بيع الصرف والسَّلَم، ومن ثبوت الخيار قبله إلى ثلاثة أيام، ومن اشتراطه في الرهن والهبة والوقف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بيان المعنى العرفي فيه أو المعنى الشرعي إن كان له حقيقة شرعية مطلقاً أو في شيءٍ خاص، كالكيل والوزن فيما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العرف والشرع متطابقان في معناه، وما ورد من بيانه في لسان الشرع كاشف عن العرف، وليس مثبتاً لمعنى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التقبيض على الظاهر قدر مشترك بين جميع أفراده، وهو رفع المالك المنع عن ملكه، واستيلاء الآخر عليه بالتخلّي بينه وبينه، أو بنقل، أو كيل أو وزن، أو بقبض بيد أو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فيه الاشتراك اللفظي، ويحتمل كونه بمعنى الكيل والوزن معنى شرعي لا عرفي، ويحتمل أن الكيل والوزن تقبيض حكماً 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القبض فهو فيما لا يُنقل بمعنى السلطنة والتخلّي للمشتري، وفيما يُنقل نفس النقل، وكذا فيما يكال ويوزن نفس الكيل والوزن، وفيما يُقبض باليد نفس القبض، فيكون مشتركاً لفظياً، أو نفس السلطنة على ذلك، فيكون مشتركاً معنوياً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الكيل والوزن معنى شرعي له، أو داخل فيه بالحكم لا بالاسم</w:t>
      </w:r>
      <w:r>
        <w:rPr>
          <w:rFonts w:eastAsia="Amiri" w:cs="Amiri" w:ascii="Amiri" w:hAnsi="Amiri"/>
          <w:color w:val="111111"/>
          <w:sz w:val="28"/>
          <w:szCs w:val="28"/>
          <w:rtl w:val="true"/>
          <w:lang w:bidi="ar-SA"/>
        </w:rPr>
        <w:t xml:space="preserve">. </w:t>
      </w:r>
      <w:bookmarkStart w:id="444" w:name="pg19000_245468"/>
    </w:p>
    <w:p>
      <w:pPr>
        <w:pStyle w:val="Heading4"/>
        <w:numPr>
          <w:ilvl w:val="3"/>
          <w:numId w:val="1"/>
        </w:numPr>
        <w:rPr/>
      </w:pPr>
      <w:bookmarkStart w:id="445" w:name="__RefHeading___Toc13372440_1280447820"/>
      <w:bookmarkStart w:id="446" w:name="_Toc166"/>
      <w:bookmarkEnd w:id="444"/>
      <w:bookmarkEnd w:id="445"/>
      <w:r>
        <w:rPr>
          <w:rtl w:val="true"/>
        </w:rPr>
        <w:t>وهنا أمور</w:t>
      </w:r>
      <w:r>
        <w:rPr>
          <w:rtl w:val="true"/>
        </w:rPr>
        <w:t>:</w:t>
      </w:r>
      <w:bookmarkEnd w:id="446"/>
    </w:p>
    <w:p>
      <w:pPr>
        <w:pStyle w:val="Heading5"/>
        <w:numPr>
          <w:ilvl w:val="4"/>
          <w:numId w:val="1"/>
        </w:numPr>
        <w:rPr/>
      </w:pPr>
      <w:bookmarkStart w:id="447" w:name="__RefHeading___Toc13372442_1280447820"/>
      <w:bookmarkStart w:id="448" w:name="_Toc167"/>
      <w:bookmarkEnd w:id="447"/>
      <w:r>
        <w:rPr>
          <w:rtl w:val="true"/>
        </w:rPr>
        <w:t>أحدها</w:t>
      </w:r>
      <w:r>
        <w:rPr>
          <w:rtl w:val="true"/>
        </w:rPr>
        <w:t xml:space="preserve">: </w:t>
      </w:r>
      <w:r>
        <w:rPr>
          <w:rtl w:val="true"/>
        </w:rPr>
        <w:t>التقبيض فيما لا يُنقل هو التخلية</w:t>
      </w:r>
      <w:bookmarkEnd w:id="44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التقبيض فيما لا يُنقل هو التخلية ورفع البائع سلطنته عن ملكه، وتسليط المشتري عليها بقول أو فعل؛ للعرف والإجماع بقسميه </w:t>
      </w:r>
      <w:r>
        <w:rPr>
          <w:rStyle w:val="FootnoteAnchor"/>
          <w:rtl w:val="true"/>
        </w:rPr>
        <w:footnoteReference w:id="1156"/>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ويكتفى بكلّ ما دلّ على رفع السلطنة، ولا يفتقر إلى الإذن، كما قد يتوهم من أن التخلية لو لم تكن هي الإذن لم تكن تقبيضاً؛ لأنّه أمر وجودي والتخلية من دون الإذن أمر عدمي؛ لمنع لزوم كون التقبيض أمراً وجودياً أولاً، ومنع كون التخلية أمراً عدميّاً بعد أن تكون عبارة عن رفع السلطنة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بافتقارها إلى تجديد نيّةٍ من البائع لتحقق صدقها، وافتقارها لمضيّ زمن يمكن وصول المشتري وشبهه إلى المبيع بنفسه أو بوكيله، وبدون ذلك لا تُسمّى تقبيضاً عرفاً، إلا أن الأقوى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يتفاوت في أن التقبيض هو التخلية بين ما لا يُنقل وغيره من منقول أو مكيل أو موزون أو مقبوض باليد، مع احتمال أنّه لا يتحقق في المنقول إلا بعد نقله منه، وفي المكيل والموزون إلا بعد كيل المشتري له أو وزنه، وفي المقبوض باليد إلا بعد وضعه في اليد، إلا أن الأقوى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التقبيض والتسليم، وأما نفس القبض والتسليم فالظاهر أنّه التخلّي للمشتري والسلطنة منه فيما لا يُنقل، وأما فيما يُنقل فلا يبعد أنّه كذلك مطلقاً، إلا أن الأقوى لما قيل من أن العرف يأباه والأخبار تدفعه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التخلّي رافع لحكم الضمان فهي بحكم القبض، إلا أنّه لم يقم دليل صالح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الامتناع من المشتري رافع لحكمه، وقد يُفرّق بينهما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القول برفع الضمان مع التخلّي خبر عقبة الدال على ضمان البائع للمتاع حتّى يخرج المبتاع المتاع من بيته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البائع لم يخل بينه وبين المشتري، ولو خلى لما تركه المشتري عنده، ويكون حكمه بالضمان حتّى يخرجه من بيته مبنياً على الغالب من التلازم بين التخلية من البائع وإخراج المشتري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فالأقوى في المنقول من الحيوان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يكال أو يوزن ولا يقبض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نقله؛ للإجماع المنقول </w:t>
      </w:r>
      <w:r>
        <w:rPr>
          <w:rStyle w:val="FootnoteAnchor"/>
          <w:rtl w:val="true"/>
        </w:rPr>
        <w:footnoteReference w:id="1159"/>
      </w:r>
      <w:r>
        <w:rPr>
          <w:rFonts w:ascii="IRNazanin" w:hAnsi="IRNazanin" w:eastAsia="IRNazanin"/>
          <w:color w:val="111111"/>
          <w:sz w:val="28"/>
          <w:sz w:val="28"/>
          <w:szCs w:val="28"/>
          <w:rtl w:val="true"/>
          <w:lang w:bidi="fa-IR"/>
        </w:rPr>
        <w:t>، والعرف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وخبر عقبة الظاهر في ذلك؛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ترك المتاع عنده ولم يقبضه</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وظاهر ترك المشتري المتاع أنّه بعد التخلية والتخلّي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كون التخلّي ليس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حكم بالضمان على البائع حتّى يقبض المشتري المتاع ويخرجه من بيته، فدلّ على أن القبض شيء آخر غير التخلية، بل إمّا القبض أو الإخراج من بيته، ولكنه لما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 فالمبتاع ضامن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القبض هو الإخراج، وأنّ العطف من باب التفسير؛ لتعليقه ضمان المشتري على الإخراج، ولو كان موقوفاً على غيره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بهذا على كون القبض هو النقل مطلقاً، حتّى فيما يُقبض باليد أو يكال ويوزن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الثاني قوي؛ للعرف والإجماع المنقول؛ ولعدم تعرّض الخبر للكيل والوزن، إلا أنّه في الأوّل منظور فيه؛ للعرف الحاكم بأنّ ما يُقبض باليد قبضه إمساكه، ولعدم دلالة الرواية على نفيه؛ لأن تعليق ضمان المبتاع على إخراجه من بيته مبني على الغالب من أنّ الإخراج من البيت لما يُقبض باليد إنما يكون بعد إمساكه، بل ربما كان في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يقبض المتاع ويخرجه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ما لا يُقبض باليد يكفي في قبضه الإخراج، وما يُقبض لا يكفي، وقرينته العطف، فالأقوى أنّ ما يُقبض باليد قبضه إمساكه باليد وشبهها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أصحابنا </w:t>
      </w:r>
      <w:r>
        <w:rPr>
          <w:rStyle w:val="FootnoteAnchor"/>
          <w:rtl w:val="true"/>
        </w:rPr>
        <w:footnoteReference w:id="1161"/>
      </w:r>
      <w:r>
        <w:rPr>
          <w:rFonts w:ascii="Amiri" w:hAnsi="Amiri" w:eastAsia="Amiri" w:cs="Amiri"/>
          <w:color w:val="111111"/>
          <w:sz w:val="28"/>
          <w:sz w:val="28"/>
          <w:szCs w:val="28"/>
          <w:rtl w:val="true"/>
          <w:lang w:bidi="ar-SA"/>
        </w:rPr>
        <w:t xml:space="preserve">بنوا على أنّ القبض في المكيل والموزون كيله ووزنه؛ للأخبار </w:t>
      </w:r>
    </w:p>
    <w:p>
      <w:pPr>
        <w:pStyle w:val="BookText"/>
        <w:rPr/>
      </w:pPr>
      <w:r>
        <w:rPr>
          <w:rFonts w:ascii="Amiri" w:hAnsi="Amiri" w:eastAsia="Amiri" w:cs="Amiri"/>
          <w:color w:val="111111"/>
          <w:sz w:val="28"/>
          <w:sz w:val="28"/>
          <w:szCs w:val="28"/>
          <w:rtl w:val="true"/>
          <w:lang w:bidi="ar-SA"/>
        </w:rPr>
        <w:t xml:space="preserve">الدالة على عدم جواز بيع المكيل والموزون قبل قبضه إلا أن يكال ويوزن </w:t>
      </w:r>
      <w:r>
        <w:rPr>
          <w:rStyle w:val="FootnoteAnchor"/>
          <w:rtl w:val="true"/>
        </w:rPr>
        <w:footnoteReference w:id="1162"/>
      </w:r>
      <w:r>
        <w:rPr>
          <w:rFonts w:ascii="Amiri" w:hAnsi="Amiri" w:eastAsia="Amiri" w:cs="Amiri"/>
          <w:color w:val="111111"/>
          <w:sz w:val="28"/>
          <w:sz w:val="28"/>
          <w:szCs w:val="28"/>
          <w:rtl w:val="true"/>
          <w:lang w:bidi="ar-SA"/>
        </w:rPr>
        <w:t>، فدلّت على أنّهما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 الكيل والوزن يقومان مقام القبض في رفع الكراهة والتحريم، لا أنّهما هو، فلا يباع المكيل والموزون قبل قبضهما إلا أن يقدّرا أو يقبضا؛ لأن الكيل والوزن لما كانا ملازمين للنقل أو الإمساك باليد عبّر بهما عنه، أو أنّ الكيل والوزن شرطان في قبض المكيل والموزون، لا أنّهما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على عدم ارتفاع التحريم والكراهة إلا بالقبض، فإذا كان الكيل والوزن رافعين كانا قبضاً، ممنوعة؛ لعدم تحققها، بل لتحقق عدمها، وغاية ما يُسلّم من الإجماع هو كون القبض رافعاً للمنع، لا أنّ الرفع محصور به، وذلك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بعض الأخبار المنع عن بيع الطعام قبل قبضه </w:t>
      </w:r>
      <w:r>
        <w:rPr>
          <w:rStyle w:val="FootnoteAnchor"/>
          <w:rtl w:val="true"/>
        </w:rPr>
        <w:footnoteReference w:id="1163"/>
      </w:r>
      <w:r>
        <w:rPr>
          <w:rFonts w:ascii="Amiri" w:hAnsi="Amiri" w:eastAsia="Amiri" w:cs="Amiri"/>
          <w:color w:val="111111"/>
          <w:sz w:val="28"/>
          <w:sz w:val="28"/>
          <w:szCs w:val="28"/>
          <w:rtl w:val="true"/>
          <w:lang w:bidi="ar-SA"/>
        </w:rPr>
        <w:t xml:space="preserve">، فيمكن بعد ضمها للأخبار الأولى تحصيل أن القبض هو الكيل والوزن كما حصل من آيتي الحمل والفصال </w:t>
      </w:r>
      <w:r>
        <w:rPr>
          <w:rStyle w:val="FootnoteAnchor"/>
          <w:rtl w:val="true"/>
        </w:rPr>
        <w:footnoteReference w:id="1164"/>
      </w:r>
      <w:r>
        <w:rPr>
          <w:rFonts w:ascii="Amiri" w:hAnsi="Amiri" w:eastAsia="Amiri" w:cs="Amiri"/>
          <w:color w:val="111111"/>
          <w:sz w:val="28"/>
          <w:sz w:val="28"/>
          <w:szCs w:val="28"/>
          <w:rtl w:val="true"/>
          <w:lang w:bidi="ar-SA"/>
        </w:rPr>
        <w:t>كون الحمل ستة أشهر، إلّا أنّه غير مظنون؛ لاحتمال أنّ كلّاً منهما رافع على سبيل التخيير، وأن الرافع أولاً وبالذات هو القبض، ولكن يقوم مقامه الكيل حكماً لا اسماً، أو أنّه يعبر عن القبض بهما؛ لتلازمهما، فمع قيام هذه الاحتمالات يضعف الظنّ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كلّاً من النقل والكيل والوزن قبض؛ جمعاً بين الأخبار بعيد عن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بالمكيل والموزون المعدود والمذروع فلا بد من الاعتبار بهما؛ لتساويهما في التقدير، أو لا يلحق؛ للأصل، وعدم دليل شرعي أو قضاء عرفي عليه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الكيل والوزن في المكيل والموزون فيما لو لم يعتبره المشتري سابقاً؛ لأنّه المورد اليقيني بأن أخذ كلّيّاً فعين للبائع الكلّيَّ في صبرة، أو أخذه بقول البائع مع الشكّ بصدقه وكذبه، فلو اعتبره المشتري قبل العقد أو اعتبره البائع بحضوره أو أخبره البائع بقدره فصدقه، صار حكمها حكم باقي المنقولات وسقط لزوم الكيل والوزن، أو لا بدّ منهما مطلقاً بعد العقد؛ لأجل تحقق التقبيض والقبض ؟ وجهان</w:t>
      </w:r>
      <w:r>
        <w:rPr>
          <w:rFonts w:eastAsia="Amiri" w:cs="Amiri" w:ascii="Amiri" w:hAnsi="Amiri"/>
          <w:color w:val="111111"/>
          <w:sz w:val="28"/>
          <w:szCs w:val="28"/>
          <w:rtl w:val="true"/>
          <w:lang w:bidi="ar-SA"/>
        </w:rPr>
        <w:t xml:space="preserve">. </w:t>
      </w:r>
      <w:bookmarkStart w:id="449" w:name="pg19000_245471"/>
    </w:p>
    <w:p>
      <w:pPr>
        <w:pStyle w:val="BookText"/>
        <w:rPr/>
      </w:pPr>
      <w:bookmarkEnd w:id="449"/>
      <w:r>
        <w:rPr>
          <w:rFonts w:ascii="Amiri" w:hAnsi="Amiri" w:eastAsia="Amiri" w:cs="Amiri"/>
          <w:color w:val="111111"/>
          <w:sz w:val="28"/>
          <w:sz w:val="28"/>
          <w:szCs w:val="28"/>
          <w:rtl w:val="true"/>
          <w:lang w:bidi="ar-SA"/>
        </w:rPr>
        <w:t xml:space="preserve">ويؤيد الأخير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بيع المكيل والموزون تولية قبل كيله أو وزنه </w:t>
      </w:r>
      <w:r>
        <w:rPr>
          <w:rStyle w:val="FootnoteAnchor"/>
          <w:rtl w:val="true"/>
        </w:rPr>
        <w:footnoteReference w:id="1165"/>
      </w:r>
      <w:r>
        <w:rPr>
          <w:rFonts w:ascii="Amiri" w:hAnsi="Amiri" w:eastAsia="Amiri" w:cs="Amiri"/>
          <w:color w:val="111111"/>
          <w:sz w:val="28"/>
          <w:sz w:val="28"/>
          <w:szCs w:val="28"/>
          <w:rtl w:val="true"/>
          <w:lang w:bidi="ar-SA"/>
        </w:rPr>
        <w:t>، فلو كان مخصوصاً بما لم يعتبر لما جاز توليةً وغيرها؛للجهالة، والخبر المانع من بيع</w:t>
      </w:r>
    </w:p>
    <w:p>
      <w:pPr>
        <w:pStyle w:val="BookText"/>
        <w:rPr/>
      </w:pPr>
      <w:r>
        <w:rPr>
          <w:rFonts w:ascii="Amiri" w:hAnsi="Amiri" w:eastAsia="Amiri" w:cs="Amiri"/>
          <w:color w:val="111111"/>
          <w:sz w:val="28"/>
          <w:sz w:val="28"/>
          <w:szCs w:val="28"/>
          <w:rtl w:val="true"/>
          <w:lang w:bidi="ar-SA"/>
        </w:rPr>
        <w:t xml:space="preserve">الطعام قبل كيله بعد أن أخذه المشتري بإخبار البائع له بالكيل وصدقه أيضاً كذلك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يكفي فيما يُنقل عادةً إمساكه باليد عن نقله ؟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كما لا يكفي فيما يُمسك عادةً باليد نقله إلى مكان آخر من دون 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المكيل والموزون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القبض لاختلاف النصّ والفتوى فيه يعود مجملاً، فيؤخذ باليقين من معناه فيما تعلّق على اسمه حكم شرعي</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3372444_1280447820"/>
      <w:bookmarkStart w:id="451" w:name="_Toc168"/>
      <w:bookmarkEnd w:id="450"/>
      <w:r>
        <w:rPr>
          <w:rtl w:val="true"/>
        </w:rPr>
        <w:t>ثانيها</w:t>
      </w:r>
      <w:r>
        <w:rPr>
          <w:rtl w:val="true"/>
        </w:rPr>
        <w:t xml:space="preserve">: </w:t>
      </w:r>
      <w:r>
        <w:rPr>
          <w:rtl w:val="true"/>
        </w:rPr>
        <w:t>في أنّه يجب على كل من المتعاقدين تسليم الآخر ما ملكه إياه</w:t>
      </w:r>
      <w:bookmarkEnd w:id="45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من المتعاقدين تسليم الآخر ما ملكه إياه، كتاباً </w:t>
      </w:r>
      <w:r>
        <w:rPr>
          <w:rStyle w:val="FootnoteAnchor"/>
          <w:rtl w:val="true"/>
        </w:rPr>
        <w:footnoteReference w:id="1167"/>
      </w:r>
      <w:r>
        <w:rPr>
          <w:rFonts w:ascii="Amiri" w:hAnsi="Amiri" w:eastAsia="Amiri" w:cs="Amiri"/>
          <w:color w:val="111111"/>
          <w:sz w:val="28"/>
          <w:sz w:val="28"/>
          <w:szCs w:val="28"/>
          <w:rtl w:val="true"/>
          <w:lang w:bidi="ar-SA"/>
        </w:rPr>
        <w:t xml:space="preserve">وسنّةً </w:t>
      </w:r>
      <w:r>
        <w:rPr>
          <w:rStyle w:val="FootnoteAnchor"/>
          <w:rtl w:val="true"/>
        </w:rPr>
        <w:footnoteReference w:id="1168"/>
      </w:r>
      <w:r>
        <w:rPr>
          <w:rFonts w:ascii="Amiri" w:hAnsi="Amiri" w:eastAsia="Amiri" w:cs="Amiri"/>
          <w:color w:val="111111"/>
          <w:sz w:val="28"/>
          <w:sz w:val="28"/>
          <w:szCs w:val="28"/>
          <w:rtl w:val="true"/>
          <w:lang w:bidi="ar-SA"/>
        </w:rPr>
        <w:t>و إجماعاً، ولا يجوز امتناع أحدهما أصلاً، إلا لأجل المقاصة عند امتناع الآخر، ولا يجوز له أن يمتنع من جهة امتناع صاحبه من غير جهة المقاصة؛ لأنّ مَنْ ظلم لا يظلم، مع احتمال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فيكون العاصي هو من امتنع أولاً، ويتعلّق به جبر الحاكم، وهذا هو ظاهر الأصحاب، وجعلوه من أحكام المعاوضة، أو من مقتضيات لفظها، وللبحث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يمتنعا ولكن تشاحًا في التقدم والتأخر، فالظاهر تساويهما في الحق، فيقترعا، أو يدفعا معاً بأيديهما أو بيد ثالث، فإن امتنع أحدهما من القرعة أو المساواة أجبر الحاكم الممتنع، وإن امتنعا معاً أجبرهما الحاكم على دفعه لرفع النزاع والخصومة، مع احتمال تقديم المبيع أوّلاً؛ لأن الثمن تابع للمبيع، ولكن الأوّل أقوى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أنّه لو امتنع كلّ منهما من التقدّم لم يعص أحدهما ولا يضمن إلى أن يتفقا ويرجعا إلى الحاكم ولكن لا يجبرهما</w:t>
      </w:r>
      <w:r>
        <w:rPr>
          <w:rFonts w:eastAsia="Amiri" w:cs="Amiri" w:ascii="Amiri" w:hAnsi="Amiri"/>
          <w:color w:val="111111"/>
          <w:sz w:val="28"/>
          <w:szCs w:val="28"/>
          <w:rtl w:val="true"/>
          <w:lang w:bidi="ar-SA"/>
        </w:rPr>
        <w:t xml:space="preserve">. </w:t>
      </w:r>
      <w:bookmarkStart w:id="452" w:name="pg19000_245472"/>
    </w:p>
    <w:p>
      <w:pPr>
        <w:pStyle w:val="BookText"/>
        <w:rPr/>
      </w:pPr>
      <w:bookmarkEnd w:id="452"/>
      <w:r>
        <w:rPr>
          <w:rFonts w:ascii="Amiri" w:hAnsi="Amiri" w:eastAsia="Amiri" w:cs="Amiri"/>
          <w:color w:val="111111"/>
          <w:sz w:val="28"/>
          <w:sz w:val="28"/>
          <w:szCs w:val="28"/>
          <w:rtl w:val="true"/>
          <w:lang w:bidi="ar-SA"/>
        </w:rPr>
        <w:t>نعم، إذا تقدَّم أحدهما بالدفع عصى الآخر وضمن وجبره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أطلقا في معيّن أو كلّيّ، وأما لو شرطا التأجيل أو شرط أحدهما وجب الدفع فوراً على مَنْ لم يشترط، وفوراً بعد الأجل على من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اشترطا التعجيل، فالوجوب فوراً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سقوط جواز التمانع بينهما من التسليم إذا تشاحا في التقدم والتأخر؛ لمكان الشرط، فتأمل</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3372446_1280447820"/>
      <w:bookmarkStart w:id="454" w:name="_Toc169"/>
      <w:bookmarkEnd w:id="453"/>
      <w:r>
        <w:rPr>
          <w:rtl w:val="true"/>
        </w:rPr>
        <w:t>ثالثها</w:t>
      </w:r>
      <w:r>
        <w:rPr>
          <w:rtl w:val="true"/>
        </w:rPr>
        <w:t xml:space="preserve">: </w:t>
      </w:r>
      <w:r>
        <w:rPr>
          <w:rtl w:val="true"/>
        </w:rPr>
        <w:t>فيما يتعلّق بما لو حدث في المبيع عيب قبل القبض</w:t>
      </w:r>
      <w:bookmarkEnd w:id="45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المبيع عيب قبل القبض، فلا إشكال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به أرش مع الإمساك ؟ لأنّ العيب نقص في المبيع، وهو مضمون على البائع</w:t>
      </w:r>
    </w:p>
    <w:p>
      <w:pPr>
        <w:pStyle w:val="BookText"/>
        <w:rPr/>
      </w:pPr>
      <w:r>
        <w:rPr>
          <w:rFonts w:ascii="Amiri" w:hAnsi="Amiri" w:eastAsia="Amiri" w:cs="Amiri"/>
          <w:color w:val="111111"/>
          <w:sz w:val="28"/>
          <w:sz w:val="28"/>
          <w:szCs w:val="28"/>
          <w:rtl w:val="true"/>
          <w:lang w:bidi="ar-SA"/>
        </w:rPr>
        <w:t xml:space="preserve">قبل قبضه، ويقابله جزء من الثمن فهو مردود على المشتري في مقابلة ما نقص، وليس الأرش إلا ذلك،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المبتاع حتّى ينقضي الشرط ويصير المبيع له</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ضمانه؛ لأنّه مالكه سابقاً فمفهومه حصول الضمان على البائع وعلى ذلك فتوى المشهور، أو لا يثبت ؟ للأصل، والإجماع المنقول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لانقطاع الأصل، ووهن الإجماع بمخالفة المشهور له</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3372448_1280447820"/>
      <w:bookmarkStart w:id="456" w:name="_Toc170"/>
      <w:bookmarkEnd w:id="455"/>
      <w:r>
        <w:rPr>
          <w:rtl w:val="true"/>
        </w:rPr>
        <w:t>رابعها</w:t>
      </w:r>
      <w:r>
        <w:rPr>
          <w:rtl w:val="true"/>
        </w:rPr>
        <w:t xml:space="preserve">: </w:t>
      </w:r>
      <w:r>
        <w:rPr>
          <w:rtl w:val="true"/>
        </w:rPr>
        <w:t>هل يكفي قبض المشتري بدون تقبيض البائع أو إذنه في قبضه في رفع الضمان عن البائع ؟</w:t>
      </w:r>
      <w:bookmarkEnd w:id="45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قبض المشتري بدون تقبيض البائع أو إذنه في قبضه في رفع الضمان عن البائع، ورفع الكراهة أو التحريم في بيعه عن المشتري؛ لحصول القبض المعلّق عليه تلك الأحكام في النصّ والفتوى، أو لا يكفي؛ لانصرافه إلى القبض المعتبر عند الشارع، وهو ما يكون بالإذن، أو يكفي في رفع الضمان دون التحريم والكراهة ؟ وجوه، أوجهها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مقبوضاً قبل العقد من غير إذن، جاءت فيه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مقبوضاً بإذن البائع، فإن كان لأجل البيع فهو كالتقبيض والقبض بعد العقد، ولا يحتاج إلى تجديد إذن من البائع ولا إلى تجديد نية من المشتري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مستعيراً له أو مرهوناً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الاكتفاء به في التقبيض والقبض، واحتمل توقفه على الإذن الجديدة من البائع؛ لأن المأذون به سابقاً غير </w:t>
      </w:r>
      <w:bookmarkStart w:id="457" w:name="pg19000_245473"/>
    </w:p>
    <w:p>
      <w:pPr>
        <w:pStyle w:val="BookText"/>
        <w:rPr/>
      </w:pPr>
      <w:bookmarkEnd w:id="457"/>
      <w:r>
        <w:rPr>
          <w:rFonts w:ascii="Amiri" w:hAnsi="Amiri" w:eastAsia="Amiri" w:cs="Amiri"/>
          <w:color w:val="111111"/>
          <w:sz w:val="28"/>
          <w:sz w:val="28"/>
          <w:szCs w:val="28"/>
          <w:rtl w:val="true"/>
          <w:lang w:bidi="ar-SA"/>
        </w:rPr>
        <w:t>المقصود لاحقاً، سيّما مع عدم علم البائع بأنّه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فهل يشترط تجديد النية من المشتري للقبض الجديد كي يتحقق صدق قبض البيع، أو لا يشترط؛ لأنّ الاستدامة كالابتداء ؟ وجهان، والأخير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مشغولاً بأمتعة البائع، فإن كان القبض مما يكفي فيه التخلية، حصل وإن لم يفرّغه، وإن كان من المنقول والمقبوض باليد فأذن له في نقل الجميع، فلا كلام، وإن أذن له في نقل المبيع دون ما فيه فنقلهما معاً، ففيه إشكال،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مشتركاً، فإن كان ممّا يكفي فيه التخلية كفت التخلية في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فيه بأنّ التخلية مع الشركة لا تتم؛ لعدم إمكان التسلّط على التصرف،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المنقول أو الممسك باليد، احتمل الاكتفاء بنقله ولو من دون إذن الشريك، والنهي ها هنا لا يقضي بالفساد؛ لتعلقه بأمرٍ خارج، واحتمل توقف صحّة القبض على إذن الشريك، فلو امتنع أجبره الحاكم، وإلّا نصب مَنْ يقبضه بعضه أمانة وبعضه لأجل البيع، ويحتمل الاكتفاء بالتخلية في المنقول عند حصول الشركة سيّما مع امتناع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والنقل كاف في القبض بما يُسمّى عرفاً نقلاً ولو كان من مكان يملكه البائع إلى آخر، ولا يفتقر إلى نقله إلى ما لا يملكه البائع</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3372450_1280447820"/>
      <w:bookmarkStart w:id="459" w:name="_Toc171"/>
      <w:bookmarkEnd w:id="458"/>
      <w:r>
        <w:rPr>
          <w:rtl w:val="true"/>
        </w:rPr>
        <w:t>خامسها</w:t>
      </w:r>
      <w:r>
        <w:rPr>
          <w:rtl w:val="true"/>
        </w:rPr>
        <w:t xml:space="preserve">: </w:t>
      </w:r>
      <w:r>
        <w:rPr>
          <w:rtl w:val="true"/>
        </w:rPr>
        <w:t>حكم ما إذا اختلط المبيع بغيره اختلاطاً لا يمكن تميزه أو يمكن ولكن لا يمكن فصله قبل القبض أو بعده</w:t>
      </w:r>
      <w:bookmarkEnd w:id="45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المبيع بغيره اختلاطاً لا يمكن تميزه، أو يمكن ولكن لا يمكن فصله قبل القبض أو بعد القبض، صار المشتري شريكاً فيما لا يتميّز ومالكاً لخصوص ماله فيما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له الخيار لو كان الاختلاط قبل القبض ولم يكن قادماً عليه، فلو كان قادماً عليه عالماً به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اشترى لقطة عالماً بحدوث أخرى وقادماً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خياره، ولا يسقط خياره ببذل البائع له ماله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الاختلاط بين كونه بالأدنى أو الأجود أو المساوي؛ لأن الشركة عيب أو كالعيب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للبائع الخيار مع جهله بالاختلاط إذا كان بالأجود حين العقد؛ لنفي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اختلاطه بالمساوي أو الأدنى أو كان بعد العقد مطلقاً قبل القبض، ففي ثبوت الخيار للبائع إشكال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المشتري إن لم يفسخ ورضي بقبضه مشتركاً ورضي البائع أيضاً فلا كلام، وإن </w:t>
      </w:r>
      <w:bookmarkStart w:id="460" w:name="pg19000_245474"/>
    </w:p>
    <w:p>
      <w:pPr>
        <w:pStyle w:val="BookText"/>
        <w:rPr/>
      </w:pPr>
      <w:bookmarkEnd w:id="460"/>
      <w:r>
        <w:rPr>
          <w:rFonts w:ascii="Amiri" w:hAnsi="Amiri" w:eastAsia="Amiri" w:cs="Amiri"/>
          <w:color w:val="111111"/>
          <w:sz w:val="28"/>
          <w:sz w:val="28"/>
          <w:szCs w:val="28"/>
          <w:rtl w:val="true"/>
          <w:lang w:bidi="ar-SA"/>
        </w:rPr>
        <w:t>لم يرض أحدهما فطلب القسمة مع الاختلاط المزجي أو عزل حصته عن الآخر، أجيب إليها، وأجبر الممتنع، وكانت مؤونة القسمة والتخليص على البائع؛ للزوم تسليم المبيع مفرغاً إلى البائع، فضمان ما يحدث قبله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جملةً فتلف بعضها قبل القبض وكان للمتلوف قيمة، كان ضمانه على البائع، وكان المشتري بالخيار بين الردّ وبين أخذ الباقي بحصته من الثمن، إلا في مسألة الآبق فإنّ الثمن يكون بإزاء الضميمة لو ظهر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تلف جزء منها بحيث كان نقصان ذلك الجزء عيباً، كيد العبد،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للمتلوف قيمة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كفوات وصف قبل القبض من علم أو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أرش، والخيار بين الرد أو الإمساك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كان المتلوف عيناً لا تقابل بمالٍ مع صحّة بيعها مع الانضمام</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3372452_1280447820"/>
      <w:bookmarkStart w:id="462" w:name="_Toc172"/>
      <w:bookmarkEnd w:id="461"/>
      <w:r>
        <w:rPr>
          <w:rtl w:val="true"/>
        </w:rPr>
        <w:t>سادسها</w:t>
      </w:r>
      <w:r>
        <w:rPr>
          <w:rtl w:val="true"/>
        </w:rPr>
        <w:t xml:space="preserve">: </w:t>
      </w:r>
      <w:r>
        <w:rPr>
          <w:rtl w:val="true"/>
        </w:rPr>
        <w:t>وجوب تفريغ المبيع عن مال البائع</w:t>
      </w:r>
      <w:bookmarkEnd w:id="462"/>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تفريغ المبيع من مال البائع؛ لأنّه في إبقائه ظالم معتد، فلو لم يفتقر التفريغ إلى زمانٍ يُعتد به ولا إلى نقص في المبيع أو تغيّر هيئة له، لم يكن للمشتري خيار، ولو افتقر إلى مدةٍ أو أثر في المبيع نقصاً أو تغيّر هيئة كان للمشتري الخيار، ومع عدم الفسخ فمؤونة النقل على البائع، وأرش النقص الحاصل في المبيع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يكن الشاغل زرعاً أو غرساً مما بني على الإبقاء، فلو كان كذلك لزم على المشتري إبقاؤه مع العلم وكان له الخيار بين الفسخ وبين الرضى به والصبر إلى مدة قلعه؛ جمعاً بين حقى البائع والمشتري، وليس له إلزام البائع بالأجرة على</w:t>
      </w:r>
    </w:p>
    <w:p>
      <w:pPr>
        <w:pStyle w:val="Heading5"/>
        <w:numPr>
          <w:ilvl w:val="4"/>
          <w:numId w:val="1"/>
        </w:numPr>
        <w:rPr/>
      </w:pPr>
      <w:bookmarkStart w:id="463" w:name="__RefHeading___Toc13372454_1280447820"/>
      <w:bookmarkStart w:id="464" w:name="_Toc173"/>
      <w:bookmarkEnd w:id="463"/>
      <w:r>
        <w:rPr>
          <w:rtl w:val="true"/>
        </w:rPr>
        <w:t>سابعها</w:t>
      </w:r>
      <w:r>
        <w:rPr>
          <w:rtl w:val="true"/>
        </w:rPr>
        <w:t xml:space="preserve">: </w:t>
      </w:r>
      <w:r>
        <w:rPr>
          <w:rtl w:val="true"/>
        </w:rPr>
        <w:t>عدم فسخ البيع بتعذر التسليم ما بين العقد و القبض</w:t>
      </w:r>
      <w:bookmarkEnd w:id="464"/>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التسليم ما بين العقد والقبض لا يفسخ البيع، بل يسلّط المشتري على الخيار ما لم يشترط البائع سقوطه حين العقد على الأظهر، فإن فسخ المشتري عند التعذر فلا كلام، وإن رضي صبر إلى أن يحصل له المبيع أو يتحقق تلفه، ومتى تلف كان من مال البائع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يتفاوت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الخيار وكون التلف من مال البائع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قدرة المشتري على تسلّمه وبين عدمها؛ لأنّ مناطها عدم إمكان التسليم من البائع، لا عدم إمكان التسلّم من المشتري</w:t>
      </w:r>
      <w:r>
        <w:rPr>
          <w:rFonts w:eastAsia="Amiri" w:cs="Amiri" w:ascii="Amiri" w:hAnsi="Amiri"/>
          <w:color w:val="111111"/>
          <w:sz w:val="28"/>
          <w:szCs w:val="28"/>
          <w:rtl w:val="true"/>
          <w:lang w:bidi="ar-SA"/>
        </w:rPr>
        <w:t xml:space="preserve">. </w:t>
      </w:r>
      <w:bookmarkStart w:id="465" w:name="pg19000_245475"/>
    </w:p>
    <w:p>
      <w:pPr>
        <w:pStyle w:val="BookText"/>
        <w:rPr/>
      </w:pPr>
      <w:bookmarkEnd w:id="465"/>
      <w:r>
        <w:rPr>
          <w:rFonts w:ascii="Amiri" w:hAnsi="Amiri" w:eastAsia="Amiri" w:cs="Amiri"/>
          <w:color w:val="111111"/>
          <w:sz w:val="28"/>
          <w:sz w:val="28"/>
          <w:szCs w:val="28"/>
          <w:rtl w:val="true"/>
          <w:lang w:bidi="ar-SA"/>
        </w:rPr>
        <w:t xml:space="preserve">ولو غصب المبيع غاصب، فإن أمكن استعادته من البائع بسرعةٍ فلا خيار للمشتري، وإن لم يمكن استعادته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يمكن أصلاً أو أمكن بطولٍ كان له الخيار بين الفسخ وبين الإمضاء ومطالبة البائع أو مطالبة،الغاصب، فإن طالب الغاصب لزم الغاصب دفعه إليه، ولا يجوز دفعه إلى البائع، وإن طالب البائع لزم فكه من الغاصب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للغاصب دفعه إليه ؟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الجواز فالظاهر بقاء ضمانه عليه إلى أن يدفعه البائع إلى المشتري، فإن لم يمكن البائع فكه من الغاصب فالظاهر أنّه لا شيء عليه للمشتري من ضمان مثل أو قيمةٍ ما لم يكن مفرّطاً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خيار المشتري فوري أم على التراخي ؟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فهل له الفسخ بعد ذلك ؟ الظاهر أنّه له ما لم يسقط خياره، أو يكون الصبر ومع دليلاً على إسقاطه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 المبيع في يد الغاصب مع رضاه ببقاء العقد قبل التلف، احتمل انفساخ العقد، واحتمل ثبوت الخيار فيرجع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 أو القيمة، واحتمل كون التلف من ماله تنزيلاً لرضاه منزلة القبض، فيرجع إلى الغاصب بالمثل أو القيمة من غير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الوسط ما لم يكن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البائع أجرة مدة الغصب للأصل، وعدم كونها من أجزاء المبيع المضمونة عليه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ضمانها على الغاصب، إلا أن يكون البائع غاصباً فإنّه يضمن المنفعة بالتفويت والاستيفاء، ويضمن العين أيضاً لو تلفت بيده، ولا ينفسخ العقد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للمشتري الخيار بين الفسخ وبين الإمضاء والرجوع إليه بالمثل أو القيمة؛ تنزيلاً لمنعه منزلة الغاصب، أو لا خيار له؛ لقيام جبر الحاكم للممتنع مقام الخيار في دفع الضرار ؟ وجهان،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يكن حبس البائع بحقِّ، أما لو كان بحقِّ فلا يضمن المنفعة إلا بالاستيفاء على الأظهر، ولا يلزم بالنفقة، بل تؤخذ من المشتري فإن أداها فلا كلام، وإلا رجع إلى الحاكم ليجبره عليها، أو يأذن للبائع بالإنفاق ثم الرجوع على المشتري</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3372456_1280447820"/>
      <w:bookmarkStart w:id="467" w:name="_Toc174"/>
      <w:bookmarkEnd w:id="466"/>
      <w:r>
        <w:rPr>
          <w:rtl w:val="true"/>
        </w:rPr>
        <w:t>ثامنها</w:t>
      </w:r>
      <w:r>
        <w:rPr>
          <w:rtl w:val="true"/>
        </w:rPr>
        <w:t xml:space="preserve">: </w:t>
      </w:r>
      <w:r>
        <w:rPr>
          <w:rtl w:val="true"/>
        </w:rPr>
        <w:t>تلف المبيع قبل قبضه من مال بائعه إذا كان التلف من غير البائع أو أجنبي</w:t>
      </w:r>
      <w:bookmarkEnd w:id="46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المبيع 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الثمن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بائعه إذا كان التلف </w:t>
      </w:r>
      <w:bookmarkStart w:id="468" w:name="pg19000_245476"/>
    </w:p>
    <w:p>
      <w:pPr>
        <w:pStyle w:val="BookText"/>
        <w:rPr/>
      </w:pPr>
      <w:bookmarkEnd w:id="468"/>
      <w:r>
        <w:rPr>
          <w:rFonts w:ascii="Amiri" w:hAnsi="Amiri" w:eastAsia="Amiri" w:cs="Amiri"/>
          <w:color w:val="111111"/>
          <w:sz w:val="28"/>
          <w:sz w:val="28"/>
          <w:szCs w:val="28"/>
          <w:rtl w:val="true"/>
          <w:lang w:bidi="ar-SA"/>
        </w:rPr>
        <w:t>من غير البائع أو أجنبي، فلو كان منهما كان للمشتري الخيار بين الفسخ والإمضاء ومطالبة المتلف بالمثل أو القيمة على الأقوى فيهما، مع احتمال انفساخ العقد بإتلافهما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 المبيع المشتري، كان بمنزلة القبض في كون ضمانه عليه، وفي كونه بمنزلة القبض في الصرف والسلم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المتلف بآفة سماوية بيد البائع بعد امتناعه من التسليم وغصبه للمبيع، احتمل الانفساخ لإطلاق الدليل واحتمل كون الخيار للمشتري، فإن أمضى أخذ منه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شارك الآفة السماوية غيرها من بائع أو أجنبي أو مشتري، فالأظهر عدم انفساخ العقد مع احتمال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تعيّب المعيب بجناية جانٍ قبل القبض كان للمشتري الخيار بين الفسخ وبين الإمضاء ومطالبة الجاني بالأرش إن لم يكن هو البائع، وإن كان هو البائع طالب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أن يطالب البائع بأرش جناية الأجنبي؛ لأنّ المبيع مضمون عليه، أو لا ؟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المبيع بعد أن تصرف البائع بالثمن فباعه، احتمل انفساخ بيعه الثاني،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ودفع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القيمة يوم تلف المبيع وانفساخ العقد، أو يوم البيع ؟ وجهان، والأقوى الأوّل</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3372458_1280447820"/>
      <w:bookmarkStart w:id="470" w:name="_Toc175"/>
      <w:bookmarkEnd w:id="469"/>
      <w:r>
        <w:rPr>
          <w:rtl w:val="true"/>
        </w:rPr>
        <w:t>تاسعها</w:t>
      </w:r>
      <w:r>
        <w:rPr>
          <w:rtl w:val="true"/>
        </w:rPr>
        <w:t xml:space="preserve">: </w:t>
      </w:r>
      <w:r>
        <w:rPr>
          <w:rtl w:val="true"/>
        </w:rPr>
        <w:t>عدم حرمة بيع ما لم يقبض من ثمن أو مثمن</w:t>
      </w:r>
      <w:bookmarkEnd w:id="470"/>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بيع ما لم يقبض من ثمن أو مثمن كلّيّ أو عين إذا لم يكن الكلّي مؤجلاً فإنّ له حكماً آخر، مكيلاً أو موزوناً أو معدوداً أو غيرها، طعاماً أو غيره، توليةً كان البيع أو غيرها، وضيعةً كان أو غيرها، انتقل إلى البائع ببيع أو غيره من ميراث أو صدقةٍ أو صلح أو صداق أو غيرها، توسط بين البيع الأوّل والثاني غير البيع من ميراث أو صداق ونحوهماً أو لم يتوسط، كلّ ذلك للأصل، وعمومات العقود وإطلاقات أنواعها كتاباً </w:t>
      </w:r>
      <w:r>
        <w:rPr>
          <w:rStyle w:val="FootnoteAnchor"/>
          <w:rtl w:val="true"/>
        </w:rPr>
        <w:footnoteReference w:id="1172"/>
      </w:r>
      <w:r>
        <w:rPr>
          <w:rFonts w:ascii="Amiri" w:hAnsi="Amiri" w:eastAsia="Amiri" w:cs="Amiri"/>
          <w:color w:val="111111"/>
          <w:sz w:val="28"/>
          <w:sz w:val="28"/>
          <w:szCs w:val="28"/>
          <w:rtl w:val="true"/>
          <w:lang w:bidi="ar-SA"/>
        </w:rPr>
        <w:t xml:space="preserve">وسنة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وللأخبار المتكثّرة الدالة على أنّ البيع بعد الشراء </w:t>
      </w:r>
      <w:r>
        <w:rPr>
          <w:rStyle w:val="FootnoteAnchor"/>
          <w:rtl w:val="true"/>
        </w:rPr>
        <w:footnoteReference w:id="1174"/>
      </w:r>
      <w:r>
        <w:rPr>
          <w:rFonts w:ascii="Amiri" w:hAnsi="Amiri" w:eastAsia="Amiri" w:cs="Amiri"/>
          <w:color w:val="111111"/>
          <w:sz w:val="28"/>
          <w:sz w:val="28"/>
          <w:szCs w:val="28"/>
          <w:rtl w:val="true"/>
          <w:lang w:bidi="ar-SA"/>
        </w:rPr>
        <w:t xml:space="preserve">، أو أنّ الشراء بعدما يملكه </w:t>
      </w:r>
      <w:r>
        <w:rPr>
          <w:rStyle w:val="FootnoteAnchor"/>
          <w:rtl w:val="true"/>
        </w:rPr>
        <w:footnoteReference w:id="1175"/>
      </w:r>
      <w:r>
        <w:rPr>
          <w:rFonts w:ascii="Amiri" w:hAnsi="Amiri" w:eastAsia="Amiri" w:cs="Amiri"/>
          <w:color w:val="111111"/>
          <w:sz w:val="28"/>
          <w:sz w:val="28"/>
          <w:szCs w:val="28"/>
          <w:rtl w:val="true"/>
          <w:lang w:bidi="ar-SA"/>
        </w:rPr>
        <w:t xml:space="preserve">، وفيهما ظهور بالجواز قبل القبض، وأنّه لا بأس ببيع الثمرة قبل أخذها </w:t>
      </w:r>
      <w:r>
        <w:rPr>
          <w:rStyle w:val="FootnoteAnchor"/>
          <w:rtl w:val="true"/>
        </w:rPr>
        <w:footnoteReference w:id="1176"/>
      </w:r>
      <w:r>
        <w:rPr>
          <w:rFonts w:ascii="IRNazanin" w:hAnsi="IRNazanin" w:eastAsia="IRNazanin"/>
          <w:color w:val="111111"/>
          <w:sz w:val="28"/>
          <w:sz w:val="28"/>
          <w:szCs w:val="28"/>
          <w:rtl w:val="true"/>
          <w:lang w:bidi="fa-IR"/>
        </w:rPr>
        <w:t xml:space="preserve">، وأن من اشترى طعاماً قبل </w:t>
      </w:r>
    </w:p>
    <w:p>
      <w:pPr>
        <w:pStyle w:val="BookText"/>
        <w:rPr/>
      </w:pPr>
      <w:r>
        <w:rPr>
          <w:rFonts w:ascii="Amiri" w:hAnsi="Amiri" w:eastAsia="Amiri" w:cs="Amiri"/>
          <w:color w:val="111111"/>
          <w:sz w:val="28"/>
          <w:sz w:val="28"/>
          <w:szCs w:val="28"/>
          <w:rtl w:val="true"/>
          <w:lang w:bidi="ar-SA"/>
        </w:rPr>
        <w:t>أن يكيله،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وهو ظاهر في الجواز، وأن من اشترى طعاماً فطلبه التجار قبل أن يقبضه،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وأنّ من اشترى طعاماً فلا بأس أن يبيعه قبل أن يقبضه </w:t>
      </w:r>
      <w:r>
        <w:rPr>
          <w:rStyle w:val="FootnoteAnchor"/>
          <w:rtl w:val="true"/>
        </w:rPr>
        <w:footnoteReference w:id="1179"/>
      </w:r>
      <w:r>
        <w:rPr>
          <w:rFonts w:ascii="Amiri" w:hAnsi="Amiri" w:eastAsia="Amiri" w:cs="Amiri"/>
          <w:color w:val="111111"/>
          <w:sz w:val="28"/>
          <w:sz w:val="28"/>
          <w:szCs w:val="28"/>
          <w:rtl w:val="true"/>
          <w:lang w:bidi="ar-SA"/>
        </w:rPr>
        <w:t xml:space="preserve">، وهي لكثرتها واعتضادها بالشهرة المنقولة </w:t>
      </w:r>
      <w:r>
        <w:rPr>
          <w:rStyle w:val="FootnoteAnchor"/>
          <w:rtl w:val="true"/>
        </w:rPr>
        <w:footnoteReference w:id="1180"/>
      </w:r>
      <w:r>
        <w:rPr>
          <w:rFonts w:ascii="Amiri" w:hAnsi="Amiri" w:eastAsia="Amiri" w:cs="Amiri"/>
          <w:color w:val="111111"/>
          <w:sz w:val="28"/>
          <w:sz w:val="28"/>
          <w:szCs w:val="28"/>
          <w:rtl w:val="true"/>
          <w:lang w:bidi="ar-SA"/>
        </w:rPr>
        <w:t>بل المحصلة لا محيص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 غير المكيل والموزون حتّى المعدود في غير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مكيلاً وموزوناً أو لا كالزرع القائم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فتوى ونصّاً، ولما دلّ على نفي البأس عن بيع ما لا يكال ويوزن قبل قبضه، كرواية البرّ، وفيها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ليس بمنزلة الطعام، لأنّ الطعام يكال</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وكالصحيح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فيه كيل ووزن فبعه</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إشكال أيضاً فيما انتقل بغير بيع ولو كان أصله بيعاً على الأظهر، وكذا فيما أُريد نقله بغير 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إلحاق الإجارة؛ معللاً بأنها ضرب من البيوع، وفي الكتابة؛ لأنّها بيع العبد من نفسه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باطل، مضافاً إلى أن العبد لا يكال ولا يوزن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وقع الإشكال والخلاف فيما يكال ويوزن وفي الطعام إما لكونه ممّا يكال ويوزن أو لكونه طعاماً، فذهب جمع من أصحابنا </w:t>
      </w:r>
      <w:r>
        <w:rPr>
          <w:rStyle w:val="FootnoteAnchor"/>
          <w:rtl w:val="true"/>
        </w:rPr>
        <w:footnoteReference w:id="1184"/>
      </w:r>
      <w:r>
        <w:rPr>
          <w:rFonts w:ascii="Amiri" w:hAnsi="Amiri" w:eastAsia="Amiri" w:cs="Amiri"/>
          <w:color w:val="111111"/>
          <w:sz w:val="28"/>
          <w:sz w:val="28"/>
          <w:szCs w:val="28"/>
          <w:rtl w:val="true"/>
          <w:lang w:bidi="ar-SA"/>
        </w:rPr>
        <w:t xml:space="preserve">إلى تحريم بيع ما يكال ويوزن قبل قبضه مطلقاً؛ للأخبار الناهية عنه قبل قبضه في بعضها </w:t>
      </w:r>
      <w:r>
        <w:rPr>
          <w:rStyle w:val="FootnoteAnchor"/>
          <w:rtl w:val="true"/>
        </w:rPr>
        <w:footnoteReference w:id="1185"/>
      </w:r>
      <w:r>
        <w:rPr>
          <w:rFonts w:ascii="Amiri" w:hAnsi="Amiri" w:eastAsia="Amiri" w:cs="Amiri"/>
          <w:color w:val="111111"/>
          <w:sz w:val="28"/>
          <w:sz w:val="28"/>
          <w:szCs w:val="28"/>
          <w:rtl w:val="true"/>
          <w:lang w:bidi="ar-SA"/>
        </w:rPr>
        <w:t xml:space="preserve">، وقبل كيله أو وزنه في بعض آخر </w:t>
      </w:r>
      <w:r>
        <w:rPr>
          <w:rStyle w:val="FootnoteAnchor"/>
          <w:rtl w:val="true"/>
        </w:rPr>
        <w:footnoteReference w:id="1186"/>
      </w:r>
      <w:r>
        <w:rPr>
          <w:rFonts w:ascii="Amiri" w:hAnsi="Amiri" w:eastAsia="Amiri" w:cs="Amiri"/>
          <w:color w:val="111111"/>
          <w:sz w:val="28"/>
          <w:sz w:val="28"/>
          <w:szCs w:val="28"/>
          <w:rtl w:val="true"/>
          <w:lang w:bidi="ar-SA"/>
        </w:rPr>
        <w:t xml:space="preserve">، وقبل قبضه أو كيله في ثالث </w:t>
      </w:r>
      <w:r>
        <w:rPr>
          <w:rStyle w:val="FootnoteAnchor"/>
          <w:rtl w:val="true"/>
        </w:rPr>
        <w:footnoteReference w:id="1187"/>
      </w:r>
      <w:r>
        <w:rPr>
          <w:rFonts w:ascii="Amiri" w:hAnsi="Amiri" w:eastAsia="Amiri" w:cs="Amiri"/>
          <w:color w:val="111111"/>
          <w:sz w:val="28"/>
          <w:sz w:val="28"/>
          <w:szCs w:val="28"/>
          <w:rtl w:val="true"/>
          <w:lang w:bidi="ar-SA"/>
        </w:rPr>
        <w:t>، بناءً على أن الكيل والوزن في الأخبار هو القبض حكماً أو اسماً كما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وذهب جمع آخر </w:t>
      </w:r>
      <w:r>
        <w:rPr>
          <w:rStyle w:val="FootnoteAnchor"/>
          <w:rtl w:val="true"/>
        </w:rPr>
        <w:footnoteReference w:id="1188"/>
      </w:r>
      <w:r>
        <w:rPr>
          <w:rFonts w:ascii="Amiri" w:hAnsi="Amiri" w:eastAsia="Amiri" w:cs="Amiri"/>
          <w:color w:val="111111"/>
          <w:sz w:val="28"/>
          <w:sz w:val="28"/>
          <w:szCs w:val="28"/>
          <w:rtl w:val="true"/>
          <w:lang w:bidi="ar-SA"/>
        </w:rPr>
        <w:t>إلى تحريمه إذا كان طعاماً؛ للأخبار الدالة على النهي عن بيعه قبل كيله</w:t>
      </w:r>
      <w:r>
        <w:rPr>
          <w:rStyle w:val="FootnoteAnchor"/>
          <w:rtl w:val="true"/>
        </w:rPr>
        <w:footnoteReference w:id="1189"/>
      </w:r>
      <w:r>
        <w:rPr>
          <w:rFonts w:ascii="Amiri" w:hAnsi="Amiri" w:eastAsia="Amiri" w:cs="Amiri"/>
          <w:color w:val="111111"/>
          <w:sz w:val="28"/>
          <w:sz w:val="28"/>
          <w:szCs w:val="28"/>
          <w:rtl w:val="true"/>
          <w:lang w:bidi="ar-SA"/>
        </w:rPr>
        <w:t xml:space="preserve">، والدالة على النهي عن بيعه قبل قبضه </w:t>
      </w:r>
      <w:r>
        <w:rPr>
          <w:rStyle w:val="FootnoteAnchor"/>
          <w:rtl w:val="true"/>
        </w:rPr>
        <w:footnoteReference w:id="1190"/>
      </w:r>
      <w:r>
        <w:rPr>
          <w:rFonts w:ascii="Amiri" w:hAnsi="Amiri" w:eastAsia="Amiri" w:cs="Amiri"/>
          <w:color w:val="111111"/>
          <w:sz w:val="28"/>
          <w:sz w:val="28"/>
          <w:szCs w:val="28"/>
          <w:rtl w:val="true"/>
          <w:lang w:bidi="ar-SA"/>
        </w:rPr>
        <w:t xml:space="preserve">، وهي متكثّرة، وقد نقل على مضمونها الإجماع غير واحدٍ </w:t>
      </w:r>
      <w:r>
        <w:rPr>
          <w:rStyle w:val="FootnoteAnchor"/>
          <w:rtl w:val="true"/>
        </w:rPr>
        <w:footnoteReference w:id="1191"/>
      </w:r>
      <w:r>
        <w:rPr>
          <w:rFonts w:ascii="Amiri" w:hAnsi="Amiri" w:eastAsia="Amiri" w:cs="Amiri"/>
          <w:color w:val="111111"/>
          <w:sz w:val="28"/>
          <w:sz w:val="28"/>
          <w:szCs w:val="28"/>
          <w:rtl w:val="true"/>
          <w:lang w:bidi="ar-SA"/>
        </w:rPr>
        <w:t xml:space="preserve">، والدالة على النهي عن بيع المكيل والموزون قبل قبضه </w:t>
      </w:r>
      <w:r>
        <w:rPr>
          <w:rStyle w:val="FootnoteAnchor"/>
          <w:rtl w:val="true"/>
        </w:rPr>
        <w:footnoteReference w:id="1192"/>
      </w:r>
      <w:r>
        <w:rPr>
          <w:rFonts w:ascii="Amiri" w:hAnsi="Amiri" w:eastAsia="Amiri" w:cs="Amiri"/>
          <w:color w:val="111111"/>
          <w:sz w:val="28"/>
          <w:sz w:val="28"/>
          <w:szCs w:val="28"/>
          <w:rtl w:val="true"/>
          <w:lang w:bidi="ar-SA"/>
        </w:rPr>
        <w:t>، بناء على تبادر الطعام منه، وإلا فالعام من وجه إذا كان كلّ منهما منهياً عنه أخذ بكل منهما ولا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 يحكمون بالفساد أيضاً؛ لمكان النهي المتعلّق بنفس المعاملة، مع احتمال العدم؛ لاحتمال أن النهي لا يقضي بالفساد 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ثالث </w:t>
      </w:r>
      <w:r>
        <w:rPr>
          <w:rStyle w:val="FootnoteAnchor"/>
          <w:rtl w:val="true"/>
        </w:rPr>
        <w:footnoteReference w:id="1193"/>
      </w:r>
      <w:r>
        <w:rPr>
          <w:rFonts w:ascii="Amiri" w:hAnsi="Amiri" w:eastAsia="Amiri" w:cs="Amiri"/>
          <w:color w:val="111111"/>
          <w:sz w:val="28"/>
          <w:sz w:val="28"/>
          <w:szCs w:val="28"/>
          <w:rtl w:val="true"/>
          <w:lang w:bidi="ar-SA"/>
        </w:rPr>
        <w:t xml:space="preserve">إلى اختصاص التحريم بغير التولية؛ للصحيح الدال على جوازه في التولية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رابع </w:t>
      </w:r>
      <w:r>
        <w:rPr>
          <w:rStyle w:val="FootnoteAnchor"/>
          <w:rtl w:val="true"/>
        </w:rPr>
        <w:footnoteReference w:id="1195"/>
      </w:r>
      <w:r>
        <w:rPr>
          <w:rFonts w:ascii="Amiri" w:hAnsi="Amiri" w:eastAsia="Amiri" w:cs="Amiri"/>
          <w:color w:val="111111"/>
          <w:sz w:val="28"/>
          <w:sz w:val="28"/>
          <w:szCs w:val="28"/>
          <w:rtl w:val="true"/>
          <w:lang w:bidi="ar-SA"/>
        </w:rPr>
        <w:t xml:space="preserve">إلحاق الوضيعة بالتولية؛ لمفهوم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ربح لم يصلح حتّى يقبض</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مساواة الوضيعة للمرابحة في عدم الجواز </w:t>
      </w:r>
      <w:r>
        <w:rPr>
          <w:rStyle w:val="FootnoteAnchor"/>
          <w:rtl w:val="true"/>
        </w:rPr>
        <w:footnoteReference w:id="1197"/>
      </w:r>
      <w:r>
        <w:rPr>
          <w:rFonts w:ascii="Amiri" w:hAnsi="Amiri" w:eastAsia="Amiri" w:cs="Amiri"/>
          <w:color w:val="111111"/>
          <w:sz w:val="28"/>
          <w:sz w:val="28"/>
          <w:szCs w:val="28"/>
          <w:rtl w:val="true"/>
          <w:lang w:bidi="ar-SA"/>
        </w:rPr>
        <w:t>لا يعارض مفهوم الصحيح؛ لضعفه عن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المذاهب ضعيفة؛ لضعف دليلها بوهن الإجماع بمخالفة المشهور وعمومات الأدلّة، وضعف الأخبار باشتمالها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ليست صريحةً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سلّمنا فغاية ما تدلّ عليه النهي عن البيع قبل القبض أو الكيل أو الوزن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الكيل والوزن قبض محل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سلّمنا فاستثناء التولية لا بد منه للخبر الصحيح </w:t>
      </w:r>
      <w:r>
        <w:rPr>
          <w:rStyle w:val="FootnoteAnchor"/>
          <w:rtl w:val="true"/>
        </w:rPr>
        <w:footnoteReference w:id="1198"/>
      </w:r>
      <w:r>
        <w:rPr>
          <w:rFonts w:ascii="Amiri" w:hAnsi="Amiri" w:eastAsia="Amiri" w:cs="Amiri"/>
          <w:color w:val="111111"/>
          <w:sz w:val="28"/>
          <w:sz w:val="28"/>
          <w:szCs w:val="28"/>
          <w:rtl w:val="true"/>
          <w:lang w:bidi="ar-SA"/>
        </w:rPr>
        <w:t>، مع أن المشهور بين القائلين بالتحريم عدم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سلّمنا فحمل النهي على الكراهة أولى من الأخذ به في معارضة ما هو أقوى منه، وأولى من طرحه بعد شيوع استعمال النهي في الكراهة وتكثره في الأخبار، فالظاهر حينئذٍ كراهة بيع ما يكال ويوزن قبل قبضه أو كيله ووزنه، فإن نقل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النقل كافٍ في قبضه فلا كراهة، وإن كيل أو وزن وإن لم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الكيل والوزن ليسا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كراهة الطعام لكونه من المكيل والموزون كما تشعر به الأخبار، فلو كان على حالٍ لا يكال ولا يوزن فلا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بالطعام الحنطة والشعير، أو كلّ الحبوب، أو كلّ ما أُعد للأكل ؟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ومع ذلك فالأحوط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بيعها مع عدم كيلها أو وزنها من المشتري الأوَّل، كما إذا أخذها بتصديق البائع، أو أخذ قدراً من صبرة يعلم اشتمالها عليه، أو أخذ كليّاً غير معين في قدرٍ مخصوص فباعه قبل قبضه، بل الأحوط عدم بيعها إلا مع نقلها قبل الكيل أو الوزن أو بعده كي يتحقق القبض الشرعي 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والحوالة ليست بيعاً، بل هى إما معاوضة برأسها أو استيفاء، فلا بأس باحتيال من له عليه طعام على مَنْ له عليه طعام ولو كان قد مَلَك الأوّل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w:t>
      </w:r>
      <w:r>
        <w:rPr>
          <w:rStyle w:val="FootnoteAnchor"/>
          <w:rtl w:val="true"/>
        </w:rPr>
        <w:footnoteReference w:id="1199"/>
      </w:r>
      <w:r>
        <w:rPr>
          <w:rFonts w:ascii="Amiri" w:hAnsi="Amiri" w:eastAsia="Amiri" w:cs="Amiri"/>
          <w:color w:val="111111"/>
          <w:sz w:val="28"/>
          <w:sz w:val="28"/>
          <w:szCs w:val="28"/>
          <w:rtl w:val="true"/>
          <w:lang w:bidi="ar-SA"/>
        </w:rPr>
        <w:t>ما يدل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بالكراهة </w:t>
      </w:r>
      <w:r>
        <w:rPr>
          <w:rStyle w:val="FootnoteAnchor"/>
          <w:rtl w:val="true"/>
        </w:rPr>
        <w:footnoteReference w:id="1200"/>
      </w:r>
      <w:r>
        <w:rPr>
          <w:rFonts w:ascii="Amiri" w:hAnsi="Amiri" w:eastAsia="Amiri" w:cs="Amiri"/>
          <w:color w:val="111111"/>
          <w:sz w:val="28"/>
          <w:sz w:val="28"/>
          <w:szCs w:val="28"/>
          <w:rtl w:val="true"/>
          <w:lang w:bidi="ar-SA"/>
        </w:rPr>
        <w:t>، ولا بأس بالعمل بها تسامحاً بأدلّة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طعاماً ثم أمر البائع أن يدفعه وفاء عنه لغريمه قبل قبضه، جاز ولا بأس به؛ لأنّه ليس بيعاً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باع شخصاً طعاماً كلّيّاً فأمر المشتري أن يقبض عوض الكلي طعاماً آخر من شخص قد اشترى منه طعاماً كلّيّاً أيضاً ولم يقبضه، ففي دخوله في بيع الطعام قبل قبضه؛ لتشخص الكلّى فى الفرد فكأنه هو، أو عدمه؛ لوقوع العقد على الكلّي، والفرد وفاء لا مبيع ؟ وجهان</w:t>
      </w:r>
      <w:r>
        <w:rPr>
          <w:rFonts w:eastAsia="Amiri" w:cs="Amiri" w:ascii="Amiri" w:hAnsi="Amiri"/>
          <w:color w:val="111111"/>
          <w:sz w:val="28"/>
          <w:szCs w:val="28"/>
          <w:rtl w:val="true"/>
          <w:lang w:bidi="ar-SA"/>
        </w:rPr>
        <w:t xml:space="preserve">. </w:t>
      </w:r>
      <w:bookmarkStart w:id="471" w:name="pg19000_245480"/>
    </w:p>
    <w:p>
      <w:pPr>
        <w:pStyle w:val="BookText"/>
        <w:rPr/>
      </w:pPr>
      <w:bookmarkEnd w:id="471"/>
      <w:r>
        <w:rPr>
          <w:rFonts w:ascii="Amiri" w:hAnsi="Amiri" w:eastAsia="Amiri" w:cs="Amiri"/>
          <w:color w:val="111111"/>
          <w:sz w:val="28"/>
          <w:sz w:val="28"/>
          <w:szCs w:val="28"/>
          <w:rtl w:val="true"/>
          <w:lang w:bidi="ar-SA"/>
        </w:rPr>
        <w:t>والأظهر الجواز والصحّة على جميع الأقوال؛ لعدم وقوع البيعين على الطعام الشخصي ابتداء، بل هو إما وفاء للكلّي أو محال به، والجزئي ليس هو عين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 أنّه لو لم يكن حوالة وكان نفس الفرد وفاء، لزم منه صيرورة الفرد عوض الكلي الذي في الذمة وفاء بمجرد دفعه من الغريم من دون قبض من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لشخص على آخر طعام فأعطى المطلوب الطالب دراهم ليشتري بها طعامه الذي يطلب به، فإن كان نوى التوكيل له في الشراء ثم القبض عنه ثم القبض مرةً أخرى لنفسه وفاء، صح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نوى أنّ نفس الدراهم وفاء له ويكون الأمر بالشراء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أنّ الدراهم قرض عليه، فيشتري بها لنفسه طعاماً ثم يقع الحساب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قصد أن الدراهم تبقى في ملك المطلوب إلى أن يشتري الطعام، فينوي أن الشراء له كي يكون الطعام وفاءً له فيملك الطعام حين الشراء، ففي صحته إشكال؛ لأنّ انتقال الطعام إليه بنيّة الشراء لنفسه والحال أن الثمن مال الغير وإن أذن الدافع له بذلك مما يشكل تصوّره، ويشكل دخوله في الفضولي مع الإجازة، وكذا صيرورة الطعام وفاء له بنفس الشراء أو بعد الشراء من دون توكيل له في القبض والاستيفاء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عدة أخبار </w:t>
      </w:r>
      <w:r>
        <w:rPr>
          <w:rStyle w:val="FootnoteAnchor"/>
          <w:rtl w:val="true"/>
        </w:rPr>
        <w:footnoteReference w:id="1201"/>
      </w:r>
      <w:r>
        <w:rPr>
          <w:rFonts w:ascii="Amiri" w:hAnsi="Amiri" w:eastAsia="Amiri" w:cs="Amiri"/>
          <w:color w:val="111111"/>
          <w:sz w:val="28"/>
          <w:sz w:val="28"/>
          <w:szCs w:val="28"/>
          <w:rtl w:val="true"/>
          <w:lang w:bidi="ar-SA"/>
        </w:rPr>
        <w:t>ما يدلّ على المنع من شراء الطالب بالدراهم المرفوعة إليه من المطلوب طعاماً لوفائه، بل يولّي ذلك غيره، وهو إما محمول على ما قلناه من الصورتين الأخيرتين، أو محمول على الكراهة أو الإرشاد إلى تجنّب ذلك خوف الاتهام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كاتب العبد بعد شرائه قبل قبضه جاز، وليس من موضع الخلاف،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باع الثمن قبل قبضه، ففي إلحاقه بالمبيع تنقيحاً للمناط، أو عدمه لمنع قطعيته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جعله ثمناً لا مبيعاً، ويقوى الوجه الأخير فيه</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3372460_1280447820"/>
      <w:bookmarkStart w:id="473" w:name="_Toc176"/>
      <w:bookmarkEnd w:id="472"/>
      <w:r>
        <w:rPr>
          <w:rtl w:val="true"/>
        </w:rPr>
        <w:t>عاشرها</w:t>
      </w:r>
      <w:r>
        <w:rPr>
          <w:rtl w:val="true"/>
        </w:rPr>
        <w:t xml:space="preserve">: </w:t>
      </w:r>
      <w:r>
        <w:rPr>
          <w:rtl w:val="true"/>
        </w:rPr>
        <w:t>حكم ما لو أنكر المشتري وصول المبيع إليه كلّاً أو بعضاً</w:t>
      </w:r>
      <w:bookmarkEnd w:id="47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المشتري وصول المبيع إليه كلاً أو بعضاً، فالقول قوله بيمينه، سواء حضر الكيل أو الوزن أو العد أو المشاهدة ونحوها</w:t>
      </w:r>
      <w:r>
        <w:rPr>
          <w:rFonts w:eastAsia="Amiri" w:cs="Amiri" w:ascii="Amiri" w:hAnsi="Amiri"/>
          <w:color w:val="111111"/>
          <w:sz w:val="28"/>
          <w:szCs w:val="28"/>
          <w:rtl w:val="true"/>
          <w:lang w:bidi="ar-SA"/>
        </w:rPr>
        <w:t xml:space="preserve">. </w:t>
      </w:r>
      <w:bookmarkStart w:id="474" w:name="pg19000_245481"/>
    </w:p>
    <w:p>
      <w:pPr>
        <w:pStyle w:val="BookText"/>
        <w:rPr/>
      </w:pPr>
      <w:bookmarkEnd w:id="474"/>
      <w:r>
        <w:rPr>
          <w:rFonts w:ascii="Amiri" w:hAnsi="Amiri" w:eastAsia="Amiri" w:cs="Amiri"/>
          <w:color w:val="111111"/>
          <w:sz w:val="28"/>
          <w:sz w:val="28"/>
          <w:szCs w:val="28"/>
          <w:rtl w:val="true"/>
          <w:lang w:bidi="ar-SA"/>
        </w:rPr>
        <w:t xml:space="preserve">ولو ادعى النقصان بعد ما ظهر من حاله القبض التام بقول أو فعل كما إذا حضر الكيل والوزن ولم ينكرهما حالة الحضور،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البائع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أنكر ذلك؛ مستنداً لقواعد الدعاوي، ومستضعفاً للإجماع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منجبر بالشهرة المحصلة فلا يمكن المحيص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فيلزم الاقتصار على مورد اليقين من كونه مبيعاً لا ثمناً، مع احتمال تنقيح المناط، ومن كونه بيعاً دون غيره من العقود، ومن كونه كيلاً أو وزناً دون المعدود والمذروع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يحكم بموافقة قول البائع للقواعد ؛ لأن الظاهر احتياط المشتري عند حضوره وعدم غفلته وأخذه الشيء تاماً فيوافق قوله الظاهر، ولأنّ أخذه المال بعد حضوره وعدم إنكاره بمنزلة اعترافه بوصول حقه إليه، فدعواه بعد ذلك بمنزلة الإنكار بعد الإقرار، ولأصالة براءة ذمة البائع من الحقّ بعد اعتراف المشتري بقبضه والفرق بين حضوره وعدمه في أن الأصل عدم وصول حق المشتري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الحضور بمنزلة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ادعاء النقص القليل فلا يُسمع قول البائع؛ لإمكانه، وبين الكثير فيسمع؛ لبعد خفائه عن المشتري،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استلزم ادعاء المشتري النقصان فساد مجموع العقد وعدم صحته في القابل الناقص كبيع صرف أو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تقديم قول البائع؛ لأصالة الصحّة، على تأمل في المقام</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3372462_1280447820"/>
      <w:bookmarkStart w:id="476" w:name="_Toc177"/>
      <w:bookmarkEnd w:id="475"/>
      <w:r>
        <w:rPr>
          <w:rtl w:val="true"/>
        </w:rPr>
        <w:t>حادي عشرها</w:t>
      </w:r>
      <w:r>
        <w:rPr>
          <w:rtl w:val="true"/>
        </w:rPr>
        <w:t xml:space="preserve">: </w:t>
      </w:r>
      <w:r>
        <w:rPr>
          <w:rtl w:val="true"/>
        </w:rPr>
        <w:t>حكم ما لو أسلفه طعاماً في بلد خاص وكان موافقاً لبلد أحدهما</w:t>
      </w:r>
      <w:bookmarkEnd w:id="476"/>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أسلفه طعاماً فى بلدٍ خاص وكان موافقاً لبلد أحدهما، أو كان أحدهما أو كلّ منهما مقيماً به، انصرف إلى تسليمه في ذلك البلد من طعام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أسلفه في بلد غربة مستطرقين فيه أو برّية، انصرف إلى التأدية في بلدها إن كانا من أهل بلد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 منهما من بلد، لزم البيان، وإلا لزم البطلان مع احتمال انصرافه للأقرب، واحتمال انصرافه لبلد المسلم، واحتمال انصرافه لبلد المسلم إليه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تسليمه في بلد خاص، اتبع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منهما فلا يجب على المسلم دفعه في غير البلد المنصرف إليه الإطلاق أو بلد </w:t>
      </w:r>
    </w:p>
    <w:p>
      <w:pPr>
        <w:pStyle w:val="BookText"/>
        <w:rPr/>
      </w:pPr>
      <w:r>
        <w:rPr>
          <w:rFonts w:ascii="Amiri" w:hAnsi="Amiri" w:eastAsia="Amiri" w:cs="Amiri"/>
          <w:color w:val="111111"/>
          <w:sz w:val="28"/>
          <w:sz w:val="28"/>
          <w:szCs w:val="28"/>
          <w:rtl w:val="true"/>
          <w:lang w:bidi="ar-SA"/>
        </w:rPr>
        <w:t>الاشتراط، ولا يجوز للمسلم إليه جبره على الوفاء، سواء تساوت قيمة المسلم فيه في البلدين أو تفاوتت وسواء حصل على المسلم إليه ضرر بالتأخير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المسلم إليه القبول لو دفعه إليه إلا برضاه ولو تضرّر المسلم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للمسلم إليه أن يأخذ القيمة برضاه، وليس من بيع المبيع قبل قبضه، بل هو وفاء، والأصل والأخبار </w:t>
      </w:r>
      <w:r>
        <w:rPr>
          <w:rStyle w:val="FootnoteAnchor"/>
          <w:rtl w:val="true"/>
        </w:rPr>
        <w:footnoteReference w:id="1204"/>
      </w:r>
      <w:r>
        <w:rPr>
          <w:rFonts w:ascii="Amiri" w:hAnsi="Amiri" w:eastAsia="Amiri" w:cs="Amiri"/>
          <w:color w:val="111111"/>
          <w:sz w:val="28"/>
          <w:sz w:val="28"/>
          <w:szCs w:val="28"/>
          <w:rtl w:val="true"/>
          <w:lang w:bidi="ar-SA"/>
        </w:rPr>
        <w:t>الخاصة دالة على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أصحابنا </w:t>
      </w:r>
      <w:r>
        <w:rPr>
          <w:rStyle w:val="FootnoteAnchor"/>
          <w:rtl w:val="true"/>
        </w:rPr>
        <w:footnoteReference w:id="1205"/>
      </w:r>
      <w:r>
        <w:rPr>
          <w:rFonts w:ascii="Amiri" w:hAnsi="Amiri" w:eastAsia="Amiri" w:cs="Amiri"/>
          <w:color w:val="111111"/>
          <w:sz w:val="28"/>
          <w:sz w:val="28"/>
          <w:szCs w:val="28"/>
          <w:rtl w:val="true"/>
          <w:lang w:bidi="ar-SA"/>
        </w:rPr>
        <w:t>إلى لزوم دفع قيمة بلد السَّلَم في غير بلد السلم وبلد الاشتراط لو طلبها المسلم إليه؛ لحلول الأجل، ولزوم الضرر بالتأخير، ولتعذر المثل؛ لأن الواجب طعام بلد العقد وهو متعسّر أو متعذر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آخر </w:t>
      </w:r>
      <w:r>
        <w:rPr>
          <w:rStyle w:val="FootnoteAnchor"/>
          <w:rtl w:val="true"/>
        </w:rPr>
        <w:footnoteReference w:id="1206"/>
      </w:r>
      <w:r>
        <w:rPr>
          <w:rFonts w:ascii="Amiri" w:hAnsi="Amiri" w:eastAsia="Amiri" w:cs="Amiri"/>
          <w:color w:val="111111"/>
          <w:sz w:val="28"/>
          <w:sz w:val="28"/>
          <w:szCs w:val="28"/>
          <w:rtl w:val="true"/>
          <w:lang w:bidi="ar-SA"/>
        </w:rPr>
        <w:t>إلى جواز مطالبة المسلم إليه بالمثل مع مساواة قيمة بلد المطالبة لبلد العقد أو نقصانها عنها، والمطالبة بقيمة بلد العقد مع الزيادة، وذلك للزوم الضرر بالتأخير، ولأنّه ربما لا يريد العود إلى بلد السَّلَم، أو لا يوثق بعود المسلم إلى البلد أو بدفعه فيها أو بالظفر به فيها، فيعود الضرر على المسلم إليه مع حلول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تأمل سيّما مع اتفاقهما على اشتراط الدفع في مكان معين، فإن الإقدام على الشرط رافع للضرر الحاصل من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ذلك في صورة الإطلاق مع حصول الضرر بالتأخير على المسلم عليه، وعدم حصول ضرر على المسلم بالتعجيل بل قد يقوى القول به، فيُجبر المسلم حينئذٍ على الدفع عيناً مع الإمكان وتساوي الأمثال وصفاً وقيمة وإلا فقيمة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 في ذمة الغريم قرضاً، فإن لم يشترط مكاناً خاصاً لوفائه بعقد لازم ولا انصرف عقد القرض عرفاً إلى أدائه في بلد القرض، فلا إشكال في جواز مطالبة القرض للمقترض بالمثل مهما أمكن، وإلا فبالقيمة يوم تعذر المثل أو يوم المطالبة أو يوم الاستيفاء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شرطا بلداً خاصاً، لم يجب على المقترض الوفاء إلا بها إلا إذا كان تأخيره عن </w:t>
      </w:r>
    </w:p>
    <w:p>
      <w:pPr>
        <w:pStyle w:val="BookText"/>
        <w:rPr/>
      </w:pPr>
      <w:r>
        <w:rPr>
          <w:rFonts w:ascii="IRNazanin" w:hAnsi="IRNazanin" w:eastAsia="IRNazanin"/>
          <w:color w:val="111111"/>
          <w:sz w:val="28"/>
          <w:sz w:val="28"/>
          <w:szCs w:val="28"/>
          <w:rtl w:val="true"/>
          <w:lang w:bidi="fa-IR"/>
        </w:rPr>
        <w:t xml:space="preserve">الرواح لها لا لعذر، بل لمطل </w:t>
      </w:r>
      <w:r>
        <w:rPr>
          <w:rStyle w:val="FootnoteAnchor"/>
          <w:rtl w:val="true"/>
        </w:rPr>
        <w:footnoteReference w:id="1207"/>
      </w:r>
      <w:r>
        <w:rPr>
          <w:rFonts w:ascii="Amiri" w:hAnsi="Amiri" w:eastAsia="Amiri" w:cs="Amiri"/>
          <w:color w:val="111111"/>
          <w:sz w:val="28"/>
          <w:sz w:val="28"/>
          <w:szCs w:val="28"/>
          <w:rtl w:val="true"/>
          <w:lang w:bidi="ar-SA"/>
        </w:rPr>
        <w:t>الغريم وتأخيره، فإنّه يُجبر حينئذٍ على الرواح إليها، أو الوفاء في بلد المطالبة بالمثل أو بالقيمة قيمة بلد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انصرف إطلاق عقد القرض إلى مكان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1208"/>
      </w:r>
      <w:r>
        <w:rPr>
          <w:rFonts w:ascii="Amiri" w:hAnsi="Amiri" w:eastAsia="Amiri" w:cs="Amiri"/>
          <w:color w:val="111111"/>
          <w:sz w:val="28"/>
          <w:sz w:val="28"/>
          <w:szCs w:val="28"/>
          <w:rtl w:val="true"/>
          <w:lang w:bidi="ar-SA"/>
        </w:rPr>
        <w:t>للمشهور أنّ له القيمة قيمة بلد القرض لا المثل نفسه؛ لانصراف العقد إلى طعام ذلك البلد، وهو متعذر أو 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حكم الإطلاق إذا انصرف إلى مكان خاص حكم المكان المشترط، فلا يجب دفع المثل في مكان المطالبة؛ لعدم استحقاقه سوى طعام بلد القرض، ولا قيمته؛ لأنّها عوض ولا يجب مع عدم وجوب دفع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الأخبار ما يقضي بجواز مطالبة الغريم مطلقاً ما لم يكن في الحرم</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قاض بعموم الحكم لحال الاشتراط وعدمه، ولما إذا انصرف العقد لبلد خاص وعدمه، ولكن حمله على غير صورتي الاشتراط وانصراف الإطلاق هو الأوجه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ما في ذمة الغريم غصباً فله المطالبة بالمثل في كلّ مكان وزمان، ويجب نقله إليه ولو بمؤونةٍ من بلدٍ آخر، فإن لم يمكن المثل فالقيمة، إمّا قيمة بلد الغصب، أو قيمة بلد الدفع، أو قيمة قيمة بلد المطالبة، أو الأعلى منها، ويلاحظ التقويم حين الإعواز، أو حين المطالبة، أو الأعلى ما بينها أجمع، أو ما بين الاثنين والثلاثة، وجوه واحتمالات، أقواها قيمة بلد الوفاء وقيمة حين الإعواز، وأحوطها الأعلى من القيم بالنسبة إلى البلدان وبالنسبة إلى الأزمان</w:t>
      </w:r>
      <w:r>
        <w:rPr>
          <w:rFonts w:eastAsia="Amiri" w:cs="Amiri" w:ascii="Amiri" w:hAnsi="Amiri"/>
          <w:color w:val="111111"/>
          <w:sz w:val="28"/>
          <w:szCs w:val="28"/>
          <w:rtl w:val="true"/>
          <w:lang w:bidi="ar-SA"/>
        </w:rPr>
        <w:t xml:space="preserve">. </w:t>
      </w:r>
      <w:bookmarkStart w:id="477" w:name="pg19000_245484"/>
    </w:p>
    <w:p>
      <w:pPr>
        <w:pStyle w:val="Heading3"/>
        <w:numPr>
          <w:ilvl w:val="2"/>
          <w:numId w:val="1"/>
        </w:numPr>
        <w:rPr/>
      </w:pPr>
      <w:bookmarkStart w:id="478" w:name="__RefHeading___Toc13372464_1280447820"/>
      <w:bookmarkStart w:id="479" w:name="_Toc178"/>
      <w:bookmarkEnd w:id="477"/>
      <w:bookmarkEnd w:id="478"/>
      <w:r>
        <w:rPr>
          <w:rtl w:val="true"/>
        </w:rPr>
        <w:t>القول في اختلاف المتبايعين</w:t>
      </w:r>
      <w:bookmarkEnd w:id="479"/>
    </w:p>
    <w:p>
      <w:pPr>
        <w:pStyle w:val="Heading4"/>
        <w:numPr>
          <w:ilvl w:val="3"/>
          <w:numId w:val="1"/>
        </w:numPr>
        <w:rPr/>
      </w:pPr>
      <w:bookmarkStart w:id="480" w:name="__RefHeading___Toc13372466_1280447820"/>
      <w:bookmarkStart w:id="481" w:name="_Toc179"/>
      <w:bookmarkEnd w:id="480"/>
      <w:r>
        <w:rPr>
          <w:rtl w:val="true"/>
        </w:rPr>
        <w:t>وفيه أُمور</w:t>
      </w:r>
      <w:r>
        <w:rPr>
          <w:rtl w:val="true"/>
        </w:rPr>
        <w:t>:</w:t>
      </w:r>
      <w:bookmarkEnd w:id="481"/>
    </w:p>
    <w:p>
      <w:pPr>
        <w:pStyle w:val="Heading5"/>
        <w:numPr>
          <w:ilvl w:val="4"/>
          <w:numId w:val="1"/>
        </w:numPr>
        <w:rPr/>
      </w:pPr>
      <w:bookmarkStart w:id="482" w:name="__RefHeading___Toc13372468_1280447820"/>
      <w:bookmarkStart w:id="483" w:name="_Toc180"/>
      <w:bookmarkEnd w:id="482"/>
      <w:r>
        <w:rPr>
          <w:rtl w:val="true"/>
        </w:rPr>
        <w:t>أولها</w:t>
      </w:r>
      <w:r>
        <w:rPr>
          <w:rtl w:val="true"/>
        </w:rPr>
        <w:t xml:space="preserve">: </w:t>
      </w:r>
      <w:r>
        <w:rPr>
          <w:rtl w:val="true"/>
        </w:rPr>
        <w:t>انصراف لفظ النقد والكيل والوزن إلى المتعارف المعهود في بلد المتعاقدين</w:t>
      </w:r>
      <w:bookmarkEnd w:id="483"/>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لفظ النقد والكيل والوزن إلى المتعارف المعهود في بلد المتعاقدين، فلو أطلقا انصرف قصدهما إليه وإن لم يتصوّراه حين العقد على سبيل الإخطار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فيما قصداه، كان القول قول مَنْ يدعي القصد إلى النقد الغالب؛ لأنّه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النقود ولم يكن فيها متعارف غالباً، لزم البيان، وإلا جاء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بلد المتعاقدين مع بلد العقد ولم يكونا مقيمين فيه بل مستطرقين، فلا يبعد انصرافه إلى المتعارف في بلدهما، سيّما مع عدم علمهما بما في بلد العقد أو علما وشرطا تأدية المبيع في بلدهما، وكذا لو كان العقد في البرية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بلد المتعاقدين، فإن لم يعلما الاختلاف بطل العقد؛ لاختلاف قصدهما، وإن علما احتمل قوياً البطلان، واحتمل تقديم عرف البائع مطلقاً، واحتمل تقديم عرف المشتري مطلقاً، واحتمل تقديم عرف البائع في مبيعه والمشتري في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ذكرا نقداً معيناً فاختلفا فيه، احتمل كونهما متداعيين واحتمل ترجيح من ادعى الغالب؛ لأنّه الظاهر، فالقول قول مَنْ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الأغلب استعمالاً إن أدت غلبته إلى انصراف إطلاق اللفظ إليه صح العقد وانصرف إليه، وإلا فلا عبرة به</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3372470_1280447820"/>
      <w:bookmarkStart w:id="485" w:name="_Toc181"/>
      <w:bookmarkEnd w:id="484"/>
      <w:r>
        <w:rPr>
          <w:rtl w:val="true"/>
        </w:rPr>
        <w:t>ثانيها</w:t>
      </w:r>
      <w:r>
        <w:rPr>
          <w:rtl w:val="true"/>
        </w:rPr>
        <w:t xml:space="preserve">: </w:t>
      </w:r>
      <w:r>
        <w:rPr>
          <w:rtl w:val="true"/>
        </w:rPr>
        <w:t>حكم ما لو اختلف المتبايعان في قدر الثمن أو قدر المثمن أو قدر الأجل أو قدر المشروط</w:t>
      </w:r>
      <w:bookmarkEnd w:id="4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المتبايعان في قدر الثمن وكان الأقل لا يخالف أجزاء الأكثر، أو اختلفا في قدر المثمن، أو في قدر الأجل، أو في قدر المشروط وقلته، كان بمقتضى القواعد لزوم تقديم قول من ادعى النقصان؛ لا تفاقهما عليه وعلى وقوع العقد الناقل للعوضين، وإنّما حصل الاختلاف في الزيادة، فمن ادعاها فعليه البينة، ومَنْ نفاها فعليه اليمين، إلا أنّه قد ورد في </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بإرسال البزنطي له؛ لأنّه من أهل الإجماع على تصحيح ما يصح عنه، ولنقل المعتبرين أنّه لا يروي إلا عن ثقةٍ، وأنّ الأصحاب عملوا بمراسيله </w:t>
      </w:r>
      <w:r>
        <w:rPr>
          <w:rStyle w:val="FootnoteAnchor"/>
          <w:rtl w:val="true"/>
        </w:rPr>
        <w:footnoteReference w:id="1210"/>
      </w:r>
      <w:r>
        <w:rPr>
          <w:rFonts w:ascii="Amiri" w:hAnsi="Amiri" w:eastAsia="Amiri" w:cs="Amiri"/>
          <w:color w:val="111111"/>
          <w:sz w:val="28"/>
          <w:sz w:val="28"/>
          <w:szCs w:val="28"/>
          <w:rtl w:val="true"/>
          <w:lang w:bidi="ar-SA"/>
        </w:rPr>
        <w:t xml:space="preserve">، ووجود سهل في بعض طرق الرواية سهل؛ لأنّه من مشايخ الإجازة، كوجود معاوية بن حكيم لوثاقته غير مضر بالخبر المنجبر بفتوى المشهور نقلاً </w:t>
      </w:r>
      <w:r>
        <w:rPr>
          <w:rStyle w:val="FootnoteAnchor"/>
          <w:rtl w:val="true"/>
        </w:rPr>
        <w:footnoteReference w:id="1211"/>
      </w:r>
      <w:r>
        <w:rPr>
          <w:rFonts w:ascii="Amiri" w:hAnsi="Amiri" w:eastAsia="Amiri" w:cs="Amiri"/>
          <w:color w:val="111111"/>
          <w:sz w:val="28"/>
          <w:sz w:val="28"/>
          <w:szCs w:val="28"/>
          <w:rtl w:val="true"/>
          <w:lang w:bidi="ar-SA"/>
        </w:rPr>
        <w:t xml:space="preserve">بل تحصيلاً، وبالإجماع المنقول </w:t>
      </w:r>
      <w:r>
        <w:rPr>
          <w:rStyle w:val="FootnoteAnchor"/>
          <w:rtl w:val="true"/>
        </w:rPr>
        <w:footnoteReference w:id="1212"/>
      </w:r>
      <w:r>
        <w:rPr>
          <w:rFonts w:ascii="Amiri" w:hAnsi="Amiri" w:eastAsia="Amiri" w:cs="Amiri"/>
          <w:color w:val="111111"/>
          <w:sz w:val="28"/>
          <w:sz w:val="28"/>
          <w:szCs w:val="28"/>
          <w:rtl w:val="true"/>
          <w:lang w:bidi="ar-SA"/>
        </w:rPr>
        <w:t xml:space="preserve">، وبشهادة المعتبرين بشهرة مضمونها روايةً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البائع إذا كان الشيء قائماً بعينه</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والمؤيد بما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المتبايعان فالقول قول البائع</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وبالصحيح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اختلفا فالقول قول ربّ السلعة أو يتتاركا</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وظاهر التتارك بقاء العين، ومعناه أن يترك المشتري السلعة والبائع الثمن، فالأخذ بما في مضمونه متعيّن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ظاهر النصّ والاقتصار على مورد اليقين هو تقديم قول البائع إذا كان المبيع قائماً بعينه كلّه، فلو تلف بعضه لزم الرجوع للقواعد في تقديم قول المشتري بیمینه، مع احتمال تقديم قول البائع تنزيلاً لقيام البعض مقام قيام الكل، واحتمال رجوع كلّ جزءٍ إلى أصله، واحتمال الفرق بين قلة التالف فيقدم قول البائع، وكثرته فقول المشتري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نقل العين بلازم أو جائز لا ينافي قيامها بعينها، مع احتمال الفرق بين اللازم فينزَّل منزلة التالف، والجائز فينزل منزلة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امتزجت بغيرها امتزاجاً يخفى عن الحسّ تميزها عنه، فالأظهر أنّه بمنزلة التلف؛ لعدم صدق قيام العين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الامتزاج لا يخفى عن الحسّ فإن لم يعسر التخليص فلا إشكال في صدق قيام العين، وإن عسر فوجهان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ذكرنا فالحكم خاص بالبيع وبالمبيع، وخاص بنفس البائع دون ورثته، ومع المشتري دون ورثته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مدعي النقصان </w:t>
      </w:r>
      <w:r>
        <w:rPr>
          <w:rStyle w:val="FootnoteAnchor"/>
          <w:rtl w:val="true"/>
        </w:rPr>
        <w:footnoteReference w:id="1216"/>
      </w:r>
      <w:r>
        <w:rPr>
          <w:rFonts w:ascii="Amiri" w:hAnsi="Amiri" w:eastAsia="Amiri" w:cs="Amiri"/>
          <w:color w:val="111111"/>
          <w:sz w:val="28"/>
          <w:sz w:val="28"/>
          <w:szCs w:val="28"/>
          <w:rtl w:val="true"/>
          <w:lang w:bidi="ar-SA"/>
        </w:rPr>
        <w:t>، سواء كان المشتري أو البائع كما لو تعلّق له غرض بادعاء النقصان عند تلف المبيع قبل قبضه فادعى المشتري الزيادة ليغرمه وادعى البائع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الأقرب للقواعد والضوابط، إلّا أنّ مخالفة المشهور والخبر المجبور في تقديم قول البائع مع قيام العين مما لا يسوغ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مَنْ كانت العين في يده؛ لأنّ الآخر خارج عنه، فالقول قول البائع إن كانت العين فى يده؛ لأنّ المشتري يحاول انتزاعها منه بما ادعاه، والقول قول المشتري إن كانت العين في يده، أو أحدث فيها حدثاً؛ لدلالة الحدث على السلطنة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باليد في ادعاء الملكية وعدمها، لا في عوض المملوك بعد الاعتراف من كلّ منهما بملكيته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بلزوم التحالف؛ لأنّ كلّاً منهما يدعي قدراً خاصاً قد تشخص العقد به وينفيه الآخر، فكل منهما مثبت وناف</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اتفقا على وقوع عقد خاص بقدر خاص، واختلفا في زيادته ونقصانه، فليس إلا مثبت وناف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وضابطة التحالف إنما تكون عند عدم اتفاقهما على أمرٍ واحد في ثمن أو مثمن أو شرط أو وصف أو في أصل العقد، كأن يختلفا في المبيع جنساً أو نوعاً أو وصفاً أو فرداً وإن اتفقا في الثمن، أو في المثمن كذلك وإن اتفقا في المبيع، أو يختلفا فيهما معاً، أو يختلفا في نفس العقد كأن يدعى أحدهما صلحاً والآخر بيعاً، ولا يجري التحالف مع الاتفاق على قدر خاص والاختلاف فيما زاد قدراً أو وصفاً أو شرطاً أو نحوها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فعلى القول بالتحالف وعلى الإلزام به في موضع يكون الحكم عليهما </w:t>
      </w:r>
    </w:p>
    <w:p>
      <w:pPr>
        <w:pStyle w:val="BookText"/>
        <w:rPr/>
      </w:pPr>
      <w:r>
        <w:rPr>
          <w:rFonts w:ascii="Amiri" w:hAnsi="Amiri" w:eastAsia="Amiri" w:cs="Amiri"/>
          <w:color w:val="111111"/>
          <w:sz w:val="28"/>
          <w:sz w:val="28"/>
          <w:szCs w:val="28"/>
          <w:rtl w:val="true"/>
          <w:lang w:bidi="ar-SA"/>
        </w:rPr>
        <w:t>بالتحالف، فإن وقع الاختلاف في تعيين نفس العقد أو في تعيين نفس المثمن أو في نفس الثمن تحالفا بأن يحلف كلّ منهما على نفي ما يدعيه الآخر، فينفسخ العقد المتفق على صدوره ويبطل أثره، فيبطل القدر الجامع المعترفين به من ملكية البائع للثمن والمشتري للمثمن فيما لو وقع الاختلاف في أن العقد صلح أو بيع، ومن ملكية البائع للثمن فيما إذا اختلفا في المبيع؛ لاعترافهما بانتقال الثمن إلى البائع وإنّما اختلفا فيما،باعه، ومن ملكية المشتري للمبيع فيما إذا اختلفا في الثمن؛ لاعترافهما بانتقال المبيع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العقد ينفسخ لنفسه من جهة تقابل اليمينين وعدم إمكان الجمع بينهما، ولا يحتاج بعد ذلك إلى فسخ من أحد المتعاقدين مع رضى الآخر به، ولا إلى فسخ من الحاكم؛ لأنّ ذلك من المصالح التي يتولاها الحاكم مع التعاسر بين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الأقوى أنّ الفسخ من حينه لا من أصله، فنماء الثمن للبائع قبل التحالف، ونماء المبيع للمشتري كذلك؛ لا تفاقهما على ملكيّة كلّ منهما لكلِّ منهما إلى حين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ينفسخ من أصله؛ لتنزيله منزلة التداعي في بيع الشيء ونفيه وشراء الشي ونفيه، فإنّه مع اليمين تبطل الدعوى من أصلها، بعيد، وقياس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الفسخ واقعي بأمر الشارع؛ لتنزيل الرضى بالتحالف منزلة إقالة كلّ منهما صاحبه حيث رضي بحلف الآخر في إسقاط دعواه أو ظاهري؛ لعدم التصريح بالإقالة، وعدم القطع بالرضى، بل القطع بعدمه، وعدم الدليل على انقطاع الملك المستصحب واقعاً ؟</w:t>
      </w:r>
    </w:p>
    <w:p>
      <w:pPr>
        <w:pStyle w:val="BookText"/>
        <w:rPr/>
      </w:pPr>
      <w:r>
        <w:rPr>
          <w:rFonts w:ascii="Amiri" w:hAnsi="Amiri" w:eastAsia="Amiri" w:cs="Amiri"/>
          <w:color w:val="111111"/>
          <w:sz w:val="28"/>
          <w:sz w:val="28"/>
          <w:szCs w:val="28"/>
          <w:rtl w:val="true"/>
          <w:lang w:bidi="ar-SA"/>
        </w:rPr>
        <w:t>وغاية ما ثبت من ظواهر قواعد الدعاوي والنصوص والفتاوى أنّه ينفسخ ظاهراً بحكم الحاكم بعد صدور اليمينين من كلّ منهما، لا أنّه ينفسخ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فيأخذ المشتري ثمنه الذي أقرّ به للبائع عند الاختلاف في المبيع، وكذا البائع مبيعه الذي أقر بأنّه للمشتري عند الاختلاف في الثمن مقاصةً عن ماله الذي يدعيه أنّه عند الآخر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فيأخذ كلّ منهما ما بيده من مال الآخر بإقراره عوض ما أخذه من الآخر، ويدس الزائد في أموال المالك، أو يبقى حكمه حكم مجهول المالك وكان ينبغي أن لا يأخذه ها هنا؛ لأن اليمين تذهب بما فيها إلّا أنّه لمّا أخذه بتسليط الآخر عليه وإقرار يده عليه بعد </w:t>
      </w:r>
      <w:bookmarkStart w:id="486" w:name="pg19000_245488"/>
    </w:p>
    <w:p>
      <w:pPr>
        <w:pStyle w:val="BookText"/>
        <w:rPr/>
      </w:pPr>
      <w:bookmarkEnd w:id="486"/>
      <w:r>
        <w:rPr>
          <w:rFonts w:ascii="Amiri" w:hAnsi="Amiri" w:eastAsia="Amiri" w:cs="Amiri"/>
          <w:color w:val="111111"/>
          <w:sz w:val="28"/>
          <w:sz w:val="28"/>
          <w:szCs w:val="28"/>
          <w:rtl w:val="true"/>
          <w:lang w:bidi="ar-SA"/>
        </w:rPr>
        <w:t>التداعي جازت فيه المقاصة، أو لأنّه لما كان اليمين على نفي العقد لا على نفي المال جازت المقاصة بالمال؛ لأنّه ليس مورد اليمين النفي وإن كان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بحرمة المقاصة ها هنا مطلقاً، ويمكن الفرق بين كون التداعي على عينٍ فتجوز المقاصة، وبين كونه على دَيْنٍ فلا تجوز، إلا أنّهما ضعيفان مخالفان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الاختلاف بينهما لو وقع في الشرط لم ينفسخ العقد، بل ينفسخ الشرط، وكذا في الأجل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الاختلاف بينهما في عقد جائز، لم ينفسخ العقد بمجرده من دون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تصرّف كلّ منهما فيما اتفقا على نقله للآخر زمن الاختلاف قبل التحالف وإن كان عرضة للزوال، ويلزم كلّ منهما عند التحالف يمين نفي لما يدعيه الآخر، ولا يلزمهما يمين إثبات على ما يدعيه هو، ولا يمين جامعة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أحدهما ونكل الآخر، فإن قضينا بالنكول حكم بقول الحالف، وإلا رُدّت على الحالف يمين إثباتٍ أُخرى، ولا تكفي يمينه الأولى لو كانت جامعة بين النفي والإثبات أو كانت مصاحبة ليمين الإثبات؛ لأنّ يمين الإثبات بعد النكول فلا تتقدم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الحالف ليمين النفي عن يمين الإثبات بعد نكول صاحبه، احتمل أن نكوله كحلف صاحبه فينفسخ العقد، واحتمل عدمه؛ استصحاباً لصحة العقد وبقائه</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3372472_1280447820"/>
      <w:bookmarkStart w:id="488" w:name="_Toc182"/>
      <w:bookmarkEnd w:id="487"/>
      <w:r>
        <w:rPr>
          <w:rtl w:val="true"/>
        </w:rPr>
        <w:t>ثالثها</w:t>
      </w:r>
      <w:r>
        <w:rPr>
          <w:rtl w:val="true"/>
        </w:rPr>
        <w:t xml:space="preserve">: </w:t>
      </w:r>
      <w:r>
        <w:rPr>
          <w:rtl w:val="true"/>
        </w:rPr>
        <w:t>حكم ما لو تلف أحد العوضين قبل التحالف</w:t>
      </w:r>
      <w:bookmarkEnd w:id="48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أحد العوضين قبل التحالف وجبت القيمة يوم التحالف، أو يوم التلف، أو يوم القبض، أو الأعلى ما بينها، أو ما بين الأوّل والثاني، وجوه، أقواها الأول؛ بناءً على أنّ الفسخ من حينه 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حال بينها وبين ردّها حائل لزم دفع القيمة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الدفع للحيلولة معاوضة لازمة لا تنفسخ بارتفاع الحائل ولا يجوز للمالك فسخها أو ليست معاوضةً بالكلية، أو معاوضة ليست بلازمةٍ بعد ارتفاع الحائل بل تنفسخ بنفسها، أو أنّ للمالك فسخها ؟ وجوه، ولا يبعد الوسط؛ لاستلزام الأوّل كون المدفوع أمانة بيد قابضه، وكون نمائه لمالكه، واستلزام الثاني ثبوت خيار من غير دليل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عدم وجوب ابتداء أحدهما باليمين لعدم دليل صالح على الوجوب، وإن كان الأولى الإقراع، أو تقديم مَنْ يتفقان عليه، أو مَن ادّعي عليه أوّلاً، فإن لم يمكن الجميع فالبائع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تداعيا على مبيعين أو ثمنين وكان أحدهما مما لا يصح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كخمرٍ وخَلٌّ وعبدٍ 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تقديم قول مدّعي الصحّة؛ للاستقراء القطعي الدال على صحّة أفعال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قول مدعي الصحّة لا يثبت بأصالة صحّة فعل المسلم سوى كون فعله صحيحاً، ولا يثبت نفس الفرد المتنازع فيه؛ لأصالة عدمه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قيام أصالة الصحّة بثبوته محلّ كلام، إلا أن يدعى أنّه من اللوازم التي تثبت بالأصل، ولولا ثبوتها به لعرى الأصل عن الفائدة، وهو مع ذلك محلّ مناقشة</w:t>
      </w:r>
      <w:r>
        <w:rPr>
          <w:rFonts w:eastAsia="Amiri" w:cs="Amiri" w:ascii="Amiri" w:hAnsi="Amiri"/>
          <w:color w:val="111111"/>
          <w:sz w:val="28"/>
          <w:szCs w:val="28"/>
          <w:rtl w:val="true"/>
          <w:lang w:bidi="ar-SA"/>
        </w:rPr>
        <w:t xml:space="preserve">. </w:t>
      </w:r>
      <w:bookmarkStart w:id="489" w:name="pg19000_245490"/>
    </w:p>
    <w:p>
      <w:pPr>
        <w:pStyle w:val="Heading3"/>
        <w:numPr>
          <w:ilvl w:val="2"/>
          <w:numId w:val="1"/>
        </w:numPr>
        <w:rPr/>
      </w:pPr>
      <w:bookmarkStart w:id="490" w:name="__RefHeading___Toc13372474_1280447820"/>
      <w:bookmarkStart w:id="491" w:name="_Toc183"/>
      <w:bookmarkEnd w:id="489"/>
      <w:bookmarkEnd w:id="490"/>
      <w:r>
        <w:rPr>
          <w:rtl w:val="true"/>
        </w:rPr>
        <w:t>القول في الشرائط</w:t>
      </w:r>
      <w:bookmarkEnd w:id="491"/>
    </w:p>
    <w:p>
      <w:pPr>
        <w:pStyle w:val="Heading4"/>
        <w:numPr>
          <w:ilvl w:val="3"/>
          <w:numId w:val="1"/>
        </w:numPr>
        <w:rPr/>
      </w:pPr>
      <w:bookmarkStart w:id="492" w:name="__RefHeading___Toc13372476_1280447820"/>
      <w:bookmarkStart w:id="493" w:name="_Toc184"/>
      <w:bookmarkEnd w:id="492"/>
      <w:r>
        <w:rPr>
          <w:rtl w:val="true"/>
        </w:rPr>
        <w:t>وفيه أمور</w:t>
      </w:r>
      <w:r>
        <w:rPr>
          <w:rtl w:val="true"/>
        </w:rPr>
        <w:t>:</w:t>
      </w:r>
      <w:bookmarkEnd w:id="493"/>
    </w:p>
    <w:p>
      <w:pPr>
        <w:pStyle w:val="Heading5"/>
        <w:numPr>
          <w:ilvl w:val="4"/>
          <w:numId w:val="1"/>
        </w:numPr>
        <w:rPr/>
      </w:pPr>
      <w:bookmarkStart w:id="494" w:name="__RefHeading___Toc13372478_1280447820"/>
      <w:bookmarkStart w:id="495" w:name="_Toc185"/>
      <w:bookmarkEnd w:id="494"/>
      <w:r>
        <w:rPr>
          <w:rtl w:val="true"/>
        </w:rPr>
        <w:t>أحدها</w:t>
      </w:r>
      <w:r>
        <w:rPr>
          <w:rtl w:val="true"/>
        </w:rPr>
        <w:t xml:space="preserve">: </w:t>
      </w:r>
      <w:r>
        <w:rPr>
          <w:rtl w:val="true"/>
        </w:rPr>
        <w:t>في أن الشرط المقصود به التعليق مفسد للعقد</w:t>
      </w:r>
      <w:bookmarkEnd w:id="49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المقصود به التعليق مفسد للعقد؛ لمنافاته للجزم المشترط في العقد، لانصراف أدلة العقود للمجزوم بها فيخلو المعلّق عن الدليل، ولأن التعليق إن كان للإنشاء عاد العقد جملةً خبرية، وإن كان للملك لزم تأخر المسبب عن سببه والأصل في العقود الحلول، وإن كان للمملوك فغير معقول، إلا أن ينحل لتأجيل التأدية أو الاستيفاء، وهو ممنوع من جهة الجهالة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صورةً على وصف محقق معلوم تحققه عند المتعاقدين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المقصود منه الإلزام والالتزام صحيح قطعاً لبعده عن شبهة التعليق، ولدخوله تحت عمومات أدلّة العقود </w:t>
      </w:r>
      <w:r>
        <w:rPr>
          <w:rStyle w:val="FootnoteAnchor"/>
          <w:rtl w:val="true"/>
        </w:rPr>
        <w:footnoteReference w:id="1219"/>
      </w:r>
      <w:r>
        <w:rPr>
          <w:rFonts w:ascii="Amiri" w:hAnsi="Amiri" w:eastAsia="Amiri" w:cs="Amiri"/>
          <w:color w:val="111111"/>
          <w:sz w:val="28"/>
          <w:sz w:val="28"/>
          <w:szCs w:val="28"/>
          <w:rtl w:val="true"/>
          <w:lang w:bidi="ar-SA"/>
        </w:rPr>
        <w:t xml:space="preserve">أجناساً وأنواعاً، وللإجماع بقسميه </w:t>
      </w:r>
      <w:r>
        <w:rPr>
          <w:rStyle w:val="FootnoteAnchor"/>
          <w:rtl w:val="true"/>
        </w:rPr>
        <w:footnoteReference w:id="1220"/>
      </w:r>
      <w:r>
        <w:rPr>
          <w:rFonts w:ascii="Amiri" w:hAnsi="Amiri" w:eastAsia="Amiri" w:cs="Amiri"/>
          <w:color w:val="111111"/>
          <w:sz w:val="28"/>
          <w:sz w:val="28"/>
          <w:szCs w:val="28"/>
          <w:rtl w:val="true"/>
          <w:lang w:bidi="ar-SA"/>
        </w:rPr>
        <w:t xml:space="preserve">، وللأدلة الخاصة الدالة على صحّة الشروط في بيع ونكاح وشبههما </w:t>
      </w:r>
      <w:r>
        <w:rPr>
          <w:rStyle w:val="FootnoteAnchor"/>
          <w:rtl w:val="true"/>
        </w:rPr>
        <w:footnoteReference w:id="1221"/>
      </w:r>
      <w:r>
        <w:rPr>
          <w:rFonts w:ascii="Amiri" w:hAnsi="Amiri" w:eastAsia="Amiri" w:cs="Amiri"/>
          <w:color w:val="111111"/>
          <w:sz w:val="28"/>
          <w:sz w:val="28"/>
          <w:szCs w:val="28"/>
          <w:rtl w:val="true"/>
          <w:lang w:bidi="ar-SA"/>
        </w:rPr>
        <w:t xml:space="preserve">، وللأدلة العامة الدالة على صحّة الشروط ولزومها،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الشرط التعليقي والالتزامي معنوي ولفظي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التعليقي ينافي الجزم، ويقلب العقد المجزوم به مردداً، والالتزامي يؤكد الجزم به والقصد إليه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التعليقي ظاهر في حروف الشرط وما قام مقامها، والالتزامي ظاهر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أشترط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bookmarkStart w:id="496" w:name="pg19000_245491"/>
    </w:p>
    <w:p>
      <w:pPr>
        <w:pStyle w:val="BookText"/>
        <w:rPr/>
      </w:pPr>
      <w:bookmarkEnd w:id="496"/>
      <w:r>
        <w:rPr>
          <w:rFonts w:ascii="Amiri" w:hAnsi="Amiri" w:eastAsia="Amiri" w:cs="Amiri"/>
          <w:color w:val="111111"/>
          <w:sz w:val="28"/>
          <w:sz w:val="28"/>
          <w:szCs w:val="28"/>
          <w:rtl w:val="true"/>
          <w:lang w:bidi="ar-SA"/>
        </w:rPr>
        <w:t>نعم، قد يتردد في ظهور لفظ بشرط كذا أنّه تعليقي أو التزامي فيكون كالمجمل، ولكنّ الحمل على الالتزامي لمكان أصالة الصحّة عند صدور اللفظ أظهر</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3372480_1280447820"/>
      <w:bookmarkStart w:id="498" w:name="_Toc186"/>
      <w:bookmarkEnd w:id="497"/>
      <w:r>
        <w:rPr>
          <w:rtl w:val="true"/>
        </w:rPr>
        <w:t>ثانيها</w:t>
      </w:r>
      <w:r>
        <w:rPr>
          <w:rtl w:val="true"/>
        </w:rPr>
        <w:t xml:space="preserve">: </w:t>
      </w:r>
      <w:r>
        <w:rPr>
          <w:rtl w:val="true"/>
        </w:rPr>
        <w:t>وجوب الوفاء بمقتضى الشرط</w:t>
      </w:r>
      <w:bookmarkEnd w:id="498"/>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بمقتضى الشرط؛ لعموم أدلّة العقود والشروط الظاهرة في وجوب الوفاء بها كتاباً </w:t>
      </w:r>
      <w:r>
        <w:rPr>
          <w:rStyle w:val="FootnoteAnchor"/>
          <w:rtl w:val="true"/>
        </w:rPr>
        <w:footnoteReference w:id="1223"/>
      </w:r>
      <w:r>
        <w:rPr>
          <w:rFonts w:ascii="Amiri" w:hAnsi="Amiri" w:eastAsia="Amiri" w:cs="Amiri"/>
          <w:color w:val="111111"/>
          <w:sz w:val="28"/>
          <w:sz w:val="28"/>
          <w:szCs w:val="28"/>
          <w:rtl w:val="true"/>
          <w:lang w:bidi="ar-SA"/>
        </w:rPr>
        <w:t xml:space="preserve">وسنّةٌ </w:t>
      </w:r>
      <w:r>
        <w:rPr>
          <w:rStyle w:val="FootnoteAnchor"/>
          <w:rtl w:val="true"/>
        </w:rPr>
        <w:footnoteReference w:id="1224"/>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1225"/>
      </w:r>
      <w:r>
        <w:rPr>
          <w:rFonts w:ascii="Amiri" w:hAnsi="Amiri" w:eastAsia="Amiri" w:cs="Amiri"/>
          <w:color w:val="111111"/>
          <w:sz w:val="28"/>
          <w:sz w:val="28"/>
          <w:szCs w:val="28"/>
          <w:rtl w:val="true"/>
          <w:lang w:bidi="ar-SA"/>
        </w:rPr>
        <w:t>، فإن كان الشرط في عقد لازم وجب الوفاء؛ لمكان وجوب الوفاء بالشرط والعقد، وإن كان في عقد جائز لزم الوفاء به ما دام راضياً ببقاء العقد غير فاسخ له، فيكون وجوبه مشروطاً لا مطلقاً، فإن امتنع المشترط عليه جبره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وجوب الوفاء بالشرط </w:t>
      </w:r>
      <w:r>
        <w:rPr>
          <w:rStyle w:val="FootnoteAnchor"/>
          <w:rtl w:val="true"/>
        </w:rPr>
        <w:footnoteReference w:id="1226"/>
      </w:r>
      <w:r>
        <w:rPr>
          <w:rFonts w:ascii="Amiri" w:hAnsi="Amiri" w:eastAsia="Amiri" w:cs="Amiri"/>
          <w:color w:val="111111"/>
          <w:sz w:val="28"/>
          <w:sz w:val="28"/>
          <w:szCs w:val="28"/>
          <w:rtl w:val="true"/>
          <w:lang w:bidi="ar-SA"/>
        </w:rPr>
        <w:t>استضعافاً لأدلة الوجوب،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القولين فعند امتناع المشروط عليه بالوفاء بالشرط يثبت الخيار للمشترط بين الفسخ والإمضاء؛ للإجماع بقسميه </w:t>
      </w:r>
      <w:r>
        <w:rPr>
          <w:rStyle w:val="FootnoteAnchor"/>
          <w:rtl w:val="true"/>
        </w:rPr>
        <w:footnoteReference w:id="1227"/>
      </w:r>
      <w:r>
        <w:rPr>
          <w:rFonts w:ascii="Amiri" w:hAnsi="Amiri" w:eastAsia="Amiri" w:cs="Amiri"/>
          <w:color w:val="111111"/>
          <w:sz w:val="28"/>
          <w:sz w:val="28"/>
          <w:szCs w:val="28"/>
          <w:rtl w:val="true"/>
          <w:lang w:bidi="ar-SA"/>
        </w:rPr>
        <w:t xml:space="preserve">، ولحديث نفي الضرار </w:t>
      </w:r>
      <w:r>
        <w:rPr>
          <w:rStyle w:val="FootnoteAnchor"/>
          <w:rtl w:val="true"/>
        </w:rPr>
        <w:footnoteReference w:id="1228"/>
      </w:r>
      <w:r>
        <w:rPr>
          <w:rFonts w:ascii="Amiri" w:hAnsi="Amiri" w:eastAsia="Amiri" w:cs="Amiri"/>
          <w:color w:val="111111"/>
          <w:sz w:val="28"/>
          <w:sz w:val="28"/>
          <w:szCs w:val="28"/>
          <w:rtl w:val="true"/>
          <w:lang w:bidi="ar-SA"/>
        </w:rPr>
        <w:t>، ولكونه بمنزلة تبعيض الصفقة، ولأن الظاهر اقتران لزوم العقد بوقوع الشرط، كما أنّ الظاهر اقتران تمليكه بملكية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المحققين إلى أن الشرط الواقع في العقد إن كان العقد كافياً في تحققه كاشتراط الوكالة في العقد اللازم بحيث لا يحتاج بعده إلى صيغةٍ أُخرى، فهو لازم لا يجوز الإخلال به، وإن احتاج إلى أمرٍ آخر كاشتراط العتق فليس بلازم، بل يقلب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السرّ فيه أنّ اشتراط ما العقد كافٍ في تحققه يكون كجزء من الإيجاب والقبول فهو تابع لهما، واشتراط ما يتوقف على أمرٍ آخر أمر منفصل عن العقد وقد علّق عليه العقد، والمعلّق على الممكن ممكن، وهو معنى قلب اللازم جائزاً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 يعارض ما قدمنا، وفي تحقيق المراد منه نظر وتأمل</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3372482_1280447820"/>
      <w:bookmarkStart w:id="500" w:name="_Toc187"/>
      <w:bookmarkEnd w:id="499"/>
      <w:r>
        <w:rPr>
          <w:rtl w:val="true"/>
        </w:rPr>
        <w:t>ثالثها</w:t>
      </w:r>
      <w:r>
        <w:rPr>
          <w:rtl w:val="true"/>
        </w:rPr>
        <w:t xml:space="preserve">: </w:t>
      </w:r>
      <w:r>
        <w:rPr>
          <w:rtl w:val="true"/>
        </w:rPr>
        <w:t>عدم جواز التمسك بعموم أدلّة الشروط كالمجملات</w:t>
      </w:r>
      <w:bookmarkEnd w:id="50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الشروط كالمجملات لا يجوز التمسّك بها؛ لضعف الظن بها من </w:t>
      </w:r>
      <w:bookmarkStart w:id="501" w:name="pg19000_245492"/>
    </w:p>
    <w:p>
      <w:pPr>
        <w:pStyle w:val="BookText"/>
        <w:rPr/>
      </w:pPr>
      <w:bookmarkEnd w:id="501"/>
      <w:r>
        <w:rPr>
          <w:rFonts w:ascii="Amiri" w:hAnsi="Amiri" w:eastAsia="Amiri" w:cs="Amiri"/>
          <w:color w:val="111111"/>
          <w:sz w:val="28"/>
          <w:sz w:val="28"/>
          <w:szCs w:val="28"/>
          <w:rtl w:val="true"/>
          <w:lang w:bidi="ar-SA"/>
        </w:rPr>
        <w:t>إعراض الأصحاب عن الأخذ بعمومها، ومن كثرة الخارج منها، فيقتصر على مورد اليقين من الشرائط الواقعة في أثناء العقد أو فى طرفيه متصلة به اتصال الجزء بالكل، فلا عبرة بالمنفصلة عنه انفصالاً طويلاً، أو قصيراً إلا مع استحضارها حال العقد وابتناء العقد عليها وقصد اقتران الإنشاء بها، فتكون مأخوذة في ضمنه وإن لم تكن مصرحاً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أيضاً بالشرائط المضمرة ما لم تدلّ عليها قرائن حالية أو مقالية ولو بذكرها قبل العقد وابتناء العقد عليها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فحوى ما دلّ على عدم لزوم الشرط الواقع في طرفي عقد المتعة من النصّ </w:t>
      </w:r>
      <w:r>
        <w:rPr>
          <w:rStyle w:val="FootnoteAnchor"/>
          <w:rtl w:val="true"/>
        </w:rPr>
        <w:footnoteReference w:id="1230"/>
      </w:r>
      <w:r>
        <w:rPr>
          <w:rFonts w:ascii="Amiri" w:hAnsi="Amiri" w:eastAsia="Amiri" w:cs="Amiri"/>
          <w:color w:val="111111"/>
          <w:sz w:val="28"/>
          <w:sz w:val="28"/>
          <w:szCs w:val="28"/>
          <w:rtl w:val="true"/>
          <w:lang w:bidi="ar-SA"/>
        </w:rPr>
        <w:t>والفتوى دلالة على عدم لزومه في كلّ عقد عند وقوعه في طرفيه، كذا قرره بعضهم</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عبرة بالشرط المستقلّ لنفسه وإن وقع بصورة الإيجاب والقبول؛ لعدم انصراف أدلّة العقود والشروط لمثله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3372484_1280447820"/>
      <w:bookmarkStart w:id="503" w:name="_Toc188"/>
      <w:bookmarkEnd w:id="502"/>
      <w:r>
        <w:rPr>
          <w:rtl w:val="true"/>
        </w:rPr>
        <w:t xml:space="preserve">رابعها </w:t>
      </w:r>
      <w:r>
        <w:rPr>
          <w:rtl w:val="true"/>
        </w:rPr>
        <w:t xml:space="preserve">: </w:t>
      </w:r>
      <w:r>
        <w:rPr>
          <w:rtl w:val="true"/>
        </w:rPr>
        <w:t>هل يفسد العقد لو وقع فيه شرط فاسد؟</w:t>
      </w:r>
      <w:bookmarkEnd w:id="50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في العقد شرط فاسد فسد العقد بفساده، كما نُسب لمشهور المتأخرين </w:t>
      </w:r>
      <w:r>
        <w:rPr>
          <w:rStyle w:val="FootnoteAnchor"/>
          <w:rtl w:val="true"/>
        </w:rPr>
        <w:footnoteReference w:id="1232"/>
      </w:r>
      <w:r>
        <w:rPr>
          <w:rFonts w:ascii="Amiri" w:hAnsi="Amiri" w:eastAsia="Amiri" w:cs="Amiri"/>
          <w:color w:val="111111"/>
          <w:sz w:val="28"/>
          <w:sz w:val="28"/>
          <w:szCs w:val="28"/>
          <w:rtl w:val="true"/>
          <w:lang w:bidi="ar-SA"/>
        </w:rPr>
        <w:t>لأنّ التمليك في العقد إنّما وقع على أن يملك الشرط، فما لم يملك الشرط لم يقع التمليك في العقد؛ لأن العقود تتبع القصود، ولا يلزم من توقف ملكيّة أحدهما على ملكيته دور؛ لأنّه من دور المعيّة المفتقر في الأحكام الشرعيَّة، ولأن النقل في العقد وقع على وجه خاص وهو ملكية الشرط، ومع انتفاء الخاص ينتفي العام، ولأنّ التراضي وقع على المجموع مرتبطاً أحدهما بالآخر، وما لم يحصل المجموع لم يحصل البعض ؛ لمكان الارتباط، بخلاف تبعيض الصفقة فإنّه لا ارتباط فيه، ولتأدية فساد الشرط إلى الجهالة في العقد ثمناً أو مثمناً فيبطل العقد أيضاً عند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من أصحابنا إلى بطلان الشرط وصحة العقد </w:t>
      </w:r>
      <w:r>
        <w:rPr>
          <w:rStyle w:val="FootnoteAnchor"/>
          <w:rtl w:val="true"/>
        </w:rPr>
        <w:footnoteReference w:id="1233"/>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بالأصل، وعموم الأدلّة الدالّة على صحّة العقود </w:t>
      </w:r>
      <w:r>
        <w:rPr>
          <w:rStyle w:val="FootnoteAnchor"/>
          <w:rtl w:val="true"/>
        </w:rPr>
        <w:footnoteReference w:id="1235"/>
      </w:r>
      <w:r>
        <w:rPr>
          <w:rFonts w:ascii="Amiri" w:hAnsi="Amiri" w:eastAsia="Amiri" w:cs="Amiri"/>
          <w:color w:val="111111"/>
          <w:sz w:val="28"/>
          <w:sz w:val="28"/>
          <w:szCs w:val="28"/>
          <w:rtl w:val="true"/>
          <w:lang w:bidi="ar-SA"/>
        </w:rPr>
        <w:t xml:space="preserve">جنساً ونوعاً، وبأخبار </w:t>
      </w:r>
      <w:bookmarkStart w:id="504" w:name="pg19000_245493"/>
    </w:p>
    <w:p>
      <w:pPr>
        <w:pStyle w:val="BookText"/>
        <w:rPr/>
      </w:pPr>
      <w:bookmarkEnd w:id="504"/>
      <w:r>
        <w:rPr>
          <w:rFonts w:ascii="Amiri" w:hAnsi="Amiri" w:eastAsia="Amiri" w:cs="Amiri"/>
          <w:color w:val="111111"/>
          <w:sz w:val="28"/>
          <w:sz w:val="28"/>
          <w:szCs w:val="28"/>
          <w:rtl w:val="true"/>
          <w:lang w:bidi="ar-SA"/>
        </w:rPr>
        <w:t xml:space="preserve">النكاح الدالة على فساد الشرط دون عقد النكاح </w:t>
      </w:r>
      <w:r>
        <w:rPr>
          <w:rStyle w:val="FootnoteAnchor"/>
          <w:rtl w:val="true"/>
        </w:rPr>
        <w:footnoteReference w:id="1236"/>
      </w:r>
      <w:r>
        <w:rPr>
          <w:rFonts w:ascii="Amiri" w:hAnsi="Amiri" w:eastAsia="Amiri" w:cs="Amiri"/>
          <w:color w:val="111111"/>
          <w:sz w:val="28"/>
          <w:sz w:val="28"/>
          <w:szCs w:val="28"/>
          <w:rtl w:val="true"/>
          <w:lang w:bidi="ar-SA"/>
        </w:rPr>
        <w:t>، وبخبر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مولاتها اشترطت على عائشة حين اشترتها أن يكون ولاؤها بعد عتقها لها، فأجاز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وأفسد الشرط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وله أثر فى طرقنا </w:t>
      </w:r>
      <w:r>
        <w:rPr>
          <w:rStyle w:val="FootnoteAnchor"/>
          <w:rtl w:val="true"/>
        </w:rPr>
        <w:footnoteReference w:id="123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قوي بالنسبة إلى الشرائط الفاسدة الغير المقصودة في العقود، كاشتراط حفنة </w:t>
      </w:r>
      <w:r>
        <w:rPr>
          <w:rStyle w:val="FootnoteAnchor"/>
          <w:rtl w:val="true"/>
        </w:rPr>
        <w:footnoteReference w:id="1239"/>
      </w:r>
      <w:r>
        <w:rPr>
          <w:rFonts w:ascii="Amiri" w:hAnsi="Amiri" w:eastAsia="Amiri" w:cs="Amiri"/>
          <w:color w:val="111111"/>
          <w:sz w:val="28"/>
          <w:sz w:val="28"/>
          <w:szCs w:val="28"/>
          <w:rtl w:val="true"/>
          <w:lang w:bidi="ar-SA"/>
        </w:rPr>
        <w:t>من تراب، أو رفع، أو وضع لا لغرض، أو اشتراط بعض محرمات لا ينصب العقد عليها، وأما بالنسبة إلى الشرائط المقصودة في العقد الواقعة كالجزء من الثمن أو المثمن فهو ضعيف؛ لمنع الإجماع فيه في محلّ النزاع، ومخالفة مشهور المتأخرين، ومنع شمول أدلة العقود جنساً ونوعاً لمثلها، وشروط النكاح جاء بها الدليل، فقياس غيرها عليها قياس مع الفارق، وخبر بريرة عامّيّ، والأخبار الخاصة محمولة على التقيّة، ومع ذلك فالمقام محتاج إلى التأمل التام</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3372486_1280447820"/>
      <w:bookmarkStart w:id="506" w:name="_Toc189"/>
      <w:bookmarkEnd w:id="505"/>
      <w:r>
        <w:rPr>
          <w:rtl w:val="true"/>
        </w:rPr>
        <w:t>خامسها</w:t>
      </w:r>
      <w:r>
        <w:rPr>
          <w:rtl w:val="true"/>
        </w:rPr>
        <w:t xml:space="preserve">: </w:t>
      </w:r>
      <w:r>
        <w:rPr>
          <w:rtl w:val="true"/>
        </w:rPr>
        <w:t>فيما ورد أن الشرط المخالف للكتاب والسنّة باطل</w:t>
      </w:r>
      <w:bookmarkEnd w:id="506"/>
    </w:p>
    <w:p>
      <w:pPr>
        <w:pStyle w:val="Heading6"/>
        <w:numPr>
          <w:ilvl w:val="5"/>
          <w:numId w:val="1"/>
        </w:numPr>
        <w:rPr/>
      </w:pPr>
      <w:bookmarkStart w:id="507" w:name="__RefHeading___Toc13372488_1280447820"/>
      <w:bookmarkStart w:id="508" w:name="_Toc190"/>
      <w:bookmarkEnd w:id="507"/>
      <w:r>
        <w:rPr>
          <w:rtl w:val="true"/>
        </w:rPr>
        <w:t>إشارة</w:t>
      </w:r>
      <w:r>
        <w:rPr>
          <w:rtl w:val="true"/>
        </w:rPr>
        <w:t>:</w:t>
      </w:r>
      <w:bookmarkEnd w:id="508"/>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الأخبار </w:t>
      </w:r>
      <w:r>
        <w:rPr>
          <w:rStyle w:val="FootnoteAnchor"/>
          <w:rtl w:val="true"/>
        </w:rPr>
        <w:footnoteReference w:id="1240"/>
      </w:r>
      <w:r>
        <w:rPr>
          <w:rFonts w:ascii="Amiri" w:hAnsi="Amiri" w:eastAsia="Amiri" w:cs="Amiri"/>
          <w:color w:val="111111"/>
          <w:sz w:val="28"/>
          <w:sz w:val="28"/>
          <w:szCs w:val="28"/>
          <w:rtl w:val="true"/>
          <w:lang w:bidi="ar-SA"/>
        </w:rPr>
        <w:t xml:space="preserve">واتفقت عليه كلمات الفقهاء الأخيار أن الشرط المخالف للكتاب والسنّة باطل، وكذا ما حرم حلالاً أو أحلّ حراماً، واشتهر فيما بينهم أيضاً أن المنافي لمقتضى العقد باطل، ونُقل عليه الإجماع </w:t>
      </w:r>
      <w:r>
        <w:rPr>
          <w:rStyle w:val="FootnoteAnchor"/>
          <w:rtl w:val="true"/>
        </w:rPr>
        <w:footnoteReference w:id="1241"/>
      </w:r>
      <w:r>
        <w:rPr>
          <w:rFonts w:ascii="Amiri" w:hAnsi="Amiri" w:eastAsia="Amiri" w:cs="Amiri"/>
          <w:color w:val="111111"/>
          <w:sz w:val="28"/>
          <w:sz w:val="28"/>
          <w:szCs w:val="28"/>
          <w:rtl w:val="true"/>
          <w:lang w:bidi="ar-SA"/>
        </w:rPr>
        <w:t xml:space="preserve">، وأدخله جملة منهم </w:t>
      </w:r>
      <w:r>
        <w:rPr>
          <w:rStyle w:val="FootnoteAnchor"/>
          <w:rtl w:val="true"/>
        </w:rPr>
        <w:footnoteReference w:id="1242"/>
      </w:r>
      <w:r>
        <w:rPr>
          <w:rFonts w:ascii="Amiri" w:hAnsi="Amiri" w:eastAsia="Amiri" w:cs="Amiri"/>
          <w:color w:val="111111"/>
          <w:sz w:val="28"/>
          <w:sz w:val="28"/>
          <w:szCs w:val="28"/>
          <w:rtl w:val="true"/>
          <w:lang w:bidi="ar-SA"/>
        </w:rPr>
        <w:t>فيما 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ما أدى إلى جهالة الثمن أو المثمن أو هما معاً، فإنّه باطل ويبطل العقد ببطلانه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النصّ والفتوى إجمالاً فلا يدرى ما المراد بالمشروع وبالحلال والحرام، أهو ما كان كذلك بأصل الشرع من دون توسّط العقد، أو ما يعم ذلك ؟ وقضية اتفاقهم على صحّة اشتراط إسقاط خيار المجلس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لأنّ مقتضى العقد حلّية الردّ في زمن </w:t>
      </w:r>
      <w:bookmarkStart w:id="509" w:name="pg19000_245494"/>
    </w:p>
    <w:p>
      <w:pPr>
        <w:pStyle w:val="BookText"/>
        <w:rPr/>
      </w:pPr>
      <w:bookmarkEnd w:id="509"/>
      <w:r>
        <w:rPr>
          <w:rFonts w:ascii="Amiri" w:hAnsi="Amiri" w:eastAsia="Amiri" w:cs="Amiri"/>
          <w:color w:val="111111"/>
          <w:sz w:val="28"/>
          <w:sz w:val="28"/>
          <w:szCs w:val="28"/>
          <w:rtl w:val="true"/>
          <w:lang w:bidi="ar-SA"/>
        </w:rPr>
        <w:t xml:space="preserve">الخيار، وقد حرم الشرط ما كان حلالاً بتوسط العقد، وقضيّة نصّهم على عدم جواز اشتراط أن لا يهب هو يهب هو الثاني، لأنّ للإنسان شرعاً أن لا يهب ماله لكن إطلاق العقد قضى بكل تصرّف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لأنّ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نافى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نافى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وكلا القاعدتين نقول بهما، إلا ما دلّ الدليل على خلافه، كاشتراط الخيار بالنسبة إلى الثاني، وإسقاطه بعد ثبوته بالنسبة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ونمنع الإجمال المدعى في النصوص والفتاوى، ولئن سلّمناه فلا نسلّم سريانه للعام الوارد بإباحة الشروط وتسويغها؛ للقطع بإرادة بعض الأفراد من المخصص، والشك في الباقي، فيشمله عموم العام المخصوص والمستثنى منه في مقام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إجمال في النصّ والفتوى بعد استقراء كلمات الأصحاب والنظر التام في الأخبار الواردة في الشروط في جميع الأبواب، ولو سلمنا الإجمال فلا نسلّم سريانه لجميع المحال</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3372490_1280447820"/>
      <w:bookmarkStart w:id="511" w:name="_Toc191"/>
      <w:bookmarkEnd w:id="510"/>
      <w:r>
        <w:rPr>
          <w:rtl w:val="true"/>
        </w:rPr>
        <w:t>بيان أنواع الشرائط وأحكامها</w:t>
      </w:r>
      <w:bookmarkEnd w:id="511"/>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منها ما هو مؤكّد لمقتضى ذات العقد الواقعة فيه، كاشتراط أن تملك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مؤكد لمقتضى إطلاق ذلك العقد، كاشتراط الحلول والتسليم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مؤكد لمقتضى ذات عقد آخر وإطلاقه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ملزماً لواجب أو مندوب شرعيين على المشروط عليه إذا تعلق للمشترط غرض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ملزماً لأمرٍ يُباح لهما فعله من دون توسط الشرط، كعمل شيءٍ أو دفع شيءٍ من المال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هذه الشرائط سائغة، ويلتزم بها المشروط عليه؛ لعموم أدلة الشروط </w:t>
      </w:r>
      <w:r>
        <w:rPr>
          <w:rStyle w:val="FootnoteAnchor"/>
          <w:rtl w:val="true"/>
        </w:rPr>
        <w:footnoteReference w:id="1244"/>
      </w:r>
      <w:r>
        <w:rPr>
          <w:rFonts w:ascii="Amiri" w:hAnsi="Amiri" w:eastAsia="Amiri" w:cs="Amiri"/>
          <w:color w:val="111111"/>
          <w:sz w:val="28"/>
          <w:sz w:val="28"/>
          <w:szCs w:val="28"/>
          <w:rtl w:val="true"/>
          <w:lang w:bidi="ar-SA"/>
        </w:rPr>
        <w:t>من غير معارض؛ لأنّ المفهوم من أدلّة الشروط أنّها بمنزلة النذر تلزم ما كان سائغاً فعله بدونه، وتوجب على المشروط عليه أداءه، ولا إجمال في أدلّة الشروط بالنسبة إلى تناولها لذلك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تتعلق بفعل محرَّم معلوم من الشرع عدم استحلاله بالأسباب الاختيارية، كأكل </w:t>
      </w:r>
    </w:p>
    <w:p>
      <w:pPr>
        <w:pStyle w:val="BookText"/>
        <w:rPr/>
      </w:pPr>
      <w:r>
        <w:rPr>
          <w:rFonts w:ascii="Amiri" w:hAnsi="Amiri" w:eastAsia="Amiri" w:cs="Amiri"/>
          <w:color w:val="111111"/>
          <w:sz w:val="28"/>
          <w:sz w:val="28"/>
          <w:szCs w:val="28"/>
          <w:rtl w:val="true"/>
          <w:lang w:bidi="ar-SA"/>
        </w:rPr>
        <w:t>الميتة، ولحم الخنزير واللواط والزنى والغناء والسرقة، وقتل النفس بغير حق، أو بترك واجب معلوم عدم استحلاله بالأسباب الاختيارية، كالصلاة والصوم، والحج، وطاعة الوالدين، والأمر بالمعروف ونحو ذلك، فهذه ونحوها من المقطوع بدخولها تحت المخصص وبإرادتها ممّا حرم حلالاً أو أحلّ حراماً إن لم ينصرف إطلاق ذلك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تنافي مقتضى ذات العقد المشروط وأصل مشروعيته، أو ذات عقد آخر ومشروعيته، کاشتراط أن لا يملك بالبيع، أو يملك بالرهن والعارية والوديعة، فهذه من المقطوع ببطلانها، ودخولها تحت ما خالف الكتاب والسنّة، لأنّ الكتاب والسنّة دالان على وجوب الوفاء بالعقد، فإبطال مقتضاه مخالف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بالعقد إنّما هو على حسب مقتضاه، فالمطلق على إطلاقه والمشروط على حسب شرطه فلا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نمنع شمول أدلّة الوفاء بالعقود للعقد المشترط بشرط يعود عليه بالنقض،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تنافي مقتضى إطلاق العقد، كاشتراط تأجيل أحد العوضين، أو تأخير التسليم أو كونه في غير بلد العقد، ونحو ذلك، وهذه سائغة مشمولة لأدلة العقود والشروط، ولا تدخل فيما أحلّ حراماً أو خالف الكتاب والسنّة؛ لأنّ المأمور بالوفاء بهما شامل للمقيد والمطلق، والشرط قيد في العقد، وقد شرع التقييد فيه به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تنافي مقتضاه من الأحكام اللاحقة له شرعاً، كاشتراط الخيار بعد الحكم بلزومه، واشتراط إسقاطه بعد الحكم بثبوته شرعاً، وهذه يمكن إدراجها فيما خالف الكتاب والسنّة، إلا أن الحكم بصحتها جاء به الدليل، ويمكن جعلها من أحكام العقد المطلق، لا مطلق العقد حتّى المشروط بها، فلا مخالفة فيها للكتاب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تنافي لوازمه الشرعيَّة التي شُرّع العقد لها، كاشتراط منعه عن التصرف بالبيع مطلقاً؛ لأنّ من لوازم الملك الشرعي جواز تصرّف المالك بملكه كيف شاء، والظاهر دخول هذا فيما خالف الكتاب والسنّة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اشتراط منعه عن بعض التصرفات فقط كاشتراط أن لا يبيع أو لا يهب أو لا يعتق مطلقاً أو في وقت دون وقت فالظاهر أنّه لا يدخل تحت دليل المنع، ولا تحت ما خالف </w:t>
      </w:r>
    </w:p>
    <w:p>
      <w:pPr>
        <w:pStyle w:val="BookText"/>
        <w:rPr/>
      </w:pPr>
      <w:r>
        <w:rPr>
          <w:rFonts w:ascii="Amiri" w:hAnsi="Amiri" w:eastAsia="Amiri" w:cs="Amiri"/>
          <w:color w:val="111111"/>
          <w:sz w:val="28"/>
          <w:sz w:val="28"/>
          <w:szCs w:val="28"/>
          <w:rtl w:val="true"/>
          <w:lang w:bidi="ar-SA"/>
        </w:rPr>
        <w:t xml:space="preserve">الكتاب والسنّة؛ لعدم دلالتهما على جواز التصرف بكل نحو وفي كلّ وقت، بل المقطوع به هو جواز التصرف في الجملة، ولو سلمنا فالمقطوع به هو جواز كلّ تصرف في العقد المطلق، لا في مطلق العقد حتّى المشروط بتصرف دون آخر، فاشتراط ذلك لا يخالف الكتاب والسنّة، إلا أنّ ظاهر الفقهاء منعه وبطلانه إلا ما خرج،بالدليل، كاشتراط عدم الانتفاع مدةً معينة، أو اشتراط أن لا يهب ولا يبيع؛ لورود الروايات </w:t>
      </w:r>
      <w:r>
        <w:rPr>
          <w:rStyle w:val="FootnoteAnchor"/>
          <w:rtl w:val="true"/>
        </w:rPr>
        <w:footnoteReference w:id="1245"/>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الغير المقدورة عقلاً وعرفاً، ولا كلام في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العقد ببطلانها سيّما مع العلم بعدم القدرة عليها ؟ وجهان، أوجههما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السفهية التي لا تقابل بعوض ولا يعود بها نفع لأحد المتعاقدين، ولا كلام في بطلانها؛ لعدم شمول أدلة العقود والشروط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العقد ببطلانها ؟ وجهان،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الغير المقدورة شرعاً، كاشتراط غايات العقود المعلوم من استقراء الأدلّة عدم وقوعها بغير أسبابها المعدة لها، كاشتراط كون فلانة زوجةً، وكون المال موقوفاً، وكونه مبيعاً، وكون الزوجة مطلقةً، فهذه لا كلام في بطلانها؛ لأنّها مما تخالف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المؤدية إلى جهالة الثمن أو المثمن فيما تفسده الجهالة، فإنّها باطلة؛ لمخالفتها ما دلّ على اشتراط المعلومية </w:t>
      </w:r>
      <w:r>
        <w:rPr>
          <w:rStyle w:val="FootnoteAnchor"/>
          <w:rtl w:val="true"/>
        </w:rPr>
        <w:footnoteReference w:id="1246"/>
      </w:r>
      <w:r>
        <w:rPr>
          <w:rFonts w:ascii="Amiri" w:hAnsi="Amiri" w:eastAsia="Amiri" w:cs="Amiri"/>
          <w:color w:val="111111"/>
          <w:sz w:val="28"/>
          <w:sz w:val="28"/>
          <w:szCs w:val="28"/>
          <w:rtl w:val="true"/>
          <w:lang w:bidi="ar-SA"/>
        </w:rPr>
        <w:t>، ويبطل العقد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المجهولة بنفسها، فهذه إن أدّى الجهل بها إلى الغرر بحيث يصير العقد مجهولاً بسببها بطلت وأبطلت العقد، وإلا فالظاهر صحتها، كاشتراط قدرٍ من طعام بكيلةٍ مجهولة أو معيار مجهول مع مشاهدتهما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المتعلقة بالأسباب الشرعيَّة من بيع وإجارة ورهن وغيرها، أو المتعلقة بالمسببات الغير متوقفة على أسباب خاصة، أو المتعلقة بمالٍ من عين أو منفعة، أو المتعلقة بحقِّ من الحقوق المالية أو غيرها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كلّ ما لا يتوقف في نقله أو إسقاطه أو الاختصاص به على صيغة شرعية </w:t>
      </w:r>
      <w:bookmarkStart w:id="512" w:name="pg19000_245497"/>
    </w:p>
    <w:p>
      <w:pPr>
        <w:pStyle w:val="BookText"/>
        <w:rPr/>
      </w:pPr>
      <w:bookmarkEnd w:id="512"/>
      <w:r>
        <w:rPr>
          <w:rFonts w:ascii="Amiri" w:hAnsi="Amiri" w:eastAsia="Amiri" w:cs="Amiri"/>
          <w:color w:val="111111"/>
          <w:sz w:val="28"/>
          <w:sz w:val="28"/>
          <w:szCs w:val="28"/>
          <w:rtl w:val="true"/>
          <w:lang w:bidi="ar-SA"/>
        </w:rPr>
        <w:t>متلقاة من الشارع فإنّه يصح اشتراطه، ويلزم العمل به؛ لأنّ الشرط ملزم لمن التزم به فيما يسوع التزامه مما لا يخالف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القاصرة للمشروط عليه على بعض التصرّفات دون بعض، کاشتراط العتق أو البيع أو غيرهما، وظاهر الفقهاء صحتها، وأنها لا تدخل فيما خالف الكتاب والسنّة وإن استلزمت المنع عن بعض التصرّفات أيضاً؛ لأنّ القصد أوّلاً وبالذات هو الإلزام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المنع من تصرّف آخر، والأوّل لا ينافي مقتضى العقد إن لم يؤكده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فتبين مما ذكرنا أنّه لا إجمال في أدلة الشروط وأنّها أخص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وشبهه، وأنّه لا معارضة بينها وبين أدلة العقود إذا لم يناف أصل وضعها أو أحكامها اللاحقة لذات العقد شرعاً؛ لأنّ الأمر بها على حسبها من التقييد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عادت على أصل العقد بالنقض أو على أحكامه ولوازمه الأصلية لكانت ممّا تخالف الكتاب والسنّة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3372492_1280447820"/>
      <w:bookmarkStart w:id="514" w:name="_Toc192"/>
      <w:bookmarkEnd w:id="513"/>
      <w:r>
        <w:rPr>
          <w:rtl w:val="true"/>
        </w:rPr>
        <w:t>سادسها</w:t>
      </w:r>
      <w:r>
        <w:rPr>
          <w:rtl w:val="true"/>
        </w:rPr>
        <w:t xml:space="preserve">: </w:t>
      </w:r>
      <w:r>
        <w:rPr>
          <w:rtl w:val="true"/>
        </w:rPr>
        <w:t>في أنّه يجوز في عقد البيع اشتراط أن يرهن عنده رهناً على دين سابق أو على ثمن المبيع الواقع في ذلك العقد</w:t>
      </w:r>
      <w:bookmarkEnd w:id="51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عقد البيع وغيره من العقود اللازمة اشتراط أن يرهن عنده رهناً على دَيْنِ سابق أو على ثمن المبيع الواقع في ذلك العقد؛ لأنّه اشتراط لسبب شرعي، وهو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أن يكون المال رهناً عنده على دين سابق، بُنيت صحته على صحّة وقوع الرهن بنفس الشرط وعدمها، ولا يبعد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صحته فهل يصح جعل المبيع رهناً على الثمن في صيغة البيع أو مالٍ آخر غير المبيع كذلك؛ لعموم الأدلّة، أو لا يصح؛ لأنّه رهن على ما لم يثبت في الذمة ؟ وجهان، ولا يبعد الصحّة، فيقع ملك الثمن والرهن دفعة واحدة، ولا يبعد جوازه، أو يقدر ملك الثمن آناً ما قبل الرهن، ولكنّه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صرّح البائع بالرهن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وارتهنته عندي فقال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وأرهنت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كأن يقول هو واحد أو وكيله الآخر، وأشكل منه لو قدّم لفظ الرهن على قبول البيع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قدّم القبول على إيجاب الرهن قوي القول بالصحّة؛ لتقدم الملك، بناءً على </w:t>
      </w:r>
    </w:p>
    <w:p>
      <w:pPr>
        <w:pStyle w:val="BookText"/>
        <w:rPr/>
      </w:pPr>
      <w:r>
        <w:rPr>
          <w:rFonts w:ascii="Amiri" w:hAnsi="Amiri" w:eastAsia="Amiri" w:cs="Amiri"/>
          <w:color w:val="111111"/>
          <w:sz w:val="28"/>
          <w:sz w:val="28"/>
          <w:szCs w:val="28"/>
          <w:rtl w:val="true"/>
          <w:lang w:bidi="ar-SA"/>
        </w:rPr>
        <w:t>صحة القبول المتقدم والإيجاب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قدم الموجب لفظ البيع على لفظ الرهن، أما لو قدّم لفظ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أرهنته وبعتك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صحته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اشتراط تعيين الرهن بجنسه ووصفه وكيله ووزنه، بل يكفي أن يشرط رهناً على الثمن، ولو قلنا باشتراط تعيين الرهن عند الارتهان لزم التعيين فيما إذا وقع الرهن بالشرط، ولم يلزم فيما إذا كان شرطاً لرهن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وجوب اشتراط تعيين قدر الرهن من أنّه على كلّ المال أو بعضه، وأنّه ممّا يقابل كلّ المال أو ينقص عنه؛ للزوم الجهالة التي لا تغتفر في الشرط، ولا سيّما لو كان الشرط في البيع وشبهه ممّا بني على حرمة الغرر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عقد البيع تعيين الرهن نوعاً ووصفاً وقدراً وأنّه على كلّ المال أو بعضه، وقد تكفي المشاهدة عن كثير مما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بألف وأرهنته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وأرهنت</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مع أنّ فيه تقديم القبول وتأخير الإيجاب، ووقوع القبول في زمن عدم الملك وعدم تحقق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من اشتراط رهن المبيع على الثمن </w:t>
      </w:r>
      <w:r>
        <w:rPr>
          <w:rStyle w:val="FootnoteAnchor"/>
          <w:rtl w:val="true"/>
        </w:rPr>
        <w:footnoteReference w:id="1249"/>
      </w:r>
      <w:r>
        <w:rPr>
          <w:rFonts w:ascii="Amiri" w:hAnsi="Amiri" w:eastAsia="Amiri" w:cs="Amiri"/>
          <w:color w:val="111111"/>
          <w:sz w:val="28"/>
          <w:sz w:val="28"/>
          <w:szCs w:val="28"/>
          <w:rtl w:val="true"/>
          <w:lang w:bidi="ar-SA"/>
        </w:rPr>
        <w:t>، وظاهره حتّى لو كان فيه الشرط بأن يرهنه كما يظهر من بعض أذلّته، حيث إنّه استدلّ على المنع بلزوم اشتراط رهن ما لا يملك، وباقتضاء البيع لإيفاء الثمن من غير المبيع واقتضاء الرهن الإيفاء منه، وهو متناقض، وباقتضاء البيع كون المبيع مضموناً على البائع واقتضاء الرهن كونه غير مضمون، وهو متناقض أيضاً</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ضعيف، كضعف ما احتج به غيره من أنّ المشتري لا يملك رهن المبيع إلا مع صحّة البيع المتوقفة على ملك رهن المبيع فيدور، وأنّ لزوم التصرفات معلولة للزوم البيع، فلو كانت عله له جاء الدور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الممنوع منه رهن ما لا يملك لا اشتراط رهنه بعد ملكه، ولمنع اقتضاء البيع </w:t>
      </w:r>
      <w:bookmarkStart w:id="515" w:name="pg19000_245499"/>
    </w:p>
    <w:p>
      <w:pPr>
        <w:pStyle w:val="BookText"/>
        <w:rPr/>
      </w:pPr>
      <w:bookmarkEnd w:id="515"/>
      <w:r>
        <w:rPr>
          <w:rFonts w:ascii="Amiri" w:hAnsi="Amiri" w:eastAsia="Amiri" w:cs="Amiri"/>
          <w:color w:val="111111"/>
          <w:sz w:val="28"/>
          <w:sz w:val="28"/>
          <w:szCs w:val="28"/>
          <w:rtl w:val="true"/>
          <w:lang w:bidi="ar-SA"/>
        </w:rPr>
        <w:t>كون إيفاء الثمن من غير المبيع لا عرفاً ولا شرعاً، ولأنّ اقتضاء البيع ضمان المبيع والرهن عدمه لا يقضيان بمنع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وقوع ذلك يتعارض الدليلان فيمكن ترجيح الضمان؛ لأنّه انفساخ، لا ضمان بالمثل أو القيمة كي ينافي عدم ضمان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عدمه؛ لأنّ رهنه كإذن المشتري له بالقبض، فيكون من الأمانات المقبوضة، ولأن توقف صحّة البيع على الرهن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تتوقف على صحّة الرهن الموقوفة على صحّة البيع، وهو دور معية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لا استبعاد في كون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لصفة علّته وهو اللزوم، وليس هو علةً له،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اشتراط الكفيل والضامن على الثمن أو المثمن، واشتراط الشهود، ولا يلزم تعيين الكفيل باسمه أو شخصه، ولا تعيين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ينصرف في الأوّل إلى الملي، وفي الثاني إلى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كفيلاً تعيّن، وفي تعيّن الشهود بالتعيين وجه يقوى البناء عليه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3372494_1280447820"/>
      <w:bookmarkStart w:id="517" w:name="_Toc193"/>
      <w:bookmarkEnd w:id="516"/>
      <w:r>
        <w:rPr>
          <w:rtl w:val="true"/>
        </w:rPr>
        <w:t xml:space="preserve">سابعها </w:t>
      </w:r>
      <w:r>
        <w:rPr>
          <w:rtl w:val="true"/>
        </w:rPr>
        <w:t>:</w:t>
      </w:r>
      <w:r>
        <w:rPr>
          <w:rtl w:val="true"/>
        </w:rPr>
        <w:t>جواز اشتراط عدم الانتفاع بأحد العوضين مدّةً معيّنةً</w:t>
      </w:r>
      <w:bookmarkEnd w:id="51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الاتفاق على جواز اشتراط عدم الانتفاع بأحد العوضين مدة معينة </w:t>
      </w:r>
      <w:r>
        <w:rPr>
          <w:rStyle w:val="FootnoteAnchor"/>
          <w:rtl w:val="true"/>
        </w:rPr>
        <w:footnoteReference w:id="1252"/>
      </w:r>
      <w:r>
        <w:rPr>
          <w:rFonts w:ascii="IRNazanin" w:hAnsi="IRNazanin" w:eastAsia="IRNazanin"/>
          <w:color w:val="111111"/>
          <w:sz w:val="28"/>
          <w:sz w:val="28"/>
          <w:szCs w:val="28"/>
          <w:rtl w:val="true"/>
          <w:lang w:bidi="fa-IR"/>
        </w:rPr>
        <w:t xml:space="preserve">، وأجاز جمع من أصحابنا </w:t>
      </w:r>
      <w:r>
        <w:rPr>
          <w:rStyle w:val="FootnoteAnchor"/>
          <w:rtl w:val="true"/>
        </w:rPr>
        <w:footnoteReference w:id="1253"/>
      </w:r>
      <w:r>
        <w:rPr>
          <w:rFonts w:ascii="Amiri" w:hAnsi="Amiri" w:eastAsia="Amiri" w:cs="Amiri"/>
          <w:color w:val="111111"/>
          <w:sz w:val="28"/>
          <w:sz w:val="28"/>
          <w:szCs w:val="28"/>
          <w:rtl w:val="true"/>
          <w:lang w:bidi="ar-SA"/>
        </w:rPr>
        <w:t xml:space="preserve">اشتراط أن لا يعتق ولا يطأ الأمة، وجماعة أُخرى </w:t>
      </w:r>
      <w:r>
        <w:rPr>
          <w:rStyle w:val="FootnoteAnchor"/>
          <w:rtl w:val="true"/>
        </w:rPr>
        <w:footnoteReference w:id="1254"/>
      </w:r>
      <w:r>
        <w:rPr>
          <w:rFonts w:ascii="Amiri" w:hAnsi="Amiri" w:eastAsia="Amiri" w:cs="Amiri"/>
          <w:color w:val="111111"/>
          <w:sz w:val="28"/>
          <w:sz w:val="28"/>
          <w:szCs w:val="28"/>
          <w:rtl w:val="true"/>
          <w:lang w:bidi="ar-SA"/>
        </w:rPr>
        <w:t xml:space="preserve">أجازوا اشتراط بائع الأمة على المشتري بأنّه لا يبيع ولا يهب، وفيه روايات مستفيضة دالة على الجواز أيضاً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واستند بعضهم </w:t>
      </w:r>
      <w:r>
        <w:rPr>
          <w:rStyle w:val="FootnoteAnchor"/>
          <w:rtl w:val="true"/>
        </w:rPr>
        <w:footnoteReference w:id="1256"/>
      </w:r>
      <w:r>
        <w:rPr>
          <w:rFonts w:ascii="Amiri" w:hAnsi="Amiri" w:eastAsia="Amiri" w:cs="Amiri"/>
          <w:color w:val="111111"/>
          <w:sz w:val="28"/>
          <w:sz w:val="28"/>
          <w:szCs w:val="28"/>
          <w:rtl w:val="true"/>
          <w:lang w:bidi="ar-SA"/>
        </w:rPr>
        <w:t>في جواز الجميع للعمومات والإطلاقات في العقود والشروط السليمة عما يصلح للمعارضة، سوى كون هذه الشرائط منافية لمقتضى العقد، فتدخل فيما خالف الكتاب والسنّة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ممنوع؛ لمنع منافاتها لمطلق العقد حتّى العقد المقيد بالشرط، وإنما تنافي العقد </w:t>
      </w:r>
      <w:bookmarkStart w:id="518" w:name="pg19000_245500"/>
    </w:p>
    <w:p>
      <w:pPr>
        <w:pStyle w:val="BookText"/>
        <w:rPr/>
      </w:pPr>
      <w:bookmarkEnd w:id="518"/>
      <w:r>
        <w:rPr>
          <w:rFonts w:ascii="Amiri" w:hAnsi="Amiri" w:eastAsia="Amiri" w:cs="Amiri"/>
          <w:color w:val="111111"/>
          <w:sz w:val="28"/>
          <w:sz w:val="28"/>
          <w:szCs w:val="28"/>
          <w:rtl w:val="true"/>
          <w:lang w:bidi="ar-SA"/>
        </w:rPr>
        <w:t>المطلق، وما نافي العقد المطلق لا يدخل تحت ما 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قوي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يجوز اشتراط عدم انتفاع المشتري بالمبيع في زمن دون زمن، أو فرد دون فرد، أو 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الحكم بعد ذلك لا يخلو من مقالٍ وإشكال، سيّما فيما لم يرد به نص من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3372496_1280447820"/>
      <w:bookmarkStart w:id="520" w:name="_Toc194"/>
      <w:bookmarkEnd w:id="519"/>
      <w:r>
        <w:rPr>
          <w:rtl w:val="true"/>
        </w:rPr>
        <w:t>ثامنها</w:t>
      </w:r>
      <w:r>
        <w:rPr>
          <w:rtl w:val="true"/>
        </w:rPr>
        <w:t xml:space="preserve">: </w:t>
      </w:r>
      <w:r>
        <w:rPr>
          <w:rtl w:val="true"/>
        </w:rPr>
        <w:t>جواز اشتراط البائع على المشتري قصر انتفاعه على جهة مخصوصة</w:t>
      </w:r>
      <w:bookmarkEnd w:id="52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البائع على المشتري قصر انتفاعه على جهة مخصوصة من بيع أو عتق، أو تدبير أو كتابة، والعتق إجماعي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الجميع على وفق القاعدة؛ لعدم منافاة هذا الشرط لمقتضى العقد وإن لزم من القصر على مورد خاص منعه عن غيره، لأن اللوازم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العتق مطلقاً، أو عن البائع، أو عن المشتري، أو عن أجنبي، أو عن اثنين أو ثلاثة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البطلان فيما لو عتق عن البائع أو الأجنبي؛ لأنّه لا عتق إلا في ملك، في محلّ البطلان؛ لأنّ المعتق مالك وإن كان العتق عن غيره، لأنّ وصول نفعه إلى الغير لا ينافي مباشرته بنفسه، وقد تقدّر ملكيته آناً ما بعد صيغة العتق قبل حصوله أو عند إجراء الصيغة، أو يكتفى بالتقدم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اشتراط عتقه مطلقاً، وعن سبب خاص من نذر أو كفارة، عن كلّ واحدٍ مما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اشتراط عتقه تبرّعاً، ويصح اشتراطه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ينصرف إطلاق اشتراط عتقه إلى ما يكون تبرّعاً ويكون اختيارياً بسبب الصيغة الخاصة، دون ما يكون بتنكيل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مع اشتراط عتقه مطلقاً أن يعتق عن سبب خاص من كفارة أو نذرٍ أو نحوهما؛ لأن اشتراط المطلق يجامع وقوعه مع القيد ؟</w:t>
      </w:r>
    </w:p>
    <w:p>
      <w:pPr>
        <w:pStyle w:val="BookText"/>
        <w:rPr/>
      </w:pPr>
      <w:r>
        <w:rPr>
          <w:rFonts w:ascii="Amiri" w:hAnsi="Amiri" w:eastAsia="Amiri" w:cs="Amiri"/>
          <w:color w:val="111111"/>
          <w:sz w:val="28"/>
          <w:sz w:val="28"/>
          <w:szCs w:val="28"/>
          <w:rtl w:val="true"/>
          <w:lang w:bidi="ar-SA"/>
        </w:rPr>
        <w:t>ويحتمل عدم الصحّة؛ لتغاير الأسباب بتغاير المسبّبات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تبنى المسألة على أن العتق المشروط هل هو حقٌّ اللّه تعالى؛ لما فيه من معنى القربة والعبودية، أو للبائع؛ لأنّه الملزم به، ولأنّ الشروط من جملة العوضين، أو للمشتري؛ لأنّه </w:t>
      </w:r>
    </w:p>
    <w:p>
      <w:pPr>
        <w:pStyle w:val="BookText"/>
        <w:rPr/>
      </w:pPr>
      <w:r>
        <w:rPr>
          <w:rFonts w:ascii="Amiri" w:hAnsi="Amiri" w:eastAsia="Amiri" w:cs="Amiri"/>
          <w:color w:val="111111"/>
          <w:sz w:val="28"/>
          <w:sz w:val="28"/>
          <w:szCs w:val="28"/>
          <w:rtl w:val="true"/>
          <w:lang w:bidi="ar-SA"/>
        </w:rPr>
        <w:t>التزم به ويعود بفعله ثواب إليه، أو للأجنبي لو كان الشرط عتقه عنه؛ لعود نفعه إليه بعد التزامه، أو للعبد؛ لاستلزامه زوال الحجر عنه وتحريره به أو للمركب من الاثنين أو الثلاثة أو الأربعة، أو للكل؛ لاجتماع جميع الجهات فيه؟</w:t>
      </w:r>
    </w:p>
    <w:p>
      <w:pPr>
        <w:pStyle w:val="BookText"/>
        <w:rPr/>
      </w:pPr>
      <w:r>
        <w:rPr>
          <w:rFonts w:ascii="Amiri" w:hAnsi="Amiri" w:eastAsia="Amiri" w:cs="Amiri"/>
          <w:color w:val="111111"/>
          <w:sz w:val="28"/>
          <w:sz w:val="28"/>
          <w:szCs w:val="28"/>
          <w:rtl w:val="true"/>
          <w:lang w:bidi="ar-SA"/>
        </w:rPr>
        <w:t>فإن كان الحقّ اللّه تعالى فيكون كالمنذور، أو للبائع ولم يسقط حقه، أو للعبد ولم يسقط حقه، أو للأجنبي ولم يسقط حقه، لم يجز عتقه عن السبب الخاص، وإن كان للمشتري أو لأحد الثلاثة مع إسقاط حقهم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المركبات تتبع صور المفردات وما دخل فيها المنع رجح جانب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الحكم في ذلك لغير شرط العتق ممّا شابهه، كشرط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أيضاً لغير عتقه عن السبب الخاص كبيعه مثلاً، فإنّ المنع فيه لتعلّق حق اللّه تعالى فيه أو حق غيره مع عدم إسقاطه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تعلق حق البائع به على كلّ حالٍ، وتعلّق حق المشروط له عتقه عنه سواء كان المشتري أو غيره مع البائع على سبيل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تعلق حق اللّه تعالى به مع اشتراط عتقه مطلقاً أو عن شخص خاص كاحتمال تعلق حق المشتري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تلك الوجوه حق المطالبة به، فإن كان اللّه فللحاكم، وإن كان للعبد فله أو للحاكم، وإن كان لغيرهما فلصاحبه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أعتقه المشتري بعوض مع اشتراط البائع عدم العوض أو الإطلاق صح عتقه وتسلّط البائع على الخيار، فإن فسخ كانت له القيمة؛ لتنزيل العتق منزلة التلف، وليس للبائع فسخ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بطلان العتق المعوّض وعدم نفوذه؛ لتعلق حق الغير به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لو أعتقه بسبب غير السبب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فيما لو باعه بشرط العتق فأعتقه المشتري الآخر، فإنّه يُحكم بصحة العتق، ويُحكم بفوات الشرط وضمان القيمة عند الفسخ ؛ لأنّ ظاهر الشرط مباشرة العتق ولو بالوكالة لا بواسطة البيع وشبهه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مات العبد المشروط عتقه أو نكل به حتّى عاد حراً، لزم المشتري تأدية قيمته عند فسخ البائع</w:t>
      </w:r>
      <w:r>
        <w:rPr>
          <w:rFonts w:eastAsia="Amiri" w:cs="Amiri" w:ascii="Amiri" w:hAnsi="Amiri"/>
          <w:color w:val="111111"/>
          <w:sz w:val="28"/>
          <w:szCs w:val="28"/>
          <w:rtl w:val="true"/>
          <w:lang w:bidi="ar-SA"/>
        </w:rPr>
        <w:t xml:space="preserve">. </w:t>
      </w:r>
      <w:bookmarkStart w:id="521" w:name="pg19000_245502"/>
    </w:p>
    <w:p>
      <w:pPr>
        <w:pStyle w:val="BookText"/>
        <w:rPr/>
      </w:pPr>
      <w:bookmarkEnd w:id="521"/>
      <w:r>
        <w:rPr>
          <w:rFonts w:ascii="Amiri" w:hAnsi="Amiri" w:eastAsia="Amiri" w:cs="Amiri"/>
          <w:color w:val="111111"/>
          <w:sz w:val="28"/>
          <w:sz w:val="28"/>
          <w:szCs w:val="28"/>
          <w:rtl w:val="true"/>
          <w:lang w:bidi="ar-SA"/>
        </w:rPr>
        <w:t>ولو أحبل الجارية ولم يف بالشرط، فالأقوى إلزامه بالقيمة إذا فسخ البائع، ولا يرجع بالعين، مع احتمال ذلك</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372498_1280447820"/>
      <w:bookmarkStart w:id="523" w:name="_Toc195"/>
      <w:bookmarkEnd w:id="522"/>
      <w:r>
        <w:rPr>
          <w:rtl w:val="true"/>
        </w:rPr>
        <w:t>تاسعها</w:t>
      </w:r>
      <w:r>
        <w:rPr>
          <w:rtl w:val="true"/>
        </w:rPr>
        <w:t xml:space="preserve">: </w:t>
      </w:r>
      <w:r>
        <w:rPr>
          <w:rtl w:val="true"/>
        </w:rPr>
        <w:t>في أنّ العبد المشروط عتقه أو المال المشروط وقفه إذا كان ثمناً أو مثمناً ولم يف المشروط عليه بالشرط كان للمشترط الخيار</w:t>
      </w:r>
      <w:bookmarkEnd w:id="52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المشروط عتقه أو المال المشروط وقفه إذا كان ثمناً أو مثمناً ولم يف المشروط عليه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نقله ببيع أو غيره من العقود الناقلة كان للمشترط الخيار، فإن أمضى فلا كلام، وإن فسخ احتمل انفساخ العقود المترتبة عليه من حينها تبعاً لفسخه، واحتمل توقفها على فسخه فإن فسخها،انفسخت، وإلا مضت على حالها وكان للمشترط القيمة، واحتمل مضيّها قهراً والرجوع إلى القيمة؛ لاستصحاب بقائها وعدم ثبوت فاسخ لها، واحتمل بطلان العقود من أصلها؛ لتعلّق حق اللّه تعالى بها فلا ينفذ مقتضاها، أو لتعلّق حق البائع بها أو المشتري أو الأجنبي فلا يصح التصرف بها إلا مع إسقاط حقهم، مع احتمال عدم تأثير إسقاط حقهم في العتق أو الوقف؛ لتعلّق حق اللّه تعالى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ترتبت العقود على المشروط بشرط غير شرط الوقف والعتق وما ضاهاهما ممّا يتعلّق به حق اللّه تعالى،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العقود المترتبة عليه، ولزومها أيضاً، وعدم جواز فسخ المشترط لها إذا فسخ العقد، بل له القيمة وتنزل 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المترتبة عقوداً جائزة، فالأقوى انفساخها من دون فاسخ، مع احتمال توقف الانفساخ على الفسخ</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3372500_1280447820"/>
      <w:bookmarkStart w:id="525" w:name="_Toc196"/>
      <w:bookmarkEnd w:id="524"/>
      <w:r>
        <w:rPr>
          <w:rtl w:val="true"/>
        </w:rPr>
        <w:t>عاشرها</w:t>
      </w:r>
      <w:r>
        <w:rPr>
          <w:rtl w:val="true"/>
        </w:rPr>
        <w:t xml:space="preserve">: </w:t>
      </w:r>
      <w:r>
        <w:rPr>
          <w:rtl w:val="true"/>
        </w:rPr>
        <w:t>هل يجوز تصرّف المشروط عليه في المال المتعلّق به شرط؟</w:t>
      </w:r>
      <w:bookmarkEnd w:id="525"/>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المتعلّق به شرط في البيع أو غيره كاشتراط إعطائه أو تمليكه أو بيعه ولم يكن من أحد العوضين فهل يجوز تصرّف المشروط عليه به ونقله وإتلافه مطلقاً؛ لأنّ الناس مسلّطون على أموالهم، أو لا يجوز؛ لتعلّق حق الغير به، ولوجوب الوفاء بالشرط، فيجب عدم نقله وإتلافه من باب المقدمة ؟ ولعل الأخير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بين تعلّق ما لله تعالى فيه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الوقف والعتق أو إخراجه خمساً أو زكاةً أو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التصرّف فيه، وبين ما لم يتعلّق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تعلّق الشرط بأحد العوضين فيحرم على المشروط عليه التصرف فيه، وبين تعلقه بأمر خارج فلا يحرم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التحريم فهل تبطل العقود المترتبة على ما تعلّق به الشرط؛ لمكان النهي، أو تصح؛ </w:t>
      </w:r>
      <w:bookmarkStart w:id="526" w:name="pg19000_245503"/>
    </w:p>
    <w:p>
      <w:pPr>
        <w:pStyle w:val="BookText"/>
        <w:rPr/>
      </w:pPr>
      <w:bookmarkEnd w:id="526"/>
      <w:r>
        <w:rPr>
          <w:rFonts w:ascii="Amiri" w:hAnsi="Amiri" w:eastAsia="Amiri" w:cs="Amiri"/>
          <w:color w:val="111111"/>
          <w:sz w:val="28"/>
          <w:sz w:val="28"/>
          <w:szCs w:val="28"/>
          <w:rtl w:val="true"/>
          <w:lang w:bidi="ar-SA"/>
        </w:rPr>
        <w:t>لتعلقه بأمر خارج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الصحّة فهل للمشترط بعد فسخه أن يفسخ تلك العقود المترتبة على ما له؛ لتعلّق حقه بها فله الخيار، أو ليس له ؟ ولا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انفساخها بنفسها على وجه أنّ استدامتها موقوفة على استدامة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ما يتعلق به حق اللّه تعالى فلا تصحّ العقود المترتبة عليه، وبين ما لم يتعلّق فتصح، ويجيء احتمال الانفساخ أو 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يُفرّق بين تعلّق الشرط بأحد العوضين فتبطل العقود، وبين تعلقه بأمرٍ خارج فتصح، ويجيء حينئذٍ احتمال الانفساخ واحتمال جواز الفسخ</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3372502_1280447820"/>
      <w:bookmarkStart w:id="528" w:name="_Toc197"/>
      <w:bookmarkEnd w:id="527"/>
      <w:r>
        <w:rPr>
          <w:rtl w:val="true"/>
        </w:rPr>
        <w:t>حادي عشرها فيما لو امتنع المشروط عليه من القيام بالشرط كان للمشترط الفسخ</w:t>
      </w:r>
      <w:bookmarkEnd w:id="528"/>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المشروط عليه من القيام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لامتناعه بنفسه أو لامتناع الشرط كان للمشترط الفسخ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فوري؛ لأصالة لزوم العقد بعد خروج زمان الفورية المجمع على ثبوت الخيار فيه، أو متراخي ؛ لثبوته مع عدم العلم بالمزيل، وما ثبت دام؟</w:t>
      </w:r>
    </w:p>
    <w:p>
      <w:pPr>
        <w:pStyle w:val="BookText"/>
        <w:rPr/>
      </w:pPr>
      <w:r>
        <w:rPr>
          <w:rFonts w:ascii="Amiri" w:hAnsi="Amiri" w:eastAsia="Amiri" w:cs="Amiri"/>
          <w:color w:val="111111"/>
          <w:sz w:val="28"/>
          <w:sz w:val="28"/>
          <w:szCs w:val="28"/>
          <w:rtl w:val="true"/>
          <w:lang w:bidi="ar-SA"/>
        </w:rPr>
        <w:t>والأوّل أقرب وأحوط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فسخ المشترط ووجد العين قائمة استردّها، وإن وجدها تالفة أو شبه التالفة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عتق أو استيلاد أو وقف أو عقد لازم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بمثله إن كان مثليّاً، وبقيمته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في القيمة لقيمة بلد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لقيمة بلد الفسخ، ويحتمل الرجوع إلى قيمة بلد المتعاقدين، ومع اختلاف المتعاقدين يرجع إلى قيمة بلد الناقل، ويحتمل الرجوع إلى أقل القيم؛ للأصل، والرجوع في وقتها إلى قيمة يوم التلف؛ لأنّه يوم الانتقال إلى القيمة، ويحتمل يوم القبض؛ لأنّه أوّل دخوله في ضمان المشتري، أو أعلى القيم ما بين القبض والتلف، ويحتمل قيمة يوم الفسخ، ولعلّه الأقرب ويحتمل أدناها؛ للأصل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القيمة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للنقدين المسكوكين من الذهب والفضة، على ما هو الظاهر من الأصحاب في جميع الغرامات، بل وظاهر الأمر بها في الأخبار </w:t>
      </w:r>
      <w:r>
        <w:rPr>
          <w:rStyle w:val="FootnoteAnchor"/>
          <w:rtl w:val="true"/>
        </w:rPr>
        <w:footnoteReference w:id="1257"/>
      </w:r>
      <w:r>
        <w:rPr>
          <w:rFonts w:ascii="Amiri" w:hAnsi="Amiri" w:eastAsia="Amiri" w:cs="Amiri"/>
          <w:color w:val="111111"/>
          <w:sz w:val="28"/>
          <w:sz w:val="28"/>
          <w:szCs w:val="28"/>
          <w:rtl w:val="true"/>
          <w:lang w:bidi="ar-SA"/>
        </w:rPr>
        <w:t>أيضاً ذلك</w:t>
      </w:r>
      <w:r>
        <w:rPr>
          <w:rFonts w:eastAsia="Amiri" w:cs="Amiri" w:ascii="Amiri" w:hAnsi="Amiri"/>
          <w:color w:val="111111"/>
          <w:sz w:val="28"/>
          <w:szCs w:val="28"/>
          <w:rtl w:val="true"/>
          <w:lang w:bidi="ar-SA"/>
        </w:rPr>
        <w:t xml:space="preserve">. </w:t>
      </w:r>
      <w:bookmarkStart w:id="529" w:name="pg19000_245504"/>
    </w:p>
    <w:p>
      <w:pPr>
        <w:pStyle w:val="BookText"/>
        <w:rPr/>
      </w:pPr>
      <w:bookmarkEnd w:id="529"/>
      <w:r>
        <w:rPr>
          <w:rFonts w:ascii="Amiri" w:hAnsi="Amiri" w:eastAsia="Amiri" w:cs="Amiri"/>
          <w:color w:val="111111"/>
          <w:sz w:val="28"/>
          <w:sz w:val="28"/>
          <w:szCs w:val="28"/>
          <w:rtl w:val="true"/>
          <w:lang w:bidi="ar-SA"/>
        </w:rPr>
        <w:t>وهل تعتبر قيمته مشروطاً فيقوم عبداً مشروطاً بعتق وشبهه، فيأخذ البائع قيمته، أو غير مشروط فيقوم سليماً من الشرط فيأخذ قيمته ؟</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قد دخل في ضمان المشتري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لم يأتِ به المشتري ففواته عليه، وعند الفسخ يصير العبد مضموناً عليه مجرّداً عن البيع والشرط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الأوّل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أمضى المشترط للعقد عند فوات الشرط ولم يفسخ فهل له الرجوع بما نقصه الشرط، فيأخذ البائع زائداً على ثمنه إن كان المشترط هو البائع وقد فاته الشرط، ويرجع المشتري شيئاً من الثمن إن كان المشترط هو المشترى وقد فاته الشرط، وذلك لأن الشرط محسوب من الثمن أو المثمن، ففواته يقضي بفوات مالٍ من المشترط ونقصان من أحد العوضين، فيقوم العوض مشروطاً وغير مشروط، ويُنظر إلى التفاوت بينهما زيادةً ونقصاناً، فيأخذ المشترط على نسبة التفاوت من المشروط عليه؛ لمكان انتفاء الشرط، فيزيد البائع على الثمن ذلك القدر أو ينقص المشتري منه، أو ليس له الرجوع بشيء؛ لأنّ الشروط لا توزّع عليها الأثمان كتبعيض الصفقة، ولا تقابل بأرش كالعيوب؛ لعدم دليل يدلّ على أحدهما،</w:t>
      </w:r>
    </w:p>
    <w:p>
      <w:pPr>
        <w:pStyle w:val="BookText"/>
        <w:rPr/>
      </w:pPr>
      <w:r>
        <w:rPr>
          <w:rFonts w:ascii="Amiri" w:hAnsi="Amiri" w:eastAsia="Amiri" w:cs="Amiri"/>
          <w:color w:val="111111"/>
          <w:sz w:val="28"/>
          <w:sz w:val="28"/>
          <w:szCs w:val="28"/>
          <w:rtl w:val="true"/>
          <w:lang w:bidi="ar-SA"/>
        </w:rPr>
        <w:t>وثبوت الأرش في العيب إنما جاء به الدليل، وضرر فوات الشرط مجبور بالخيار ؟</w:t>
      </w:r>
    </w:p>
    <w:p>
      <w:pPr>
        <w:pStyle w:val="BookText"/>
        <w:rPr/>
      </w:pPr>
      <w:r>
        <w:rPr>
          <w:rFonts w:ascii="Amiri" w:hAnsi="Amiri" w:eastAsia="Amiri" w:cs="Amiri"/>
          <w:color w:val="111111"/>
          <w:sz w:val="28"/>
          <w:sz w:val="28"/>
          <w:szCs w:val="28"/>
          <w:rtl w:val="true"/>
          <w:lang w:bidi="ar-SA"/>
        </w:rPr>
        <w:t>وهذا الأخير أقوى، ويؤيده أن فوات وصف الحسن أو الوصف مطلقاً أولى بأخذ ما قابلهما، سيّما فيما اشتمل على تدليس مع أنّه لا قائل به على أن ظاهر الفقهاء أنّ هذا التوزيع خاص بفوات شرط العتق لا بفوات الشرط مطلقاً، مع أنّه ليس لشرط العتق خصوصيّة</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3372504_1280447820"/>
      <w:bookmarkStart w:id="531" w:name="_Toc198"/>
      <w:bookmarkEnd w:id="530"/>
      <w:r>
        <w:rPr>
          <w:rtl w:val="true"/>
        </w:rPr>
        <w:t>ثاني عشرها</w:t>
      </w:r>
      <w:r>
        <w:rPr>
          <w:rtl w:val="true"/>
        </w:rPr>
        <w:t xml:space="preserve">: </w:t>
      </w:r>
      <w:r>
        <w:rPr>
          <w:rtl w:val="true"/>
        </w:rPr>
        <w:t>هل اشتراط العقد الجائز في العقد اللازم يصيّره لازماً أم لا؟</w:t>
      </w:r>
      <w:bookmarkEnd w:id="531"/>
    </w:p>
    <w:p>
      <w:pPr>
        <w:pStyle w:val="BookText"/>
        <w:rPr/>
      </w:pPr>
      <w:r>
        <w:rPr>
          <w:rFonts w:ascii="IRNazanin" w:hAnsi="IRNazanin" w:eastAsia="IRNazanin"/>
          <w:color w:val="111111"/>
          <w:sz w:val="28"/>
          <w:sz w:val="28"/>
          <w:szCs w:val="28"/>
          <w:rtl w:val="true"/>
          <w:lang w:bidi="fa-IR"/>
        </w:rPr>
        <w:t>ثاني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العقد الجائز في العقد اللازم كاشتراط الوكالة أو الوصية أو التدبير أو المضاربة، أو اشتراط ثمراتها كصيرورته وكيلاً أو وصيّاً أو مدبّراً أو غير ذلك، فهل يقلب الجائز لازماً ويلزم الاستمرار عليه مطلقاً، أو يبقى على جوازه مطلقاً، أو يفرق بين اشتراط نفس العقد الجائز فيبقى على جوازه و بین اشتراط غايته فيلزم ؟ وجوه، أوجهها الأخير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الجواز، فلو فسخ المشروط عليه بعد تلبسه بمقتضى العقد الجائز فهل للمشترط </w:t>
      </w:r>
    </w:p>
    <w:p>
      <w:pPr>
        <w:pStyle w:val="BookText"/>
        <w:rPr/>
      </w:pPr>
      <w:r>
        <w:rPr>
          <w:rFonts w:ascii="Amiri" w:hAnsi="Amiri" w:eastAsia="Amiri" w:cs="Amiri"/>
          <w:color w:val="111111"/>
          <w:sz w:val="28"/>
          <w:sz w:val="28"/>
          <w:szCs w:val="28"/>
          <w:rtl w:val="true"/>
          <w:lang w:bidi="ar-SA"/>
        </w:rPr>
        <w:t>خيار الفسخ حينئذٍ؛ لظهور الشرط في الاستمرار عليه، أو ليس له؛ لأن الشرط مجرد حصول مقتضاه وقد حصل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ها هنا الرجوع إلى مقتضى العرف من القصد إلى الاشتراط بإرادة الدوام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فللمشترط إسقاط حقه من الاشتراط؛ لجواز إسقاط الحقوق من أهلها، إلا شرط العتق فقد استثناه طائفة من أصحابنا </w:t>
      </w:r>
      <w:r>
        <w:rPr>
          <w:rStyle w:val="FootnoteAnchor"/>
          <w:rtl w:val="true"/>
        </w:rPr>
        <w:footnoteReference w:id="1258"/>
      </w:r>
      <w:r>
        <w:rPr>
          <w:rFonts w:ascii="Amiri" w:hAnsi="Amiri" w:eastAsia="Amiri" w:cs="Amiri"/>
          <w:color w:val="111111"/>
          <w:sz w:val="28"/>
          <w:sz w:val="28"/>
          <w:szCs w:val="28"/>
          <w:rtl w:val="true"/>
          <w:lang w:bidi="ar-SA"/>
        </w:rPr>
        <w:t>لتعلّق حق اللّه تعالى به فلا يجوز إسقاطه، وربما يجري الحكم لكلّ ما تعلق اللّه تعالى فيه حقٌّ، والحكم بعد ذلك محتاج إلى نظرٍ وتأمل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الوفاء بالشرط على المشروط عليه إذا كان من غير أحد المتعاقدين وقد رضي به؛ لعموم أدلة الشروط </w:t>
      </w:r>
      <w:r>
        <w:rPr>
          <w:rStyle w:val="FootnoteAnchor"/>
          <w:rtl w:val="true"/>
        </w:rPr>
        <w:footnoteReference w:id="1259"/>
      </w:r>
      <w:r>
        <w:rPr>
          <w:rFonts w:ascii="Amiri" w:hAnsi="Amiri" w:eastAsia="Amiri" w:cs="Amiri"/>
          <w:color w:val="111111"/>
          <w:sz w:val="28"/>
          <w:sz w:val="28"/>
          <w:szCs w:val="28"/>
          <w:rtl w:val="true"/>
          <w:lang w:bidi="ar-SA"/>
        </w:rPr>
        <w:t>، أو لا يجب؛ للأصل، وانصرافها لما كان بين المتعاقدين ؟ وجهان، وفي الأخير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مسائل كثيرة ذكرناها في شرح القواعد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532" w:name="pg19000_245506"/>
    </w:p>
    <w:p>
      <w:pPr>
        <w:pStyle w:val="Heading3"/>
        <w:numPr>
          <w:ilvl w:val="2"/>
          <w:numId w:val="1"/>
        </w:numPr>
        <w:rPr/>
      </w:pPr>
      <w:bookmarkStart w:id="533" w:name="__RefHeading___Toc13372506_1280447820"/>
      <w:bookmarkStart w:id="534" w:name="_Toc199"/>
      <w:bookmarkEnd w:id="532"/>
      <w:bookmarkEnd w:id="533"/>
      <w:r>
        <w:rPr>
          <w:rtl w:val="true"/>
        </w:rPr>
        <w:t>القول في أحكام العيوب</w:t>
      </w:r>
      <w:bookmarkEnd w:id="534"/>
    </w:p>
    <w:p>
      <w:pPr>
        <w:pStyle w:val="Heading4"/>
        <w:numPr>
          <w:ilvl w:val="3"/>
          <w:numId w:val="1"/>
        </w:numPr>
        <w:rPr/>
      </w:pPr>
      <w:bookmarkStart w:id="535" w:name="__RefHeading___Toc13372508_1280447820"/>
      <w:bookmarkStart w:id="536" w:name="_Toc200"/>
      <w:bookmarkEnd w:id="535"/>
      <w:r>
        <w:rPr>
          <w:rtl w:val="true"/>
        </w:rPr>
        <w:t>وفيه أمور</w:t>
      </w:r>
      <w:r>
        <w:rPr>
          <w:rtl w:val="true"/>
        </w:rPr>
        <w:t>:</w:t>
      </w:r>
      <w:bookmarkEnd w:id="536"/>
    </w:p>
    <w:p>
      <w:pPr>
        <w:pStyle w:val="Heading5"/>
        <w:numPr>
          <w:ilvl w:val="4"/>
          <w:numId w:val="1"/>
        </w:numPr>
        <w:rPr/>
      </w:pPr>
      <w:bookmarkStart w:id="537" w:name="__RefHeading___Toc13372510_1280447820"/>
      <w:bookmarkStart w:id="538" w:name="_Toc201"/>
      <w:bookmarkEnd w:id="537"/>
      <w:r>
        <w:rPr>
          <w:rtl w:val="true"/>
        </w:rPr>
        <w:t>أحدها</w:t>
      </w:r>
      <w:r>
        <w:rPr>
          <w:rtl w:val="true"/>
        </w:rPr>
        <w:t xml:space="preserve">: </w:t>
      </w:r>
      <w:r>
        <w:rPr>
          <w:rtl w:val="true"/>
        </w:rPr>
        <w:t>في أن الأصل في الأعيان السلامة من العيوب</w:t>
      </w:r>
      <w:bookmarkEnd w:id="53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الأعيان السلامة من العيوب، إما بمعنى الاستصحاب فيما ثبت صحته سابقاً، أو بمعنى الظاهر أو الغالب، أو بمعنى القاعدة الشرعيَّة المأخوذة من استقراء الأخبار وكلام الفقهاء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الأصل لا يصرف إطلاق اللفظ في الأوامر والنواهي والنذور والأيمان والزكوات وغيرها إلى الصحيح، بحيث يكون المعيب لا يدخل تحت إطلاق اللفظ ولا يجزئ عن الصحيح؛ لأن المعيب فرد غير نادر للمطلق لا وجوداً ولا إطلاقاً ولا مصداقاً، فيدخل في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 عقود المعاوضة، فهل ينصرف اللفظ فيها إلى الصحيح؛ لأنّ الظاهر من حال المتعاقدين عند الاعتياض إرادة الصحيح، كما ينصرف المطلق إلى نقد البلد والتسليم ببلد العقد، فعلى هذا لو باع الكلّي فدفع معيباً لم يملكه المدفوع إليه إلا بعقد جديد؛ لعدم دخول المعيب تحت إطلاق العقد، أو لا ينصرف إليه كما أنّه لا ينصرف في الأوامر والنواهي والنذور والصدقات لعدم ثبوت ظهور في اللفظ يصرفه إلى الصحيح ؟ وهذا هو الحق؛ للقطع بدخول الفرد المعيب في بيع الكلّي وإجزائه عنه وملك المشتري له، ولو كان الإطلاق ينصرف إلى غيره لما جاز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لمن انتقل إليه الخيار إذا خرج المدفوع معيباً ؛ لكون الصحّة كالشرط الضمني المترتب عليه اللزوم، ففواته يسلّط على الخيار، أو كالوصف الضمني بين المتعاقدين، فإنّه إذا فات الوصف الذي أقدم عليه المنتقل إليه كان له عند فواته الخيار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لو كانت شرطاً في المبيع الكلّي أو وصفاً له لكانت منوعة له، كما </w:t>
      </w:r>
      <w:bookmarkStart w:id="539" w:name="pg19000_245507"/>
    </w:p>
    <w:p>
      <w:pPr>
        <w:pStyle w:val="BookText"/>
        <w:rPr/>
      </w:pPr>
      <w:bookmarkEnd w:id="539"/>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صحيحاً، أو بعتك عبداً على أنّه صحيح، فإنّه يتعين هنا تعلق البيع بالصحيح ولا يجزئ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أولاً أن شرط الصحّة ووصفها هنا منوّعان، بل هما مؤكدان لما اقتضاه العقد، ولئن سلّمناه في الوصف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الصحّة كباقي أوصاف الكلي منوع له، لا نسلّم في الشرط؛ لمنع أن الشرط منوّع في الكلّي، سواء كان شرطاً للصحة أو لغيرها، ولئن سلّمناه في غيرها فلا نسلّمه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ثانياً مساواة الوصف الضمني والشرط الضمني للمصرّح بهما، بل الظاهر من حاق العقود أن الشرائط الضمنية والأوصاف بمنزلة إلزام والتزام مستقلين، سيّما فيما إذا تعلقا بالصحّة، وأن العقد واقع على الكلّي من حيث هو هو، فالكلّي بالنسبة إليهما كالفرد بالنسبة إلى وصف الصحّة وغيرها، وشرط الصحّة وغيرها فكما أن الفرد مقصود بالبيع أولاً وبالذات والوصف والشرط خارجان عنه ولا يفيدان سوى التسلّط على الخيار، فكذا الكلّي بالنسبة إلى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مَنْ باع كلّيّاً على وجه الإطلاق، أو اشترط الصحّة، أو أخذها وصفاً في وجه فدفع معيباً ملك المشتري المدفوع إليه بمجرد الدفع من دون احتياج إلى معاوضةٍ جديدة، فإن كان عالماً فلا شيء له، وإن كان جاهلاً كان له الخيار في فسخ المدفوع إليه عوض الكلي، وأخذه بدله، وله الرضى به مجاناً، وله الرضى به مع الأرش، كما سيأتي دليله </w:t>
      </w:r>
      <w:r>
        <w:rPr>
          <w:rStyle w:val="FootnoteAnchor"/>
          <w:rtl w:val="true"/>
        </w:rPr>
        <w:footnoteReference w:id="1260"/>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له فسخ أصل عقد الكلّي؛ لتشخّص الكلّي بالفرد المدفوع وانصبابه عليه فكأنه هو المعقود عليه أوّلاً، أو ليس له؛ لاستصحاب بقاء ملك الكلّي والشك في جواز فسخه بما ذكر من التعليل؛ لعدم خلوّه من الوهن الظاهر لدى كلّ ماهر ؟</w:t>
      </w:r>
    </w:p>
    <w:p>
      <w:pPr>
        <w:pStyle w:val="Heading5"/>
        <w:numPr>
          <w:ilvl w:val="4"/>
          <w:numId w:val="1"/>
        </w:numPr>
        <w:rPr/>
      </w:pPr>
      <w:bookmarkStart w:id="540" w:name="__RefHeading___Toc13372512_1280447820"/>
      <w:bookmarkStart w:id="541" w:name="_Toc202"/>
      <w:bookmarkEnd w:id="540"/>
      <w:r>
        <w:rPr>
          <w:rtl w:val="true"/>
        </w:rPr>
        <w:t xml:space="preserve">ثانيها </w:t>
      </w:r>
      <w:r>
        <w:rPr>
          <w:rtl w:val="true"/>
        </w:rPr>
        <w:t xml:space="preserve">: </w:t>
      </w:r>
      <w:r>
        <w:rPr>
          <w:rtl w:val="true"/>
        </w:rPr>
        <w:t>حكم ما لو خرج المبيع معيباً حال العقد قبل تمامه</w:t>
      </w:r>
      <w:bookmarkEnd w:id="54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المبيع معيباً حال العقد قبل تمامه ولو بالقبض فيما شرطه القبض أو قبل العقد ولم يكن المنقول إليه عالماً بالعيب كان له الخيار في فسخ العقد إذا كان على </w:t>
      </w:r>
    </w:p>
    <w:p>
      <w:pPr>
        <w:pStyle w:val="BookText"/>
        <w:rPr/>
      </w:pPr>
      <w:r>
        <w:rPr>
          <w:rFonts w:ascii="Amiri" w:hAnsi="Amiri" w:eastAsia="Amiri" w:cs="Amiri"/>
          <w:color w:val="111111"/>
          <w:sz w:val="28"/>
          <w:sz w:val="28"/>
          <w:szCs w:val="28"/>
          <w:rtl w:val="true"/>
          <w:lang w:bidi="ar-SA"/>
        </w:rPr>
        <w:t xml:space="preserve">معين، أو فسخ الفرد إذا كان على كلّي؛ للأخبار عموماً، كحديث نفي الضرار </w:t>
      </w:r>
      <w:r>
        <w:rPr>
          <w:rStyle w:val="FootnoteAnchor"/>
          <w:rtl w:val="true"/>
        </w:rPr>
        <w:footnoteReference w:id="1261"/>
      </w:r>
      <w:r>
        <w:rPr>
          <w:rFonts w:ascii="Amiri" w:hAnsi="Amiri" w:eastAsia="Amiri" w:cs="Amiri"/>
          <w:color w:val="111111"/>
          <w:sz w:val="28"/>
          <w:sz w:val="28"/>
          <w:szCs w:val="28"/>
          <w:rtl w:val="true"/>
          <w:lang w:bidi="ar-SA"/>
        </w:rPr>
        <w:t xml:space="preserve">، وخصوصاً في موارد متعدّدة </w:t>
      </w:r>
      <w:r>
        <w:rPr>
          <w:rStyle w:val="FootnoteAnchor"/>
          <w:rtl w:val="true"/>
        </w:rPr>
        <w:footnoteReference w:id="1262"/>
      </w:r>
      <w:r>
        <w:rPr>
          <w:rFonts w:ascii="Amiri" w:hAnsi="Amiri" w:eastAsia="Amiri" w:cs="Amiri"/>
          <w:color w:val="111111"/>
          <w:sz w:val="28"/>
          <w:sz w:val="28"/>
          <w:szCs w:val="28"/>
          <w:rtl w:val="true"/>
          <w:lang w:bidi="ar-SA"/>
        </w:rPr>
        <w:t xml:space="preserve">لا كلام في قبولها، وللإجماع بقسميه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 الإمضاء مجاناً؛ لأنّه حقه فله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يحتاج إلى الإبراء عن الأرش المستحق عند الرضى بالمعيب ؟ لا يبعد ذلك، مع احتمال أن نفس الرضى به معيباً مع عدم المطالبة بالأرش 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الإمضاء مع أخذ الأرش؛ للإجماع المنقول </w:t>
      </w:r>
      <w:r>
        <w:rPr>
          <w:rStyle w:val="FootnoteAnchor"/>
          <w:rtl w:val="true"/>
        </w:rPr>
        <w:footnoteReference w:id="1264"/>
      </w:r>
      <w:r>
        <w:rPr>
          <w:rFonts w:ascii="Amiri" w:hAnsi="Amiri" w:eastAsia="Amiri" w:cs="Amiri"/>
          <w:color w:val="111111"/>
          <w:sz w:val="28"/>
          <w:sz w:val="28"/>
          <w:szCs w:val="28"/>
          <w:rtl w:val="true"/>
          <w:lang w:bidi="ar-SA"/>
        </w:rPr>
        <w:t xml:space="preserve">، وفتوى الفحول، ولأن العيب بمنزلة نقص الأجزاء فيوزّع عليها الثمن كتبعيض الصفقة، والرضوي </w:t>
      </w:r>
      <w:r>
        <w:rPr>
          <w:rStyle w:val="FootnoteAnchor"/>
          <w:rtl w:val="true"/>
        </w:rPr>
        <w:footnoteReference w:id="1265"/>
      </w:r>
      <w:r>
        <w:rPr>
          <w:rFonts w:ascii="Amiri" w:hAnsi="Amiri" w:eastAsia="Amiri" w:cs="Amiri"/>
          <w:color w:val="111111"/>
          <w:sz w:val="28"/>
          <w:sz w:val="28"/>
          <w:szCs w:val="28"/>
          <w:rtl w:val="true"/>
          <w:lang w:bidi="ar-SA"/>
        </w:rPr>
        <w:t>المنجبر بما تقدَّم ولما روى الشيخ مرسلاً، حيث إنّه نسب الأرش إلى روايات أصحابنا</w:t>
      </w:r>
      <w:r>
        <w:rPr>
          <w:rStyle w:val="FootnoteAnchor"/>
          <w:rtl w:val="true"/>
        </w:rPr>
        <w:footnoteReference w:id="1266"/>
      </w:r>
      <w:r>
        <w:rPr>
          <w:rFonts w:ascii="Amiri" w:hAnsi="Amiri" w:eastAsia="Amiri" w:cs="Amiri"/>
          <w:color w:val="111111"/>
          <w:sz w:val="28"/>
          <w:sz w:val="28"/>
          <w:szCs w:val="28"/>
          <w:rtl w:val="true"/>
          <w:lang w:bidi="ar-SA"/>
        </w:rPr>
        <w:t>، فالحكم أيضاً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يشترط في ثبوت الخيار استمرار العيب إلى حين الرد أو الأرش، بل لو طرأ العيب فزال بقى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العلم به قبل الزوال، أو الجهل؛ لأنّ خيار العيب بثبوت العيب لا بالعلم به، وتجري أحكام خيار العيب على المعيب وإن لم يعلم المنتقل إليه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خيار العيب لجميع عقود المعاوضة، سوى ما ظهر أن العدول إليه كان للإسقاط لا لمجرد التمليك، كالصلح في كثيرٍ من المقامات، فإنّ الظاهر من العدول إليه إرادة إسقاط الخيارات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خيار العيب فوري فلو تراخى عن الفسخ مع العلم بالعيب سقط الرد؛ للإجماع المنقول </w:t>
      </w:r>
      <w:r>
        <w:rPr>
          <w:rStyle w:val="FootnoteAnchor"/>
          <w:rtl w:val="true"/>
        </w:rPr>
        <w:footnoteReference w:id="1267"/>
      </w:r>
      <w:r>
        <w:rPr>
          <w:rFonts w:ascii="Amiri" w:hAnsi="Amiri" w:eastAsia="Amiri" w:cs="Amiri"/>
          <w:color w:val="111111"/>
          <w:sz w:val="28"/>
          <w:sz w:val="28"/>
          <w:szCs w:val="28"/>
          <w:rtl w:val="true"/>
          <w:lang w:bidi="ar-SA"/>
        </w:rPr>
        <w:t xml:space="preserve">، وللاحتياط، ولعموم أدلّة اللزوم في العقود </w:t>
      </w:r>
      <w:r>
        <w:rPr>
          <w:rStyle w:val="FootnoteAnchor"/>
          <w:rtl w:val="true"/>
        </w:rPr>
        <w:footnoteReference w:id="1268"/>
      </w:r>
      <w:r>
        <w:rPr>
          <w:rFonts w:ascii="Amiri" w:hAnsi="Amiri" w:eastAsia="Amiri" w:cs="Amiri"/>
          <w:color w:val="111111"/>
          <w:sz w:val="28"/>
          <w:sz w:val="28"/>
          <w:szCs w:val="28"/>
          <w:rtl w:val="true"/>
          <w:lang w:bidi="ar-SA"/>
        </w:rPr>
        <w:t xml:space="preserve">في جميع الأزمنة خرج زمن الفورية وبقي الباقي، أو متراخ؛ للاستصحاب، والشهرة المنقولة </w:t>
      </w:r>
      <w:r>
        <w:rPr>
          <w:rStyle w:val="FootnoteAnchor"/>
          <w:rtl w:val="true"/>
        </w:rPr>
        <w:footnoteReference w:id="1269"/>
      </w:r>
      <w:r>
        <w:rPr>
          <w:rFonts w:ascii="Amiri" w:hAnsi="Amiri" w:eastAsia="Amiri" w:cs="Amiri"/>
          <w:color w:val="111111"/>
          <w:sz w:val="28"/>
          <w:sz w:val="28"/>
          <w:szCs w:val="28"/>
          <w:rtl w:val="true"/>
          <w:lang w:bidi="ar-SA"/>
        </w:rPr>
        <w:t>بل المحصلة في الباب، ولمنع اقتضاء اللزوم في العقود في جميع الأزمنة لعدم الدليل عليه ؟ قولان، ويقوى الأخير</w:t>
      </w:r>
      <w:r>
        <w:rPr>
          <w:rFonts w:eastAsia="Amiri" w:cs="Amiri" w:ascii="Amiri" w:hAnsi="Amiri"/>
          <w:color w:val="111111"/>
          <w:sz w:val="28"/>
          <w:szCs w:val="28"/>
          <w:rtl w:val="true"/>
          <w:lang w:bidi="ar-SA"/>
        </w:rPr>
        <w:t xml:space="preserve">. </w:t>
      </w:r>
      <w:bookmarkStart w:id="542" w:name="pg19000_245509"/>
    </w:p>
    <w:p>
      <w:pPr>
        <w:pStyle w:val="BookText"/>
        <w:rPr/>
      </w:pPr>
      <w:bookmarkEnd w:id="542"/>
      <w:r>
        <w:rPr>
          <w:rFonts w:ascii="Amiri" w:hAnsi="Amiri" w:eastAsia="Amiri" w:cs="Amiri"/>
          <w:color w:val="111111"/>
          <w:sz w:val="28"/>
          <w:sz w:val="28"/>
          <w:szCs w:val="28"/>
          <w:rtl w:val="true"/>
          <w:lang w:bidi="ar-SA"/>
        </w:rPr>
        <w:t>وعلى القول بالفورية فالجهل بحكم الخيار أو بوجود العيب عذر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الجهل بالفورية عذر أم لا ؟ وجهان</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3372514_1280447820"/>
      <w:bookmarkStart w:id="544" w:name="_Toc203"/>
      <w:bookmarkEnd w:id="543"/>
      <w:r>
        <w:rPr>
          <w:rtl w:val="true"/>
        </w:rPr>
        <w:t>ثالثها</w:t>
      </w:r>
      <w:r>
        <w:rPr>
          <w:rtl w:val="true"/>
        </w:rPr>
        <w:t xml:space="preserve">: </w:t>
      </w:r>
      <w:r>
        <w:rPr>
          <w:rtl w:val="true"/>
        </w:rPr>
        <w:t>سقوط خيار العيب ردّاً وأرشاً باشتراط سقوطهما وباشتراط سقوط خيار العيب</w:t>
      </w:r>
      <w:bookmarkEnd w:id="54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خيار العيب ردّاً وأرشاً باشتراط سقوطهما صريحاً، وباشتراط سقوط خيار العيب، فإنّ الظاهر منه إرادتهما؛ لعموم الأدلّة وظاهر 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اشترط سقوط الردّ فقط أو سقوط الأرش فقط،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في سقوط الخيار باشتراط السقوط بين العيب الحاصل وقت العقد، أو المتجدد بعده إذا كان مضموناً على البائع كالعيب قبل القبض أو زمن الخيار المختص بالمشتري، أو كان من عيوب السنة؛ لظاهر عموم أدلة الشروط والفتاوي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والتوقف في سقوط خيار العيب المتجدد باشتراط سقوطه؛ لعدم تحققه حين الشرط فيكون بمنزلة اشتراط سقوط أمرٍ غير ثابت فلا يكون لازماً، كما إذا اشترط في عقد البيع سقوط الدَّيْن المتجدّد بعقد آخر بعد البيع، ضعيف؛ للفرق بين المتجدد الذي لم يوجد سببه كالمثال المتقدم، وبين ما وُجد سببه ولكن تأخر أثره كالخيار اللاحق للعيب المتجدد، فإنّ سببه نفس العقد، وهو حاصل حين اشتراط السقوط فيسقط باشتراط سقوطه؛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مقام آخر، وهو أنّه لو لم ينص على إسقاط العيوب المتجددة فهل تدخل في اشتراط إسقاط خيار العيب مطلقاً، أو لا تدخل مطلقاً؛ لانصرافه إلى الحاصل وقت العقد، أو تدخل فيما إذا صرّح بالعموم دون الإطلاق، كما إذا اشترط سقوط خيار العيب على وجه الإطلاق ؟ وجوه، أوجهها الأخير؛ لأنّ الظاهر 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عين العيب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سقوط خيار عيب الجذام، أو أطلق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سقوط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العيب الحاصل وقت العقد دون المتجدد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ويقوم مقام اشتراط إسقاط خيار العيب التبرّي من العيوب حالة العقد متصلاً به أو بين الإيجاب والقبول؛ لأنّه بمنزلة الشرط في المعنى فتشمله أدلّة الشروط، وللإجماع المنقول </w:t>
      </w:r>
      <w:r>
        <w:rPr>
          <w:rStyle w:val="FootnoteAnchor"/>
          <w:rtl w:val="true"/>
        </w:rPr>
        <w:footnoteReference w:id="1270"/>
      </w:r>
      <w:r>
        <w:rPr>
          <w:rFonts w:ascii="Amiri" w:hAnsi="Amiri" w:eastAsia="Amiri" w:cs="Amiri"/>
          <w:color w:val="111111"/>
          <w:sz w:val="28"/>
          <w:sz w:val="28"/>
          <w:szCs w:val="28"/>
          <w:rtl w:val="true"/>
          <w:lang w:bidi="ar-SA"/>
        </w:rPr>
        <w:t xml:space="preserve">بل المحصّل على الظاهر، وللأخبار الخاصة الدالة على أن البيع مع التبري من العيوب مسقط لخيار العيب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ويحصل التبرّي من العيب بكلّ صيغةٍ تدلّ عليه، وحكمه حكم اشتراط الإسقاط، فإن تعلق بمعين اختص التبرّي به، وإن تعلّق بعام أفاد التبرّي من كلّ عيب، ويكون بمنزلة ذكرها مفصلة، وإن تعلّق بمطلق أفاد مفاد العموم، فيكون بمنزلة الماهية الواقعة بعد النفي، وإن تعلّق بواحدٍ لا بعينه بطل؛ لمكان الإجمال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العقد ببطلانه؛ لكونه بمنزلة الشرط الباطل يبطل ببطلانه العقد، أو لا يبطل؛ لعدم تعلقه بأحد العوضين أو بمال مكمّل لهما ؟ ولا يبعد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وأبطل بعض أصحابنا </w:t>
      </w:r>
      <w:r>
        <w:rPr>
          <w:rStyle w:val="FootnoteAnchor"/>
          <w:rtl w:val="true"/>
        </w:rPr>
        <w:footnoteReference w:id="1272"/>
      </w:r>
      <w:r>
        <w:rPr>
          <w:rFonts w:ascii="Amiri" w:hAnsi="Amiri" w:eastAsia="Amiri" w:cs="Amiri"/>
          <w:color w:val="111111"/>
          <w:sz w:val="28"/>
          <w:sz w:val="28"/>
          <w:szCs w:val="28"/>
          <w:rtl w:val="true"/>
          <w:lang w:bidi="ar-SA"/>
        </w:rPr>
        <w:t>التبرّي من العيوب مجملاً؛ لمكان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إن أراد المبهم الذي ذكرناه أو أراد التبرّي من واحدٍ معلوم عند البائع مجهول عند المشتري لعدم بيانه له نسلّم، وإن أراد المطلق فممنوع؛ لأنّ تنزيل المطلق على العموم أظهر وأقرب من تنزيله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تدخل العيوب المتجدّدة في التبرّي من العيوب مطلقاً، أو لا تدخل مطلقاً، أو يفرّق بين العام فتدخل فيه وبين غيره فلا تدخل ؟ وجوه أقربها الأخير، وتنزيل المطلق منزلة العام لا يلزم منه سريان أحكام العام إليه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نص على التبرّي من العيوب المتجدّدة فلا إشكال في سقوطها؛ لأنّ ثبوت سببها حالة العقد بمنزلة ثبوتها فلا تكون كضمان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سقوط الخيار بالتبرّي الإجماع المنقول </w:t>
      </w:r>
      <w:r>
        <w:rPr>
          <w:rStyle w:val="FootnoteAnchor"/>
          <w:rtl w:val="true"/>
        </w:rPr>
        <w:footnoteReference w:id="1273"/>
      </w:r>
      <w:r>
        <w:rPr>
          <w:rFonts w:ascii="Amiri" w:hAnsi="Amiri" w:eastAsia="Amiri" w:cs="Amiri"/>
          <w:color w:val="111111"/>
          <w:sz w:val="28"/>
          <w:sz w:val="28"/>
          <w:szCs w:val="28"/>
          <w:rtl w:val="true"/>
          <w:lang w:bidi="ar-SA"/>
        </w:rPr>
        <w:t xml:space="preserve">المعتضد بفتوى الفحول ودخوله تحت عموم أدلة الشروط، وذلك كافٍ في الاستدلال، وأما الأخبار </w:t>
      </w:r>
      <w:r>
        <w:rPr>
          <w:rStyle w:val="FootnoteAnchor"/>
          <w:rtl w:val="true"/>
        </w:rPr>
        <w:footnoteReference w:id="1274"/>
      </w:r>
      <w:r>
        <w:rPr>
          <w:rFonts w:ascii="Amiri" w:hAnsi="Amiri" w:eastAsia="Amiri" w:cs="Amiri"/>
          <w:color w:val="111111"/>
          <w:sz w:val="28"/>
          <w:sz w:val="28"/>
          <w:szCs w:val="28"/>
          <w:rtl w:val="true"/>
          <w:lang w:bidi="ar-SA"/>
        </w:rPr>
        <w:t>الخاصة فهي خاصة بالعيوب الحاصلة وقت العقد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 التبرّي من العيب العيب الظاهر والخفي في الحيوان وغيره؛ لعموم الدليل ويشمل التبرّي منه للردّ والأرش، إلا إذا قصره على أحدهما فإنّه يختص به؛ لشبهه باشتراط سقوط أحدهما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ويسقط خيار العيب ردّاً وأرشاً بالعلم به حالة العقد، ولا كلام فيه؛ لأنّه أسقط حقه بالإقدام عليه، وعليه فتوى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علمه فنسيه أو جهله وقت العقد، كان بحكم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بالعيب فاشترط الردّ به، فإن كان في مدةٍ معيّنة فلا كلام في جوازه، وإن لم يكن في مدة معينة ففي صحته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بقاء الأرش فإن كان معلوماً فلا إشكال في صحته، ومع عدم العلم فلا يخلو الحكم به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أيضاً بإسقاطه بعد العقد فيسقط ما تعلّق به الإسقاط من ردٍّ أو أرش، فإن أسقط خيار العيب على وجه الإطلاق سقط الردّ قطعاً، وفي سقوط الأرش أيضاً وجه قويّ؛ لأنّه من توابع الخيار فينتفي التابع بانتفاء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يفتقر الإسقاط إلى صيغةٍ خاصة، بل يكتفى بكلّ ما يدلّ عليه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 عيباً معيناً، سقط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انصرافه لإسقاط العيب الحاصل وقت العقد خاصةً دون المتجدّد مطلقاً، أو العيوب الحاصلة والمتجدّدة مطلقاً، أو الفرق بين العام فيشمل الجميع، وبين غيره فلا يشمله وجوه تقدَّم أن أوجهها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والرضى بالبيع بمنزلة الإسقاط، إلا أنّ في دلالته على سقوط الأرش كلاماً، وفي كفاية العلم به من دون لفظ أو فعل يدلّ عليه أيضاً بحث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الردّ فقط في البيع على مَنْ ينعتق عليه لقرابة أو شرط، وبالتصرف في المبيع على ما يجيء </w:t>
      </w:r>
      <w:r>
        <w:rPr>
          <w:rStyle w:val="FootnoteAnchor"/>
          <w:rtl w:val="true"/>
        </w:rPr>
        <w:footnoteReference w:id="1275"/>
      </w:r>
      <w:r>
        <w:rPr>
          <w:rFonts w:ascii="Amiri" w:hAnsi="Amiri" w:eastAsia="Amiri" w:cs="Amiri"/>
          <w:color w:val="111111"/>
          <w:sz w:val="28"/>
          <w:sz w:val="28"/>
          <w:szCs w:val="28"/>
          <w:rtl w:val="true"/>
          <w:lang w:bidi="ar-SA"/>
        </w:rPr>
        <w:t xml:space="preserve">إن شاء اللّه تعالى، وبحدوث عيب فيه أيضاً على ما يجيء </w:t>
      </w:r>
      <w:r>
        <w:rPr>
          <w:rStyle w:val="FootnoteAnchor"/>
          <w:rtl w:val="true"/>
        </w:rPr>
        <w:footnoteReference w:id="1276"/>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ويسقط الأرش فقط فيما إذا لم يكن العيب موجباً له كالخصى وعدم شعر الركبة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ويسقط أيضاً فيما إذا استلزم أخذه الربا، لزيادة أحد العوضين الربويين على الآخر</w:t>
      </w:r>
      <w:r>
        <w:rPr>
          <w:rFonts w:eastAsia="Amiri" w:cs="Amiri" w:ascii="Amiri" w:hAnsi="Amiri"/>
          <w:color w:val="111111"/>
          <w:sz w:val="28"/>
          <w:szCs w:val="28"/>
          <w:rtl w:val="true"/>
          <w:lang w:bidi="ar-SA"/>
        </w:rPr>
        <w:t xml:space="preserve">. </w:t>
      </w:r>
      <w:bookmarkStart w:id="545" w:name="pg19000_245512"/>
    </w:p>
    <w:p>
      <w:pPr>
        <w:pStyle w:val="Heading5"/>
        <w:numPr>
          <w:ilvl w:val="4"/>
          <w:numId w:val="1"/>
        </w:numPr>
        <w:rPr/>
      </w:pPr>
      <w:bookmarkStart w:id="546" w:name="__RefHeading___Toc13372516_1280447820"/>
      <w:bookmarkStart w:id="547" w:name="_Toc204"/>
      <w:bookmarkEnd w:id="545"/>
      <w:bookmarkEnd w:id="546"/>
      <w:r>
        <w:rPr>
          <w:rtl w:val="true"/>
        </w:rPr>
        <w:t>رابعها</w:t>
      </w:r>
      <w:r>
        <w:rPr>
          <w:rtl w:val="true"/>
        </w:rPr>
        <w:t xml:space="preserve">: </w:t>
      </w:r>
      <w:r>
        <w:rPr>
          <w:rtl w:val="true"/>
        </w:rPr>
        <w:t>حكم ما إذا أحدث من انتقل إليه أحد العوضين به حدثاً أثر فيه تغييراً</w:t>
      </w:r>
      <w:bookmarkEnd w:id="54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من انتقل إليه أحد العوضين به حدثاً بحيث أثر فيه تغييراً بزيادة أو نقص في عين أو صفة، أو تغيير هيئة من قطع ثوب أو خياطته أو نعل دابة، أو خلطه بما لا يتميّز، أو نحو ذلك مما لا يصدق عليه أنّ الشيء بقي قائماً بعينه، فلا كلام في سقوط الردّ به؛ للأخبار </w:t>
      </w:r>
      <w:r>
        <w:rPr>
          <w:rStyle w:val="FootnoteAnchor"/>
          <w:rtl w:val="true"/>
        </w:rPr>
        <w:footnoteReference w:id="1278"/>
      </w:r>
      <w:r>
        <w:rPr>
          <w:rFonts w:ascii="Amiri" w:hAnsi="Amiri" w:eastAsia="Amiri" w:cs="Amiri"/>
          <w:color w:val="111111"/>
          <w:sz w:val="28"/>
          <w:sz w:val="28"/>
          <w:szCs w:val="28"/>
          <w:rtl w:val="true"/>
          <w:lang w:bidi="ar-SA"/>
        </w:rPr>
        <w:t>وفتوى الأصحاب، وللزوم الضرر بالرد ولا يجبر الضرر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الثوب قائماً بعينه ردّه على صاحبه وأخذ الثمن، وإن كان الثوب قد قطع أو خيط أو صبغ رجع بنقصان العيب</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فأحدث فيه بعد ما قبضه شيئاً وعلم بذلك العيب وذلك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يمضي عليه البيع ويردّ عليه بقدر ما ينقص</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تصريح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النصّ والفتوى شمول الحدث لما صدر قبل العلم بالعيب كما تشعر به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صدر بعده، ولما كان الحدث مانعاً من الرد كالاستيلاد، ولما لم يكن مانعاً، ولما كان صدوره بالاختيار، ولما كان بغيره من سهو واضطرار أو غفلةٍ أو نوم، ولما قصد به الحفظ أو الاستخبار، ولما لم يقصد به ذلك، ولما توقف الردّ عليه، ولما لم يتوقف، مع احتمال أنّ الصادر عن غير شعورٍ لا يُسقط حكم الرد؛ لانصراف إطلاق الحدث لما كان عن اختيار، ولكن الأقوى السقوط ولا أقل من الشك في بقاء جواز الرد، فأصالة اللزوم تحكم على استصحاب الخيار في وجه قوي، كما تقدَّم غير مرّةٍ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بإحداث الحدث التصرف في أحد العوضين بوطء أو لبس أو استخدام أو ركوب أو غيرها مما يُعد تصرفاً عرفاً، ويلحق به نقله بعقد لازم أو عتق أو جائز أو نقل المنفعة، كلّ ذلك للإجماعات المنقولة </w:t>
      </w:r>
      <w:r>
        <w:rPr>
          <w:rStyle w:val="FootnoteAnchor"/>
          <w:rtl w:val="true"/>
        </w:rPr>
        <w:footnoteReference w:id="1281"/>
      </w:r>
      <w:r>
        <w:rPr>
          <w:rFonts w:ascii="Amiri" w:hAnsi="Amiri" w:eastAsia="Amiri" w:cs="Amiri"/>
          <w:color w:val="111111"/>
          <w:sz w:val="28"/>
          <w:sz w:val="28"/>
          <w:szCs w:val="28"/>
          <w:rtl w:val="true"/>
          <w:lang w:bidi="ar-SA"/>
        </w:rPr>
        <w:t xml:space="preserve">، والشهرة المحصلة، والأخبار الواردة بوطء الجارية من أنّه مانع للردّ ومثبت للأرش </w:t>
      </w:r>
      <w:r>
        <w:rPr>
          <w:rStyle w:val="FootnoteAnchor"/>
          <w:rtl w:val="true"/>
        </w:rPr>
        <w:footnoteReference w:id="1282"/>
      </w:r>
      <w:r>
        <w:rPr>
          <w:rFonts w:ascii="Amiri" w:hAnsi="Amiri" w:eastAsia="Amiri" w:cs="Amiri"/>
          <w:color w:val="111111"/>
          <w:sz w:val="28"/>
          <w:sz w:val="28"/>
          <w:szCs w:val="28"/>
          <w:rtl w:val="true"/>
          <w:lang w:bidi="ar-SA"/>
        </w:rPr>
        <w:t>، ولا فارق بين الوطء وغيره في المنع ممن يُعتد به، ولأنّ التصرف بعد العلم بالعيب دليل على الرضى وإسقاط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التصرف الاختياري وغيره، كصدوره بجنون أو سهو أو نسيان أو شبه ذلك، وبين المانع من الرد كالاستيلاد وغيره، وبين ما قصد الحفظ والاستخبار وغيره، وبين ما كان قبل القبض وما كان بعده وبين ما توقف عليه الردّ وما لم يتوقف، وبين ما كان قبل العلم بالعيب وما كان بعده وبين ما كان قبل العلم بالخيار وما كان بعده، وإن كان التصرف بعد العلم بالعيب والخيار أقوى في سقوط الرد؛ لدلالته على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الردّ بما لم يُعدّ تصرّفاً عرفاً، سواء عُدّ انتفاعاً له، كالاستظلال بالحائط، أو المسير على ضوء النار، أو التلذذ بسماع الصوت، أو النظر لغير الجارية من الحيوانات أو غيرها، أو التلذذ بالرقص واللعب إذا لم يكن هو الحامل عليهما، أو شم الطيب إذا لم يكن بفعله، أو نحو ذلك، أو لم يُعدّ انتفاعاً له، كأكل الجارية من بيته، والنظر إلى ما يحلّ النظر إليه منها من غير لذة، وسقي الدابة وعلفها على النحو المعهود، وأخذ المعيب إلى بيته وردّه إلى صاحبه بعد ظهور العيب، وهذه الأخيرة وإن قلنا بصدق التصرف عليها لا تمنع أيضاً من الردّ قطعاً للسيرة، والعسر والحرج، وظاهر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الثوب عن الجارية أو الرحل عن الدابة أو الاستخدام بالجارية أو تمشية الدابة إذا كان للاختبار لا يسقط الردّ؛ لأنّ الاطلاع على العيب لا يحصل غالباً إلا بفعل هذه بهما، فلو سقط بهذه الخيارُ انتفت ثمرة الردّ غالباً في خيار العيب ولزم الضرر؛ بل قد يقال ذلك في جميع ما كان للاختبار وكان غير مضر بالمبيع ولا مغيّر للهيئة أو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وقع الشكّ في كونه تصرفاً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كإلقاء القرادة </w:t>
      </w:r>
      <w:r>
        <w:rPr>
          <w:rStyle w:val="FootnoteAnchor"/>
          <w:rtl w:val="true"/>
        </w:rPr>
        <w:footnoteReference w:id="1283"/>
      </w:r>
      <w:r>
        <w:rPr>
          <w:rFonts w:ascii="Amiri" w:hAnsi="Amiri" w:eastAsia="Amiri" w:cs="Amiri"/>
          <w:color w:val="111111"/>
          <w:sz w:val="28"/>
          <w:sz w:val="28"/>
          <w:szCs w:val="28"/>
          <w:rtl w:val="true"/>
          <w:lang w:bidi="ar-SA"/>
        </w:rPr>
        <w:t xml:space="preserve">عن الدابة وتقبيلها أو تقبيل الغلام ولمسهما، أو إزالة بعض القذارات عنهما 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يقضي ببقاء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الجائزة، فإن كانت ناقلةً للملك فالظاهر أنّها كاللازمة، وإن لم تكن ناقلةً فلا تُعدّ في العرف تصرفاً، كالسكنى والعارية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المنتقل إلى الملك لا يبطل حكم التصرف بعد إبطاله الرد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هو تصرف كلّ شيءٍ بحسبه المُعدّ له، فركوب العبد ليس بتصرف، </w:t>
      </w:r>
    </w:p>
    <w:p>
      <w:pPr>
        <w:pStyle w:val="BookText"/>
        <w:rPr/>
      </w:pPr>
      <w:r>
        <w:rPr>
          <w:rFonts w:ascii="Amiri" w:hAnsi="Amiri" w:eastAsia="Amiri" w:cs="Amiri"/>
          <w:color w:val="111111"/>
          <w:sz w:val="28"/>
          <w:sz w:val="28"/>
          <w:szCs w:val="28"/>
          <w:rtl w:val="true"/>
          <w:lang w:bidi="ar-SA"/>
        </w:rPr>
        <w:t>وتقبيل الدابة ليس بتصرّفٍ، وركوب الدابة تصرّف فيها، وكذا تقبيل الجارية، إلا أنّه محتاج إلى تأمل ونظر في الفرق بين موارد التصرفات، ولا يخلو من بُعْد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قبل العلم لا يسقط به الردّ </w:t>
      </w:r>
      <w:r>
        <w:rPr>
          <w:rStyle w:val="FootnoteAnchor"/>
          <w:rtl w:val="true"/>
        </w:rPr>
        <w:footnoteReference w:id="1284"/>
      </w:r>
      <w:r>
        <w:rPr>
          <w:rFonts w:ascii="Amiri" w:hAnsi="Amiri" w:eastAsia="Amiri" w:cs="Amiri"/>
          <w:color w:val="111111"/>
          <w:sz w:val="28"/>
          <w:sz w:val="28"/>
          <w:szCs w:val="28"/>
          <w:rtl w:val="true"/>
          <w:lang w:bidi="ar-SA"/>
        </w:rPr>
        <w:t xml:space="preserve">، وكأنه استند إلى أن تحقق الخيار إنما يكون بعد العلم بالعيب لا قبله، فالتصرّف ليس في زمن الخيار، وإلى أنّه مع عدم العلم بالعيب لا يدلّ على الرضى والإسقاط دائر،مداره، وإلى رواية زرارة المتقدّمة </w:t>
      </w:r>
      <w:r>
        <w:rPr>
          <w:rStyle w:val="FootnoteAnchor"/>
          <w:rtl w:val="true"/>
        </w:rPr>
        <w:footnoteReference w:id="1285"/>
      </w:r>
      <w:r>
        <w:rPr>
          <w:rFonts w:ascii="Amiri" w:hAnsi="Amiri" w:eastAsia="Amiri" w:cs="Amiri"/>
          <w:color w:val="111111"/>
          <w:sz w:val="28"/>
          <w:sz w:val="28"/>
          <w:szCs w:val="28"/>
          <w:rtl w:val="true"/>
          <w:lang w:bidi="ar-SA"/>
        </w:rPr>
        <w:t>، حيث جعل العلم قبل الحدث شرطاً لمضيّ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 لمنع عدم تحقق الخيار إلا بعد العلم بالعيب، بل هو متحقق حين العقد ولو مع الجهل، ومنع كون التصرّف لا يكون مسقطاً إلا في زمن الخيار أيضاً، ومنع دوران إسقاط التصرّف مدار الرضى ومنع دلالة رواية زرارة على ما ذكره إن لم تكن على خلاف مدّعاه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يستثنى من إسقاط التصرّف للردّ ما سيجيء </w:t>
      </w:r>
      <w:r>
        <w:rPr>
          <w:rStyle w:val="FootnoteAnchor"/>
          <w:rtl w:val="true"/>
        </w:rPr>
        <w:footnoteReference w:id="1286"/>
      </w:r>
      <w:r>
        <w:rPr>
          <w:rFonts w:ascii="Amiri" w:hAnsi="Amiri" w:eastAsia="Amiri" w:cs="Amiri"/>
          <w:color w:val="111111"/>
          <w:sz w:val="28"/>
          <w:sz w:val="28"/>
          <w:szCs w:val="28"/>
          <w:rtl w:val="true"/>
          <w:lang w:bidi="ar-SA"/>
        </w:rPr>
        <w:t>إن شاء اللّه تعالى من الردّ بعيوب السنة، والرد للجارية التي لا تحيض إلى ستة أشهر، والرد للشاة المصراة، والرد لاشتراط أن التصرّف لا يسقط الردّ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يسقط الأرش بسقوط الردّ بالتصرف؛ للأصل، ولحديث نفي الضرار </w:t>
      </w:r>
      <w:r>
        <w:rPr>
          <w:rStyle w:val="FootnoteAnchor"/>
          <w:rtl w:val="true"/>
        </w:rPr>
        <w:footnoteReference w:id="1287"/>
      </w:r>
      <w:r>
        <w:rPr>
          <w:rFonts w:ascii="Amiri" w:hAnsi="Amiri" w:eastAsia="Amiri" w:cs="Amiri"/>
          <w:color w:val="111111"/>
          <w:sz w:val="28"/>
          <w:sz w:val="28"/>
          <w:szCs w:val="28"/>
          <w:rtl w:val="true"/>
          <w:lang w:bidi="ar-SA"/>
        </w:rPr>
        <w:t>، سواء كان التصرف بعد العلم بالعيب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لابن حمزة حيث أسقط الأرش مع التصرّف بعد العلم بالعيب </w:t>
      </w:r>
      <w:r>
        <w:rPr>
          <w:rStyle w:val="FootnoteAnchor"/>
          <w:rtl w:val="true"/>
        </w:rPr>
        <w:footnoteReference w:id="1288"/>
      </w:r>
      <w:r>
        <w:rPr>
          <w:rFonts w:ascii="IRNazanin" w:hAnsi="IRNazanin" w:eastAsia="IRNazanin"/>
          <w:color w:val="111111"/>
          <w:sz w:val="28"/>
          <w:sz w:val="28"/>
          <w:szCs w:val="28"/>
          <w:rtl w:val="true"/>
          <w:lang w:bidi="fa-IR"/>
        </w:rPr>
        <w:t>؛ لدلالته على الرضى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الرضى بالمبيع أعم من إسقاط الأرش، غايته أنّه يدلّ على قبوله له، وهو ظاهر في إسقاط الردّدون الأرش</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فيما لو كان المتصرّف هو من انتقل إليه، أما لو كان غيره، فإن كان بإذنه فالظاهر أن حكمه حكمه، وإن لم يكن بإذنه، فإن أحدث فيه حدثاً فالظاهر أنّه مانع من الرد؛ لمكان </w:t>
      </w:r>
      <w:bookmarkStart w:id="548" w:name="pg19000_245515"/>
    </w:p>
    <w:p>
      <w:pPr>
        <w:pStyle w:val="BookText"/>
        <w:rPr/>
      </w:pPr>
      <w:bookmarkEnd w:id="548"/>
      <w:r>
        <w:rPr>
          <w:rFonts w:ascii="Amiri" w:hAnsi="Amiri" w:eastAsia="Amiri" w:cs="Amiri"/>
          <w:color w:val="111111"/>
          <w:sz w:val="28"/>
          <w:sz w:val="28"/>
          <w:szCs w:val="28"/>
          <w:rtl w:val="true"/>
          <w:lang w:bidi="ar-SA"/>
        </w:rPr>
        <w:t>التغيير المؤدي إلى الضرر برده مغيّراً عن حالته، وإن لم يحدث حدثاً فالظاهر أنّه لا عبرة به؛ اقتصاراً فيما خالف استصحاب الخيار على مورد اليقين في النصّ والفتوى من تصرّف من انتقل إليه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3372518_1280447820"/>
      <w:bookmarkStart w:id="550" w:name="_Toc205"/>
      <w:bookmarkEnd w:id="549"/>
      <w:r>
        <w:rPr>
          <w:rtl w:val="true"/>
        </w:rPr>
        <w:t>خامسها</w:t>
      </w:r>
      <w:r>
        <w:rPr>
          <w:rtl w:val="true"/>
        </w:rPr>
        <w:t xml:space="preserve">: </w:t>
      </w:r>
      <w:r>
        <w:rPr>
          <w:rtl w:val="true"/>
        </w:rPr>
        <w:t>سقوط الردّ بحدوث العيب فيما انتقل لأحد المتعاقدين إذا كان ذلك العيب مضموناً على المنتقل إليه</w:t>
      </w:r>
      <w:bookmarkEnd w:id="550"/>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يسقط به الردّ خاصّةً حدوث عيب فيما انتقل لأحد المتعاقدين، وكان ذلك العيب مضموناً على المنتقل إليه، كالعيب الذي أحدثه بنفسه في حيوان أو غيره، قبل الثلاثة أو بعدها قبل القبض أو بعده؛ فإنّه مضمون عليه لا على الناقل، وكذا العيب الحادث من غيره بآفة سماوية أو غيرها، إذا كان بعد القبض في غير الحيوان مطلقاً، أو في الحيوان بعد الثلاثة أو في الثلاثة مع إسقاط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العيب الحادث من البائع نفسه فإنّه لا يسقط به الردّ وإن كان قبل القبض؛ لأنّه مضمون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ذلك يسقط الردّ؛ للإجماعات المنقولة </w:t>
      </w:r>
      <w:r>
        <w:rPr>
          <w:rStyle w:val="FootnoteAnchor"/>
          <w:rtl w:val="true"/>
        </w:rPr>
        <w:footnoteReference w:id="1289"/>
      </w:r>
      <w:r>
        <w:rPr>
          <w:rFonts w:ascii="Amiri" w:hAnsi="Amiri" w:eastAsia="Amiri" w:cs="Amiri"/>
          <w:color w:val="111111"/>
          <w:sz w:val="28"/>
          <w:sz w:val="28"/>
          <w:szCs w:val="28"/>
          <w:rtl w:val="true"/>
          <w:lang w:bidi="ar-SA"/>
        </w:rPr>
        <w:t xml:space="preserve">، والشهرة المحصلة، والرواية المتقدّمة </w:t>
      </w:r>
      <w:r>
        <w:rPr>
          <w:rStyle w:val="FootnoteAnchor"/>
          <w:rtl w:val="true"/>
        </w:rPr>
        <w:footnoteReference w:id="1290"/>
      </w:r>
      <w:r>
        <w:rPr>
          <w:rFonts w:ascii="Amiri" w:hAnsi="Amiri" w:eastAsia="Amiri" w:cs="Amiri"/>
          <w:color w:val="111111"/>
          <w:sz w:val="28"/>
          <w:sz w:val="28"/>
          <w:szCs w:val="28"/>
          <w:rtl w:val="true"/>
          <w:lang w:bidi="ar-SA"/>
        </w:rPr>
        <w:t>الدالة على دوران الردّ مدار كون الشيء قائماً بعينه، وللزوم الضرر على البائع مع ردّه بلا أرش، وعلى المشتري لو ردّه مع الأرش؛ لأنّها غرامة لم يقابلها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البائع برده مجاناً أو مع الأرش للعيب الحادث عند المشتري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 البائع ردّه من دون تصريح بالمجانية أو الأرش، فهل له الأرش على المشتري؛ لأنّه مضمون عليه فهي غرامة شرعيّة لا تزول إلا بالإسقاط أو الإبراء، أو ليس له؛ لأنّ الظاهر من الرد من دون تصريح إسقاطه ؟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لا يستحق الأرش ابتداء؛ لأنّها غرامة على المشتري لا يقابلها نفع، وليس عليها دليل صالح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العيب مضموناً على الناقل، كالحادث من غير جهة المنتقل إليه قبل القبض، أو الحادث في زمن الخيار المختص بالمنتقل إليه، فإنّه لا يسقط حكم جواز الرد؛ للاستصحاب، ولأن ضمانه عليه فلا يتحقق به إسقاط الردّ عليه، مع احتمال السقوط به؛ لمفهوم الرواية المتقدّمة </w:t>
      </w:r>
      <w:r>
        <w:rPr>
          <w:rStyle w:val="FootnoteAnchor"/>
          <w:rtl w:val="true"/>
        </w:rPr>
        <w:footnoteReference w:id="1291"/>
      </w:r>
      <w:r>
        <w:rPr>
          <w:rFonts w:ascii="Amiri" w:hAnsi="Amiri" w:eastAsia="Amiri" w:cs="Amiri"/>
          <w:color w:val="111111"/>
          <w:sz w:val="28"/>
          <w:sz w:val="28"/>
          <w:szCs w:val="28"/>
          <w:rtl w:val="true"/>
          <w:lang w:bidi="ar-SA"/>
        </w:rPr>
        <w:t>، وللشكّ في الاستصحاب مع معارضة دليل اللزوم</w:t>
      </w:r>
      <w:r>
        <w:rPr>
          <w:rFonts w:eastAsia="Amiri" w:cs="Amiri" w:ascii="Amiri" w:hAnsi="Amiri"/>
          <w:color w:val="111111"/>
          <w:sz w:val="28"/>
          <w:szCs w:val="28"/>
          <w:rtl w:val="true"/>
          <w:lang w:bidi="ar-SA"/>
        </w:rPr>
        <w:t xml:space="preserve">. </w:t>
      </w:r>
      <w:bookmarkStart w:id="551" w:name="pg19000_245516"/>
    </w:p>
    <w:p>
      <w:pPr>
        <w:pStyle w:val="BookText"/>
        <w:rPr/>
      </w:pPr>
      <w:bookmarkEnd w:id="551"/>
      <w:r>
        <w:rPr>
          <w:rFonts w:ascii="Amiri" w:hAnsi="Amiri" w:eastAsia="Amiri" w:cs="Amiri"/>
          <w:color w:val="111111"/>
          <w:sz w:val="28"/>
          <w:sz w:val="28"/>
          <w:szCs w:val="28"/>
          <w:rtl w:val="true"/>
          <w:lang w:bidi="ar-SA"/>
        </w:rPr>
        <w:t xml:space="preserve">نعم، حدوثه مما يوجب خياراً جديداً فهو مسقط للخيار الأوّل ومثبت لخيار جديد؛ لمكان كونه مضموناً على المنتقل إليه، فله الردّ به لا بالأوّل وله الإمضاء فيأخذ أرش العيبين للأول والثاني؛ لكونهما مضمونين عليه، ولو لم يمكن أخذ الأرش لعدم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حصوله أو للزوم الربا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الأرش، ولم يسقط الردّ بالثاني، وسقط الرد في الأوّل على ما قلناه، وعلى المشهور لا يسقط الردّ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الردّدون الأرش فيما لو تراخى من انتقل إليه المعيب بالرد على القول بأن خيار العيب فوري</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3372520_1280447820"/>
      <w:bookmarkStart w:id="553" w:name="_Toc206"/>
      <w:bookmarkEnd w:id="552"/>
      <w:r>
        <w:rPr>
          <w:rtl w:val="true"/>
        </w:rPr>
        <w:t>سادسها</w:t>
      </w:r>
      <w:r>
        <w:rPr>
          <w:rtl w:val="true"/>
        </w:rPr>
        <w:t xml:space="preserve">: </w:t>
      </w:r>
      <w:r>
        <w:rPr>
          <w:rtl w:val="true"/>
        </w:rPr>
        <w:t>عدم حرمة نقل المعيب مع علم الناقل بعيبه وعدم علم المنتقل إليه به</w:t>
      </w:r>
      <w:bookmarkEnd w:id="553"/>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نقل المعيب مع علم الناقل بعيبه وعدم علم المنتقل إليه به، ظاهراً كان العيب أم خفيّاً، خفي على المنتقل إليه بنفسه أو بعارض من المنتقل إليه لعمى وشبهه، كلّ ذلك لعموم الأدلّة، وللأصل السالم عمّا يصلح للمعارضة من دليل خاص أو عام؛ لعدم دخوله تحت محرَّم من المحرمات الذاتية والعارضية، مضافاً للإجماع المنقول على الجواز في العيب الظاهر </w:t>
      </w:r>
      <w:r>
        <w:rPr>
          <w:rStyle w:val="FootnoteAnchor"/>
          <w:rtl w:val="true"/>
        </w:rPr>
        <w:footnoteReference w:id="1292"/>
      </w:r>
      <w:r>
        <w:rPr>
          <w:rFonts w:ascii="Amiri" w:hAnsi="Amiri" w:eastAsia="Amiri" w:cs="Amiri"/>
          <w:color w:val="111111"/>
          <w:sz w:val="28"/>
          <w:sz w:val="28"/>
          <w:szCs w:val="28"/>
          <w:rtl w:val="true"/>
          <w:lang w:bidi="ar-SA"/>
        </w:rPr>
        <w:t>ولو خفى على المنتقل إليه لعمى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أخفى العيب أو أخبر بعدمه، أو دلّسه بحيث أظهر الحسن وأبطن القبيح، حرم ذلك قطعاً؛ لتحريم الغش والتدليس وحرم أيضاً نفس العقد؛ لاتحاده مع تلك المحرمات في الوجود الخارجي في وجه قويّ، ولا يبطل العقد على كلّ حالٍ؛ لأن النهي لأمر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الإعلام بنفس العيب إذا كان خفيّاً؛ لاحتمال أنّه غش للمنتقل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الإعلام بالعيب مطلقاً، فإن لم يعلم استحب له أن يتبرأ من العيب مفصلاً، فإن لم يفصل اكتفى بالإجمال وهو آخر المراتب</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3372522_1280447820"/>
      <w:bookmarkStart w:id="555" w:name="_Toc207"/>
      <w:bookmarkEnd w:id="554"/>
      <w:r>
        <w:rPr>
          <w:rtl w:val="true"/>
        </w:rPr>
        <w:t>سابعها</w:t>
      </w:r>
      <w:r>
        <w:rPr>
          <w:rtl w:val="true"/>
        </w:rPr>
        <w:t xml:space="preserve">: </w:t>
      </w:r>
      <w:r>
        <w:rPr>
          <w:rtl w:val="true"/>
        </w:rPr>
        <w:t>جواز نقل شيئين متغايرين بإيجاب واحد إن أمكن جمعهما به مع اتحاد ثمنهما</w:t>
      </w:r>
      <w:bookmarkEnd w:id="55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شيئين متمايزين بإيجاب واحد إن أمكن جمعهما به، أو بإيجابات متعدّدة مع اتحاد ثمنهما واتحاد القبول، متوافقةً كانت المتعددة كبيع وبيع، أو مختلفةً كبيع وصلح، أو بيع وإجارة، أو أحدهما ونكاح دائم أو منقطع، أو غير ذلك، ويوزّع الثمن حينئذٍ </w:t>
      </w:r>
      <w:bookmarkStart w:id="556" w:name="pg19000_245517"/>
    </w:p>
    <w:p>
      <w:pPr>
        <w:pStyle w:val="BookText"/>
        <w:rPr/>
      </w:pPr>
      <w:bookmarkEnd w:id="556"/>
      <w:r>
        <w:rPr>
          <w:rFonts w:ascii="Amiri" w:hAnsi="Amiri" w:eastAsia="Amiri" w:cs="Amiri"/>
          <w:color w:val="111111"/>
          <w:sz w:val="28"/>
          <w:sz w:val="28"/>
          <w:szCs w:val="28"/>
          <w:rtl w:val="true"/>
          <w:lang w:bidi="ar-SA"/>
        </w:rPr>
        <w:t>على نسبتهما، فيقومان منفردين أو مجتمعين، ويُنظر إلى نسبة قيمة كلّ منهما إلى الآخر فيؤخذ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في ذلك الحال بين كون كلّ منهما عيناً أو منفعة، أو أحدهما عيناً والآخر منفعة، أو أحدهما منهما والآخر حقاً أو بضعاً، ويقسط الثمن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قيمة المبيع وأُجرة المثل ومهر المثل أو مهر السنة في مقام ترد إليه المفوضة إن جعلنا مثل ذلك تفويضاً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ما ذكرنا تقضي به عمومات الأدلّة جنساً وأنواعاً؛ لدخول العقد المركب من بيع وإجارةٍ ونكاح في البيع والإجارة والنكاح، فتشمله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وخيال أن المركب من الداخل والخارج خارج فلا يكون مشمولاً لأدلّتها، منعه ظاهر عرفاً وشرعاً، كمنع من استند في المنع إلى الشكّ في حصول النقل بمثل هذا الجامع، أو إلى لزوم الغرر والجهالة في العوض، وإلى الاحتياط في النكاح عصمةً للفروج، وإلى ما ورد من النهي عن بيعين في بيع، وعن سلفٍ وبيع، وعن شرطين في بيع </w:t>
      </w:r>
      <w:r>
        <w:rPr>
          <w:rStyle w:val="FootnoteAnchor"/>
          <w:rtl w:val="true"/>
        </w:rPr>
        <w:footnoteReference w:id="1293"/>
      </w:r>
      <w:r>
        <w:rPr>
          <w:rFonts w:ascii="Amiri" w:hAnsi="Amiri" w:eastAsia="Amiri" w:cs="Amiri"/>
          <w:color w:val="111111"/>
          <w:sz w:val="28"/>
          <w:sz w:val="28"/>
          <w:szCs w:val="28"/>
          <w:rtl w:val="true"/>
          <w:lang w:bidi="ar-SA"/>
        </w:rPr>
        <w:t>لضعف الجميع عن مقاومة ما ذكرناه؛ لمنع حصول الشكّ في النقل بعد قضاء العمومات به، ومنع الغرر والجهالة حال العقد؛ لمقابلة المجموع بالمجموع، ومنع لزوم الاحتياط فيما جاء به الدليل وحكم به أهل التأويل والتنزيل، ومنع شمول مدلول الأخبار لما أفتى بصحته العلماء الأبرار وجرت عليه سيرة الأخيار وشملته عمومات الكتاب والأخبار، بل موردها ما حكمنا بفساده من الشرائط الفاسدة والبيوع الكاسدة التي يراد منها النقل والانتقال من دون صيغة أو مقال، بل بمجرد اشتراط كونه مبيعاً أو كونه سلفاً في الحال</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3372524_1280447820"/>
      <w:bookmarkStart w:id="558" w:name="_Toc208"/>
      <w:bookmarkEnd w:id="557"/>
      <w:r>
        <w:rPr>
          <w:rtl w:val="true"/>
        </w:rPr>
        <w:t>ثامنها</w:t>
      </w:r>
      <w:r>
        <w:rPr>
          <w:rtl w:val="true"/>
        </w:rPr>
        <w:t xml:space="preserve">: </w:t>
      </w:r>
      <w:r>
        <w:rPr>
          <w:rtl w:val="true"/>
        </w:rPr>
        <w:t>جواز نقل متمایزين مع اتحاد الناقل وتعدّده والمنقول إليه كذلك</w:t>
      </w:r>
      <w:bookmarkEnd w:id="558"/>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ذكرنا من جواز نقل شيئين متعددين متفقين أو مختلفين بإيجاب أو إيجابين قضاءً لعمومات الأدلّة جنساً ونوعاً، جاز أيضاً ذلك لذلك مع اتحاد الناقل وتعدّده، ومع اتحاد المنقول إليه وتعدّده، ومع اتحاد الثمن وتعدّده، ومع اتحاد القبول وتعدّده، وتنتهي الصُّور مع ضرب بعض ببعض إلى صور عديدة كلّها جائزة، إلا أن يتطرقها مانع آخر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تلك الصُّور فإن كان المال المنتقل صحيحاً فلا كلام، وإن خرج معيباً كلّه </w:t>
      </w:r>
    </w:p>
    <w:p>
      <w:pPr>
        <w:pStyle w:val="BookText"/>
        <w:rPr/>
      </w:pPr>
      <w:r>
        <w:rPr>
          <w:rFonts w:ascii="Amiri" w:hAnsi="Amiri" w:eastAsia="Amiri" w:cs="Amiri"/>
          <w:color w:val="111111"/>
          <w:sz w:val="28"/>
          <w:sz w:val="28"/>
          <w:szCs w:val="28"/>
          <w:rtl w:val="true"/>
          <w:lang w:bidi="ar-SA"/>
        </w:rPr>
        <w:t xml:space="preserve">أو بعضه، فإن كان الناقل والمنقول إليه والثمن متحداً، لم يجز توزيع الرد على الناقل كأن يرد المنقول إليه بعضاً ويُبقى بعضاً مجاناً أو بالأرش؛ للزوم الضرر على الناقل، وللشك في تحقق الخيار في مثل هذه الصورة، وللإجماع المنقول </w:t>
      </w:r>
      <w:r>
        <w:rPr>
          <w:rStyle w:val="FootnoteAnchor"/>
          <w:rtl w:val="true"/>
        </w:rPr>
        <w:footnoteReference w:id="1294"/>
      </w:r>
      <w:r>
        <w:rPr>
          <w:rFonts w:ascii="Amiri" w:hAnsi="Amiri" w:eastAsia="Amiri" w:cs="Amiri"/>
          <w:color w:val="111111"/>
          <w:sz w:val="28"/>
          <w:sz w:val="28"/>
          <w:szCs w:val="28"/>
          <w:rtl w:val="true"/>
          <w:lang w:bidi="ar-SA"/>
        </w:rPr>
        <w:t xml:space="preserve">، والأخبار المرسلة </w:t>
      </w:r>
      <w:r>
        <w:rPr>
          <w:rStyle w:val="FootnoteAnchor"/>
          <w:rtl w:val="true"/>
        </w:rPr>
        <w:footnoteReference w:id="1295"/>
      </w:r>
      <w:r>
        <w:rPr>
          <w:rFonts w:ascii="Amiri" w:hAnsi="Amiri" w:eastAsia="Amiri" w:cs="Amiri"/>
          <w:color w:val="111111"/>
          <w:sz w:val="28"/>
          <w:sz w:val="28"/>
          <w:szCs w:val="28"/>
          <w:rtl w:val="true"/>
          <w:lang w:bidi="ar-SA"/>
        </w:rPr>
        <w:t xml:space="preserve">، بل حكمها حكم ما لو اتحد المنقول في لزوم ردّ الجميع أو أخذ الجميع مع الأرش أو بدونه، سواء كان المتعدّد عينين أو منفعتين أو حقين أو ملفقين على الأظهر مع احتمال جواز التفريق مع الاختلاف بالعين والمنفعة سيّما فيما تعدّد إيجابهما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كذا وآجرتك كذا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فلو تصرّف في أحد المنقولين إليه بطل الردّ في الجميع، سواء كان المتصرَّف فيه هو المعيب أو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تعدد المنقول إليه مع اتحاد المبيع أو تعدّده ولكن بحيث يكون كمبيع واحد يشتركان فيه، ومع اتحاد الثمن واتحاد الناقل، فليس لأحد المنقول إليهما الرد وللآخر الإمضاء مع الأرش أو بدونه على الأظهر أيضاً؛ للزوم الضرر بالتبعيض على البائع وبحصول الشركة بينه وبين مَنْ لم يفسخ، ولمخالفة الخيار للقواعد، فيقتصر فيه على مورد اليقين، مع احتمال أن لهما التفريق مطلقاً؛ لتعدد الصفقة بتعدد المشتري واحتمل أن لهما ذلك مع علم البائع بتعددهما؛ لإقدامه على ضرر التشقيص والتبعيض عليه عند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ورثا خيار عيب، فلا إشكال في لزوم التوافق وعدم جواز التفريق؛ لاتحاد المشتري ابتداء، وتعدّده بالعارض لا يجدي ثمرةً في رفع الضرر عن البائع، واحتمال تنزيل العارض منزلة الأصلي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متعدداً وليس بمنزلة المتحد وكان الثمن واحداً، كما إذا باع كلّ من المتعدّد بعينه على واحدٍ بعينه، فإنّ الظاهر ها هنا جواز التفريق؛ لكونهما بمنزلة الصفقة المتعدّدة وإن اتحد فيها الثمن، فيجوز فسخ أحدهما وإمضاء الآخر إذا كان العيب في مجموع العينين، ويجوز فسخ من انتقل إليه المعيب وإمضاء الآخر إذا اختص بأحدهما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فسخ من انتقل إليه غير المعيب؛ لمكان العيب الحاصل في العين الأُخرى </w:t>
      </w:r>
      <w:bookmarkStart w:id="559" w:name="pg19000_245519"/>
    </w:p>
    <w:p>
      <w:pPr>
        <w:pStyle w:val="BookText"/>
        <w:rPr/>
      </w:pPr>
      <w:bookmarkEnd w:id="559"/>
      <w:r>
        <w:rPr>
          <w:rFonts w:ascii="Amiri" w:hAnsi="Amiri" w:eastAsia="Amiri" w:cs="Amiri"/>
          <w:color w:val="111111"/>
          <w:sz w:val="28"/>
          <w:sz w:val="28"/>
          <w:szCs w:val="28"/>
          <w:rtl w:val="true"/>
          <w:lang w:bidi="ar-SA"/>
        </w:rPr>
        <w:t>فيصدق أن مجموع المبيع معيب، أو لا يجوز؛ لأنّ ما انتقل إليه صحيح فلا يتعلّق به خيار ؟ والأخير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جواز التفريق هنا أصلاً؛ لمكان التشقيص في المبيع الواقع بعقد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تعدد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 المبيع صورةً واشتركا فيه أو تعدّد صورةً، اتحد المشتري أو تعدّد، اتحد الثمن أو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في المبيع عيب، جاز للمشتري أن يردّ ما يخص أحد البائعين ويمضي ما يخص الآخر بأرشه؛ لعدم ضرر التشقيص عليهما؛ لرجوع مال كلّ إليه عند تعلق الفسخ به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الجميع معيباً، وإن كان أحدهما ردّ المعيب على صاحبه وأبقى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يرد بعض المبيع على بائعه يكون له خيار التبعيض إذا كان جاهلاً باستحقاق ردّ المشتري، كما إذا جهل تعدّد المشتري فباع فظهر أنّهما اثنان فرد أحدهما عليه المعيب،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كما يجري في المبيع يجري في الثمن بالنسبة إلى التعدد والاتحاد، وجواز الردّ وعدمه، ووحدة باذل الثمن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تعدد الثمن والمثمن ووُزّع كلّ منهما على كلّ منهما فلا إشكال في التفريق، تعدّد البائع أو لا، تعدّد المشتري أم لا، تعدّد الإيجاب أم لا تعدّد القبول أم لا، تعدّد العقد أم لا، وعند التأمل تعرف كثيراً من الصُّوَر المتقدّمة</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3372526_1280447820"/>
      <w:bookmarkStart w:id="561" w:name="_Toc209"/>
      <w:bookmarkEnd w:id="560"/>
      <w:r>
        <w:rPr>
          <w:rtl w:val="true"/>
        </w:rPr>
        <w:t>تاسعها</w:t>
      </w:r>
      <w:r>
        <w:rPr>
          <w:rtl w:val="true"/>
        </w:rPr>
        <w:t xml:space="preserve">: </w:t>
      </w:r>
      <w:r>
        <w:rPr>
          <w:rtl w:val="true"/>
        </w:rPr>
        <w:t>في أنّ كلّ عيب مضمون يوجب الخيار</w:t>
      </w:r>
      <w:bookmarkEnd w:id="561"/>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عيبٍ مضمون يوجب الخيار على الأظهر، سواء كان قبل العقد أو بعده، قبل القبض فيما شرطه القبض أو قبل القبض مطلقاً أو بعد القبض وكان في زمن الخيار المختص الذي لم يعتريه إسقاط، فيجتمع حينئذٍ خياران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الاختصاص وخيار العيب، وثمرة الاجتماع تظهر في إسقاط أحدهما أو في سقوطه وانتهاء مدته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بأن ظهور العيب في الثلاثة لا يسقط خيار الثلاثة فقط، وإلا فلا يثبت لنفسه خيار، بعيد؛ لأنّ عدم إسقاطه الخيار إنما كان لكونه مضموناً على البائع، والمفروض أنّ ضمانه قاض بالخيار رداً وأرشاً، كما يظهر من الفتاوى وكثير من الأدلّة، فالقول بضمانه مع عدم ثبوت الخيار به بعید</w:t>
      </w:r>
      <w:r>
        <w:rPr>
          <w:rFonts w:eastAsia="IRNazanin" w:cs="IRNazanin"/>
          <w:color w:val="111111"/>
          <w:sz w:val="28"/>
          <w:szCs w:val="28"/>
          <w:rtl w:val="true"/>
          <w:lang w:bidi="fa-IR"/>
        </w:rPr>
        <w:t xml:space="preserve">. </w:t>
      </w:r>
      <w:bookmarkStart w:id="562" w:name="pg19000_245520"/>
    </w:p>
    <w:p>
      <w:pPr>
        <w:pStyle w:val="Heading5"/>
        <w:numPr>
          <w:ilvl w:val="4"/>
          <w:numId w:val="1"/>
        </w:numPr>
        <w:rPr/>
      </w:pPr>
      <w:bookmarkStart w:id="563" w:name="__RefHeading___Toc13372528_1280447820"/>
      <w:bookmarkStart w:id="564" w:name="_Toc210"/>
      <w:bookmarkEnd w:id="562"/>
      <w:bookmarkEnd w:id="563"/>
      <w:r>
        <w:rPr>
          <w:rtl w:val="true"/>
        </w:rPr>
        <w:t>عاشرها</w:t>
      </w:r>
      <w:r>
        <w:rPr>
          <w:rtl w:val="true"/>
        </w:rPr>
        <w:t xml:space="preserve">: </w:t>
      </w:r>
      <w:r>
        <w:rPr>
          <w:rtl w:val="true"/>
        </w:rPr>
        <w:t>حكم ما لو تصرّف مشتري الجارية بها بعد العقد بغير الوطء فظهر بها عيب حمل</w:t>
      </w:r>
      <w:bookmarkEnd w:id="564"/>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مشتري الجارية بها بعد العقد بغير الوطء أو مقدماته السابقة عليه الواقع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تصرّف كان حتّى النظر واللمس والتقبيل والتفخيذ المجرّد عن وقوع الوطء بعدهما على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بها عيب حملٍ من المولى أو غيره، أو تصرف بها بالوطء ومقدماته فظهر عيب غير الحمل من المولى أو عيب هو الحمل إلا أنّه قد اشترط إسقاطه، سقط الرد في جميع ذلك؛ لقاعدة أن التصرف مسقط للردّ بالعيب وأنّ الشرط مسقط لخياره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تصرف بها بالوطء فظهر الحمل من غير المولى وكان الانتقال في عقد البيع في وجه قويّ؛ لمنع مساواة غير عقد البيع لعقده، فتشمله قاعدة إسقاط التصرف للعيب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تصرف بها بالوطء بعد شرائها فظهر بها حمل من المولى، بطل البيع من أصله؛ لعدم صحة نقل أُمّهات الأولاد، ولزم عليه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يردّ معها ما وظفه الشارع من غرامة العُشر للمولى إذا كانت بكراً، ونصفه إذا كانت ثيباً؛ للقاعدة الثابتة بالاستقراء في وطء جارية الغير، أو يرد مهر أمثالها لو خالف ذلك، أو لا يردّ شيئاً؛ لأنّه مغرور من قبله في شرائها منه فلا يستحق عليه شيئاً، أو يرد على المولى مع جهله بالحمل لا مع علمه، أو يردّ عليه مع جهل الجارية لا مع علمها بالتحريم ؟ وجوه، ومقتضى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الردّ مطلقاً؛ لكونه مغروراً من قبله، فلا يستحق عليه شيء سيّما مع علم المولى وجهل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قيل إنّ الأخبار وكلمات الأصحاب على لزوم الردّ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لو سُلّم ذلك فإنّما يُسلّم مع جهل المولى لا مع علمه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تصرف مشتري الجارية بها بالوطء في القُبُل أو في الدبر على وجه قوي؛ لإطلاق لفظ الوطء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بها حمل من غير المولى، وكان العقد بيعاً ولم يشترط فيه سقوط العيب، فالقواعد تقضي ببطلان الردّ؛ لقاعدة أنّ التصرف مسقط للرد في العيب، بناءً على أنّ الحمل في الإماء عيب، لأنّه معرّض للهلاك وإن زادت به القيمة من وجه آخر، إلا أنّه قد ورد أخبار </w:t>
      </w:r>
      <w:r>
        <w:rPr>
          <w:rStyle w:val="FootnoteAnchor"/>
          <w:rtl w:val="true"/>
        </w:rPr>
        <w:footnoteReference w:id="1297"/>
      </w:r>
      <w:r>
        <w:rPr>
          <w:rFonts w:ascii="Amiri" w:hAnsi="Amiri" w:eastAsia="Amiri" w:cs="Amiri"/>
          <w:color w:val="111111"/>
          <w:sz w:val="28"/>
          <w:sz w:val="28"/>
          <w:szCs w:val="28"/>
          <w:rtl w:val="true"/>
          <w:lang w:bidi="ar-SA"/>
        </w:rPr>
        <w:t xml:space="preserve">مستفيضة معمول عليها وقد أفتى المشهور بمضمونها ونُقل الإجماع عليه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للمشتري ردّها وردّ نصف عُشر قيمتها، فيلزم العمل بها في تخصيص قاعدة أن التصرف مسقط للردّ في العيب، وأنّ الإنسان لا يغرم على ماله شيئاً؛ لأنّ المفروض أن المشتري وطأ الجارية وهي في ملكه، والردّ فاسخ من حينه لا من أصله، كما هي القاعدة في الفسخ، وأنّ غرامة وطء الجارية العشر إن كانت بكراً، ونصفه إن كانت ثيباً، لا نصفه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يراد بنصف عشر قيمتها في الأخبار تقويمها حين الرد كما هو ظاهر الأمر، أو حين الوطء؛ لأنّه سبب دخول الجارية في ضمانه لولا الدليل، أو حين العقد؛ لأنّه سبب لضمان المشتري، أو الأعلى ما بينهما ؟ وجوه، وأخيرهما يوافق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مضمون تلك الأخبار يُحمل ما جاء من الأمر برد شيء على وجه الإطلاق في رواية </w:t>
      </w:r>
      <w:r>
        <w:rPr>
          <w:rStyle w:val="FootnoteAnchor"/>
          <w:rtl w:val="true"/>
        </w:rPr>
        <w:footnoteReference w:id="1299"/>
      </w:r>
      <w:r>
        <w:rPr>
          <w:rFonts w:ascii="Amiri" w:hAnsi="Amiri" w:eastAsia="Amiri" w:cs="Amiri"/>
          <w:color w:val="111111"/>
          <w:sz w:val="28"/>
          <w:sz w:val="28"/>
          <w:szCs w:val="28"/>
          <w:rtl w:val="true"/>
          <w:lang w:bidi="ar-SA"/>
        </w:rPr>
        <w:t>، ومن الأمر بكسوتها في أُخرى</w:t>
      </w:r>
      <w:r>
        <w:rPr>
          <w:rStyle w:val="FootnoteAnchor"/>
          <w:rtl w:val="true"/>
        </w:rPr>
        <w:footnoteReference w:id="1300"/>
      </w:r>
      <w:r>
        <w:rPr>
          <w:rFonts w:ascii="Amiri" w:hAnsi="Amiri" w:eastAsia="Amiri" w:cs="Amiri"/>
          <w:color w:val="111111"/>
          <w:sz w:val="28"/>
          <w:sz w:val="28"/>
          <w:szCs w:val="28"/>
          <w:rtl w:val="true"/>
          <w:lang w:bidi="ar-SA"/>
        </w:rPr>
        <w:t>، بحمل الكسوة قيمة على نصف العشر، أو على التراضي بذلك، والحمل على التخيير بينهما وجه، إلا أنّه بعيد عن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بعض الأخبار من الأمر بردّ العُشر </w:t>
      </w:r>
      <w:r>
        <w:rPr>
          <w:rStyle w:val="FootnoteAnchor"/>
          <w:rtl w:val="true"/>
        </w:rPr>
        <w:footnoteReference w:id="1301"/>
      </w:r>
      <w:r>
        <w:rPr>
          <w:rFonts w:ascii="Amiri" w:hAnsi="Amiri" w:eastAsia="Amiri" w:cs="Amiri"/>
          <w:color w:val="111111"/>
          <w:sz w:val="28"/>
          <w:sz w:val="28"/>
          <w:szCs w:val="28"/>
          <w:rtl w:val="true"/>
          <w:lang w:bidi="ar-SA"/>
        </w:rPr>
        <w:t xml:space="preserve">محمول على الندب، أو مطرح، أو على سقوط النصف من الراوي، أو على الوطء مع العلم بالحمل، فيكون إكمال العشر عقوبةً، كما حملها الشيخ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والأخذ بها وتنزيلها على البكر، وتنزيل الروايات المتكثّرة الأولية على النيب جمعاً بينهما مهما أمكن، ولورود التفصيل في بعض الأخبار بين البكر فالعشر وبين الثيب فنصفه </w:t>
      </w:r>
      <w:r>
        <w:rPr>
          <w:rStyle w:val="FootnoteAnchor"/>
          <w:rtl w:val="true"/>
        </w:rPr>
        <w:footnoteReference w:id="1303"/>
      </w:r>
      <w:r>
        <w:rPr>
          <w:rFonts w:ascii="Amiri" w:hAnsi="Amiri" w:eastAsia="Amiri" w:cs="Amiri"/>
          <w:color w:val="111111"/>
          <w:sz w:val="28"/>
          <w:sz w:val="28"/>
          <w:szCs w:val="28"/>
          <w:rtl w:val="true"/>
          <w:lang w:bidi="ar-SA"/>
        </w:rPr>
        <w:t xml:space="preserve">، فتكون قرينة على الجمع بذلك، ولأن الثيبوبة في الحوامل هي الغالب، فتنزل الأخبار المتكثرة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ممكناً بل ربما كان قريباً للنظر في وجه الجمع بين الأخبار إلا أنّه فرع المقاومة، وليس لرواية العُشر والرواية المفصلة مقاومة للأخبار المتكثرة المعمول عليها المتداولة فتوى ورواية كي يحسن الجمع بينهما بما ذكرنا، فطرحها أو تنزيلها أولى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النصوص برد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 للوطء في القبل والدبر وإن أمكن </w:t>
      </w:r>
    </w:p>
    <w:p>
      <w:pPr>
        <w:pStyle w:val="BookText"/>
        <w:rPr/>
      </w:pPr>
      <w:r>
        <w:rPr>
          <w:rFonts w:ascii="Amiri" w:hAnsi="Amiri" w:eastAsia="Amiri" w:cs="Amiri"/>
          <w:color w:val="111111"/>
          <w:sz w:val="28"/>
          <w:sz w:val="28"/>
          <w:szCs w:val="28"/>
          <w:rtl w:val="true"/>
          <w:lang w:bidi="ar-SA"/>
        </w:rPr>
        <w:t>بطلان الردّ بالوطء بالدبر ؛ لانصراف الإطلاق إلى الوطء في القبل، وشموله للبكر والشيب كما ذكرنا، ولا منافاة بين البكارة والحمل؛ لإمكانه بالمساحقة ونحوها، وشموله لما كان قبل العقد أو بعده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والبكارة قد تذهب بالوطء وقد تذهب بالنزوة وغيرها، ويراد بها في المقام ما ذهبت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الأمر بردها وردّ نصف العشر معها إرادة الإباحة؛ لأنّه في مقام توهم الحظر لا الوجوب؛ لأنّه لا يجب على الشخص أن يرد ماله من غير سبب 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تقييد إطلاقها أيضاً بما إذا لم يحدث في الجارية عيب مبطل للرد، أو يتصرف بها بغير الوطء تصرفاً آخر مع العلم أو الجهل، أو يتراخى عن الرد بناءً على فورية خيار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أصحابنا </w:t>
      </w:r>
      <w:r>
        <w:rPr>
          <w:rStyle w:val="FootnoteAnchor"/>
          <w:rtl w:val="true"/>
        </w:rPr>
        <w:footnoteReference w:id="1304"/>
      </w:r>
      <w:r>
        <w:rPr>
          <w:rFonts w:ascii="Amiri" w:hAnsi="Amiri" w:eastAsia="Amiri" w:cs="Amiri"/>
          <w:color w:val="111111"/>
          <w:sz w:val="28"/>
          <w:sz w:val="28"/>
          <w:szCs w:val="28"/>
          <w:rtl w:val="true"/>
          <w:lang w:bidi="ar-SA"/>
        </w:rPr>
        <w:t>من حمل الروايات المتقدّمة المتكثّرة على كون الحمل من المولى، وأبقى الأمر بالرد على ظاهره من الوجوب بزعم أن الحمل على ذلك أقرب لمقتضى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لمخالفته الفتوى وظواهر النصوص أوّلاً، ومخالفته قواعد الغرامة في الأمة؛ لأنّها إما أن تسقط عن المشتري لغروره، وإما أن يثبت العشر مع البكارة ونصفه مع الثيبوبة، ثانياً، على أن الحمل لو كان على الحمل من المولى لما كان للتقييد بالتصرف بالوطء خاصةً معنى؛ إذ وجوب الردّ لازم على كلّ حالٍ، ولكان السؤال عن حكم وجدانها حبلى، لا عن حكمه بعد وطئها أو عن حكم الوطء كما هو ظاهر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ذكر الوطء كان مبنيّاً على الغالب من عدم معرفة الحمل إلا به، بعيد؛ لمعرفته بغيره من مقدماته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 غير المالك بتحليل منه، سقط الردّ على الظاهر، ولو وطأ بعد العلم بالحمل 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بالحمل بعد سقوطه ووطئه، كان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 بعد سقوط الحمل فعلم بحصوله قبل ذلك، ففي سقوط الردّ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والمضغة حمل ولو سقطت، وكذا العلقة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النطفة لو تبينت بعد سقوطها وبعد الوطء، ففي ثبوت الردّ بها إشكال</w:t>
      </w:r>
      <w:r>
        <w:rPr>
          <w:rFonts w:eastAsia="Amiri" w:cs="Amiri" w:ascii="Amiri" w:hAnsi="Amiri"/>
          <w:color w:val="111111"/>
          <w:sz w:val="28"/>
          <w:szCs w:val="28"/>
          <w:rtl w:val="true"/>
          <w:lang w:bidi="ar-SA"/>
        </w:rPr>
        <w:t xml:space="preserve">. </w:t>
      </w:r>
      <w:bookmarkStart w:id="565" w:name="pg19000_245523"/>
    </w:p>
    <w:p>
      <w:pPr>
        <w:pStyle w:val="Heading5"/>
        <w:numPr>
          <w:ilvl w:val="4"/>
          <w:numId w:val="1"/>
        </w:numPr>
        <w:rPr/>
      </w:pPr>
      <w:bookmarkStart w:id="566" w:name="__RefHeading___Toc13372530_1280447820"/>
      <w:bookmarkStart w:id="567" w:name="_Toc211"/>
      <w:bookmarkEnd w:id="565"/>
      <w:bookmarkEnd w:id="566"/>
      <w:r>
        <w:rPr>
          <w:rtl w:val="true"/>
        </w:rPr>
        <w:t>حادي عشرها</w:t>
      </w:r>
      <w:r>
        <w:rPr>
          <w:rtl w:val="true"/>
        </w:rPr>
        <w:t xml:space="preserve">: </w:t>
      </w:r>
      <w:r>
        <w:rPr>
          <w:rtl w:val="true"/>
        </w:rPr>
        <w:t>في تعريف العيب لغةً وعرفاً عاماً وشرعاً</w:t>
      </w:r>
      <w:bookmarkEnd w:id="567"/>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لغةً هو الوصمة والعار </w:t>
      </w:r>
      <w:r>
        <w:rPr>
          <w:rStyle w:val="FootnoteAnchor"/>
          <w:rtl w:val="true"/>
        </w:rPr>
        <w:footnoteReference w:id="1305"/>
      </w:r>
      <w:r>
        <w:rPr>
          <w:rFonts w:ascii="Amiri" w:hAnsi="Amiri" w:eastAsia="Amiri" w:cs="Amiri"/>
          <w:color w:val="111111"/>
          <w:sz w:val="28"/>
          <w:sz w:val="28"/>
          <w:szCs w:val="28"/>
          <w:rtl w:val="true"/>
          <w:lang w:bidi="ar-SA"/>
        </w:rPr>
        <w:t>، وعرفاً عاماً وشرعاً بمعنى واحد، فقد يراد منه المعنى المصدري، وهو الخروج عن المجرى الطبيعي المعتاد للنوع الخاص من زيادة جزء أو وصف أو حالٍ أو نقصان شيءٍ من ذلك، بحيث يؤثر بُعْداً عن المحاسن المرغوبة للنفوس وقُرباً للمساوئ المنفّرة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 اسم العين، وهو نفس الشيء الخارج عن ذلك المجرى الطبيعي المعتاد من الجزء الزائد أو الوصف أو الحال أو الناقص منها المؤثر بُعْداً عن المحاسن وقُرباً للمساوئ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بالقيد الأخير على كلا التقديرين زيادة الحسن على النحو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بعيبٍ قطعاً، وكذا كلّ ما زاد من المحاسن خلقاً أو خُلقاً من كرم أو شجاعة أو عفّة أو عدالة، ما لم يستلزم أمر آخر يُعدّ من العيوب كسفاهة ونحوها، ويدخل فيه ما كان من المساوئ عرفاً، إلا أنّه مما تزيد به القيمة لأمر آخر أو لغرض خاص يلائم بعض المقتضيات كالخصي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وهو محتمل لإرادة تحديد العيب عرفاً وشرعاً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أو نقص في أصل الخلقة فهو عيب على طريق القلب والتقديم والتأخير، والظاهر أنّه يستعمل في الفصيح كثيراً، أو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وُجد في أصل الخلقة فزاد أو نقص بحسب المعتاد فالزائد والناقص عيب، ويعرف مرجع الضمير من السياق، ومحتمل لإرادة بيان أن ما كان موجوداً في أصل الخلقة النوعية فزاد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الزائدة أو العين أو الإصبع أو الرأس أو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كنقصان شيءٍ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عيب، وليس فيه دلالة على أن غيره ليس بعيبٍ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يشمل على هذا الاحتمال أيضاً زيادة الوصف الرديء، ونقصان الجيد، وطروء ما ليس لأهل ذلك الصنف غالباً كاللحية للمرأة، وزيادة الذكر لمن له فرج أو فرج لمن له ذكر، وزيادة الشعر على غير المعتاد ونقصانه أو المعتاد ونقصانه أو عدمه مطلقاً، وظهور الحب في الوجه وتأثيره، كالجدري والأمراض المزمنة وغيرها ما لم يكن يسيراً، كحمق ساعة أو ألم ساعة معتادين للأبدان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في هذا المقام الرجوع للعرف في معرفة موضوع العيب؛ لعدم وفاء الأخبار ببيانه، وما ورد فيها مما قدمنا لا يخلو من إجمال،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 في غير ما يتيقن دخوله فيه من نقصان جزء أو زيادته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جملة من الأشياء لا تُعدّ في العرف عيباً وإن اشتملت على إدخال ضررٍ على المنقول إليه، إذ لا ملازمة بين كونه مضراً وبين كونه عيباً في العرف كالصيام والإحرام وظهور العين مستأجرةً والاعتداد والتزويج وعدم المعرفة بالطبخ والخبز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تُعدّ عيباً وإن لم تشتمل على ضررٍ في القيمة والانتفاع، بل تشتمل على نفع كالخصى وسلّ الأُنثيين وفقدان شعر الركب، وقد ورد في خبر ابن أبي ليلى </w:t>
      </w:r>
      <w:r>
        <w:rPr>
          <w:rStyle w:val="FootnoteAnchor"/>
          <w:rtl w:val="true"/>
        </w:rPr>
        <w:footnoteReference w:id="1307"/>
      </w:r>
      <w:r>
        <w:rPr>
          <w:rFonts w:ascii="Amiri" w:hAnsi="Amiri" w:eastAsia="Amiri" w:cs="Amiri"/>
          <w:color w:val="111111"/>
          <w:sz w:val="28"/>
          <w:sz w:val="28"/>
          <w:szCs w:val="28"/>
          <w:rtl w:val="true"/>
          <w:lang w:bidi="ar-SA"/>
        </w:rPr>
        <w:t>ما يدلّ على كون الأخير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يلحق بهما كون العبد خنثى فإنّ الظاهر زيادة نفعه وقيمته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تُعدّ عيباً مع اشتمالها على الغضاضة والضرر كالجنون والبلاهة والحمق والغباوة والسفه والخبل والجُذام والبَرَص، والعمى والعور والحول والعمش والشرح والعرج والقرن والأحديداب والفتق والرتق والخرس والصمم ولكنة اللسان، كالتمتام والأليغ والألثغ والفأفاء، والقرع والقصر المفرط أو الطول كذلك أو الغلظ كذلك، والحبل في الأمة وكبر البطن وتحتّت الشعر وسيلان الريق ونقصان جزء أو زيادة جزء أو كبره أو صغره على غير المعتاد، والمرض ولو حتّى يوم، والنواسير والبواسير والغدد والقوبا وكثرة الثآليل وأثر الجدري والخوص في العين والسبل والجهر والعشا والخفش والجحظ والغشا والتخنيث كأن يميل إلى الرجال عادة، والظاهر أن اللواط به مرّةً ليس بعيبٍ، واعتياد الزنى والسرقة والخيانة وشرب الخمر، والظاهر أن وقوعها مرّةً ليس بعيب ولو مع عدم التوبة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والإصرار على ترك الصلاة والصوم وعدم المبالاة في النجاسة على الظاهر في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واعتياد البول في الفراش للكبير وكذا الغائط، وكراهة الرائحة على غير النحو المعتاد، كالصنان والبخر، وكثرة عرق الرّجل واليدين، وتحلّت الأسنان وشدة البياض وعدم الختان في الكبير دون الصغير ودون الجارية؛ لأنّ وجود الغلفة عيب، وإزالتها في الكبير مظنة للضرر، إلا المجلوب جديداً فإنّ المعتاد عدم ختانه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والثفل الخارج عن العادة في دهن الزيت أو البزر أو السمسم أو اللبن في دهن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ما يدلّ على جواز ردّ الزيت والبزر إذا وجد فيهما درديّاً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الضيعة منزلاً للجنود، وكونها ثقيلة الخراج وكونها معدناً للقذارات والجيف من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وانقطاع الحيض على غير النحو المعتاد للنساء بالنسبة إلى السن والأقران، أو كونها حاملاً أو مرضعاً أو غير ذلك، فإنّه يدلّ على سوء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المعتبرة أن الجارية تُردّ عند انقطاع الحيض ستة أشهر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الخصوصية في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والاستحاضة الكثيرة أو القليلة إذا خرجت عن الحدّ المعتاد، فإنها من جملة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والنجاسة في المائع؛ لأنّه لا يقبل التطهير، وكذا النجاسة فيما عسر تطهيره، والوسخ الخارج عن المعتاد إذا عسرت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والعسر وهو قوة اليد اليسرى دون اليمنى، ولو قويا معاً لم يكن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الإباق للعبد، والشرادة والحلالة للدابة وكثرة العناد في المملوك بحيث يكون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الروايات ما يدلّ على جواز الردّ بالإباق </w:t>
      </w:r>
      <w:r>
        <w:rPr>
          <w:rStyle w:val="FootnoteAnchor"/>
          <w:rtl w:val="true"/>
        </w:rPr>
        <w:footnoteReference w:id="1310"/>
      </w:r>
      <w:r>
        <w:rPr>
          <w:rFonts w:ascii="Amiri" w:hAnsi="Amiri" w:eastAsia="Amiri" w:cs="Amiri"/>
          <w:color w:val="111111"/>
          <w:sz w:val="28"/>
          <w:sz w:val="28"/>
          <w:szCs w:val="28"/>
          <w:rtl w:val="true"/>
          <w:lang w:bidi="ar-SA"/>
        </w:rPr>
        <w:t xml:space="preserve">على وجه الإطلاق، وفي بعضها ما يدلّ على عدمه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بينهما بحمل الأوّل على المتكرر، والثاني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ماهيته عيب؛ تقديماً لما دلّ على ذلك لمساعدة العرف له، وما دلّ على عدمه يُحمل على ما إذا كان لتعب أو لخوف أو لجوع، أو كان في زمن قليل لا يُعتد به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والتغذّي بالعذرات لبعض الحيوانات والثيبوبة للأطفال من الجواري، وأما كبارهن فالثيبوبة ليست عيباً فيها لاعتياد ذلك فيهنّ، وفي الأخبار </w:t>
      </w:r>
      <w:r>
        <w:rPr>
          <w:rStyle w:val="FootnoteAnchor"/>
          <w:rtl w:val="true"/>
        </w:rPr>
        <w:footnoteReference w:id="1312"/>
      </w:r>
      <w:r>
        <w:rPr>
          <w:rFonts w:ascii="Amiri" w:hAnsi="Amiri" w:eastAsia="Amiri" w:cs="Amiri"/>
          <w:color w:val="111111"/>
          <w:sz w:val="28"/>
          <w:sz w:val="28"/>
          <w:szCs w:val="28"/>
          <w:rtl w:val="true"/>
          <w:lang w:bidi="ar-SA"/>
        </w:rPr>
        <w:t>إشارة إليه، ولا يتفاوت الحال بين كون ذهاب البكارة فيهن لوطء أو لغيره كنزوة وطفرة</w:t>
      </w:r>
      <w:r>
        <w:rPr>
          <w:rFonts w:eastAsia="Amiri" w:cs="Amiri" w:ascii="Amiri" w:hAnsi="Amiri"/>
          <w:color w:val="111111"/>
          <w:sz w:val="28"/>
          <w:szCs w:val="28"/>
          <w:rtl w:val="true"/>
          <w:lang w:bidi="ar-SA"/>
        </w:rPr>
        <w:t xml:space="preserve">. </w:t>
      </w:r>
      <w:bookmarkStart w:id="568" w:name="pg19000_245526"/>
    </w:p>
    <w:p>
      <w:pPr>
        <w:pStyle w:val="BookText"/>
        <w:rPr/>
      </w:pPr>
      <w:bookmarkEnd w:id="568"/>
      <w:r>
        <w:rPr>
          <w:rFonts w:ascii="Amiri" w:hAnsi="Amiri" w:eastAsia="Amiri" w:cs="Amiri"/>
          <w:color w:val="111111"/>
          <w:sz w:val="28"/>
          <w:sz w:val="28"/>
          <w:szCs w:val="28"/>
          <w:rtl w:val="true"/>
          <w:lang w:bidi="ar-SA"/>
        </w:rPr>
        <w:t>والمتولد من الزنى سيّما في الجواري؛ لأنّه قد يطلب منهنّ النسل، وفي العبيد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والكفر الارتدادي الذي لا يقبل التطهير بإسلام ولا بتوبة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لا يصح نقله أصلاً؛ لأنّه نجس لا يقبل التطهير، كالبيض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ولوجوب إتلافه وقتله، فلا يصح نقله؛ لتأديته إلى السفه، فهو كالدرهم الزيوف،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الكفر الغير الارتدادي، فإن لم يقرّ أهله عليه فالظاهر أنّه عيب؛ لأنّ الصبر عليه من المولى ضرر، وحمله على الإسلام ربما يؤدي إلى إباقه أو امتناعه وتلفه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خروجه مخالفاً أو من باقي الفرق غير الاثني عشرية بذلك؛ لاشمئزاز النفس منه، ونفور الطبع عن مباشرته، وعدم ملائمة النفس لأخلاقه وفروع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 أهله عليه، احتمل كونه عيباً ؛ لنجاسته وقذارته ونفرة الطبع له، ولأنّه كلّ مولود يولد على الفطرة، فيكون الكفر خارجاً عن المجرى الطبيعي، واحتمل عدمه؛ لعدم صدق أنّه معيب عرفاً واحتمل التفصيل بين ما أمكن إسلامه بسهولةٍ فلا عيب، وبين ما لم يمكن فهو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الحدّ شرعاً بالعبد أو القصاص بنفس أو طرفٍ؛ لأنهما مقتضيان لكونه في معرض التلف،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ما يوجب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والجرح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وإن حصل له الفك من الحق، ولو تكرّر منه القتل والجرح فالظاهر ثبوت العيب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والتهور بالنسبة إلى العبد، والجبن المفرط، والسخاء الخارج عن الحد المتعارف، وكثرة الحيل واللعب والشعبذة وعمل السحر إذا تكرّر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علم الكهانة والسحر والشعبذة والغناء والنوح فليس من العيب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شكّ في كونه عيباً فالأصل يقضي بعدمه وبلزوم البيع، وكلّ ما شكّ في ثبوت أرش له وعدمه فالأصل يقضى بعدمه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مباحث كثيرة ذكرناها في شرحنا على القواعد</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3372532_1280447820"/>
      <w:bookmarkStart w:id="570" w:name="_Toc212"/>
      <w:bookmarkEnd w:id="569"/>
      <w:r>
        <w:rPr>
          <w:rtl w:val="true"/>
        </w:rPr>
        <w:t>ثاني عشرها</w:t>
      </w:r>
      <w:r>
        <w:rPr>
          <w:rtl w:val="true"/>
        </w:rPr>
        <w:t xml:space="preserve">: </w:t>
      </w:r>
      <w:r>
        <w:rPr>
          <w:rtl w:val="true"/>
        </w:rPr>
        <w:t>في تعريف الأرش وما يتعلق به من الأحكام</w:t>
      </w:r>
      <w:bookmarkEnd w:id="57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أصله الفساد، ويستعمل في الرشوة، والخدش، وثمن التالف، وما نقص العيب، وأكثر الأمرين من المقدّر، ونقصان القيمة، وجزء من الثمن لو ظهر في </w:t>
      </w:r>
    </w:p>
    <w:p>
      <w:pPr>
        <w:pStyle w:val="BookText"/>
        <w:rPr/>
      </w:pPr>
      <w:r>
        <w:rPr>
          <w:rFonts w:ascii="Amiri" w:hAnsi="Amiri" w:eastAsia="Amiri" w:cs="Amiri"/>
          <w:color w:val="111111"/>
          <w:sz w:val="28"/>
          <w:sz w:val="28"/>
          <w:szCs w:val="28"/>
          <w:rtl w:val="true"/>
          <w:lang w:bidi="ar-SA"/>
        </w:rPr>
        <w:t>المثمن عيب أو من المثمن لو ظهر في الثمن كذلك، يسترجعه صاحبه في مقابلة العيب، وهذا هو المقصود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تعلّقه، فهل يتعلّق بناقل المعيب من حين العقد وإن لم يختره المنقول إليه، بل وإن لم يعلم بالعيب فعلى هذا يكون حكمه كحكم الدين أو الأمانة، فيجب على ناقل المعيب مع جهل المنقول إليه إعلامه ودفع الأرش إليه، أو طلب الإبراء منه، أو لا يتعلّق حتّى يعلم المنقول إليه بالعيب ويختار الأرش؟ وجهان، والأوّل أقرب للقواعد، والثاني أقرب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تعلّقه بالناقل فهل هو تكملة للمعيب قضى بها يردها ناقلها في مقابلة الصحيح، أو جزء من الصحيح يسترده ناقله في مقابلة فقدان الصحّة التي هي كجزءٍ من العوض فيكون كتبعيض الصفقة، أو غرامة خارجة عنهما وجبت على ناقل المعيب بالدليل الشرعي ؟ وجوه، أقربها للقواعد والسيرة الأخير؛ لأنّه لو كان جزءاً من أحد العوضين للزم الدفع منهما ولزم جريان الصرف عليهما فيما لو كان العيب في البيع، فيبطل بالتفرّق قبل قبضه فيما لو كان الأرش للمبيع، ولزم جريان الربا فيه، ولزم منه الجهالة حين العقد فيما لا يفتقر فيه الجهالة، فيبطل العقد رأساً وأصلاً، ولزم أن مَنْ دفع الأرش تكملة للمعيب أن تجري عليه أحكام البيع وأن يصدق عليه أنّه باع فلو نذر البيع لجاز دفع الأرش وفاء إلى غير ذلك من اللوازم التي لا نقول بكلّها أو جُلّها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اخترناه من أنّه غرامة خارجة جاءت بحكم الشارع، فهل تتعلّق بعين أحد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جزء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الشركة أو تتعلّق تعلّق الرهانة أو تعلّق أرش الجناية أو تتعلّق بالذمة ويلزم دفعها من أحد النقدين كسائر الغرامات، أو يتخير بين دفعها من أحد العوضين أو من أحد النقدين، أو 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جزء من الصحيح تعلّق به تعلّق الشركة،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تكملة للمعيب تعلّق بالذمة، وعلى ذلك ينزل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جزء من الثمن؛ لكون الثمن في الغالب يكون من النقدين وأن يكون صحيحاً ؟ وهذا الأخير أقرب للنظر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أخذ الأرش أن يُقوّم المبيع صحيحاً ويُقوّم معيباً ويُنظر إلى التفاوت بينهما، فيرجع من الصحيح من أحد العوضين جزء نسبته إليه بقدر نسبة نقص قيمة المعيب عن الصحيح من النسبة الكسرية، فلو كان ما بين القيمتين تفاوت النصف رجع بالنصف من الثمن الصحيح، أو الثلث رجع بالثلث، وهكذا، ولا يرجع بنفس قدر ما بين القيمتين؛ للزومه استيعاب الثمن، ونحوه فيما إذا كانت القيمة أزيد من الثمن؛ لأنّه قد يساوي الثمن قيمة المعيب أو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من إطلاق الفتاوى والنصوص بأنّ الشيء يقوم صحيحاً ومعيباً ويؤخذ بقدر ما بين القيمتين، منزل على الغالب من تساوي الثمن والقيمة، أو على التسامح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كانت القيمة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لاختلاف السوق والرغبات احتمل التخيير واحتمل القرعة، واحتمل جمع القيم وأخذ نصفهما إن كانتا،ثنتين وثلثيهما إن كانت ثلاثة،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لاختلاف المقوّمين، كان مقتضى القواعد تقديم الأكثر أو الأعدل أو الأضبط، فإن تساوت من كلّ وجه أخذ بأدناها؛ للأصل، أو أعلاها؛ للاحتياط، أو أوسطها؛ لأنّ خير الأمور أوسطها، أو التخيير، أو القرعة، أو الصلح القهري، ولكن ظاهر كثير من الفقهاء أنّه تؤخذ عند الاختلاف قيمة منتزعة من مجموع القيم، بأن تجمع فيؤخذ نصف المجموع إن كانت اثنتين وثلثه إن كانت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الاختلاف في قيم الصحيح والمعيب معاً، جمعنا القيم الصحاح وأخذنا منها القيمة المنتزعة، وجمعنا قيم المعيبة وأخذنا منها ذلك أيضاً، ونسبنا قيمة المعيب المنتزعة إلى قيمة الصحيح المنتزعة وأرجعنا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الاختلاف في قيم الصحيح فقط أو المعيب فقط، جمعنا ما اختلف فيه وأخذنا منه القيمة المنتزعة، وكرّرنا المتفق عليه بقدره وأخذنا منه القيمة المنتزعة، ونسبنا إحدى القيمتين إلى الأخرى وأخذنا من الثمن بتلك النسبة، وقد لا يحتاج إلى تكرير المتفق عليها، بل تنسب بنفسها إلى القيمة المنتزعة من اختلاف القيم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يُنسب للشهيد طريق آخر </w:t>
      </w:r>
      <w:r>
        <w:rPr>
          <w:rStyle w:val="FootnoteAnchor"/>
          <w:rtl w:val="true"/>
        </w:rPr>
        <w:footnoteReference w:id="1313"/>
      </w:r>
      <w:r>
        <w:rPr>
          <w:rFonts w:ascii="Amiri" w:hAnsi="Amiri" w:eastAsia="Amiri" w:cs="Amiri"/>
          <w:color w:val="111111"/>
          <w:sz w:val="28"/>
          <w:sz w:val="28"/>
          <w:szCs w:val="28"/>
          <w:rtl w:val="true"/>
          <w:lang w:bidi="ar-SA"/>
        </w:rPr>
        <w:t xml:space="preserve">، وهو أن تُجمع الكسور الحاصلة من تفاوت قيم ما بين </w:t>
      </w:r>
    </w:p>
    <w:p>
      <w:pPr>
        <w:pStyle w:val="BookText"/>
        <w:rPr/>
      </w:pPr>
      <w:r>
        <w:rPr>
          <w:rFonts w:ascii="Amiri" w:hAnsi="Amiri" w:eastAsia="Amiri" w:cs="Amiri"/>
          <w:color w:val="111111"/>
          <w:sz w:val="28"/>
          <w:sz w:val="28"/>
          <w:szCs w:val="28"/>
          <w:rtl w:val="true"/>
          <w:lang w:bidi="ar-SA"/>
        </w:rPr>
        <w:t>الصحيح والمعيب ويؤخذ منها الكسر الحاصل من اجتماعها، فيؤخذ من القيمتين النصف من تفاوتهما، ومن الثلاث الثلث، وهكذا، ويحطّ من الثمن ذلك الكسر بالنسبة إلى 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يحصل التفاوت بين الطريقين في مثل ما إذا قوم الصحيح باثني عشر وقوم أيضاً بثمانية، وقوم المعيب بعشرة وقوم بخمسة أيضاً، وكان الثمن اثني عشر، فعلى الطريق الأوّل يؤخذ نصف القيم الصحيحة وهو عشرة، ونصف المعيبة وهو سبعة ونصف، والتفاوت بينهما الربع، فيرجع من الثمن بربعه وهو ثلاثة، وعلى الطريق الآخر يؤخذ تفاوت ما بين قيمتي الصحيح والمعيب الأولتين وهو السدس وتفاوت قيمتهما الأخيرتين وهو ثلاثة أثمان، ويرجع من الثمن نصف الكسرين، وهو نصف السدس واحد ونصف الثلاثة أثمان، وهو اثنان وربع؛ لأنّ ثلاثة أثمان الاثني عشر أربعة ونصف، فيكون المجموع ثلاثة وربع، فيزيد الطريق الأخير على الأوّل ربعاً، وعلى كلّ حالٍ فلا يخلو أخذ الأرش عند تعارض البينات بهذه الطرق من إشكال؛ لعدم الدليل عليه، وقد أعرض عنه الفقهاء في أبواب الضمانات والغرامات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 جمع بين البينات؛ لأنّه طرح لهن،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العرفية عند التعارض ذلك، أو إنّ الأخذ بها جهة جامعة بين أصالة البراءة من الزائد وبين الأخذ بالاحتياط بما فوق الناقص، ولأنّ البينات قد أبطلت بعضها بعضاً، فلا يمكن الأخذ بواحدةٍ معينة، فأقرب الطرق للرجوع إليها في الجملة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ما إذا كان اختلاف البينة لتحقيق ما في السوق من القيم فالرجوع للقواعد، وبين ما إذا كانت منشئة تقويماً فالرجوع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احتاج الصحيح والمعيب إلى التقويم لمعرفة قدر ما يرجع به من الثمن، فإن عرف المتعاقدان القيمة فلا كلام، وإن لم يعرفا رجعا إلى غيرهما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شهادة يشترط فيها التعدد والعدالة؛ للأصل والاحتياط، أو إخبار فيكفي العدل الواحد؛ لعموم الأدلّة؛ أو من باب الظنون الموضوعية فيكتفى بما يحصل به الظنّ من أهل الخبرة ولو كان فاسقاً أو امرأة إذا كان مأموناً من الكذب والتزوير ؟ وجوه، أحوطها الأوَّل، وأقواها الوسط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يقوم الصحيح والمعيب بقيمتهما وقت العقد؛ لأنّه سبب دخول المبيع في ملك المشتري وزمن استحقاقه له، أو وقت القبض؛ لأنّه زمن دخول المبيع في ضمان المشتري، أو أدنى ما بينهما؛ للأصل ؟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571" w:name="pg19000_245530"/>
    </w:p>
    <w:p>
      <w:pPr>
        <w:pStyle w:val="Heading3"/>
        <w:numPr>
          <w:ilvl w:val="2"/>
          <w:numId w:val="1"/>
        </w:numPr>
        <w:rPr/>
      </w:pPr>
      <w:bookmarkStart w:id="572" w:name="__RefHeading___Toc13372534_1280447820"/>
      <w:bookmarkStart w:id="573" w:name="_Toc213"/>
      <w:bookmarkEnd w:id="571"/>
      <w:bookmarkEnd w:id="572"/>
      <w:r>
        <w:rPr>
          <w:rtl w:val="true"/>
        </w:rPr>
        <w:t>القول في التدليس والتصرية وبعض أحكام العيوب</w:t>
      </w:r>
      <w:bookmarkEnd w:id="573"/>
    </w:p>
    <w:p>
      <w:pPr>
        <w:pStyle w:val="Heading4"/>
        <w:numPr>
          <w:ilvl w:val="3"/>
          <w:numId w:val="1"/>
        </w:numPr>
        <w:rPr/>
      </w:pPr>
      <w:bookmarkStart w:id="574" w:name="__RefHeading___Toc13372536_1280447820"/>
      <w:bookmarkStart w:id="575" w:name="_Toc214"/>
      <w:bookmarkEnd w:id="574"/>
      <w:r>
        <w:rPr>
          <w:rtl w:val="true"/>
        </w:rPr>
        <w:t>وفيه أمور</w:t>
      </w:r>
      <w:r>
        <w:rPr>
          <w:rtl w:val="true"/>
        </w:rPr>
        <w:t>:</w:t>
      </w:r>
      <w:bookmarkEnd w:id="575"/>
    </w:p>
    <w:p>
      <w:pPr>
        <w:pStyle w:val="Heading5"/>
        <w:numPr>
          <w:ilvl w:val="4"/>
          <w:numId w:val="1"/>
        </w:numPr>
        <w:rPr/>
      </w:pPr>
      <w:bookmarkStart w:id="576" w:name="__RefHeading___Toc13372538_1280447820"/>
      <w:bookmarkStart w:id="577" w:name="_Toc215"/>
      <w:bookmarkEnd w:id="576"/>
      <w:r>
        <w:rPr>
          <w:rtl w:val="true"/>
        </w:rPr>
        <w:t>أحدها</w:t>
      </w:r>
      <w:r>
        <w:rPr>
          <w:rtl w:val="true"/>
        </w:rPr>
        <w:t xml:space="preserve">: </w:t>
      </w:r>
      <w:r>
        <w:rPr>
          <w:rtl w:val="true"/>
        </w:rPr>
        <w:t>في تعريف التدليس لغةً وعرفاً وشرعاً وبيان ما يتعلق به من الأحكام</w:t>
      </w:r>
      <w:bookmarkEnd w:id="57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وشرعاً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ما يوجب الكمال مع عدمه وإخفاء ما يوجب النقص مع وجوده، ولو أخفى الكمال وأبدى النقص لم يكن تدليساً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حرام بالنصّ </w:t>
      </w:r>
      <w:r>
        <w:rPr>
          <w:rStyle w:val="FootnoteAnchor"/>
          <w:rtl w:val="true"/>
        </w:rPr>
        <w:footnoteReference w:id="1314"/>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يتعلق بالعيب، وقد يتعلّق بغيره من الصفات الرديئة والأحوال الرذيلة والأنساب المذمومة، وكذا الآجال والإمكنة ورؤوس المال إذا كانت مكروهةً عند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وخصه بعضهم بكتمان العيب عن المشتري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بعيد، ولعله أراد بالعيب الشيء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أن يكون الشيء بنفسه مشتملاً على التدليس، فلا يدخل فيه ما إذا اغتر المشتري لنفسه لغباوة أو لظلمة أو لحسن ظنٍّ بالبائع، أو لقلة تأمل وكان الشيء مما يعتاد تزيّنه وصقالته كالسيوف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تحريمه أيضاً أن يكون بقصد التدليس والتمويه على المشتري، فلو كان لا بقصد أو كان بقصد آخر لم يكن حراماً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فالتدليس ممّا يوجب الخيار بين الردّ والإمساك مجاناً، ولا أرش له إلا إذا تضمن تدليس عيب فالأرش للعيب، وإن تضمّن تدليس شرط أو وصف اجتمعت الخيارات وكان للمشتري الرد بأيها شاء وإسقاط أيها شاء، ولا أرش له أيضاً مع الإمساك، كما إذا اجتمع معها خيار حيوان أو مجلس أو اشتراط أو تأخير أو غبن أو نحو ذلك</w:t>
      </w:r>
      <w:r>
        <w:rPr>
          <w:rFonts w:eastAsia="Amiri" w:cs="Amiri" w:ascii="Amiri" w:hAnsi="Amiri"/>
          <w:color w:val="111111"/>
          <w:sz w:val="28"/>
          <w:szCs w:val="28"/>
          <w:rtl w:val="true"/>
          <w:lang w:bidi="ar-SA"/>
        </w:rPr>
        <w:t xml:space="preserve">. </w:t>
      </w:r>
      <w:bookmarkStart w:id="578" w:name="pg19000_245531"/>
    </w:p>
    <w:p>
      <w:pPr>
        <w:pStyle w:val="BookText"/>
        <w:rPr/>
      </w:pPr>
      <w:bookmarkEnd w:id="578"/>
      <w:r>
        <w:rPr>
          <w:rFonts w:ascii="Amiri" w:hAnsi="Amiri" w:eastAsia="Amiri" w:cs="Amiri"/>
          <w:color w:val="111111"/>
          <w:sz w:val="28"/>
          <w:sz w:val="28"/>
          <w:szCs w:val="28"/>
          <w:rtl w:val="true"/>
          <w:lang w:bidi="ar-SA"/>
        </w:rPr>
        <w:t xml:space="preserve">ويسقط الردّ بالتصرف مع العلم بالتدليس؛ لما تشعر به الأخبار، ويؤذن به حديث الضرار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يسقط مع الجهل ؟ لما يُفهم من بعض الأخبار من أن التصرف بمنزلة الرضى </w:t>
      </w:r>
      <w:r>
        <w:rPr>
          <w:rStyle w:val="FootnoteAnchor"/>
          <w:rtl w:val="true"/>
        </w:rPr>
        <w:footnoteReference w:id="1317"/>
      </w:r>
      <w:r>
        <w:rPr>
          <w:rFonts w:ascii="Amiri" w:hAnsi="Amiri" w:eastAsia="Amiri" w:cs="Amiri"/>
          <w:color w:val="111111"/>
          <w:sz w:val="28"/>
          <w:sz w:val="28"/>
          <w:szCs w:val="28"/>
          <w:rtl w:val="true"/>
          <w:lang w:bidi="ar-SA"/>
        </w:rPr>
        <w:t>على الإطلاق، من دون تفصيل بين أنواع الخيارات وبين حالتي العلم والجهل، ولشمول حديث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لا يسقط ؟ لمنع الشمول في تلك الأخبار لجميع أنواع الخيار ولحالتي العلم والجهل؛ لورودها في موارد خاصة فيشكّ في شمولها لغيرها، ومنع شمول حديث نفي الضرار لما إذا وقع التصرّف جهلاً؛ لمعارضته بضرر المشتري من دون جابر له من أرش وغيره، و ترجيحه على ضرر البائع لابتداء البائع بالضرر وإقدامه عليه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3372540_1280447820"/>
      <w:bookmarkStart w:id="580" w:name="_Toc216"/>
      <w:bookmarkEnd w:id="579"/>
      <w:r>
        <w:rPr>
          <w:rtl w:val="true"/>
        </w:rPr>
        <w:t>ثانيها</w:t>
      </w:r>
      <w:r>
        <w:rPr>
          <w:rtl w:val="true"/>
        </w:rPr>
        <w:t xml:space="preserve">: </w:t>
      </w:r>
      <w:r>
        <w:rPr>
          <w:rtl w:val="true"/>
        </w:rPr>
        <w:t>في تعريف التصرية وبيان ما يتعلّق بها من الأحكام</w:t>
      </w:r>
      <w:bookmarkEnd w:id="58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من الصري، وهو الجمع مطلقاً، أو جمع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في لسان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اللبن في الضرع بشدّ أخلاف الشاة أو البقرة أو الناقة أو كلّ ما كان الغرض منه اللبن، أو بإمساك الأخلاف بطريق غير الشدّ وإبقائها اليوم واليومين والثلاثة من دون حلب، فيعرضها على المشتري فيظن كثرة اللبن فيرغب في شرائها، وتسمّى المصراة محفّلةً من الحفل وهو الجمع، ويُسمّى المجمع محفلاً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تدليس على الأظهر لا عيب وإن ذكروها في أحكام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يجتمع معها العيب بأن يكون لبنها قليلاً خارجاً عن عادة لبن نوع ذلك الحيوان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وتحريمها ثابت بالنصّ والفتوى والاعتبار إذا وقعت بالقصد والاختيار، ويثبت بها الخيار على كلّ حالٍ؛ لدليل نفي الضرار </w:t>
      </w:r>
      <w:r>
        <w:rPr>
          <w:rStyle w:val="FootnoteAnchor"/>
          <w:rtl w:val="true"/>
        </w:rPr>
        <w:footnoteReference w:id="1318"/>
      </w:r>
      <w:r>
        <w:rPr>
          <w:rFonts w:ascii="IRNazanin" w:hAnsi="IRNazanin" w:eastAsia="IRNazanin"/>
          <w:color w:val="111111"/>
          <w:sz w:val="28"/>
          <w:sz w:val="28"/>
          <w:szCs w:val="28"/>
          <w:rtl w:val="true"/>
          <w:lang w:bidi="fa-IR"/>
        </w:rPr>
        <w:t xml:space="preserve">، وللخبر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المجبور ضعفه بفتوى الأصحاب والإجماع المنقول </w:t>
      </w:r>
      <w:r>
        <w:rPr>
          <w:rStyle w:val="FootnoteAnchor"/>
          <w:rtl w:val="true"/>
        </w:rPr>
        <w:footnoteReference w:id="1319"/>
      </w:r>
      <w:r>
        <w:rPr>
          <w:rFonts w:ascii="Amiri" w:hAnsi="Amiri" w:eastAsia="Amiri" w:cs="Amiri"/>
          <w:color w:val="111111"/>
          <w:sz w:val="28"/>
          <w:sz w:val="28"/>
          <w:szCs w:val="28"/>
          <w:rtl w:val="true"/>
          <w:lang w:bidi="ar-SA"/>
        </w:rPr>
        <w:t xml:space="preserve">، أو المحصل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عن تصرية الإبل والغنم، وأنّه خداع، وأن مَن اشترى مصرّاةٌ كان له ردّها ويرد معها صاعاً من تمر </w:t>
      </w:r>
      <w:r>
        <w:rPr>
          <w:rStyle w:val="FootnoteAnchor"/>
          <w:rtl w:val="true"/>
        </w:rPr>
        <w:footnoteReference w:id="1320"/>
      </w:r>
      <w:r>
        <w:rPr>
          <w:rFonts w:ascii="Amiri" w:hAnsi="Amiri" w:eastAsia="Amiri" w:cs="Amiri"/>
          <w:color w:val="111111"/>
          <w:sz w:val="28"/>
          <w:sz w:val="28"/>
          <w:szCs w:val="28"/>
          <w:rtl w:val="true"/>
          <w:lang w:bidi="ar-SA"/>
        </w:rPr>
        <w:t>، وعجزه وإن لم نقل به لا ينافي الاستدلال بصدره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وتحريمها لا ينافي صحّة المعاوضة؛ لتعلّق النهي بأمر خارج، ولفتوى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حكم التصرية تحريماً وخياراً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يصدق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جمع قصد به التدليس، كجمع الماء في العين ليرى كثرة مائها فيرغب في شرائها، أو جمع فواكه البستان في موضع خاص ليرغب في شرائه، أو جمع المحزوز من الصوف ليرغب في شراء الشاة، أو جمع لبن سائر الحيوانات وإن لم تكن من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التصرية غير التحريم والخيار من الأحكام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ردّها مع التصرف بلبنها أو تلفه، ومن ردّ شيءٍ معها على قول </w:t>
      </w:r>
      <w:r>
        <w:rPr>
          <w:rStyle w:val="FootnoteAnchor"/>
          <w:rtl w:val="true"/>
        </w:rPr>
        <w:footnoteReference w:id="1321"/>
      </w:r>
      <w:r>
        <w:rPr>
          <w:rFonts w:ascii="IRNazanin" w:hAnsi="IRNazanin" w:eastAsia="IRNazanin"/>
          <w:color w:val="111111"/>
          <w:sz w:val="28"/>
          <w:sz w:val="28"/>
          <w:szCs w:val="28"/>
          <w:rtl w:val="true"/>
          <w:lang w:bidi="fa-IR"/>
        </w:rPr>
        <w:t>، ومن رد المتجدد على قول</w:t>
      </w:r>
      <w:r>
        <w:rPr>
          <w:rStyle w:val="FootnoteAnchor"/>
          <w:rtl w:val="true"/>
        </w:rPr>
        <w:footnoteReference w:id="1322"/>
      </w:r>
      <w:r>
        <w:rPr>
          <w:rFonts w:ascii="Amiri" w:hAnsi="Amiri" w:eastAsia="Amiri" w:cs="Amiri"/>
          <w:color w:val="111111"/>
          <w:sz w:val="28"/>
          <w:sz w:val="28"/>
          <w:szCs w:val="28"/>
          <w:rtl w:val="true"/>
          <w:lang w:bidi="ar-SA"/>
        </w:rPr>
        <w:t xml:space="preserve">، ومن التحديد بالثلاثة فهو خاص بالثلاثة فقط، وهى الشاة والبقرة والناقة؛ اقتصاراً فيما خالف الأصل على مورد اليقين، للإجماع المحصل في الشاة في الجملة، والإجماع المنقول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جمهور من الأصحاب في الأخيرين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وألحق بعضهم </w:t>
      </w:r>
      <w:r>
        <w:rPr>
          <w:rStyle w:val="FootnoteAnchor"/>
          <w:rtl w:val="true"/>
        </w:rPr>
        <w:footnoteReference w:id="1324"/>
      </w:r>
      <w:r>
        <w:rPr>
          <w:rFonts w:ascii="Amiri" w:hAnsi="Amiri" w:eastAsia="Amiri" w:cs="Amiri"/>
          <w:color w:val="111111"/>
          <w:sz w:val="28"/>
          <w:sz w:val="28"/>
          <w:szCs w:val="28"/>
          <w:rtl w:val="true"/>
          <w:lang w:bidi="ar-SA"/>
        </w:rPr>
        <w:t>الأتان والأمة بالثلاثة المذكورة؛ تنقيحاً للمناط، وربما يلحق بها كلّ ما كان المقصد منه إلى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وللتصرية في الثلاثة المذكورة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المصراة يردّها المشتري ولو تصرّف فيها بحلبها وبأخذ لبنها أو تغييره، كما يظهر من دليلها، فيكون هذا التصرّف مستثنى من قاعدة إسقاط التصرّف للردّ في خيار العيب إن قلنا بدخولها في خيار العيب، وفي خيار التدليس إن قلنا بسقوطه بالتصرف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خيار التدليس</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تصرف فيها بغير الحلب من ركوب أو بيع، سقط الرد على القاعدة، عالماً كان أو جاهلاً،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التدليس لا يُسقطه التصرف مع الجهل، فإنّه على ذلك يصح الردّ وإن تصرّف بالشاة أو أتلفها، ولكنّه يردّ القيمة؛ لعدم إمكان ردّ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معها اللبن الموجود حالة العقد بعينه إن كان موجوداً؛ لأنّه جزء من المبيع، فإذا ردّ الشاة ردّه لئلا تتبعض الصفقة، ويردّ مثله مع تلفه، ومع تعذر مثله يردّ قيمة المثل عند الإعواز في وجه قوي، أو عند الدفع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تأخر الإعواز عن الفسخ، ولو تقدَّم عليه فالأظهر قيمة يوم الدفع، وتراعي قيمة مكان الدفع، فإن لم يكن فيه قيمة لوحظ قيمة مكان الدافع في وجه، أو مكان المدفوع إليه في وجه آخر، أو أدناهما في وجه ثالث للأصل، أو أعلاها في وجه رابع؛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أخذ القيمة من النقدين؛ لأنّها اللازمة في الغرامات، ومع تعذرهما أخذ الأقرب نفعاً من العروض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وصف اللبن باستحالة فكالتالف، ولو تغيّر وكانت عينه موجودةً فإن كان مزجاً كان المازج شريكاً، وإن لم يكن مزجاً فإن زادت قيمته بالتغيير رده، ولا شيء له، وإن نقصت ردّه مع الأرش، وإن زادت عينه كالصبغ صار شريكاً على الأظهر، وإن نقصت ضمن النقص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زادت قيمته بعمل فإن كان بأجرةٍ أخذها من البائع، وإن لم يكن كما إذا عمل بنفسه، فوجهان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اللبن المتجدّد بعد العقد فالأظهر عدم وجوب ردّه؛ لحدوثه في ملك المشتري فلا يضمنه عيناً ولا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بلزوم ردّه </w:t>
      </w:r>
      <w:r>
        <w:rPr>
          <w:rStyle w:val="FootnoteAnchor"/>
          <w:rtl w:val="true"/>
        </w:rPr>
        <w:footnoteReference w:id="1326"/>
      </w:r>
      <w:r>
        <w:rPr>
          <w:rFonts w:ascii="IRNazanin" w:hAnsi="IRNazanin" w:eastAsia="IRNazanin"/>
          <w:color w:val="111111"/>
          <w:sz w:val="28"/>
          <w:sz w:val="28"/>
          <w:szCs w:val="28"/>
          <w:rtl w:val="true"/>
          <w:lang w:bidi="fa-IR"/>
        </w:rPr>
        <w:t xml:space="preserve">للنص </w:t>
      </w:r>
      <w:r>
        <w:rPr>
          <w:rStyle w:val="FootnoteAnchor"/>
          <w:rtl w:val="true"/>
        </w:rPr>
        <w:footnoteReference w:id="1327"/>
      </w:r>
      <w:r>
        <w:rPr>
          <w:rFonts w:ascii="IRNazanin" w:hAnsi="IRNazanin" w:eastAsia="IRNazanin"/>
          <w:color w:val="111111"/>
          <w:sz w:val="28"/>
          <w:sz w:val="28"/>
          <w:szCs w:val="28"/>
          <w:rtl w:val="true"/>
          <w:lang w:bidi="fa-IR"/>
        </w:rPr>
        <w:t>، ولاحتمال أن الفسخ 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 لمنع النص، ومنع كون الفسخ من أصله، بل من حينه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إلى لزوم إرجاع صاع من يُر مع الشاة في أحد قوليه </w:t>
      </w:r>
      <w:r>
        <w:rPr>
          <w:rStyle w:val="FootnoteAnchor"/>
          <w:rtl w:val="true"/>
        </w:rPr>
        <w:footnoteReference w:id="1328"/>
      </w:r>
      <w:r>
        <w:rPr>
          <w:rFonts w:ascii="Amiri" w:hAnsi="Amiri" w:eastAsia="Amiri" w:cs="Amiri"/>
          <w:color w:val="111111"/>
          <w:sz w:val="28"/>
          <w:sz w:val="28"/>
          <w:szCs w:val="28"/>
          <w:rtl w:val="true"/>
          <w:lang w:bidi="ar-SA"/>
        </w:rPr>
        <w:t>، وفي 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تمر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وخيّر بينهما في الغنية، مدعياً عليه الإجماع </w:t>
      </w:r>
      <w:r>
        <w:rPr>
          <w:rStyle w:val="FootnoteAnchor"/>
          <w:rtl w:val="true"/>
        </w:rPr>
        <w:footnoteReference w:id="1330"/>
      </w:r>
      <w:r>
        <w:rPr>
          <w:rFonts w:ascii="Amiri" w:hAnsi="Amiri" w:eastAsia="Amiri" w:cs="Amiri"/>
          <w:color w:val="111111"/>
          <w:sz w:val="28"/>
          <w:sz w:val="28"/>
          <w:szCs w:val="28"/>
          <w:rtl w:val="true"/>
          <w:lang w:bidi="ar-SA"/>
        </w:rPr>
        <w:t xml:space="preserve">جمعاً بين النبويين الدالين على ثبوت الخيار في الشاة المصراة إلى ثلاثة أيام وأنّه إن ردّها ردّ معها صاعاً من تمر، كما في أحدهما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المستند ومخالف لفتوى المشهور ومنافٍ لمقتضى القواعد من ثبوت غرامة على المشتري من غير سبب شرعي إن ردّ الصاع مع اللبن، ومن لزوم قبول مال على البائع عوض ماله من غير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وجوب ردّ ثلاثة أمداد </w:t>
      </w:r>
      <w:r>
        <w:rPr>
          <w:rStyle w:val="FootnoteAnchor"/>
          <w:rtl w:val="true"/>
        </w:rPr>
        <w:footnoteReference w:id="1333"/>
      </w:r>
      <w:r>
        <w:rPr>
          <w:rFonts w:ascii="IRNazanin" w:hAnsi="IRNazanin" w:eastAsia="IRNazanin"/>
          <w:color w:val="111111"/>
          <w:sz w:val="28"/>
          <w:sz w:val="28"/>
          <w:szCs w:val="28"/>
          <w:rtl w:val="true"/>
          <w:lang w:bidi="fa-IR"/>
        </w:rPr>
        <w:t>، وظاهره مع شرب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1334"/>
      </w:r>
      <w:r>
        <w:rPr>
          <w:rFonts w:ascii="Amiri" w:hAnsi="Amiri" w:eastAsia="Amiri" w:cs="Amiri"/>
          <w:color w:val="111111"/>
          <w:sz w:val="28"/>
          <w:sz w:val="28"/>
          <w:szCs w:val="28"/>
          <w:rtl w:val="true"/>
          <w:lang w:bidi="ar-SA"/>
        </w:rPr>
        <w:t xml:space="preserve">أن مستند الشيخ رواية الحلبي الآتية </w:t>
      </w:r>
      <w:r>
        <w:rPr>
          <w:rStyle w:val="FootnoteAnchor"/>
          <w:rtl w:val="true"/>
        </w:rPr>
        <w:footnoteReference w:id="1335"/>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 في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التصرية لو ثبتت حال العقد بالبينة أو الإقرار أو قرائن الأحوال ولم يتبرأ البائع من خيارها، كان للمشتري الخيار بين الرد أو الإمساك من دون أرش حال العلم بذلك، وإن تراخى زمن العلم عن زمن العقد ما لم يتصرف بها بغير الحلب، فإن تصرف ففي الردّ وعدمه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ثبوت الخيار بين زوال التصرية وتجدد اللبن منحةً من اللّه تعالى، وبين عدمه على الأظهر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خيارها فوري؛ بناءً على أنّه تدليس وخياره فوري على الأظهر، فلا يلزم الانتظار ثلاثة أيام؛ لاحتمال تجدّد اللبن منحةً من اللّه تعالى، بل يجوز الفسخ مطلقاً وإن تجدّد اللبن؛ لأصالة اللزوم في العقد على سبيل الدوام، وغايته ما خرج زمن الفور فيبقى الباقي، أو متراخ؛ بناءً على أنّه خيار عيب وهو متراخ على الأظهر، أو يمتد إلى ثلاثة أيام؛ إما بناءً على أنَّه </w:t>
      </w:r>
    </w:p>
    <w:p>
      <w:pPr>
        <w:pStyle w:val="BookText"/>
        <w:rPr/>
      </w:pPr>
      <w:r>
        <w:rPr>
          <w:rFonts w:ascii="Amiri" w:hAnsi="Amiri" w:eastAsia="Amiri" w:cs="Amiri"/>
          <w:color w:val="111111"/>
          <w:sz w:val="28"/>
          <w:sz w:val="28"/>
          <w:szCs w:val="28"/>
          <w:rtl w:val="true"/>
          <w:lang w:bidi="ar-SA"/>
        </w:rPr>
        <w:t xml:space="preserve">خيار مستقل، وتحديده الثلاثة عملاً بالرواية النبوية </w:t>
      </w:r>
      <w:r>
        <w:rPr>
          <w:rStyle w:val="FootnoteAnchor"/>
          <w:rtl w:val="true"/>
        </w:rPr>
        <w:footnoteReference w:id="1336"/>
      </w:r>
      <w:r>
        <w:rPr>
          <w:rFonts w:ascii="IRNazanin" w:hAnsi="IRNazanin" w:eastAsia="IRNazanin"/>
          <w:color w:val="111111"/>
          <w:sz w:val="28"/>
          <w:sz w:val="28"/>
          <w:szCs w:val="28"/>
          <w:rtl w:val="true"/>
          <w:lang w:bidi="fa-IR"/>
        </w:rPr>
        <w:t>الدالة على ذلك، أو على أنّه خيار حيوان لا يسقط بالتصرّف عملاً بموجب الدليل ؟ وفي الأخير قوة، إلا أنّه يشكل أنّه لو كان خیار حيوان لما ثبت بعد الثلاثة إذا لم يعلم المشتري بالتصرية قبلها، والتزامه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امتداده إلى الثلاثة بناءً على أنّه خيار مستقل، فهل يمتد متراخياً، أو يمتد فوراً متى ما علم إلى أن تنتهي الثلاثة فينقطع، أو يمتد في الثلاثة متراخياً، علم بالتصرية أم لم يعلم، ويمتد بعدها مع الجهل على سبيل الفور ؟ وجوه واحتمالات مبنيّة على تحقيق اندراج خيار التصرية في أي الخيارات، وعلى فوريّة الفسخ في الخيار وعدمه، وليس في أخبارنا الخاصة كشف لذلك سوى رواية الحلبي في رجل اشترى شاةً فأمسكها ثلاثة أيام وردّها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تلك الأيام يشرب لبنها ردّ معها ثلاثة أمداد، وإن لم يكن لها لبن فليس عليه شيء</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المعنى والمبنى؛ لأنّها إن حملت على المصرّاة ناقض عجزها صدرها؛ لدلالتها على أن لا شيء عليه مع عدم اللبن ولا تكون مصرّاةً من غير لبن، وخالفت القواعد من ضمان المثلي بالأمداد، وغرامته بمثله لا بالأمداد، ومن كون الأمداد مجهولة، ومن غرامة المالك ما أتلفه في ملكه لغيره، لعدم تقييد اللبن بالسابق فيدخل فيه الحادث، ومن أنّ الردّ بعد الثلاثة على ما يظهر منها وظاهر الأكثر لزوم الردّ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حملت على غيرها، خالفت القواعد أيضاً من جهة عدم إسقاط التصرف للخيار، ومن جهة جواز الرد بعد الثلاثة، وهو منافٍ لخيار الحيوان، كما هو الظاهر من الرد أنّه لمكان خيار الحيوان، ومن جهة جملة مما قدمنا، فاطراحها أولى وأحرى، كما أنّ الأولى والأقرب في النظر ردّ خيار التصرية لخيار التدليس وجريان أحكامه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التصرية شامل لكل العقود الناقلة، إلا إذا جعلناه خيار حيوان لا يسقط بالتصرف فيخص البيع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ظهر عيب في الشاة المصراة لم يبطل الردّ إن كان في الثلاثة وكان خيارها باقياً، أما لو كان بعدها أو مع سقوطه فيها بطل الردّ إن أرجعنا خيار التصرية لخيار العيب، كما يظهر من بعضهم </w:t>
      </w:r>
      <w:r>
        <w:rPr>
          <w:rStyle w:val="FootnoteAnchor"/>
          <w:rtl w:val="true"/>
        </w:rPr>
        <w:footnoteReference w:id="1338"/>
      </w:r>
      <w:r>
        <w:rPr>
          <w:rFonts w:ascii="Amiri" w:hAnsi="Amiri" w:eastAsia="Amiri" w:cs="Amiri"/>
          <w:color w:val="111111"/>
          <w:sz w:val="28"/>
          <w:sz w:val="28"/>
          <w:szCs w:val="28"/>
          <w:rtl w:val="true"/>
          <w:lang w:bidi="ar-SA"/>
        </w:rPr>
        <w:t>، وإن جعلناه خياراً مستقلاً أو خيار تدليس فوجهان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جواز الرد مع ضمان أرش العيب للبائع؛ لأنّ العيب هنا مضمون على المشتري، مع احتمال كونه مضموناً على البائع؛ لأنهتفي زمن الخيار المختص بالمشتري، والضمان فيه على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تلفت الشاة أو ماتت في غير الثلاثة أو بعد سقوطها، احتمل سقوط الفسخ وبقاء الأرش، واحتمل بقاء الخيار فيأخذ الثمن ويدفع قيمة الشاة، واحتمل الانفساخ ويكون التلف من مال البائع؛ لأنّه في زمن الخيار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التصرية لو لم تثبت حال العقد ببينة أو إقرار، اختبرها المشتري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ويكمل المنكسر من اليوم الرابع، قليلاً كان الكسر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دخول الليالي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بحلبها على النحو المتعارف بالوقت المتعارف، فإن تساوت حلباتها أو زادت اللاحقة على السابقة أو حصل بينها تفاوت جزئي لا يُعتد به سقط الخيار، سواء في ذلك تقدَّم الشك في التصرية أو تقدَّم الظنّ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علم بها حال العقد فاختبرها لاحتمال زوالها فظهر زوالها ولم ينقص اللبن منحةً اللّه تعالى، ففي 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ظهور أثر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نقصت الحلبات كلّ لاحقة عن سابقتها ثبتت بذلك التصرية، وثبت الخيار بعد الثلاثة فوراً، كذا ذكر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بناءً منهم على الفورية في خيار التدليس والتصرية، وعلى أن الاختبار لا يحصل إلا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نظر، وفي الثاني منع؛ لجواز حصول الاختبار فيما هو أقل من ذلك فتكون الثلاث ظرفاً للاختبار وللخيار، وجواز عدم حصوله في الثلاث وإن تحقق النقصان؛ للشكّ في عروض عارض للشاة بعد العقد اقتضى ذلك من تغيير زمانٍ أو تغيير مرعى أو مرض أو نحو ذلك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يشك في عروض عارض، كان الظاهر استناد النقصان إلى التصرية لا لعروض عارض، ويؤيده أصالة عدمه، ويكتفى بمثل هذا الظهور في هذا المقام، كما ينبئ عنه كلام العلماء الأعلام، كما أنّه لا عبرة بظهور النقصان بعد الثلاثة؛ لاحتمال كونه من عروض عارض، فيلزم الاقتصار على مورد اليقين من ثبوت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في الثلاثة اتصال اليوم الأوّل بالعقد، أو لا يشترط مطلقاً ولو حصل فصل طويل بين العقد وبينها، أو يفرّق بين اليوم واليومين فلا تنافي الاختبار، أو بين الأكثر فتنافيه؟ وجوه، أوجهها الأول؛ اقتصاراً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استيعاب الأيام الثلاثة في الاختبار، أم لا يشترط ؟ والظاهر عدم اشتراط ذلك، بل المدار على ما يحصل به يقين التصرية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تكرّر الحلبة في كلّ يوم كما هو المعتاد ؟ والظاهر أنّه لا يشترط ذلك، كما أنّه لا يشترط على الظاهر نقصان الحلبات بعضها عن بعض، بل يكفي نقصان الجميع عن الأولى مع مساواة الباقي بعضه لبعض، أو مع زيادة بعض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نقصت الحلبة الثانية وزادت الثالثة حتّى ساوت الأولى ثمّ نقصت الرابعة حتّى ساوت الثانية، ففي حصول التصرية إشكال وأشكل منه ما لو زادت الثالثة على الأُولى ثمّ نقصت الرابعة عن الثانية، من احتمال كون الزيادة هبةً من اللّه تعالى فلا تنافي ثبوت التصرية، و من لزوم الاقتصار على المورد اليقيني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تساوت الحلبات في جميع الأيام سوى الحلبة الأخيرة في اليوم الثالث فنقصت عن الجميع، ففي ثبوت التصرية بذلك وعدمه وجهان من إطلاق جعلهم الاختبار في الثلاثة والظاهر شموله لمثل ذلك، ومن عدم الظنّ القوي بحصول التصرية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فحكم خيار التصرية لخلوه من الأخبار وإجماع الفقهاء الأخيار مما يحتاج إلى تأمل ونظرٍ من حيث كونه خيار عيب، أو خيار تدليس، أو خيار حيوان، أو خيار مستقل، ومن حيث امتداده في الثلاثة فوراً أو متراخياً، ومن حيث كونه ما بعد الثلاثة ممّا يثبت أم لا؟ وبعد ثبوته فهل يثبت فوراً أو متراخياً ؟ ومن حيث إنّ الثلاثة ظرف للخيار مطلقاً، أو ظرف له إذا ثبتت التصرية بالإقرار دون الاختبار ؟ ولو ثبتت بالاختبار كان الخيار ما بعد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الاختبار هل يشترط فيه القطع، أو يكفي الظن بحصولها من جهته ؟</w:t>
      </w:r>
    </w:p>
    <w:p>
      <w:pPr>
        <w:pStyle w:val="BookText"/>
        <w:rPr/>
      </w:pPr>
      <w:r>
        <w:rPr>
          <w:rFonts w:ascii="Amiri" w:hAnsi="Amiri" w:eastAsia="Amiri" w:cs="Amiri"/>
          <w:color w:val="111111"/>
          <w:sz w:val="28"/>
          <w:sz w:val="28"/>
          <w:szCs w:val="28"/>
          <w:rtl w:val="true"/>
          <w:lang w:bidi="ar-SA"/>
        </w:rPr>
        <w:t>ثم إنّه هل يشترط فيه الاستيعاب في الثلاثة، أو لا يشترط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يشترط مساواة الجميع المتأخرة عن الأُولى في النقصان عنها أو نقصان بعض عن بعض، أو لا يشترط ؟ </w:t>
      </w:r>
      <w:bookmarkStart w:id="581" w:name="pg19000_245538"/>
    </w:p>
    <w:p>
      <w:pPr>
        <w:pStyle w:val="BookText"/>
        <w:rPr/>
      </w:pPr>
      <w:bookmarkEnd w:id="581"/>
      <w:r>
        <w:rPr>
          <w:rFonts w:ascii="Amiri" w:hAnsi="Amiri" w:eastAsia="Amiri" w:cs="Amiri"/>
          <w:color w:val="111111"/>
          <w:sz w:val="28"/>
          <w:sz w:val="28"/>
          <w:szCs w:val="28"/>
          <w:rtl w:val="true"/>
          <w:lang w:bidi="ar-SA"/>
        </w:rPr>
        <w:t>ثم إن ثبوت الخيار بعد الثلاثة هل هو من حينه، أو كاشف عن ثبوته من الابتداء كي يترتب عليه أحكام الخيار المختص ؟ إلى غير ذلك من الفروع المتكثرة المذكورة ها هنا والتي لم تذكر</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3372542_1280447820"/>
      <w:bookmarkStart w:id="583" w:name="_Toc217"/>
      <w:bookmarkEnd w:id="582"/>
      <w:r>
        <w:rPr>
          <w:rtl w:val="true"/>
        </w:rPr>
        <w:t>ثالثها</w:t>
      </w:r>
      <w:r>
        <w:rPr>
          <w:rtl w:val="true"/>
        </w:rPr>
        <w:t xml:space="preserve">: </w:t>
      </w:r>
      <w:r>
        <w:rPr>
          <w:rtl w:val="true"/>
        </w:rPr>
        <w:t>في بيان العيوب الموجبة لرد الأمة والعبد في البيع وغيره</w:t>
      </w:r>
      <w:bookmarkEnd w:id="58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الأمة والعبد في البيع وغيره من عيوب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بما يُسمّى ذلك عرفاً، وبما يحكم به أهل الخبرة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فيهما التعدّد والعدالة؛ لأنّها شهادة، أو يشترط العدالة فقط؛ لأنّها خبر واحد، أو يشترط التعدد فقط؛ لأنّها شهادة لا يتيسر لمعرفتها العدول غالباً، أو لا يشترط سوى كون المخبر أميناً بصيراً عارفاً؛ لأنّها من الظنون الموضوعية ؟ 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الردّ بهذه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قارن العقد ظهورها أو تأخر عنه، قبل القبض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من حين العقد أو من حين القبض؛ لضمان المبيع على البائع قبله، عددية إن انكسر الشهر، وهلاليّة إن لم ينكسر، مع احتمال كونها هلاليةً مع الانكسار أيضاً، واحتمال التلفيق من شهر عددي وهلالية الباقي، فإن وقع أحد العيوب في أثناء السنة كان الخيار فيها فوراً أو متراخياً على الوجهين، وإن وقع في آخر جزء من السنة كان الخيار بعدها على الوجهين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المذكور في الجملة الأخبار </w:t>
      </w:r>
      <w:r>
        <w:rPr>
          <w:rStyle w:val="FootnoteAnchor"/>
          <w:rtl w:val="true"/>
        </w:rPr>
        <w:footnoteReference w:id="1339"/>
      </w:r>
      <w:r>
        <w:rPr>
          <w:rFonts w:ascii="Amiri" w:hAnsi="Amiri" w:eastAsia="Amiri" w:cs="Amiri"/>
          <w:color w:val="111111"/>
          <w:sz w:val="28"/>
          <w:sz w:val="28"/>
          <w:szCs w:val="28"/>
          <w:rtl w:val="true"/>
          <w:lang w:bidi="ar-SA"/>
        </w:rPr>
        <w:t xml:space="preserve">المستفيضة والإجماعات المحكية </w:t>
      </w:r>
      <w:r>
        <w:rPr>
          <w:rStyle w:val="FootnoteAnchor"/>
          <w:rtl w:val="true"/>
        </w:rPr>
        <w:footnoteReference w:id="1340"/>
      </w:r>
      <w:r>
        <w:rPr>
          <w:rFonts w:ascii="IRNazanin" w:hAnsi="IRNazanin" w:eastAsia="IRNazanin"/>
          <w:color w:val="111111"/>
          <w:sz w:val="28"/>
          <w:sz w:val="28"/>
          <w:szCs w:val="28"/>
          <w:rtl w:val="true"/>
          <w:lang w:bidi="fa-IR"/>
        </w:rPr>
        <w:t>وفتاوى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وأُلحق بهذه الثلاثة في جملة من الأخبار </w:t>
      </w:r>
      <w:r>
        <w:rPr>
          <w:rStyle w:val="FootnoteAnchor"/>
          <w:rtl w:val="true"/>
        </w:rPr>
        <w:footnoteReference w:id="1341"/>
      </w:r>
      <w:r>
        <w:rPr>
          <w:rFonts w:ascii="Amiri" w:hAnsi="Amiri" w:eastAsia="Amiri" w:cs="Amiri"/>
          <w:color w:val="111111"/>
          <w:sz w:val="28"/>
          <w:sz w:val="28"/>
          <w:szCs w:val="28"/>
          <w:rtl w:val="true"/>
          <w:lang w:bidi="ar-SA"/>
        </w:rPr>
        <w:t xml:space="preserve">وفي كلام الأصحاب حتّى نُقل عليه الشهرة </w:t>
      </w:r>
      <w:r>
        <w:rPr>
          <w:rStyle w:val="FootnoteAnchor"/>
          <w:rtl w:val="true"/>
        </w:rPr>
        <w:footnoteReference w:id="1342"/>
      </w:r>
      <w:r>
        <w:rPr>
          <w:rFonts w:ascii="Amiri" w:hAnsi="Amiri" w:eastAsia="Amiri" w:cs="Amiri"/>
          <w:color w:val="111111"/>
          <w:sz w:val="28"/>
          <w:sz w:val="28"/>
          <w:szCs w:val="28"/>
          <w:rtl w:val="true"/>
          <w:lang w:bidi="ar-SA"/>
        </w:rPr>
        <w:t>القرن على ما هو المعروف من معناه؛ لأصالة عدم النقل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الكافي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هو الحدبة تكون في الصدر تدخل الظهر وتخرج الصدر</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لم يثبت أنّه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ثبت فهو منزل على تشبيه القرن في الفرج بالحدبة</w:t>
      </w:r>
      <w:r>
        <w:rPr>
          <w:rFonts w:eastAsia="Amiri" w:cs="Amiri" w:ascii="Amiri" w:hAnsi="Amiri"/>
          <w:color w:val="111111"/>
          <w:sz w:val="28"/>
          <w:szCs w:val="28"/>
          <w:rtl w:val="true"/>
          <w:lang w:bidi="ar-SA"/>
        </w:rPr>
        <w:t xml:space="preserve">. </w:t>
      </w:r>
      <w:bookmarkStart w:id="584" w:name="pg19000_245539"/>
    </w:p>
    <w:p>
      <w:pPr>
        <w:pStyle w:val="BookText"/>
        <w:rPr/>
      </w:pPr>
      <w:bookmarkEnd w:id="584"/>
      <w:r>
        <w:rPr>
          <w:rFonts w:ascii="Amiri" w:hAnsi="Amiri" w:eastAsia="Amiri" w:cs="Amiri"/>
          <w:color w:val="111111"/>
          <w:sz w:val="28"/>
          <w:sz w:val="28"/>
          <w:szCs w:val="28"/>
          <w:rtl w:val="true"/>
          <w:lang w:bidi="ar-SA"/>
        </w:rPr>
        <w:t xml:space="preserve">وقد يشكل الردّ في الجذام؛ لأنّه إن كان الأمر دائراً مدار مبدإه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من أنّه يكمن سنة ثمّ يظهر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انعتق على البائع، وبطل البيع بالنسبة إليه، فينبغي لزوم رجوع المشتري بالثمن، وإن كان دائراً مدار،ظهوره فقد انعتق على المشترى وليس له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عند الفسخ إرجاع قيمته إلى البائع وأخذ الثمن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بمنع الانعتاق على البائع؛ لتوقفه على ظهوره وليس فليس، ولا على المشتري؛ لسبق تعلّق حق الخيار فلا ينفذ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لا يمنع نفوذه سبق الحقّ المتقدّم بعد تحقق الملك، ولا فرق بين الملك المستقر والمتزلزل؛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يجاب بحمل الردّ على ردّ القيمة دون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إلى القواعد بعيد عن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يجاب بتخصيص ما دلّ على الانعتاق بالجذام </w:t>
      </w:r>
      <w:r>
        <w:rPr>
          <w:rStyle w:val="FootnoteAnchor"/>
          <w:rtl w:val="true"/>
        </w:rPr>
        <w:footnoteReference w:id="1345"/>
      </w:r>
      <w:r>
        <w:rPr>
          <w:rFonts w:ascii="Amiri" w:hAnsi="Amiri" w:eastAsia="Amiri" w:cs="Amiri"/>
          <w:color w:val="111111"/>
          <w:sz w:val="28"/>
          <w:sz w:val="28"/>
          <w:szCs w:val="28"/>
          <w:rtl w:val="true"/>
          <w:lang w:bidi="ar-SA"/>
        </w:rPr>
        <w:t>بما دلّ على الرد، فلا ينعتق على المشتري حينئذٍ إلا إذا أمضى البيع ولا ينعتق على البائع إلا بعد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قريب للجمع بين الأخبار وكلمات الفقهاء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يسقط هذا الخيار بالتصرّف قبل ظهور العيب، أو بعده قبل العلم به مطلقاً، أو لا يسقط مطلقاً؛ لاستبعاد عدم تصرّف المشتري في هذه المدّة في المبيع مع إطلاق الأمر في الرد في الأخبار، أو يفرّق بين التصرّف المغيّر للعين أو الصفة فيمنع الردّ، وبين ما لم يغيّر فلا يمنع الردّ، وهو قوي، لولا نقل الإجماع من ابن إدريس لله على إسقاط التصرف للردّ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حدث عيب بعد الثلاثة، فالظاهر سقوط الردّ به، وثبوت الأرش للبائع على الأقوى والأظهر</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3372544_1280447820"/>
      <w:bookmarkStart w:id="586" w:name="_Toc218"/>
      <w:bookmarkEnd w:id="585"/>
      <w:r>
        <w:rPr>
          <w:rtl w:val="true"/>
        </w:rPr>
        <w:t>رابعها</w:t>
      </w:r>
      <w:r>
        <w:rPr>
          <w:rtl w:val="true"/>
        </w:rPr>
        <w:t xml:space="preserve">: </w:t>
      </w:r>
      <w:r>
        <w:rPr>
          <w:rtl w:val="true"/>
        </w:rPr>
        <w:t>في أن الانعتاق على المشتري ليس بعيب ولا يوجب ردّاً ولا أرشاً</w:t>
      </w:r>
      <w:bookmarkEnd w:id="58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الانعتاق على المشتري ليس بعيب، فلا يوجب رداً ولا أرشاً، مع احتمال جواز الرد لكن لا للعين؛ لعدم عود الحُرّ رقاً، بل للقيمة، واحتمال ثبوت الأرش، وهو تفاوت ما بين كونه عبداً يلزم عتقه وبين،عدمه، كلّ ذلك لحديث نفي الضرار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587" w:name="pg19000_245540"/>
    </w:p>
    <w:p>
      <w:pPr>
        <w:pStyle w:val="BookText"/>
        <w:rPr/>
      </w:pPr>
      <w:bookmarkEnd w:id="587"/>
      <w:r>
        <w:rPr>
          <w:rFonts w:ascii="Amiri" w:hAnsi="Amiri" w:eastAsia="Amiri" w:cs="Amiri"/>
          <w:color w:val="111111"/>
          <w:sz w:val="28"/>
          <w:sz w:val="28"/>
          <w:szCs w:val="28"/>
          <w:rtl w:val="true"/>
          <w:lang w:bidi="ar-SA"/>
        </w:rPr>
        <w:t>وكذا خروج الأمة زوجته سابقاً فينفسخ عقدها ليس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خروجها مما تحرم عليه مؤبداً بنسبٍ أو رضاع ليس بعيبٍ، فلا يثبت بها ردّ ولا أرش، مع احتمال جواز الردّ لمثل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حق الرهانة ليس بعيب أيضاً، وظهور كون العين مستأجرة كذلك وإن أوجبت الخيار للمشتري</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3372546_1280447820"/>
      <w:bookmarkStart w:id="589" w:name="_Toc219"/>
      <w:bookmarkEnd w:id="588"/>
      <w:r>
        <w:rPr>
          <w:rtl w:val="true"/>
        </w:rPr>
        <w:t>خامسها</w:t>
      </w:r>
      <w:r>
        <w:rPr>
          <w:rtl w:val="true"/>
        </w:rPr>
        <w:t xml:space="preserve">: </w:t>
      </w:r>
      <w:r>
        <w:rPr>
          <w:rtl w:val="true"/>
        </w:rPr>
        <w:t>في أن تكرّر الجناية من العبد عيب</w:t>
      </w:r>
      <w:bookmarkEnd w:id="58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الجناية عمداً من العبد عيب، بل وتكرّرها خطأ كذلك، وللمشتري الخيار بين الردّ وبين أخذ تفاوت ما بين كونه جناياً وغير جنّاي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نفس تعلق حق الجناية به فهل هو عيب ؟ الظاهر ذلك، إلا أن الأرش يكون بأخذ تفاوت ما بين كونه جناياً قد تعلّق به حق الجناية وبين كونه غير جنّاي ولا يتعلّق به حق الجناية، وقد ينفرد كونه جنّاياً عن كونه قد تعلّق به حق الجناية 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فبيع العبد الجاني جائز، خطأ كانت الجناية أو عمداً، إلا أن بيعه في جناية الخطأ التزام بالفداء بأقل الأمرين من قيمة العبد ومن أرش الجناية؛ لأن الجاني لا يجني على أكثر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زاد على قيمته يتعلّق بذمة العبد بعد عتقه في وجه قوي، فإن فداه فليس للمجني عليه حقٌّ، وإن لم يُفده لإعسار أو امتناع، كان للمجني عليه فسخ عقد المولى والرجوع برقبة الجاني؛ لسبق تعلّق حقه به وكان له الإمضاء، وأما المشتري فله الفسخ لعيب الجناية، وله الإمضاء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يدفع المولى أرش الجناية للمجني عليه، وإن دفعها، فإن كان قبل العقد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الجناية مع التكرار أو بدونه عيب كان له الخيار، وإلا فليس له؛ لزوال حق الجناية قبل العقد، وإن كان دفعها بعد العقد بنيت المسألة على ما تقدَّم وعلى أن زوال العيب قبل العلم به ممّا يُسقط الخيار أم لا ؟ فإن قلنا بأنّه ممّا يُسقط، سقط خياره من حيثية عدم تعلّق حق المجنى عليه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بيعه في جناية العمد فهو جائز أيضاً؛ لعموم الأدلّة، إلا أنّه موقوف على إجازة المجني </w:t>
      </w:r>
      <w:bookmarkStart w:id="590" w:name="pg19000_245541"/>
    </w:p>
    <w:p>
      <w:pPr>
        <w:pStyle w:val="BookText"/>
        <w:rPr/>
      </w:pPr>
      <w:bookmarkEnd w:id="590"/>
      <w:r>
        <w:rPr>
          <w:rFonts w:ascii="Amiri" w:hAnsi="Amiri" w:eastAsia="Amiri" w:cs="Amiri"/>
          <w:color w:val="111111"/>
          <w:sz w:val="28"/>
          <w:sz w:val="28"/>
          <w:szCs w:val="28"/>
          <w:rtl w:val="true"/>
          <w:lang w:bidi="ar-SA"/>
        </w:rPr>
        <w:t>عليه، فإن أجاز هو أو وارثه لزم والتزم المولى بأقل الأمرين من أرش الجناية وقيمة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الإجازة ناقلة أو كاشفة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المشتري فله الخيار إن علم بالجناية قبل إجازة المجني عليه أو العفو عنه، وإلا بنيت المسألة على أنّ نفس الجناية مطلقاً أو مع التكرّر عيب أم لا ؟ وعلى أن زوال حق المجني عليه قبل العلم به مسقط للخيار أم لا ؟ والحق ثبوت الخيار بهما، وعلى أن الإجازة من المجني عليه كاشفة أو ناقلة ؟ ويتوجه على الكشف عدم ثبوت الخيار للمشتري، من جهة تعلّق حق الجناية به لكشفها عن رضاه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 من العبد الجاني عند المشتري في غير زمن الخيار المختص به فلا ردّ؛ لحدوث العيب عنده وله الأرش، مع احتمال أنّ الردّ جائز مطلقاً؛ لأن القصاص مما ثبت سببه حال العقد فكأنه ثابت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أخذ أرش الجاني عمداً هو أن يأخذ تفاوت ما بين كونه جانياً عمداً قد تعلّق برقبته قصاص نفس أو طرف ولم يعلم من المجني عليه العفو عنه وعدمه، فربما كان الأرش على ذلك مستوعباً لقيمته أو لثمنه، ويقوى أخذ الأرش بذلك النحو على القول بأنّ الإجازة ناقلة</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3372548_1280447820"/>
      <w:bookmarkStart w:id="592" w:name="_Toc220"/>
      <w:bookmarkEnd w:id="591"/>
      <w:r>
        <w:rPr>
          <w:rtl w:val="true"/>
        </w:rPr>
        <w:t>سادسها</w:t>
      </w:r>
      <w:r>
        <w:rPr>
          <w:rtl w:val="true"/>
        </w:rPr>
        <w:t xml:space="preserve">: </w:t>
      </w:r>
      <w:r>
        <w:rPr>
          <w:rtl w:val="true"/>
        </w:rPr>
        <w:t>في أن الحمل عيب في الإماء يردّ به ويبطل الرد به عند حدوثه عند المشتري ما لم يكن في زمان الخيار المختص</w:t>
      </w:r>
      <w:bookmarkEnd w:id="592"/>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عيب في الإماء يُردّ به ويبطل الردّ به عند حدوثه عند المشتري ما لم يكن في زمن الخيار المختص، وفي غير الإماء ليس بعيبٍ فلا يُردّ به، ولا يبطل الردّ به والوضع ليس بعيبٍ فلا يُردّ به، ولا يبطل الردّ بالعيب بعد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ونسيان الصنعة عند المشتري ليس بعيب فلا يبطل الردّ به بالعيب به عند حدوثه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والارتداد عيب، لا مبطل للبيع على الأظهر، فيُردّ به، ويمسك مع أخذ الأرش، وقد يستوعب الأرش ها هنا الثمن؛ لضعف ماليته عند تقويمه كافراً لا حرمة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والزيادة في المبيع المتصلة به ليست عيباً، وتُردّ على البائع مع المبيع، ولا يملكها المشتري إلّا إذا كانت من مال المشتري قد أحدثها من دون تصرف فإنّه يكون شريكاً، ولو أحدثها بما يُسمّى تصرّفاً، سقط الردّ، والزيادة المنفصلة للمشتري، ولا يسقط بها الرد</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3372550_1280447820"/>
      <w:bookmarkStart w:id="594" w:name="_Toc221"/>
      <w:bookmarkEnd w:id="593"/>
      <w:r>
        <w:rPr>
          <w:rtl w:val="true"/>
        </w:rPr>
        <w:t>سابعها</w:t>
      </w:r>
      <w:r>
        <w:rPr>
          <w:rtl w:val="true"/>
        </w:rPr>
        <w:t xml:space="preserve">: </w:t>
      </w:r>
      <w:r>
        <w:rPr>
          <w:rtl w:val="true"/>
        </w:rPr>
        <w:t>حكم ما لو اشترى أحد النقدين بمثله فظهر فيه عيب قاض بجواز رده</w:t>
      </w:r>
      <w:bookmarkEnd w:id="59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أحد النقدين بمثله فظهر فيه عيب قاض بجواز رده فله رده ما </w:t>
      </w:r>
      <w:bookmarkStart w:id="595" w:name="pg19000_245542"/>
    </w:p>
    <w:p>
      <w:pPr>
        <w:pStyle w:val="BookText"/>
        <w:rPr/>
      </w:pPr>
      <w:bookmarkEnd w:id="595"/>
      <w:r>
        <w:rPr>
          <w:rFonts w:ascii="Amiri" w:hAnsi="Amiri" w:eastAsia="Amiri" w:cs="Amiri"/>
          <w:color w:val="111111"/>
          <w:sz w:val="28"/>
          <w:sz w:val="28"/>
          <w:szCs w:val="28"/>
          <w:rtl w:val="true"/>
          <w:lang w:bidi="ar-SA"/>
        </w:rPr>
        <w:t>لم يتصرّف أو يحدث عنده عيب آخر، فإن تصرف أو حدث عنده عيب سقط الرد، ولم يجز أخذ الأرش؛ بناءً على أنّ الأرش زيادة في أحد العوضين فيلزم الربا، ولا يجوز الرد على البائع مع رد أرش العيب أو أُجرة التصرف؛ للزوم الربا في وجه ضعيف، أو لسقوط الرد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الصبر على العيب مجاناً؛ للزوم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فالأوجه في الجمع بين الحقوق أن يفسخ المشتري ويرجع مثل المبيع معيباً بالقديم سليماً من الجديد، أو يرجع قيمته من غير جنسه أو مساويةً للثمن، وطريق تقويمه أن يقوم المبيع معيباً بالقديم سليماً من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وإن كان قريباً إلا أنّه مخالف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فرض الموجود معدوماً، ولزوم المعاوضة القهرية على البائع، ولزوم ردّ القيمة مع وجود العين، ولزوم الفسخ من غير رد، ولزوم جواز الفسخ بعد حصول العيب، فالأحوط الرضى به مجاناً، أو رضى البائع بالرد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المعيب عند المشتري، فلا يبعد على ما ذكرنا جواز الفسخ وإرجاع المثل على نحو ما ذكرنا، أو القيمة من غير الجنس؛ لامتناع أخذ الأرش، فيكون ذلك طريق الجمع</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3372552_1280447820"/>
      <w:bookmarkStart w:id="597" w:name="_Toc222"/>
      <w:bookmarkEnd w:id="596"/>
      <w:r>
        <w:rPr>
          <w:rtl w:val="true"/>
        </w:rPr>
        <w:t>ثامنها</w:t>
      </w:r>
      <w:r>
        <w:rPr>
          <w:rtl w:val="true"/>
        </w:rPr>
        <w:t xml:space="preserve">: </w:t>
      </w:r>
      <w:r>
        <w:rPr>
          <w:rtl w:val="true"/>
        </w:rPr>
        <w:t>حكم ما لو ادعى البائع التبرّي من العيوب بعد ما تصادقا عليه</w:t>
      </w:r>
      <w:bookmarkEnd w:id="597"/>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البائع التبرّي من العيوب بعد ما تصادقا على حصوله، فالقول قول المشتري مع يمينه على البتّ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التبري؛ لصحة اليمين القاطعة على نفي فعل المنكر نفسه وهو السماع، ومع يمينه على نفي العلم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بالتبرئة، وليس له أن يحلف على عدم التبري؛ لأنّه يمين على نفي فعل الغير فلا يقع على البت، وفي قبوله مع صدوره للقطع به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البائع بينةً على صدور التبرّي منه مع سماع المشتري لها، سمعت بينته، وتسقط اليمين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بيّنةً على مجرد حصول التبرّي منه من دون اقترانه بسماع المشتري، قبلت على الظاهر إذا كان ظاهره السماع لعدم العارض من صمم ونحوه، إلا إذا ادعى عدم السماع فلا بد من إقامة البينة على سماعه، وللمدعي ترك البينة وتكليف المشتري باليمين وليس للمشتري تكليف البائع بالبينة مع وجودها وترك اليمين مع طلب البائع منه اليمين، على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 القضاء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آخر كتاب جعفر بن عيسى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w:t>
      </w:r>
    </w:p>
    <w:p>
      <w:pPr>
        <w:pStyle w:val="BookText"/>
        <w:rPr/>
      </w:pPr>
      <w:r>
        <w:rPr>
          <w:rFonts w:ascii="Amiri" w:hAnsi="Amiri" w:eastAsia="Amiri" w:cs="Amiri"/>
          <w:color w:val="111111"/>
          <w:sz w:val="28"/>
          <w:sz w:val="28"/>
          <w:szCs w:val="28"/>
          <w:rtl w:val="true"/>
          <w:lang w:bidi="ar-SA"/>
        </w:rPr>
        <w:t xml:space="preserve">منها، 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 أيُصدَّق فلا يجب عليه الثمن، أو لا يُصدق فيجب عليه الثمن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ضعيف سنداً، مع احتماله؛ لوقوع الإنكار من المشتري مدالسة لعدم رغبته في المبيع، وإلا فهو عالم بوقوع التبرّي من البائع كما يلوح من صدرها، أو لإرادة أن الثمن عليه ظاهراً قبل اليمين؛ لحصول البيع الموجب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البائع على المشتري الإسقاط كان القول قول المشتري في نفيه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حصول العيب واختلفا في زمن ذلك، فقال المشتري قبل العقد أو القبض، وقال البائع بعدهما، أو اختلفا في المقارنة، فالقول قول البائع بيمينه؛ للشك في عروض الخيار له عند معارضة الأصلين، وأصالة عدم الاقتران، فيرجع إلى أصل اللزوم، مع احتمال الحكم بتأخير مجهول التأريخ عن معلومه واحتمال التداعي، ولكنه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تقم قرائن قطعية تقضي بتقديم قول المشتري، أو قرائن ظنّية تقضي بظهور صدق مقالته، كما يحصل الظنّ في تقدَّم كثير من العيوب ويظهر ذلك من حالها، فلا يبعد حينئذٍ تقديم قول المشتري؛ لرجحان قوله بموافقة الظاهر، ويحلف البائع على القطع بعدم تقدَّم العيب إن كان مما يمارس أحوال المبيع ويطلع عليه، فإن لم يكن من أهل ذلك ولا يعلم بتأخر العيب أو تقدّمه احتمل الاكتفاء منه باليمين على نفي العلم، واحتمل سقوط اليمين عنه وردّه على المشتري، فيحلف على تقدَّم العيب فيكون عدم العلم منه بمنزلة النكول، واحتمل تكليفه بالحلف على نفي العيب؛ تمسكاً بأصل الصحّة، فإن لم يحلف قضي عليه بالنكول، أو يردّ اليمين على المشتري واحتمل تصديق قول المشتري؛ لعدم حصول ما يعارضه من البائع سنوى عدم العلم، وهو لا يصلح للمعارضة، واحتمل تحليفه على نفي العلم، وبعده يرد اليمين على المشتري، أو ينتظر عثوره على بينة، وهذا الأخير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أبرز المشتري دعواه على البائع العلم بذلك فأنكر البائع، فلا شك أنّه ليس له على البائع سوى تحليفه على نفي العلم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المشتري على البائع أصل العيب أو استحقاق الرد، فلا شك أن القول قول البائع، كما أن البائع لو ادعى عليه حدوث عيب عنده أو تصرّف بالمبيع ليبطل خياره بعد ثبوته، فالقول قول المشتري مع يمينه</w:t>
      </w:r>
      <w:r>
        <w:rPr>
          <w:rFonts w:eastAsia="Amiri" w:cs="Amiri" w:ascii="Amiri" w:hAnsi="Amiri"/>
          <w:color w:val="111111"/>
          <w:sz w:val="28"/>
          <w:szCs w:val="28"/>
          <w:rtl w:val="true"/>
          <w:lang w:bidi="ar-SA"/>
        </w:rPr>
        <w:t xml:space="preserve">. </w:t>
      </w:r>
      <w:bookmarkStart w:id="598" w:name="pg19000_245544"/>
    </w:p>
    <w:p>
      <w:pPr>
        <w:pStyle w:val="Heading5"/>
        <w:numPr>
          <w:ilvl w:val="4"/>
          <w:numId w:val="1"/>
        </w:numPr>
        <w:rPr/>
      </w:pPr>
      <w:bookmarkStart w:id="599" w:name="__RefHeading___Toc13372554_1280447820"/>
      <w:bookmarkStart w:id="600" w:name="_Toc223"/>
      <w:bookmarkEnd w:id="598"/>
      <w:bookmarkEnd w:id="599"/>
      <w:r>
        <w:rPr>
          <w:rtl w:val="true"/>
        </w:rPr>
        <w:t>تاسعها</w:t>
      </w:r>
      <w:r>
        <w:rPr>
          <w:rtl w:val="true"/>
        </w:rPr>
        <w:t xml:space="preserve">: </w:t>
      </w:r>
      <w:r>
        <w:rPr>
          <w:rtl w:val="true"/>
        </w:rPr>
        <w:t>حكم ما لو ادعى المشتري الثيبوبة بعد اشتراط البكارة</w:t>
      </w:r>
      <w:bookmarkEnd w:id="600"/>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الثيبوبة بعد اشتراط البكارة حكم عليه بشهادة أربع نساء جامعات لشرائط الشهادة يعرفن ذلك من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نظر هنّ إلى الفرج إشكال، والأحوط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سماع قول المأمونة الواحدة أو سماع قول الجارية نفسها إذا حصل الظنّ بقولهنّ وجه؛ لمكان التعسر فيكتفى بكلّ ظنّ، ولأنّهنّ مصدقات على فروجهن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المشتري السلعة بعيب قديم فأنكر البائع أنّها سلعته، كان القول قوله بيمينه، وكذا لو ردّها بعيب متفق على ثبوت الخيار فيه بينهما إلا أن البائع أنكر كونها سلعته، فإنّ القول قوله بيمينه أيضاً؛ لأصالة البراءة من لزوم دفع الثمن، ولاستصحاب بقاء ملكه، ولأصالة عدم الفسخ بنفس الردّ، ولأصالة عدم كون هذا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المشتري أولاً فرد سلعةً أنكر البائع كونها له، فالقول قوله كذلك، إلا أنّه يجب عليه دفع الثمن، إلا أن يأخذه مقاصةً عن ماله وله جبر المشتري على إحضار سلعته بعد اليمين على أن المأتى به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القول قول المشتري ؛ لادعاء البائع عليه الخيانة وهو ينكرها، وادعائه عليه سقوط الخيار بعد اتفاقهم على ثبوته وهو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ضعيف؛ لعدم تعلّق الدعوى أوّلاً وبالذات في الخيانة وعدمها، ولا في بقاء الخيار وسقوطه ليتوجه تقديم قول المشتري</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3372556_1280447820"/>
      <w:bookmarkStart w:id="602" w:name="_Toc224"/>
      <w:bookmarkEnd w:id="601"/>
      <w:r>
        <w:rPr>
          <w:rtl w:val="true"/>
        </w:rPr>
        <w:t>عاشرها</w:t>
      </w:r>
      <w:r>
        <w:rPr>
          <w:rtl w:val="true"/>
        </w:rPr>
        <w:t xml:space="preserve">: </w:t>
      </w:r>
      <w:r>
        <w:rPr>
          <w:rtl w:val="true"/>
        </w:rPr>
        <w:t>حكم ما لو باع الوكيل معيباً فظهر العيب وصدّقه المشتري في الوكالة</w:t>
      </w:r>
      <w:bookmarkEnd w:id="602"/>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الوكيل معيباً فظهر العيب وصدقه المشتري في الوكالة، كان للمشتري الرد على الموكل وليس له على الوكيل شيء، ولا يُسمع إقرار الوكيل بالعيب على الموكل عند التداعي؛ لأنّه إقرار في حق الغير، وله الردّ على الوكيل إذا كان وكيلاً على قبض المعيب بعد فسخه إذا قلنا بصحة هذه الوكالة، وله مطالبة الموكل بالثمن إذا كان الوكيل وكيلاً على قبضه فقبضه عنه، سواء أوصله الوكيل للموكل أم لا؛ لأنّ يده يده، وله مطالبة الوكيل به ما دام باقياً لم يوصله إلى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الوكيل وكيلاً على قبض الثمن، طالب الوكيل به خاصة، إلا إذا وكله في دفعه للبائع، فإنّه ليس له مطالبته به بعد دفعه 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يصدّق المشتري الوكيل بالوكالة فردّ المعيب عليه، فإن صدقه بثبوت العيب ردّه </w:t>
      </w:r>
    </w:p>
    <w:p>
      <w:pPr>
        <w:pStyle w:val="BookText"/>
        <w:rPr/>
      </w:pPr>
      <w:r>
        <w:rPr>
          <w:rFonts w:ascii="Amiri" w:hAnsi="Amiri" w:eastAsia="Amiri" w:cs="Amiri"/>
          <w:color w:val="111111"/>
          <w:sz w:val="28"/>
          <w:sz w:val="28"/>
          <w:szCs w:val="28"/>
          <w:rtl w:val="true"/>
          <w:lang w:bidi="ar-SA"/>
        </w:rPr>
        <w:t>الوكيل على الموكل فإن أنكر الموكل حدوث العيب عنده لم يملك الوكيل ردّه عليه، وله على الموكل اليمين على عدم حدوث العيب وقت ضمانه عليه لرفع الظلامة من المشتري عنه؛ لاحتمال إقراره عند طلب اليمين منه، فإن حلف على عدم حدوث العيب عنده سلم من رده عليه، لبراءته باليمين، وغرم الوكيل الثمن؛ لعلمه بسبق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يرجع به مقاصةً أم لا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شغل ذمّتهم له؛ لأنّهم أخذوا بظاهر الشرع فليس له المقاصة، ومن ضمانهم واقعاً فله ذلك، وهو الأقوى، ويبقى المبيع كالمال المعرض عنه أمانةٌ، أو يتملكه الوكيل؛ لأنّه مال لا طالب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الموكل على الوكيل اليمين فحلف على سبق العيب الزم بالحق، وكذا إن أقام الوكيل بينةً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يصدقه بثبوت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أنكر الوكيل حدوث العيب عند البائع كما أنكره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تحليف المشتري مع عدم علمه بالوكالة، فإن حلف المشتري كان للمشتري تحليف الوكيل على عدم تقدّمه ليرفع عنه الظلامة، لا لنفي ذلك عن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يملك المشتري تحليف الموكل؛ لإمكان إقراره كي يستحق الرد، أم لا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دعواه على أحدهما تنافي دعواه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مؤاخذة له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يحلف الوكيل بأن نكل أو ردّ اليمين على المشتري بسبق العيب فحلف المشتري اليمين المردودة فردّ المعيب عليه دون الموكل؛ لجهالته بالوكالة، فعند ردّه عليه احتمل بقاؤه عنده وعدم ردّه على الموكل؛ لإجراء اليمين المردودة مجرى الإقرار، وإقرار الوكيل لا يثبت على الموكل شيئاً، على أنّه يعلم أنّه مظلوم فلا يظلم غيره، فحينئذٍ يبقى المبيع عنده أمانة، أو يملكه؛ لشبهه بالإعراض، ويغرم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 له الردّ على الموكل ؛ لإجراء اليمين مجرى البينة لقيامها مقامها فتعطى أحكامها، فكما أن للوكيل أن يرد المعيب على الموكل بالبينة فكذا له أن يردّه باليمين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قسم برأسه، فلا يصح التفريع المتقدم، بل لو جعلنا اليمين المردودة بمنزلة البيّنة أيضاً لا يمكن ردّ المعيب على الموكل لاعتراف الوكيل بعدم سبق العيب وأنّه مظلوم ومَنْ ظلم لا يظلم، إلا أن يكون قد استند في إنكاره لغير القطع، بل لاستصحاب الصحّة وشبهها، ولأنّها لو كانت بمنزلة البينة فهى بمنزلة البينة على المنكر وهو الوكيل، لا مطلقاً</w:t>
      </w:r>
      <w:r>
        <w:rPr>
          <w:rFonts w:eastAsia="Amiri" w:cs="Amiri" w:ascii="Amiri" w:hAnsi="Amiri"/>
          <w:color w:val="111111"/>
          <w:sz w:val="28"/>
          <w:szCs w:val="28"/>
          <w:rtl w:val="true"/>
          <w:lang w:bidi="ar-SA"/>
        </w:rPr>
        <w:t xml:space="preserve">. </w:t>
      </w:r>
      <w:bookmarkStart w:id="603" w:name="pg19000_245546"/>
    </w:p>
    <w:p>
      <w:pPr>
        <w:pStyle w:val="Heading3"/>
        <w:numPr>
          <w:ilvl w:val="2"/>
          <w:numId w:val="1"/>
        </w:numPr>
        <w:rPr/>
      </w:pPr>
      <w:bookmarkStart w:id="604" w:name="__RefHeading___Toc13372558_1280447820"/>
      <w:bookmarkStart w:id="605" w:name="_Toc225"/>
      <w:bookmarkEnd w:id="603"/>
      <w:bookmarkEnd w:id="604"/>
      <w:r>
        <w:rPr>
          <w:rtl w:val="true"/>
        </w:rPr>
        <w:t>القول في المرابحة وتوابعها</w:t>
      </w:r>
      <w:bookmarkEnd w:id="605"/>
    </w:p>
    <w:p>
      <w:pPr>
        <w:pStyle w:val="Heading4"/>
        <w:numPr>
          <w:ilvl w:val="3"/>
          <w:numId w:val="1"/>
        </w:numPr>
        <w:rPr/>
      </w:pPr>
      <w:bookmarkStart w:id="606" w:name="__RefHeading___Toc13372560_1280447820"/>
      <w:bookmarkStart w:id="607" w:name="_Toc226"/>
      <w:bookmarkEnd w:id="606"/>
      <w:r>
        <w:rPr>
          <w:rtl w:val="true"/>
        </w:rPr>
        <w:t>وفيه أُمور</w:t>
      </w:r>
      <w:r>
        <w:rPr>
          <w:rtl w:val="true"/>
        </w:rPr>
        <w:t>:</w:t>
      </w:r>
      <w:bookmarkEnd w:id="607"/>
    </w:p>
    <w:p>
      <w:pPr>
        <w:pStyle w:val="Heading5"/>
        <w:numPr>
          <w:ilvl w:val="4"/>
          <w:numId w:val="1"/>
        </w:numPr>
        <w:rPr/>
      </w:pPr>
      <w:bookmarkStart w:id="608" w:name="__RefHeading___Toc13372562_1280447820"/>
      <w:bookmarkStart w:id="609" w:name="_Toc227"/>
      <w:bookmarkEnd w:id="608"/>
      <w:r>
        <w:rPr>
          <w:rtl w:val="true"/>
        </w:rPr>
        <w:t>أحدها</w:t>
      </w:r>
      <w:r>
        <w:rPr>
          <w:rtl w:val="true"/>
        </w:rPr>
        <w:t xml:space="preserve">: </w:t>
      </w:r>
      <w:r>
        <w:rPr>
          <w:rtl w:val="true"/>
        </w:rPr>
        <w:t>في تعريف المرابحة والمواضعة وما يتعلّق بهما من الأحكام</w:t>
      </w:r>
      <w:bookmarkEnd w:id="60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المرابحة مفاعلة من الربح، وهي تقتضي المشاركة، ولا مشاركة ها هنا حقيقةً إلا أنّه نُزِّل قبول أحدهما ورضاه بمنزلة دفع الآخر، ونُزِّل تسببه عنهما بمنزلة وقوعه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المواضعة مفاعلة من الوضع، ونُزِّل تسبّبه عنهما ووقوعه من أحدهما ورضى الآخر به بمنزلة صدوره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خروجهما عن المعنى الأصلي إلى معنى شرعي أو متشرعي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برأس المال وزيادة عليه بعد الإخبار به، أو عليه وعلى مؤن المبيع بعد الإخبار به وبها بعقد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المواضعة هو النقل بنقصان عن رأس المال بعد الإخبار به، أو نقصان عنه وعن المؤن بعد الإخبار بهما بعقد البيع، ففي المرابحة هو نفس البيع بذلك النحو، وفي المواضعة نفس البيع بالنحو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بد في المرابحة والمواضعة من نقل متقدّم ليتحقق فيهما رأس المال، فلا يكفي الانتقال بغير عقد معاوضة متقدّم، كميرات وحيازة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يشترط في ذلك النقل أن يكون بالبيع على الظاهر من الفتوى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فيهما من نقل متأخر والظاهر اشتراط كونه بيعاً اصطلاحاً منهم على ذلك، وإلا فكثير من أحكامهما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الكذب، وثبوت الخيار للمكذوب عليه، ولزوم تعيين الصرف والجنس والأجل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للنقل بالبيع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فيهما من إخبار البائع أو مَنْ يأمره برأس المال ليربح عليه أو يضع، فلا يكفي في الاسم أو الحكم إخبار غيره أو إخباره لا ليربح أو يضع، وقد يضمّ إلى رأس المال غيره من المؤن كلاً أو بعضاً، وقد لا يضمّ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المرابحة والمواضعة هما الزيادة على رأس المال أو ما يتبعه، أو النقيصة عنهما في البيع مع الإخبار به أو بهما، فعلى ذلك فهما وصفان من صفات البيع، لا نوعان من أنواعه</w:t>
      </w:r>
      <w:r>
        <w:rPr>
          <w:rFonts w:eastAsia="Amiri" w:cs="Amiri" w:ascii="Amiri" w:hAnsi="Amiri"/>
          <w:color w:val="111111"/>
          <w:sz w:val="28"/>
          <w:szCs w:val="28"/>
          <w:rtl w:val="true"/>
          <w:lang w:bidi="ar-SA"/>
        </w:rPr>
        <w:t xml:space="preserve">. </w:t>
      </w:r>
      <w:bookmarkStart w:id="610" w:name="pg19000_245547"/>
    </w:p>
    <w:p>
      <w:pPr>
        <w:pStyle w:val="BookText"/>
        <w:rPr/>
      </w:pPr>
      <w:bookmarkEnd w:id="610"/>
      <w:r>
        <w:rPr>
          <w:rFonts w:ascii="Amiri" w:hAnsi="Amiri" w:eastAsia="Amiri" w:cs="Amiri"/>
          <w:color w:val="111111"/>
          <w:sz w:val="28"/>
          <w:sz w:val="28"/>
          <w:szCs w:val="28"/>
          <w:rtl w:val="true"/>
          <w:lang w:bidi="ar-SA"/>
        </w:rPr>
        <w:t>و على كلّ حال فلا ينعقد البيع بما اشتق منهما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لعدم المعهودية عرفاً وشرعاً</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3372564_1280447820"/>
      <w:bookmarkStart w:id="612" w:name="_Toc228"/>
      <w:bookmarkEnd w:id="611"/>
      <w:r>
        <w:rPr>
          <w:rtl w:val="true"/>
        </w:rPr>
        <w:t>ثانيها</w:t>
      </w:r>
      <w:r>
        <w:rPr>
          <w:rtl w:val="true"/>
        </w:rPr>
        <w:t xml:space="preserve">: </w:t>
      </w:r>
      <w:r>
        <w:rPr>
          <w:rtl w:val="true"/>
        </w:rPr>
        <w:t>في تعريف المساومة</w:t>
      </w:r>
      <w:bookmarkEnd w:id="61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من دون إخبار من البائع برأس المال ليبنى عليه العقد أو به وبما غرمه على المبيع من المُؤن يُسمّى مساومةً، والظاهر أنّها أيضاً من خواص البيع، وأنّه لا بد فيها من تقدَّم معاوضة على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أخبر برأس المال لا ليبنى عليه البيع كان مساومة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المساومة من صفات البيع، وهي عدم ذكر رأس المال فيه، لا من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ينعقد البيع بما اشتق من لفظها؛ لعدم المعهودية</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3372566_1280447820"/>
      <w:bookmarkStart w:id="614" w:name="_Toc229"/>
      <w:bookmarkEnd w:id="613"/>
      <w:r>
        <w:rPr>
          <w:rtl w:val="true"/>
        </w:rPr>
        <w:t>ثالثها</w:t>
      </w:r>
      <w:r>
        <w:rPr>
          <w:rtl w:val="true"/>
        </w:rPr>
        <w:t xml:space="preserve">: </w:t>
      </w:r>
      <w:r>
        <w:rPr>
          <w:rtl w:val="true"/>
        </w:rPr>
        <w:t>في تعريف التولية</w:t>
      </w:r>
      <w:bookmarkEnd w:id="61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برأس المال مع ذكره أو برأس المال مع المُؤن من دون زيادة مع ذكرهما يُسمى شرعاً أو متشرعاً 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التولية من صفات البيع لا من أنواعه، وهي عدم الزيادة على رأس المال في البيع مع الإخبار به أو عدم الزيادة عليه وعلى ما يذكره من المؤن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يشترط فيها تقدَّم معاوضةٍ وذكر رأس المال فقط، أو هو وما يتبعه ليبنى عليه البيع، وكون العقد الثاني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جواز انعقاد البيع بلفظها وجواز جعل مفعولها نفس السلعة،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هذا المال بما 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بيانه، وجواز جعل مفعولها نفس العقد المتقدّم،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العقد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ذكر الثمن في العقد وإن اشترط تقدَّم العلم به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الأخير لا يكون معنى التولية هو نفس البيع؛ إذ لا يتعلّق البيع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هذه الأربعة المتقدّمة في تحقق الاسم كون المبيع عيناً، أو لا يشترط بل يكفي كونه كليّاً أو دَيْناً ؟ وجهان</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3372568_1280447820"/>
      <w:bookmarkStart w:id="616" w:name="_Toc230"/>
      <w:bookmarkEnd w:id="615"/>
      <w:r>
        <w:rPr>
          <w:rtl w:val="true"/>
        </w:rPr>
        <w:t>رابعها</w:t>
      </w:r>
      <w:r>
        <w:rPr>
          <w:rtl w:val="true"/>
        </w:rPr>
        <w:t xml:space="preserve">: </w:t>
      </w:r>
      <w:r>
        <w:rPr>
          <w:rtl w:val="true"/>
        </w:rPr>
        <w:t>في تعريف التشريك</w:t>
      </w:r>
      <w:bookmarkEnd w:id="61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أزاد بعضُهم </w:t>
      </w:r>
      <w:r>
        <w:rPr>
          <w:rStyle w:val="FootnoteAnchor"/>
          <w:rtl w:val="true"/>
        </w:rPr>
        <w:footnoteReference w:id="1350"/>
      </w:r>
      <w:r>
        <w:rPr>
          <w:rFonts w:ascii="Amiri" w:hAnsi="Amiri" w:eastAsia="Amiri" w:cs="Amiri"/>
          <w:color w:val="111111"/>
          <w:sz w:val="28"/>
          <w:sz w:val="28"/>
          <w:szCs w:val="28"/>
          <w:rtl w:val="true"/>
          <w:lang w:bidi="ar-SA"/>
        </w:rPr>
        <w:t xml:space="preserve">التشريك، وذكر أنّ في الأخبار </w:t>
      </w:r>
      <w:r>
        <w:rPr>
          <w:rStyle w:val="FootnoteAnchor"/>
          <w:rtl w:val="true"/>
        </w:rPr>
        <w:footnoteReference w:id="1351"/>
      </w:r>
      <w:r>
        <w:rPr>
          <w:rFonts w:ascii="Amiri" w:hAnsi="Amiri" w:eastAsia="Amiri" w:cs="Amiri"/>
          <w:color w:val="111111"/>
          <w:sz w:val="28"/>
          <w:sz w:val="28"/>
          <w:szCs w:val="28"/>
          <w:rtl w:val="true"/>
          <w:lang w:bidi="ar-SA"/>
        </w:rPr>
        <w:t>ما يدل عليه، وهو بيع جزء مشاع من المبيع بما يخصه من الثمن، وهو رأس المال فقط، أو الثمن والمؤن مع الإخبار بالقدر من البائع</w:t>
      </w:r>
      <w:r>
        <w:rPr>
          <w:rFonts w:eastAsia="Amiri" w:cs="Amiri" w:ascii="Amiri" w:hAnsi="Amiri"/>
          <w:color w:val="111111"/>
          <w:sz w:val="28"/>
          <w:szCs w:val="28"/>
          <w:rtl w:val="true"/>
          <w:lang w:bidi="ar-SA"/>
        </w:rPr>
        <w:t xml:space="preserve">. </w:t>
      </w:r>
      <w:bookmarkStart w:id="617" w:name="pg19000_245548"/>
    </w:p>
    <w:p>
      <w:pPr>
        <w:pStyle w:val="BookText"/>
        <w:rPr/>
      </w:pPr>
      <w:bookmarkEnd w:id="617"/>
      <w:r>
        <w:rPr>
          <w:rFonts w:ascii="Amiri" w:hAnsi="Amiri" w:eastAsia="Amiri" w:cs="Amiri"/>
          <w:color w:val="111111"/>
          <w:sz w:val="28"/>
          <w:sz w:val="28"/>
          <w:szCs w:val="28"/>
          <w:rtl w:val="true"/>
          <w:lang w:bidi="ar-SA"/>
        </w:rPr>
        <w:t>ويقع بلفظ البيع ولفظ التشريك،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شركتك بنصف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يخصه من الثمن بالنسبة بعد معرفة قدره لهما، فيقبل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برأس المال والثمن في هذه الخمسة هو ما كان مثله جنساً ونوعاً ووصفاً وقدراً، ولا يقع ذلك غالباً إلا في المثليات، وقد يقع في القيميات قليلاً، فعلى ذلك قلما تقع المرابحة وأخواتها فيما يكون رأس ماله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فالحصر في هذه الأقسام الخمسة اصطلاحي نقلي جاءت به الأخبار وكلمات الأخيار، لا عقلي دائر بين النفي والإثبات؛ لبقاء جملة من الأقسام ممّا يدور عليها بعض الأحكام مما لا تدخل في الأقسام الخمسة، أو ممّا يشكل دخولها فيها، كبيع جزءٍ معين من المبيع بما يخصه من رأس المال بعد تقسيطه عليه وبعد ذكره، أو بيعه بما يزيد على ذلك، أو بيعه بما ينقص عنه، أو بيعه بكلّ رأس المال، أو بيع جزء مشاع من المبيع بما يزيد على ما يقابله بالنسبة أو بما ينقص عنه أو بكلّ الثمن أو بكلّه وزيادة، أو بيع غير ما انتقل إليه بالبيع وشبهه كحيازة ونحوها، أو بيع ما انتقل إليه بغير البيع ولكنه لوحظ فيه البيع الأوّل فاعتبر رأس المال فيه من زيادة ونقيصةٍ ومساواة، إلى غير ذلك، ولو لم يعتبر في الأقسام الأولية تعلق البيع بجميع السلعة وملاحظة جميع رأس المال بالزيادة والنقصان أو المساواة لدخلت جملة من هذه الأقسام في الأقسام الأولية</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3372570_1280447820"/>
      <w:bookmarkStart w:id="619" w:name="_Toc231"/>
      <w:bookmarkEnd w:id="618"/>
      <w:r>
        <w:rPr>
          <w:rtl w:val="true"/>
        </w:rPr>
        <w:t xml:space="preserve">خامسها </w:t>
      </w:r>
      <w:r>
        <w:rPr>
          <w:rtl w:val="true"/>
        </w:rPr>
        <w:t xml:space="preserve">: </w:t>
      </w:r>
      <w:r>
        <w:rPr>
          <w:rtl w:val="true"/>
        </w:rPr>
        <w:t>اشتراط العلم برأس المال في جميع الأقسام المذكورة</w:t>
      </w:r>
      <w:bookmarkEnd w:id="61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جميع الأقسام المتقدّمة العلم برأس المال باطلاع المشتري أو بإخبار البائع أو غيره بأمره فيما إذا كان البيع برأس المال، وبه وبالمؤن وبالغرامات وجميع ما يراد انضمامه إليه إذا كان البيع به وبها مع المساواة أو الزيادة عليها أو النقصان عنها، فلو جهل شيئاً مما ذكر مع إدخاله في الثمن والتعبير عنه برأس المال وبالمؤن وبالغرامة ونحو ذلك بطل البيع للجهالة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فاللازم في ذلك العلم بجنس الثمن ونوعه وصنفه ونقده وصرفه الخاص ووزنه، وقد تقوم السكة مقام الوزن فيلزم بيان السكة، وكذا جنس ما يريد انضمامه إليه من المؤن إما ببیان نفس العين أو بيان قيمته، كما إذا عمل فيه عملاً له قيمة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وللبائع أن يضم إلى رأس المال كلّ مؤونة يقصد بالتزامها الاسترباح، كأجرة الحمل </w:t>
      </w:r>
      <w:bookmarkStart w:id="620" w:name="pg19000_245549"/>
    </w:p>
    <w:p>
      <w:pPr>
        <w:pStyle w:val="BookText"/>
        <w:rPr/>
      </w:pPr>
      <w:bookmarkEnd w:id="620"/>
      <w:r>
        <w:rPr>
          <w:rFonts w:ascii="Amiri" w:hAnsi="Amiri" w:eastAsia="Amiri" w:cs="Amiri"/>
          <w:color w:val="111111"/>
          <w:sz w:val="28"/>
          <w:sz w:val="28"/>
          <w:szCs w:val="28"/>
          <w:rtl w:val="true"/>
          <w:lang w:bidi="ar-SA"/>
        </w:rPr>
        <w:t>والكيل والحفظ والبيت والدلالة وإعطاء العشور والكمرك والخراج، وقيمة الصبغ والقصر والنشر والطي وغير ذلك، فيبيع حينئذٍ بمساوي ذلك أو زيادة عليه أو نقيصة عنه مع البيان وعدم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يضمّ أيضاً ما لم يقصد بالتزامها الاسترباح بل النفقة، كعلف الدابة، ونفقة العبد وكسوته، ورحل الدابة، وأجرة الطبيب عند المرض، ونحو ذلك، فيبيع على ذلك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هل يخرج عن الأقسام المتقدّمة اصطلاحاً أو يدخل فيها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ضمّ أُموراً خارجة عن ذلك كنفقة البائع وعطائه وزياراته وهباته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بعد ضمها على نحو الأقسام المتقدّمة، فهو جائز، إلّا أنّ الظاهر خروجه عن الأقسام المتقدّمة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المتقدّمة تدور مدار ما يُخبر به البائع فيزيد عليه أو ينقص عنه أو يبيع به، فإن شاء ذكر رأس المال وترك المُؤن وربح عليه، فتكون مرابحةً برأس المال، وإن شاء ذكرهما وربح عليهما، فتكون مرابحة بالمؤن وبرأس المال والمؤن جميعاً، وعلى ذلك النحو باقي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رأس المال بقصد الربح عليه وذكر المؤن بقصد الوضيعة، قام احتمال أنّها وضيعة وأنها مرابحة ومواضعة</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3372572_1280447820"/>
      <w:bookmarkStart w:id="622" w:name="_Toc232"/>
      <w:bookmarkEnd w:id="621"/>
      <w:r>
        <w:rPr>
          <w:rtl w:val="true"/>
        </w:rPr>
        <w:t>سادسها</w:t>
      </w:r>
      <w:r>
        <w:rPr>
          <w:rtl w:val="true"/>
        </w:rPr>
        <w:t xml:space="preserve">: </w:t>
      </w:r>
      <w:r>
        <w:rPr>
          <w:rtl w:val="true"/>
        </w:rPr>
        <w:t>وجوب الصدق في الإخبار وعدم الكذب والتورية</w:t>
      </w:r>
      <w:bookmarkEnd w:id="622"/>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شرعاً ويلزمه شرطاً لتحقيق صدق المرابحة الصدقُ في الإخبار وعدم الكذب والتورية، فإن كان الإخبار عن رأس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ماله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وإن كان الإخبار عنه وعن مُؤنه،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علَيَّ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 فيه عملاً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وعملتُ فيه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يعبر بالأعمّ عن الأخص، وليس له أن يعبّر بالأخص عن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ذكر الغبن لو كان مغبوناً، ولو أخذ مالاً عوض غبنه لم يجب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معيباً فأخذ الأرش فالأظهر إمّا لزوم إسقاط الأرش والإخبار بالباقي ؛ لأنّه إما جزء من الثمن أو كالجزء منه وقد رجع إليه، وإما الإخبار بصورة الحال، ولكن لو أسقط الأرش وأخبر بالباقي لزمه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علَيَّ بكذا 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الشراء الأوّل لا في المحصل بعد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جواز الإخبار بأصل الثمن من دون ذكر الأرش؛ لانصراف الخطاب للشراء الأول وهو صادق فيه</w:t>
      </w:r>
      <w:r>
        <w:rPr>
          <w:rFonts w:eastAsia="Amiri" w:cs="Amiri" w:ascii="Amiri" w:hAnsi="Amiri"/>
          <w:color w:val="111111"/>
          <w:sz w:val="28"/>
          <w:szCs w:val="28"/>
          <w:rtl w:val="true"/>
          <w:lang w:bidi="ar-SA"/>
        </w:rPr>
        <w:t xml:space="preserve">. </w:t>
      </w:r>
      <w:bookmarkStart w:id="623" w:name="pg19000_245550"/>
    </w:p>
    <w:p>
      <w:pPr>
        <w:pStyle w:val="BookText"/>
        <w:rPr/>
      </w:pPr>
      <w:bookmarkEnd w:id="623"/>
      <w:r>
        <w:rPr>
          <w:rFonts w:ascii="Amiri" w:hAnsi="Amiri" w:eastAsia="Amiri" w:cs="Amiri"/>
          <w:color w:val="111111"/>
          <w:sz w:val="28"/>
          <w:sz w:val="28"/>
          <w:szCs w:val="28"/>
          <w:rtl w:val="true"/>
          <w:lang w:bidi="ar-SA"/>
        </w:rPr>
        <w:t>ولا يجب على البائع ذكر ما وهبه المشتري من الثمن أو أبرأه منه إلا مع المواطأة فيحرم؛ لمكان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ذكر ما أخذه من نماء، أو أرش جنايةٍ على مملوكه، كما أن مملوكه لو جنى ففداه ليس له أن يضمّ الفداء من غير تصريح،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عليَّ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معيباً فاستحق الأرش ولكن لم يأخذه، ففي وجوب الإخبار بصورة الحال وجه يوافقه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الإخبار بما طرأ بعد البيع ممّا ينقص القيمة من حدوث عيب أو ظهور وصفٍ رديء أو عروض فعل قبيح كجناية ونحوها، أو لا يجب ؟ وجهان، أحوطهما لزوم ذلك؛ لبناء المرابحة على الصدق والبيان فيما يلزم فيه الربح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البائع ذكر الأجل؛ لأنّ له قسطاً من الثمن، سواء باع مؤجلاً أو حالاً، فلو أطلق في إخباره برأس المال انصرف للحلول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له ذكر نفس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البائع الإخبار بما فعله مواطأةً مع المشتري من زيادة ثمن أو حلول مع تأخيره بنذرٍ أو يمين، دون تأخيره بنفس العقد</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3372574_1280447820"/>
      <w:bookmarkStart w:id="625" w:name="_Toc233"/>
      <w:bookmarkEnd w:id="624"/>
      <w:r>
        <w:rPr>
          <w:rtl w:val="true"/>
        </w:rPr>
        <w:t>سابعها</w:t>
      </w:r>
      <w:r>
        <w:rPr>
          <w:rtl w:val="true"/>
        </w:rPr>
        <w:t xml:space="preserve">: </w:t>
      </w:r>
      <w:r>
        <w:rPr>
          <w:rtl w:val="true"/>
        </w:rPr>
        <w:t>حكم ما لو ظهر كذب البائع في إخباره برأس المال</w:t>
      </w:r>
      <w:bookmarkEnd w:id="625"/>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كذب البائع في إخباره برأس المال للمشتري أو زيادة المؤن أو الأجل أو نحو ذلك مما تتفاوت به الرغبات والقيم، كان للمشتري الخيار بين الردّ والإمساك مجاناً؛ لحديث نفي الضرار </w:t>
      </w:r>
      <w:r>
        <w:rPr>
          <w:rStyle w:val="FootnoteAnchor"/>
          <w:rtl w:val="true"/>
        </w:rPr>
        <w:footnoteReference w:id="1352"/>
      </w:r>
      <w:r>
        <w:rPr>
          <w:rFonts w:ascii="Amiri" w:hAnsi="Amiri" w:eastAsia="Amiri" w:cs="Amiri"/>
          <w:color w:val="111111"/>
          <w:sz w:val="28"/>
          <w:sz w:val="28"/>
          <w:szCs w:val="28"/>
          <w:rtl w:val="true"/>
          <w:lang w:bidi="ar-SA"/>
        </w:rPr>
        <w:t>، ولفتوى العلماء الأخيار، ولدخوله في التدليس المحرم والغش الممنوع منه، ويجري الحكم في جميع الأقسام المتقدّمة؛ لاشتراكها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يخص هذا الخيار عقد البيع أو يعم سائر العقود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الاقتصار على مورد اليقين من الإجماع، ومن ظهور جريان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فوري أم لا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ببذل الزيادة أم لا ؟ وجهان، أقواهما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باشتراط سقوطه وبإسقاطه بعد العقد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سقوطه بتلف المبيع أو حدوث سبب فيه أو بإحداث حدث ناقل أو مغيّر نظر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يبنى الحكم على أنّ هذا الخيار خيار مستقل، أو خيار تدليس، أو خيار وصف، أو </w:t>
      </w:r>
    </w:p>
    <w:p>
      <w:pPr>
        <w:pStyle w:val="BookText"/>
        <w:rPr/>
      </w:pPr>
      <w:r>
        <w:rPr>
          <w:rFonts w:ascii="Amiri" w:hAnsi="Amiri" w:eastAsia="Amiri" w:cs="Amiri"/>
          <w:color w:val="111111"/>
          <w:sz w:val="28"/>
          <w:sz w:val="28"/>
          <w:szCs w:val="28"/>
          <w:rtl w:val="true"/>
          <w:lang w:bidi="ar-SA"/>
        </w:rPr>
        <w:t>خيار شرط، ولا يبعد الأوَّل، وعليه ففي ثبوت الخيار بظهور كذبه في الشراء من مكان خاص أو زمان خاص أو قوم خاصين، أو غير ذلك مما يورث رغبة للمشتري في شرائه ويحته على إقدامه على السلعة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وخيال فساد العقد من أصله فيما لو ظهر كذب البائع في إخباره برأس المال أو بالمؤن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تجارة عن غير تراض؛ لوقوع الرضى من المشتري على ما أخبر به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يحصل لم يحصل، ولعدم تحقق القصد إلى البيع مع عدم وقوع ما أخبر به البائع والبيع من دون قصد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مخالف لظواهر الأدلّة وفتوى الأصحاب؛ إذ لا يزيد الكذب في الإخبار على التدليس وفوات الشرط والوصف الذي قد بني البيع على عدمه في الأوّل ووجودهما في الأخيرين؛ لأنّ الرضى الصوري عند وقوع العقد كافٍ في الصحّة، ولا نعني بالتجارة عن تراض سوى ذلك، ومدّعي الزيادة عليه الدليل؛ لمنافاة قوله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للمشتري قدر التفاوت من ثمنه لو تبين كذب البائع، فيرجع من الثمن بقدر ما أزاده عليه كذباً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ذلك إن تبين له الخطأ أو الغلط دون غيرهما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غيره أنّ للمشتري ذلك إن تبين الخلاف بقوله، وله الخيار إن تبين بغير قوله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لضعف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والكذب في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أو إطلاقاً فينصرف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قدر الأجل يسلّط على الخيار أيضاً؛ لما ذكرناه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جمع </w:t>
      </w:r>
      <w:r>
        <w:rPr>
          <w:rStyle w:val="FootnoteAnchor"/>
          <w:rtl w:val="true"/>
        </w:rPr>
        <w:footnoteReference w:id="1356"/>
      </w:r>
      <w:r>
        <w:rPr>
          <w:rFonts w:ascii="Amiri" w:hAnsi="Amiri" w:eastAsia="Amiri" w:cs="Amiri"/>
          <w:color w:val="111111"/>
          <w:sz w:val="28"/>
          <w:sz w:val="28"/>
          <w:szCs w:val="28"/>
          <w:rtl w:val="true"/>
          <w:lang w:bidi="ar-SA"/>
        </w:rPr>
        <w:t xml:space="preserve">، إلى أن الكذب في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مع التصريح أو الإطلاق المنصرف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أن للمشتري من الأجل مثل ما للبائع؛ استناداً لما ورد في عدة أخبار من أنّ للمشتري من الأجل مثل ما للبائع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626" w:name="pg19000_245552"/>
    </w:p>
    <w:p>
      <w:pPr>
        <w:pStyle w:val="BookText"/>
        <w:rPr/>
      </w:pPr>
      <w:bookmarkEnd w:id="626"/>
      <w:r>
        <w:rPr>
          <w:rFonts w:ascii="Amiri" w:hAnsi="Amiri" w:eastAsia="Amiri" w:cs="Amiri"/>
          <w:color w:val="111111"/>
          <w:sz w:val="28"/>
          <w:sz w:val="28"/>
          <w:szCs w:val="28"/>
          <w:rtl w:val="true"/>
          <w:lang w:bidi="ar-SA"/>
        </w:rPr>
        <w:t>ولكن ظاهرها أن ذلك مع الإطلاق المنصرف للحلول لا مع التصريح به، كما أفتى به بعض الأساطين</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فهو مذهب ضعيف؛ لإعراض الأكثر عن الأخذ بأخباره، ومخالفتها للقواعد الدالة على لزوم الوفاء بالعقد والأخذ بمضمونه واتباع ما قصد منه؛ إذ لا شكّ أنّ صيرورة الثمن مؤجلاً قهراً على البائع مخالف لجميع ذلك، واحتمال كونه سبباً شرعياً عقوبة لكذبه، بعيد جداً بعد إعراض الأصحاب عن الحكم به، وحينئذٍ فحملها على الاستحباب أو طرحها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 الأخبار على صورة ما إذا اشتراه الثاني بمثل ما اشتراه الأوّل وكان عالماً بأجله ولم يعلم البائع به،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يسري الحكم على هذا المذهب إلى الكذب في قصر الأجل فتبين طوله في أنّ للمشتري بقدره أيضاً أم لا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للمشتري الخيار أيضاً إذا ظهر كذب البائع في ثمن الثمن وإن تصاعد؛ تنقيحاً للعلّة القطعية في ثبوت الحكم، وإن كان الأظهر اختصاص اسم المرابحة وأخواتها بالإخبار عن الثمن ومتعلقاته، لا الإخبار عن ثمن الثمن ومتعلقاته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3372576_1280447820"/>
      <w:bookmarkStart w:id="628" w:name="_Toc234"/>
      <w:bookmarkEnd w:id="627"/>
      <w:r>
        <w:rPr>
          <w:rtl w:val="true"/>
        </w:rPr>
        <w:t>ثامنها</w:t>
      </w:r>
      <w:r>
        <w:rPr>
          <w:rtl w:val="true"/>
        </w:rPr>
        <w:t xml:space="preserve">: </w:t>
      </w:r>
      <w:r>
        <w:rPr>
          <w:rtl w:val="true"/>
        </w:rPr>
        <w:t>فيما لو اشترى البائع شيئاً أو أشياء بثمن واحد فليس له الإخبار بشراء الأبعاض بقسطها من الثمن</w:t>
      </w:r>
      <w:bookmarkEnd w:id="628"/>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البائع شيئاً أو أشياء بثمن واحد، اتحد البائع أو تعدد، اتحد الإيجاب أو تعدّد، كانت الأشياء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كالحمل والصوف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متفرّقةٌ، فليس له الإخبار بشراء الأبعاض بقسطها من الثمن من دون الإخبار بصورة الحال في جميع الأقسام، سواء قسط الثمن بنظره، أو كان معلوماً عنده للزوم الكذب في الإخبار، لظهوره في الشراء المنفرد، وللإجماعات المنقولة على المنع </w:t>
      </w:r>
      <w:r>
        <w:rPr>
          <w:rStyle w:val="FootnoteAnchor"/>
          <w:rtl w:val="true"/>
        </w:rPr>
        <w:footnoteReference w:id="1359"/>
      </w:r>
      <w:r>
        <w:rPr>
          <w:rFonts w:ascii="IRNazanin" w:hAnsi="IRNazanin" w:eastAsia="IRNazanin"/>
          <w:color w:val="111111"/>
          <w:sz w:val="28"/>
          <w:sz w:val="28"/>
          <w:szCs w:val="28"/>
          <w:rtl w:val="true"/>
          <w:lang w:bidi="fa-IR"/>
        </w:rPr>
        <w:t xml:space="preserve">، وللأخبار </w:t>
      </w:r>
      <w:r>
        <w:rPr>
          <w:rStyle w:val="FootnoteAnchor"/>
          <w:rtl w:val="true"/>
        </w:rPr>
        <w:footnoteReference w:id="1360"/>
      </w:r>
      <w:r>
        <w:rPr>
          <w:rFonts w:ascii="Amiri" w:hAnsi="Amiri" w:eastAsia="Amiri" w:cs="Amiri"/>
          <w:color w:val="111111"/>
          <w:sz w:val="28"/>
          <w:sz w:val="28"/>
          <w:szCs w:val="28"/>
          <w:rtl w:val="true"/>
          <w:lang w:bidi="ar-SA"/>
        </w:rPr>
        <w:t>المعتبرة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كذلك صح البيع وفَعَل حراماً، وكان للمشتري الخيار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تدخل في اسم المرابحة اصطلاحاً ؟ وجهان، ودخولها في اسم المرابحة وفي حكمها قريب</w:t>
      </w:r>
      <w:r>
        <w:rPr>
          <w:rFonts w:eastAsia="Amiri" w:cs="Amiri" w:ascii="Amiri" w:hAnsi="Amiri"/>
          <w:color w:val="111111"/>
          <w:sz w:val="28"/>
          <w:szCs w:val="28"/>
          <w:rtl w:val="true"/>
          <w:lang w:bidi="ar-SA"/>
        </w:rPr>
        <w:t xml:space="preserve">. </w:t>
      </w:r>
      <w:bookmarkStart w:id="629" w:name="pg19000_245553"/>
    </w:p>
    <w:p>
      <w:pPr>
        <w:pStyle w:val="BookText"/>
        <w:rPr/>
      </w:pPr>
      <w:bookmarkEnd w:id="629"/>
      <w:r>
        <w:rPr>
          <w:rFonts w:ascii="Amiri" w:hAnsi="Amiri" w:eastAsia="Amiri" w:cs="Amiri"/>
          <w:color w:val="111111"/>
          <w:sz w:val="28"/>
          <w:sz w:val="28"/>
          <w:szCs w:val="28"/>
          <w:rtl w:val="true"/>
          <w:lang w:bidi="ar-SA"/>
        </w:rPr>
        <w:t>ولو أخبر بصورة الحال، كان البيع جائزاً صحيحاً، ويقوى دخولها في اسم المرابحة وحكمها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فيما ذكرناه بين المتفق فى الحقيقة النوعية وبين المختلف، وبين أن يساوي بينها بالقيمة وبين أن يفرّق، وبين أن يبيع خيارها بالأقل أو أدناها بالأكثر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تلف بعض المبيع قبل قبضه أو في مدة الخيار المختص أو تبعضت الصفقة على المشتري لظهور عدم ملك بعض أجزاء المبيع فقسط الثمن على ما اشتراه، ففي وجوب الإخبار بصورة الحال إشكال والأحوط ذلك</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3372578_1280447820"/>
      <w:bookmarkStart w:id="631" w:name="_Toc235"/>
      <w:bookmarkEnd w:id="630"/>
      <w:r>
        <w:rPr>
          <w:rtl w:val="true"/>
        </w:rPr>
        <w:t>تاسعها</w:t>
      </w:r>
      <w:r>
        <w:rPr>
          <w:rtl w:val="true"/>
        </w:rPr>
        <w:t xml:space="preserve">: </w:t>
      </w:r>
      <w:r>
        <w:rPr>
          <w:rtl w:val="true"/>
        </w:rPr>
        <w:t>حكم ما لو ادعى البائع زيادة الثمن على ما أخبر به</w:t>
      </w:r>
      <w:bookmarkEnd w:id="631"/>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البائع زيادة الثمن على ما أخبر به، فإن كان عن علم مضى عليه البيع ولا شيء له ولا تُسمع دعواه ولو كانت لأمر دعاه، وإن كان عن سهو أو غلط أو خطا في الحساب بحيث أظهر لتكذيب إقراره أمراً محتملاً، قوي القول بجواز سماع دعواه والأخذ ببينته؛ للزوم العسر والحرج والضرر والضرار المنفيّين </w:t>
      </w:r>
      <w:r>
        <w:rPr>
          <w:rStyle w:val="FootnoteAnchor"/>
          <w:rtl w:val="true"/>
        </w:rPr>
        <w:footnoteReference w:id="1361"/>
      </w:r>
      <w:r>
        <w:rPr>
          <w:rFonts w:ascii="Amiri" w:hAnsi="Amiri" w:eastAsia="Amiri" w:cs="Amiri"/>
          <w:color w:val="111111"/>
          <w:sz w:val="28"/>
          <w:sz w:val="28"/>
          <w:szCs w:val="28"/>
          <w:rtl w:val="true"/>
          <w:lang w:bidi="ar-SA"/>
        </w:rPr>
        <w:t>لولا ذلك، واحتمل عدم سماعها؛ لمكان إقراره الأوّل فهو مكذب لبيئته، واحتمل أنّه إن استند إلى الجهل بالكثرة لم تسمع دعواه، وإن استند للغلط أو لخطإ وكيله في إخباره له بالمقدار 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فلو ثبت ذلك بالبينة أو بتصديق المشتري ثبت للبائع الخيار في الفسخ أو الإمضاء للزوم الضرر عليه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البائع على المشتري العلم بالكثرة والعلم بجهل البائع بها، كان له إحلافه على نفي ذلك؛ لحصول نفع له بتوجيه اليمين عليه من احتمال إقرار أو نكول، فيقضى للبائع بما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عليه اليمين فحلف البائع اليمين المردودة، ثبت الحقّ له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قسم برأسه مثبت للحق،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إقرار المنكر،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البينة، قام احتمال عدم ثبوت الحقّ بها؛ لعدم سماع ما هي بمنزلته، لتكذيبها بإقراره</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3372580_1280447820"/>
      <w:bookmarkStart w:id="633" w:name="_Toc236"/>
      <w:bookmarkEnd w:id="632"/>
      <w:r>
        <w:rPr>
          <w:rtl w:val="true"/>
        </w:rPr>
        <w:t>عاشرها</w:t>
      </w:r>
      <w:r>
        <w:rPr>
          <w:rtl w:val="true"/>
        </w:rPr>
        <w:t xml:space="preserve">: </w:t>
      </w:r>
      <w:r>
        <w:rPr>
          <w:rtl w:val="true"/>
        </w:rPr>
        <w:t>جواز شراء المتاع البائعه من مشتريه منه ومن غيره حالاً ومؤجلاً بزيادة مرابحة أو غيرها أو بنقيصة مواضعة أو غيرها أو بمساومة أو بتولية</w:t>
      </w:r>
      <w:bookmarkEnd w:id="63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المتاع لبائعه من مشتريه منه ومن غيره، حالاً ومؤجلاً على وجه الحلول أو التأجيل بزيادة مرابحة أو غيرها، أو بنقيصة مواضعة أو غيرها، أو بمساومة أو </w:t>
      </w:r>
      <w:bookmarkStart w:id="634" w:name="pg19000_245554"/>
    </w:p>
    <w:p>
      <w:pPr>
        <w:pStyle w:val="BookText"/>
        <w:rPr/>
      </w:pPr>
      <w:bookmarkEnd w:id="634"/>
      <w:r>
        <w:rPr>
          <w:rFonts w:ascii="Amiri" w:hAnsi="Amiri" w:eastAsia="Amiri" w:cs="Amiri"/>
          <w:color w:val="111111"/>
          <w:sz w:val="28"/>
          <w:sz w:val="28"/>
          <w:szCs w:val="28"/>
          <w:rtl w:val="true"/>
          <w:lang w:bidi="ar-SA"/>
        </w:rPr>
        <w:t xml:space="preserve">بتولية، قبل الأجل أو بعده، قبل القبض أو بعده، مكيلاً أو موزوناً،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بيع المكيل أو الموزون إذا كان طعاماً أو مطلقاً قبل قبضه، أو قبل كيله أو وزنه إن لم نقل بأنّ الكيل والوزن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Style w:val="FootnoteAnchor"/>
          <w:rtl w:val="true"/>
        </w:rPr>
        <w:footnoteReference w:id="1362"/>
      </w:r>
      <w:r>
        <w:rPr>
          <w:rFonts w:ascii="Amiri" w:hAnsi="Amiri" w:eastAsia="Amiri" w:cs="Amiri"/>
          <w:color w:val="111111"/>
          <w:sz w:val="28"/>
          <w:sz w:val="28"/>
          <w:szCs w:val="28"/>
          <w:rtl w:val="true"/>
          <w:lang w:bidi="ar-SA"/>
        </w:rPr>
        <w:t xml:space="preserve">الدالة على ذلك، ولفتوى الفقهاء به، وللجمع بين ما دلّ على الجواز </w:t>
      </w:r>
      <w:r>
        <w:rPr>
          <w:rStyle w:val="FootnoteAnchor"/>
          <w:rtl w:val="true"/>
        </w:rPr>
        <w:footnoteReference w:id="1363"/>
      </w:r>
      <w:r>
        <w:rPr>
          <w:rFonts w:ascii="Amiri" w:hAnsi="Amiri" w:eastAsia="Amiri" w:cs="Amiri"/>
          <w:color w:val="111111"/>
          <w:sz w:val="28"/>
          <w:sz w:val="28"/>
          <w:szCs w:val="28"/>
          <w:rtl w:val="true"/>
          <w:lang w:bidi="ar-SA"/>
        </w:rPr>
        <w:t xml:space="preserve">وبين ما دلّ على النهي </w:t>
      </w:r>
      <w:r>
        <w:rPr>
          <w:rStyle w:val="FootnoteAnchor"/>
          <w:rtl w:val="true"/>
        </w:rPr>
        <w:footnoteReference w:id="1364"/>
      </w:r>
      <w:r>
        <w:rPr>
          <w:rFonts w:ascii="Amiri" w:hAnsi="Amiri" w:eastAsia="Amiri" w:cs="Amiri"/>
          <w:color w:val="111111"/>
          <w:sz w:val="28"/>
          <w:sz w:val="28"/>
          <w:szCs w:val="28"/>
          <w:rtl w:val="true"/>
          <w:lang w:bidi="ar-SA"/>
        </w:rPr>
        <w:t xml:space="preserve">، يحمل النهي على الكراهة؛ لأنّها أقرب المجازات وأظهرها، ولفتوى المشهور بها، ولدلالة بعض الألفاظ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فالقول بالتحريم </w:t>
      </w:r>
      <w:r>
        <w:rPr>
          <w:rStyle w:val="FootnoteAnchor"/>
          <w:rtl w:val="true"/>
        </w:rPr>
        <w:footnoteReference w:id="136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استثناء التولية من حكم الكراهة وشبهة القول؛ لدلالة بعض الأخبار </w:t>
      </w:r>
      <w:r>
        <w:rPr>
          <w:rStyle w:val="FootnoteAnchor"/>
          <w:rtl w:val="true"/>
        </w:rPr>
        <w:footnoteReference w:id="1367"/>
      </w:r>
      <w:r>
        <w:rPr>
          <w:rFonts w:ascii="Amiri" w:hAnsi="Amiri" w:eastAsia="Amiri" w:cs="Amiri"/>
          <w:color w:val="111111"/>
          <w:sz w:val="28"/>
          <w:sz w:val="28"/>
          <w:szCs w:val="28"/>
          <w:rtl w:val="true"/>
          <w:lang w:bidi="ar-SA"/>
        </w:rPr>
        <w:t>المعتبرة على 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لم يشترط البائع على المشتري شراءه منه في نفس عقد البيع، فلو شرط ذلك بطل البيع، لا للزوم الدور كما قيل </w:t>
      </w:r>
      <w:r>
        <w:rPr>
          <w:rStyle w:val="FootnoteAnchor"/>
          <w:rtl w:val="true"/>
        </w:rPr>
        <w:footnoteReference w:id="1368"/>
      </w:r>
      <w:r>
        <w:rPr>
          <w:rFonts w:ascii="Amiri" w:hAnsi="Amiri" w:eastAsia="Amiri" w:cs="Amiri"/>
          <w:color w:val="111111"/>
          <w:sz w:val="28"/>
          <w:sz w:val="28"/>
          <w:szCs w:val="28"/>
          <w:rtl w:val="true"/>
          <w:lang w:bidi="ar-SA"/>
        </w:rPr>
        <w:t xml:space="preserve">، ولا لعدم القصد كما قد يتخيل؛ لظهور ضعفهما، بل للإجماع المنقول </w:t>
      </w:r>
      <w:r>
        <w:rPr>
          <w:rStyle w:val="FootnoteAnchor"/>
          <w:rtl w:val="true"/>
        </w:rPr>
        <w:footnoteReference w:id="1369"/>
      </w:r>
      <w:r>
        <w:rPr>
          <w:rFonts w:ascii="Amiri" w:hAnsi="Amiri" w:eastAsia="Amiri" w:cs="Amiri"/>
          <w:color w:val="111111"/>
          <w:sz w:val="28"/>
          <w:sz w:val="28"/>
          <w:szCs w:val="28"/>
          <w:rtl w:val="true"/>
          <w:lang w:bidi="ar-SA"/>
        </w:rPr>
        <w:t>، والشهرة المحصلة، والأخبار الدالة على ذلك على ما تقدَّم في أحكام النسيئة، وعلى ذلك فالحكم يخص البيع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يخص بيع النسيئة أم لا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صرّح بالشرط، فلو لم يصرح به بل كان من قصدهما ذلك، كان البيع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لفتوى الفقهاء فضلاً عن فقيه واحد وللتفصي عن شبهة الاشتراط وعن عدم قصد النقل، ولا يحرم ولا يفسد؛ للأصل، ولعموم الأدلّة </w:t>
      </w:r>
      <w:r>
        <w:rPr>
          <w:rStyle w:val="FootnoteAnchor"/>
          <w:rtl w:val="true"/>
        </w:rPr>
        <w:footnoteReference w:id="1370"/>
      </w:r>
      <w:r>
        <w:rPr>
          <w:rFonts w:ascii="Amiri" w:hAnsi="Amiri" w:eastAsia="Amiri" w:cs="Amiri"/>
          <w:color w:val="111111"/>
          <w:sz w:val="28"/>
          <w:sz w:val="28"/>
          <w:szCs w:val="28"/>
          <w:rtl w:val="true"/>
          <w:lang w:bidi="ar-SA"/>
        </w:rPr>
        <w:t>وخيال الفساد فاسد</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3372582_1280447820"/>
      <w:bookmarkStart w:id="636" w:name="_Toc237"/>
      <w:bookmarkEnd w:id="635"/>
      <w:r>
        <w:rPr>
          <w:rtl w:val="true"/>
        </w:rPr>
        <w:t>حادي عشرها</w:t>
      </w:r>
      <w:r>
        <w:rPr>
          <w:rtl w:val="true"/>
        </w:rPr>
        <w:t xml:space="preserve">: </w:t>
      </w:r>
      <w:r>
        <w:rPr>
          <w:rtl w:val="true"/>
        </w:rPr>
        <w:t>في أن أفضل الأنواع المتقدّمة</w:t>
      </w:r>
      <w:r>
        <w:rPr>
          <w:rtl w:val="true"/>
        </w:rPr>
        <w:t xml:space="preserve">: </w:t>
      </w:r>
      <w:r>
        <w:rPr>
          <w:rtl w:val="true"/>
        </w:rPr>
        <w:t>المساومة</w:t>
      </w:r>
      <w:bookmarkEnd w:id="63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الأنواع المتقدّمة المساومة؛ لفتوى الأصحاب، ولما أشعرت به أخبار الباب </w:t>
      </w:r>
      <w:r>
        <w:rPr>
          <w:rStyle w:val="FootnoteAnchor"/>
          <w:rtl w:val="true"/>
        </w:rPr>
        <w:footnoteReference w:id="1371"/>
      </w:r>
      <w:r>
        <w:rPr>
          <w:rFonts w:ascii="Amiri" w:hAnsi="Amiri" w:eastAsia="Amiri" w:cs="Amiri"/>
          <w:color w:val="111111"/>
          <w:sz w:val="28"/>
          <w:sz w:val="28"/>
          <w:szCs w:val="28"/>
          <w:rtl w:val="true"/>
          <w:lang w:bidi="ar-SA"/>
        </w:rPr>
        <w:t>، ولبُعدها عن الكذب والتورية والخطا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تكره المرابحة كما أفتى به المشهور، ونفى عنها البأسَ خبر ابن سعيد </w:t>
      </w:r>
      <w:r>
        <w:rPr>
          <w:rStyle w:val="FootnoteAnchor"/>
          <w:rtl w:val="true"/>
        </w:rPr>
        <w:footnoteReference w:id="1372"/>
      </w:r>
      <w:r>
        <w:rPr>
          <w:rFonts w:ascii="Amiri" w:hAnsi="Amiri" w:eastAsia="Amiri" w:cs="Amiri"/>
          <w:color w:val="111111"/>
          <w:sz w:val="28"/>
          <w:sz w:val="28"/>
          <w:szCs w:val="28"/>
          <w:rtl w:val="true"/>
          <w:lang w:bidi="ar-SA"/>
        </w:rPr>
        <w:t>الظاهر في نفى الكراهة؛ لمعلومية عدم التحريم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عدةٍ من الأخبار </w:t>
      </w:r>
      <w:r>
        <w:rPr>
          <w:rStyle w:val="FootnoteAnchor"/>
          <w:rtl w:val="true"/>
        </w:rPr>
        <w:footnoteReference w:id="1373"/>
      </w:r>
      <w:r>
        <w:rPr>
          <w:rFonts w:ascii="Amiri" w:hAnsi="Amiri" w:eastAsia="Amiri" w:cs="Amiri"/>
          <w:color w:val="111111"/>
          <w:sz w:val="28"/>
          <w:sz w:val="28"/>
          <w:szCs w:val="28"/>
          <w:rtl w:val="true"/>
          <w:lang w:bidi="ar-SA"/>
        </w:rPr>
        <w:t xml:space="preserve">ما يظهر منه ذلك، وإنكار ظهوره غير ظاهر، وأفتى بمضمونها بعض المتأخرين </w:t>
      </w:r>
      <w:r>
        <w:rPr>
          <w:rStyle w:val="FootnoteAnchor"/>
          <w:rtl w:val="true"/>
        </w:rPr>
        <w:footnoteReference w:id="1374"/>
      </w:r>
      <w:r>
        <w:rPr>
          <w:rFonts w:ascii="Amiri" w:hAnsi="Amiri" w:eastAsia="Amiri" w:cs="Amiri"/>
          <w:color w:val="111111"/>
          <w:sz w:val="28"/>
          <w:sz w:val="28"/>
          <w:szCs w:val="28"/>
          <w:rtl w:val="true"/>
          <w:lang w:bidi="ar-SA"/>
        </w:rPr>
        <w:t xml:space="preserve">، فالأخذ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إعراض الأصحاب عن العمل بظاهرها، وتنزيلها عندهم على نوع خاص من المرابحة، وهو ما نُسب الربح فيه لرأس المال، وتنزيل بعضها على بيان أفضلية المساومة دون كراهة المرابحة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جداً، سيّما فيما كان من السنن والمكروهات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نسبة الربح إلى رأس المال وجعلهما ثمناً؛ لفتوى الأصحاب، وأخبار الباب </w:t>
      </w:r>
      <w:r>
        <w:rPr>
          <w:rStyle w:val="FootnoteAnchor"/>
          <w:rtl w:val="true"/>
        </w:rPr>
        <w:footnoteReference w:id="1375"/>
      </w:r>
      <w:r>
        <w:rPr>
          <w:rFonts w:ascii="Amiri" w:hAnsi="Amiri" w:eastAsia="Amiri" w:cs="Amiri"/>
          <w:color w:val="111111"/>
          <w:sz w:val="28"/>
          <w:sz w:val="28"/>
          <w:szCs w:val="28"/>
          <w:rtl w:val="true"/>
          <w:lang w:bidi="ar-SA"/>
        </w:rPr>
        <w:t xml:space="preserve">المفيدة لذلك قطعاً إن لم يستفد منها كراهة أصل المرابحة وللإجماع المنقول </w:t>
      </w:r>
      <w:r>
        <w:rPr>
          <w:rStyle w:val="FootnoteAnchor"/>
          <w:rtl w:val="true"/>
        </w:rPr>
        <w:footnoteReference w:id="1376"/>
      </w:r>
      <w:r>
        <w:rPr>
          <w:rFonts w:ascii="Amiri" w:hAnsi="Amiri" w:eastAsia="Amiri" w:cs="Amiri"/>
          <w:color w:val="111111"/>
          <w:sz w:val="28"/>
          <w:sz w:val="28"/>
          <w:szCs w:val="28"/>
          <w:rtl w:val="true"/>
          <w:lang w:bidi="ar-SA"/>
        </w:rPr>
        <w:t xml:space="preserve">على لسان الفحول، ولشبهه بالربا، وللتسامح بأدلّة السنن وللتفصي عن شبهة القول بالتحريم، أخذاً بظاهر تلك الأخبار الغير المعمول عليها في ذلك بين الأصحاب، وشبهة القول بالفساد، أخذاً بظاهر روايةٍ </w:t>
      </w:r>
      <w:r>
        <w:rPr>
          <w:rStyle w:val="FootnoteAnchor"/>
          <w:rtl w:val="true"/>
        </w:rPr>
        <w:footnoteReference w:id="1377"/>
      </w:r>
      <w:r>
        <w:rPr>
          <w:rFonts w:ascii="Amiri" w:hAnsi="Amiri" w:eastAsia="Amiri" w:cs="Amiri"/>
          <w:color w:val="111111"/>
          <w:sz w:val="28"/>
          <w:sz w:val="28"/>
          <w:szCs w:val="28"/>
          <w:rtl w:val="true"/>
          <w:lang w:bidi="ar-SA"/>
        </w:rPr>
        <w:t>دلّت على ذلك، ولكنّها أيضاً غير معمول عليها، فلا يراد بالفاسد فيها معناه، بل المراد منه ما لم يكن صالحاً لكراهته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نسبة الربح إلى رأس المال هو أن يجعل الثمن رأس المال بأي لفظ دلّ عليه مع ربحه المنسوب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رأس المال والربح جملةً فيبيع بها، كما نطقت بذلك الأخبار </w:t>
      </w:r>
      <w:r>
        <w:rPr>
          <w:rStyle w:val="FootnoteAnchor"/>
          <w:rtl w:val="true"/>
        </w:rPr>
        <w:footnoteReference w:id="1378"/>
      </w:r>
      <w:r>
        <w:rPr>
          <w:rFonts w:ascii="Amiri" w:hAnsi="Amiri" w:eastAsia="Amiri" w:cs="Amiri"/>
          <w:color w:val="111111"/>
          <w:sz w:val="28"/>
          <w:sz w:val="28"/>
          <w:szCs w:val="28"/>
          <w:rtl w:val="true"/>
          <w:lang w:bidi="ar-SA"/>
        </w:rPr>
        <w:t xml:space="preserve">حتّى أطلق على ذلك في بعضها لفظ المساومة </w:t>
      </w:r>
      <w:r>
        <w:rPr>
          <w:rStyle w:val="FootnoteAnchor"/>
          <w:rtl w:val="true"/>
        </w:rPr>
        <w:footnoteReference w:id="1379"/>
      </w:r>
      <w:r>
        <w:rPr>
          <w:rFonts w:ascii="Amiri" w:hAnsi="Amiri" w:eastAsia="Amiri" w:cs="Amiri"/>
          <w:color w:val="111111"/>
          <w:sz w:val="28"/>
          <w:sz w:val="28"/>
          <w:szCs w:val="28"/>
          <w:rtl w:val="true"/>
          <w:lang w:bidi="ar-SA"/>
        </w:rPr>
        <w:t>لشبهها بها وبعدها عن التصريح بالمرابحة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جمع </w:t>
      </w:r>
      <w:r>
        <w:rPr>
          <w:rStyle w:val="FootnoteAnchor"/>
          <w:rtl w:val="true"/>
        </w:rPr>
        <w:footnoteReference w:id="1380"/>
      </w:r>
      <w:r>
        <w:rPr>
          <w:rFonts w:ascii="Amiri" w:hAnsi="Amiri" w:eastAsia="Amiri" w:cs="Amiri"/>
          <w:color w:val="111111"/>
          <w:sz w:val="28"/>
          <w:sz w:val="28"/>
          <w:szCs w:val="28"/>
          <w:rtl w:val="true"/>
          <w:lang w:bidi="ar-SA"/>
        </w:rPr>
        <w:t>بكراهة نسبة الوضيعة إلى رأس المال أيضاً كما قلناه في المرابحة، ولا بأس به تسامحاً بأدلّة السنن، وتباعداً عن شبهة الربا</w:t>
      </w:r>
      <w:r>
        <w:rPr>
          <w:rFonts w:eastAsia="Amiri" w:cs="Amiri" w:ascii="Amiri" w:hAnsi="Amiri"/>
          <w:color w:val="111111"/>
          <w:sz w:val="28"/>
          <w:szCs w:val="28"/>
          <w:rtl w:val="true"/>
          <w:lang w:bidi="ar-SA"/>
        </w:rPr>
        <w:t xml:space="preserve">. </w:t>
      </w:r>
      <w:bookmarkStart w:id="637" w:name="pg19000_245556"/>
    </w:p>
    <w:p>
      <w:pPr>
        <w:pStyle w:val="Heading5"/>
        <w:numPr>
          <w:ilvl w:val="4"/>
          <w:numId w:val="1"/>
        </w:numPr>
        <w:rPr/>
      </w:pPr>
      <w:bookmarkStart w:id="638" w:name="__RefHeading___Toc13372584_1280447820"/>
      <w:bookmarkStart w:id="639" w:name="_Toc238"/>
      <w:bookmarkEnd w:id="637"/>
      <w:bookmarkEnd w:id="638"/>
      <w:r>
        <w:rPr>
          <w:rtl w:val="true"/>
        </w:rPr>
        <w:t>ثاني عشرها</w:t>
      </w:r>
      <w:r>
        <w:rPr>
          <w:rtl w:val="true"/>
        </w:rPr>
        <w:t xml:space="preserve">: </w:t>
      </w:r>
      <w:r>
        <w:rPr>
          <w:rtl w:val="true"/>
        </w:rPr>
        <w:t>إضافة الربح والوضيعة إلى رأس المال يتبع الفهم العرفي في قدره المحصل بعد الضمّ أو الوضع</w:t>
      </w:r>
      <w:bookmarkEnd w:id="639"/>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الربح والوضيعة إلى رأس المال يتبع الفهم العرفي في قدره المحصل بعد الضمّ أو الوضع، فالظاهر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وربح كلّ عشرة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مائة وعشرة، فنسبة الربح إلى رأس المال يكون واحداً من أحد عشر،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في كلّ عشرة،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لكل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ووضيعة كلّ عشرة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المحصل تسعون وأن الإضافة للتبعيض كما هو المفهوم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وإنكار بعضهم مجيء الإضافة بمعنى من التبعيضية </w:t>
      </w:r>
      <w:r>
        <w:rPr>
          <w:rStyle w:val="FootnoteAnchor"/>
          <w:rtl w:val="true"/>
        </w:rPr>
        <w:footnoteReference w:id="1381"/>
      </w:r>
      <w:r>
        <w:rPr>
          <w:rFonts w:ascii="Amiri" w:hAnsi="Amiri" w:eastAsia="Amiri" w:cs="Amiri"/>
          <w:color w:val="111111"/>
          <w:sz w:val="28"/>
          <w:sz w:val="28"/>
          <w:szCs w:val="28"/>
          <w:rtl w:val="true"/>
          <w:lang w:bidi="ar-SA"/>
        </w:rPr>
        <w:t>، مردود بنقل الفحول له من معانيها، وبفهم أهل العرف منها في كثير من المقامات ذلك، واحتمال كون الإضافة بمعنى اللام أو كونها مجملةً في مثل هذا المقام بعيد عن فهم أهل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ووضيعة درهم من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فيكون المحصل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فيكون المحصل واحداً وتسعين إلا جزءاً من أحد عشر جزءاً على أن يكون الحطّ من كلّ عشرة تسلّم له، فتنحط تسعة من تسعة وتسعين وجزء من أحد عشر جزءاً من درهم،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كونها كذلك، ويكون المحصل تسعين إلا جزءاً من اثني عشر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وضيعة درهم لكلّ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المحصل واحد وتسعون درهماً إلا جزءاً من أحد عشر جزءاً، فتنحط تسعة من تسعة وتسعين وجزء من أحد عشر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المحصل واحداً وتسعين؛ لأنا نحطّ تسعة لتسع عشرات، فلم يبق إلا واحد وليس هو بعشرة فلا ينحط له شيء،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للدلال الإخبار بشراء ما قومه عليه التاجر ليبيعه بتلك القيمة؛ للزوم الكذب، ولو كذب وباعه مرابحةً صح البيع ولا مرابحة، وكان للمشتري الخيار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أخبر بصورة الحال فباعه كذلك صح، ولم يكن بيعه مرابحة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كله لا إشكال فيه، إلا أنّه قد ورد في الأخبار المعتبرة جواز أن يعطي شخص شخصاً مالاً ليبيعه له بقيمة، وما زاد عليها فهو له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بالأخذ بها تعبداً، أو حملها على الجعالة؛ بناءً على صحّة الجغل المجهول القدر، وصحة كونه غير محقق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جغلها إجارة؛ لفسادها، فيثبت للدلال أُجرة المثل، ولا بيعاً؛ لأنّ الأمر بالبيع ليس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الوعد ورجحان الوفاء به، وحينئذٍ فإما أن يستحق الدلال أُجرة المثل ؛ لكونه عملاً مأموراً به، وإمّا أن لا يستحق لظهور كونه متبرّعاً وراضياً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الحكم بطرحها والرجوع للقواعد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واستقصاء الكلام في أمثال هذا المقام مذكور في شرحنا على القواعد</w:t>
      </w:r>
      <w:r>
        <w:rPr>
          <w:rFonts w:eastAsia="Amiri" w:cs="Amiri" w:ascii="Amiri" w:hAnsi="Amiri"/>
          <w:color w:val="111111"/>
          <w:sz w:val="28"/>
          <w:szCs w:val="28"/>
          <w:rtl w:val="true"/>
          <w:lang w:bidi="ar-SA"/>
        </w:rPr>
        <w:t xml:space="preserve">. </w:t>
      </w:r>
      <w:bookmarkStart w:id="640" w:name="pg19000_245558"/>
    </w:p>
    <w:p>
      <w:pPr>
        <w:pStyle w:val="Heading3"/>
        <w:numPr>
          <w:ilvl w:val="2"/>
          <w:numId w:val="1"/>
        </w:numPr>
        <w:rPr/>
      </w:pPr>
      <w:bookmarkStart w:id="641" w:name="__RefHeading___Toc13372586_1280447820"/>
      <w:bookmarkStart w:id="642" w:name="_Toc239"/>
      <w:bookmarkEnd w:id="640"/>
      <w:bookmarkEnd w:id="641"/>
      <w:r>
        <w:rPr>
          <w:rtl w:val="true"/>
        </w:rPr>
        <w:t>القول في الربا</w:t>
      </w:r>
      <w:bookmarkEnd w:id="642"/>
    </w:p>
    <w:p>
      <w:pPr>
        <w:pStyle w:val="Heading4"/>
        <w:numPr>
          <w:ilvl w:val="3"/>
          <w:numId w:val="1"/>
        </w:numPr>
        <w:rPr/>
      </w:pPr>
      <w:bookmarkStart w:id="643" w:name="__RefHeading___Toc13372588_1280447820"/>
      <w:bookmarkStart w:id="644" w:name="_Toc240"/>
      <w:bookmarkEnd w:id="643"/>
      <w:r>
        <w:rPr>
          <w:rtl w:val="true"/>
        </w:rPr>
        <w:t>تعريف الربا لغةً وشرعاً</w:t>
      </w:r>
      <w:bookmarkEnd w:id="644"/>
    </w:p>
    <w:p>
      <w:pPr>
        <w:pStyle w:val="BookText"/>
        <w:rPr/>
      </w:pPr>
      <w:r>
        <w:rPr>
          <w:rFonts w:ascii="Amiri" w:hAnsi="Amiri" w:eastAsia="Amiri" w:cs="Amiri"/>
          <w:color w:val="111111"/>
          <w:sz w:val="28"/>
          <w:sz w:val="28"/>
          <w:szCs w:val="28"/>
          <w:rtl w:val="true"/>
          <w:lang w:bidi="ar-SA"/>
        </w:rPr>
        <w:t>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Style w:val="FootnoteAnchor"/>
          <w:rtl w:val="true"/>
        </w:rPr>
        <w:footnoteReference w:id="1383"/>
      </w:r>
      <w:r>
        <w:rPr>
          <w:rFonts w:ascii="Amiri" w:hAnsi="Amiri" w:eastAsia="Amiri" w:cs="Amiri"/>
          <w:color w:val="111111"/>
          <w:sz w:val="28"/>
          <w:sz w:val="28"/>
          <w:szCs w:val="28"/>
          <w:rtl w:val="true"/>
          <w:lang w:bidi="ar-SA"/>
        </w:rPr>
        <w:t xml:space="preserve">، والظاهر عدم بقائه على المعنى اللغوي، بل نقل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متشرعاً لبيع أحد المتماثلين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المقدرين بالكيل أو الوزن بالآخر مع التفاضل حسّاً أو حكماً، أو اقتراض الشيء مع اشتراط الزيادة في الوفاء كذلك، فيكون مشتركاً لفظياً بين المعنيين، واحتمال المعنوي بعيد، أو نُقل لنفس الزيادة الحاصلة في البيع أو القرض على الوجه المتقدم، فيكون مشتركاً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نقله لنفس البيع في الأوَّل، والزيادة في الثاني،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احتمال العكس، وكذا احتمال أنّه نفس الأخذ، فيكون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الاحتمالات الأخيرة فيكون مشتركاً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يبدل البيع في الحد الأوّل بمطلق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يقيدان بما كانا في عهد صاحب الشرع أو في العادة مطلقاً، أو مع قيد ما كان في عهده بالمعلوم، وما كان بالعادة فبالمجهول، أو بما لا تقدير له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أصل القيد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يزاد في كلا الحدين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لم يكن بين الولد ووالده، أو الزوج وزوجته، أو السيد وعبده، ولم يكن باذل الزيادة حربيّاً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خروج ذلك من اسم الربا وحكمه؛ لدخول التحريم في اسمه، ولما يظهر من الأخبار </w:t>
      </w:r>
      <w:r>
        <w:rPr>
          <w:rStyle w:val="FootnoteAnchor"/>
          <w:rtl w:val="true"/>
        </w:rPr>
        <w:footnoteReference w:id="1384"/>
      </w:r>
      <w:r>
        <w:rPr>
          <w:rFonts w:ascii="Amiri" w:hAnsi="Amiri" w:eastAsia="Amiri" w:cs="Amiri"/>
          <w:color w:val="111111"/>
          <w:sz w:val="28"/>
          <w:sz w:val="28"/>
          <w:szCs w:val="28"/>
          <w:rtl w:val="true"/>
          <w:lang w:bidi="ar-SA"/>
        </w:rPr>
        <w:t xml:space="preserve">من نفي نفس الربا عنها، أو بناء على دخوله في اسمه، ولكن يختص الحد بما كان محرَّماً منه، ويُحمل النفي في الأخبار </w:t>
      </w:r>
      <w:r>
        <w:rPr>
          <w:rStyle w:val="FootnoteAnchor"/>
          <w:rtl w:val="true"/>
        </w:rPr>
        <w:footnoteReference w:id="1385"/>
      </w:r>
      <w:r>
        <w:rPr>
          <w:rFonts w:ascii="Amiri" w:hAnsi="Amiri" w:eastAsia="Amiri" w:cs="Amiri"/>
          <w:color w:val="111111"/>
          <w:sz w:val="28"/>
          <w:sz w:val="28"/>
          <w:szCs w:val="28"/>
          <w:rtl w:val="true"/>
          <w:lang w:bidi="ar-SA"/>
        </w:rPr>
        <w:t>على 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في مثل هذه المقامات</w:t>
      </w:r>
      <w:r>
        <w:rPr>
          <w:rFonts w:eastAsia="Amiri" w:cs="Amiri" w:ascii="Amiri" w:hAnsi="Amiri"/>
          <w:color w:val="111111"/>
          <w:sz w:val="28"/>
          <w:szCs w:val="28"/>
          <w:rtl w:val="true"/>
          <w:lang w:bidi="ar-SA"/>
        </w:rPr>
        <w:t xml:space="preserve">. </w:t>
      </w:r>
      <w:bookmarkStart w:id="645" w:name="pg19000_245559"/>
    </w:p>
    <w:p>
      <w:pPr>
        <w:pStyle w:val="BookText"/>
        <w:rPr/>
      </w:pPr>
      <w:bookmarkEnd w:id="645"/>
      <w:r>
        <w:rPr>
          <w:rFonts w:ascii="Amiri" w:hAnsi="Amiri" w:eastAsia="Amiri" w:cs="Amiri"/>
          <w:color w:val="111111"/>
          <w:sz w:val="28"/>
          <w:sz w:val="28"/>
          <w:szCs w:val="28"/>
          <w:rtl w:val="true"/>
          <w:lang w:bidi="ar-SA"/>
        </w:rPr>
        <w:t>وعلى كلّ حال فالظاهر أنّ هذا الاختلاف لاختلاف آرائهم في بيان المعنى الشرعي للربا، أو في بيان ما يتعلّق به التحريم منه فهم مجتهدون في ذلك لا نقلة لذلك، فلا يجوز الأخذ بجميع أقوالهم وجعل الربا مشتركاً، ولا الجمع بينها بالإطلاق والتقييد، ولا لزوم الترجيح عند التعارض بالأكثريّة والأعدليّة وشبهها، أو لزوم تقديم قول المثبت على النافي كالشهادة، كما لا يجوز حمل الاختلاف على تعدد الاصطلاح منهم؛ لظهور أنّ اختلافهم في الكشف عن معنى واحد لا إثبات لما اصطلحوا عليه</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3372590_1280447820"/>
      <w:bookmarkStart w:id="647" w:name="_Toc241"/>
      <w:bookmarkEnd w:id="646"/>
      <w:r>
        <w:rPr>
          <w:rtl w:val="true"/>
        </w:rPr>
        <w:t>والكلام في الربا يتم بأمور</w:t>
      </w:r>
      <w:r>
        <w:rPr>
          <w:rtl w:val="true"/>
        </w:rPr>
        <w:t>:</w:t>
      </w:r>
      <w:bookmarkEnd w:id="647"/>
    </w:p>
    <w:p>
      <w:pPr>
        <w:pStyle w:val="Heading5"/>
        <w:numPr>
          <w:ilvl w:val="4"/>
          <w:numId w:val="1"/>
        </w:numPr>
        <w:rPr/>
      </w:pPr>
      <w:bookmarkStart w:id="648" w:name="__RefHeading___Toc13372592_1280447820"/>
      <w:bookmarkStart w:id="649" w:name="_Toc242"/>
      <w:bookmarkEnd w:id="648"/>
      <w:r>
        <w:rPr>
          <w:rtl w:val="true"/>
        </w:rPr>
        <w:t>أحدها</w:t>
      </w:r>
      <w:r>
        <w:rPr>
          <w:rtl w:val="true"/>
        </w:rPr>
        <w:t xml:space="preserve">: </w:t>
      </w:r>
      <w:r>
        <w:rPr>
          <w:rtl w:val="true"/>
        </w:rPr>
        <w:t>شمول الربا لكلّ معاوضة</w:t>
      </w:r>
      <w:bookmarkEnd w:id="64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عدم اختصاص الربا حكماً واسماً في البيع بل هو شامل لكلّ معاوضة؛ لإطلاق الكتاب </w:t>
      </w:r>
      <w:r>
        <w:rPr>
          <w:rStyle w:val="FootnoteAnchor"/>
          <w:rtl w:val="true"/>
        </w:rPr>
        <w:footnoteReference w:id="1386"/>
      </w:r>
      <w:r>
        <w:rPr>
          <w:rFonts w:ascii="Amiri" w:hAnsi="Amiri" w:eastAsia="Amiri" w:cs="Amiri"/>
          <w:color w:val="111111"/>
          <w:sz w:val="28"/>
          <w:sz w:val="28"/>
          <w:szCs w:val="28"/>
          <w:rtl w:val="true"/>
          <w:lang w:bidi="ar-SA"/>
        </w:rPr>
        <w:t xml:space="preserve">والسنّة </w:t>
      </w:r>
      <w:r>
        <w:rPr>
          <w:rStyle w:val="FootnoteAnchor"/>
          <w:rtl w:val="true"/>
        </w:rPr>
        <w:footnoteReference w:id="1387"/>
      </w:r>
      <w:r>
        <w:rPr>
          <w:rFonts w:ascii="Amiri" w:hAnsi="Amiri" w:eastAsia="Amiri" w:cs="Amiri"/>
          <w:color w:val="111111"/>
          <w:sz w:val="28"/>
          <w:sz w:val="28"/>
          <w:szCs w:val="28"/>
          <w:rtl w:val="true"/>
          <w:lang w:bidi="ar-SA"/>
        </w:rPr>
        <w:t>، ولدلالة جملة من الأخبار على العموم</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والشعير رأساً برأس، لا يزداد واحد منهما على الآخر</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الدقيق بالحنطة والسويق بالدقيق مثلاً بمثل لا بأس به</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يستبدل وسقين من تمر المدينة بوسق من تمر خيبر</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قفيز من حنطة بقفيزين من شعير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 مثلاً بمِثْلِ</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يدفع إلى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يعطي لكل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دقيقاً،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الربا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بدراهم مثلين بمثل، وحنطة بحنطة مثلين بمثل</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الشيئان فلا بأس مِثْلين بمثل</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المؤيدة بالاعتبار ؛ لظهور التحريم الذاتي فيه الذي لا يختلف فيه عقد عن عقد، وبما دلّ على أن في الربا تضييع المعروف بين الناس</w:t>
      </w:r>
      <w:r>
        <w:rPr>
          <w:rStyle w:val="FootnoteAnchor"/>
          <w:rtl w:val="true"/>
        </w:rPr>
        <w:footnoteReference w:id="1395"/>
      </w:r>
      <w:r>
        <w:rPr>
          <w:rFonts w:ascii="Amiri" w:hAnsi="Amiri" w:eastAsia="Amiri" w:cs="Amiri"/>
          <w:color w:val="111111"/>
          <w:sz w:val="28"/>
          <w:sz w:val="28"/>
          <w:szCs w:val="28"/>
          <w:rtl w:val="true"/>
          <w:lang w:bidi="ar-SA"/>
        </w:rPr>
        <w:t>، وظاهره التعليل، وهو سارٍ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يؤيّدها أنّه لو شُرّع الربا في غير البيع من العقود لاشتهر تحليله فيها؛ لشدة احتياج عامة الناس </w:t>
      </w:r>
      <w:r>
        <w:rPr>
          <w:rStyle w:val="FootnoteAnchor"/>
          <w:rtl w:val="true"/>
        </w:rPr>
        <w:footnoteReference w:id="1396"/>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w:t>
      </w:r>
      <w:r>
        <w:rPr>
          <w:rStyle w:val="FootnoteAnchor"/>
          <w:rtl w:val="true"/>
        </w:rPr>
        <w:footnoteReference w:id="1397"/>
      </w:r>
      <w:r>
        <w:rPr>
          <w:rFonts w:ascii="Amiri" w:hAnsi="Amiri" w:eastAsia="Amiri" w:cs="Amiri"/>
          <w:color w:val="111111"/>
          <w:sz w:val="28"/>
          <w:sz w:val="28"/>
          <w:szCs w:val="28"/>
          <w:rtl w:val="true"/>
          <w:lang w:bidi="ar-SA"/>
        </w:rPr>
        <w:t xml:space="preserve">، إلى اختصاصه بالبيع فقط للأصل؛ وللعمومات </w:t>
      </w:r>
      <w:r>
        <w:rPr>
          <w:rStyle w:val="FootnoteAnchor"/>
          <w:rtl w:val="true"/>
        </w:rPr>
        <w:footnoteReference w:id="1398"/>
      </w:r>
      <w:r>
        <w:rPr>
          <w:rFonts w:ascii="Amiri" w:hAnsi="Amiri" w:eastAsia="Amiri" w:cs="Amiri"/>
          <w:color w:val="111111"/>
          <w:sz w:val="28"/>
          <w:sz w:val="28"/>
          <w:szCs w:val="28"/>
          <w:rtl w:val="true"/>
          <w:lang w:bidi="ar-SA"/>
        </w:rPr>
        <w:t xml:space="preserve">الدالّة على عموم لزوم الوفاء بالعقود، والتجارة </w:t>
      </w:r>
      <w:r>
        <w:rPr>
          <w:rStyle w:val="FootnoteAnchor"/>
          <w:rtl w:val="true"/>
        </w:rPr>
        <w:footnoteReference w:id="1399"/>
      </w:r>
      <w:r>
        <w:rPr>
          <w:rFonts w:ascii="IRNazanin" w:hAnsi="IRNazanin" w:eastAsia="IRNazanin"/>
          <w:color w:val="111111"/>
          <w:sz w:val="28"/>
          <w:sz w:val="28"/>
          <w:szCs w:val="28"/>
          <w:rtl w:val="true"/>
          <w:lang w:bidi="fa-IR"/>
        </w:rPr>
        <w:t xml:space="preserve">عن تراض،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Style w:val="FootnoteAnchor"/>
          <w:rtl w:val="true"/>
        </w:rPr>
        <w:footnoteReference w:id="1400"/>
      </w:r>
      <w:r>
        <w:rPr>
          <w:rFonts w:ascii="Amiri" w:hAnsi="Amiri" w:eastAsia="Amiri" w:cs="Amiri"/>
          <w:color w:val="111111"/>
          <w:sz w:val="28"/>
          <w:sz w:val="28"/>
          <w:szCs w:val="28"/>
          <w:rtl w:val="true"/>
          <w:lang w:bidi="ar-SA"/>
        </w:rPr>
        <w:t>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ولإجمال لفظ الربا فيؤخذ بما تيقن دخوله فيه، وللشك في وضعه فيؤخذ بما تيقّن وضعه له، ولانصراف إطلاقات تحريم المعاوضة فيه إلى البيع؛ لأنّه الفرد الظاهر، وللمقابلة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ولورود تحريم بيع الربا في الأخبار </w:t>
      </w:r>
      <w:r>
        <w:rPr>
          <w:rStyle w:val="FootnoteAnchor"/>
          <w:rtl w:val="true"/>
        </w:rPr>
        <w:footnoteReference w:id="1402"/>
      </w:r>
      <w:r>
        <w:rPr>
          <w:rFonts w:ascii="Amiri" w:hAnsi="Amiri" w:eastAsia="Amiri" w:cs="Amiri"/>
          <w:color w:val="111111"/>
          <w:sz w:val="28"/>
          <w:sz w:val="28"/>
          <w:szCs w:val="28"/>
          <w:rtl w:val="true"/>
          <w:lang w:bidi="ar-SA"/>
        </w:rPr>
        <w:t>، فيُحمل المطلق على المقيد؛ ولصحة الصلح على المؤجّل ببعضه حالاً، وصحة الصلح على قيمة المتلف بأنقص من قيمته، ولصحة التفاضل في الهبة المعوّضة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 لانقطاع الأصل والعمومات بما ذكرنا، ولمنع الإجمال بما ذكرناه من البيان، ولمنع ثبوت الوضع بالطريق الفعلي المتيقن من انتفاء كلّ من الوضعين بالأصل، ولمنع انصراف الأدلّة للبيع؛ لعدم ندرة الإطلاق في غيره، وندرة الوجود لا اعتبار بها في الانصراف، </w:t>
      </w:r>
      <w:bookmarkStart w:id="650" w:name="pg19000_245561"/>
    </w:p>
    <w:p>
      <w:pPr>
        <w:pStyle w:val="BookText"/>
        <w:rPr/>
      </w:pPr>
      <w:bookmarkEnd w:id="650"/>
      <w:r>
        <w:rPr>
          <w:rFonts w:ascii="Amiri" w:hAnsi="Amiri" w:eastAsia="Amiri" w:cs="Amiri"/>
          <w:color w:val="111111"/>
          <w:sz w:val="28"/>
          <w:sz w:val="28"/>
          <w:szCs w:val="28"/>
          <w:rtl w:val="true"/>
          <w:lang w:bidi="ar-SA"/>
        </w:rPr>
        <w:t>ولمنع دلالة المقابلة على ما ذكروه بديهة، ولمنع حمل المطلقات على المقيد مع ضعف المقاومة بل استهلاكه في جنبها، ولخروج صلح الحطيطة بالدليل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المعاوضة وليس من الإبراء، ولمنع صحّة الصلح على قيمة المتلف ببعضها، ولو قلنا به فهو من الإبراء أو للدليل، ولمنع جواز التفاضل في الهبة المعوّضة، بل هو أول الكلام، إلا أن ينعقد إجماع، وفي ثبوته بحث، ولئن جوزناه فلا بد من التزام أنّها ليست من المعاوضات الصرفة، فيغتفر فيها ما لا يغتفر في غيرها</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3372594_1280447820"/>
      <w:bookmarkStart w:id="652" w:name="_Toc243"/>
      <w:bookmarkEnd w:id="651"/>
      <w:r>
        <w:rPr>
          <w:rtl w:val="true"/>
        </w:rPr>
        <w:t>ثانيها</w:t>
      </w:r>
      <w:r>
        <w:rPr>
          <w:rtl w:val="true"/>
        </w:rPr>
        <w:t xml:space="preserve">: </w:t>
      </w:r>
      <w:r>
        <w:rPr>
          <w:rtl w:val="true"/>
        </w:rPr>
        <w:t>حرمة البيع المشتمل على الربا على العالم به</w:t>
      </w:r>
      <w:bookmarkEnd w:id="65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البيع المشتمل على الربا على العالم به كتاباً </w:t>
      </w:r>
      <w:r>
        <w:rPr>
          <w:rStyle w:val="FootnoteAnchor"/>
          <w:rtl w:val="true"/>
        </w:rPr>
        <w:footnoteReference w:id="1403"/>
      </w:r>
      <w:r>
        <w:rPr>
          <w:rFonts w:ascii="Amiri" w:hAnsi="Amiri" w:eastAsia="Amiri" w:cs="Amiri"/>
          <w:color w:val="111111"/>
          <w:sz w:val="28"/>
          <w:sz w:val="28"/>
          <w:szCs w:val="28"/>
          <w:rtl w:val="true"/>
          <w:lang w:bidi="ar-SA"/>
        </w:rPr>
        <w:t xml:space="preserve">وسنة </w:t>
      </w:r>
      <w:r>
        <w:rPr>
          <w:rStyle w:val="FootnoteAnchor"/>
          <w:rtl w:val="true"/>
        </w:rPr>
        <w:footnoteReference w:id="1404"/>
      </w:r>
      <w:r>
        <w:rPr>
          <w:rFonts w:ascii="Amiri" w:hAnsi="Amiri" w:eastAsia="Amiri" w:cs="Amiri"/>
          <w:color w:val="111111"/>
          <w:sz w:val="28"/>
          <w:sz w:val="28"/>
          <w:szCs w:val="28"/>
          <w:rtl w:val="true"/>
          <w:lang w:bidi="ar-SA"/>
        </w:rPr>
        <w:t>وإجماعاً، والدرهم منه أعظم من سبعين زنيةً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ويتعلّق التحريم بنفس المعاملة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هو نفس المعاوضة المزيد فيها، فتفسد لمكان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ويتعلّق بجزئها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نفس الزيادة؛ لأن الزيادة مشاعة في العوض المزيد فيه، سواء كانت موافقة أو مخالفة؛ للزوم الترجيح من دون مرجح مع الاختلاف، فتفسد أيضاً؛ لمكان تعلّق النهي بجزئها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ويتعلّق بشرطها إن كانت الزيادة شرطاً، فيفسد الشرط ويفسد المشروط بفساده؛ لأنّ العقد المشتمل على الفاسد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فدخول الربا في المعاوضة مفسد لها كدخول الرياء في العبادة، فلا يمكن أن يحكم بتبعيض الصفقة في البيع الربوي فيصح في المقابل ويفسد في الباقي؛ لما قلناه، وللإجماع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الحكم بفساد البيع يجب ردّ عين المال إلى أهله فوراً، وعليه مؤونة الرد؛ لكونه بمنزلة الغاصب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تلفت العين، رد المثل أو قيمته عند التعذر في المثليات، والقيمة وقت التلف على </w:t>
      </w:r>
    </w:p>
    <w:p>
      <w:pPr>
        <w:pStyle w:val="BookText"/>
        <w:rPr/>
      </w:pPr>
      <w:r>
        <w:rPr>
          <w:rFonts w:ascii="Amiri" w:hAnsi="Amiri" w:eastAsia="Amiri" w:cs="Amiri"/>
          <w:color w:val="111111"/>
          <w:sz w:val="28"/>
          <w:sz w:val="28"/>
          <w:szCs w:val="28"/>
          <w:rtl w:val="true"/>
          <w:lang w:bidi="ar-SA"/>
        </w:rPr>
        <w:t>الأظهر في القيميات، وله أن يأخذ ما قابل ثمنه مقاصةً لو دفعه للمشتري فتلف عنده وامتنع من تأديته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علم القدر والمالك، فلو جهل القدر صالح المالك بالصلح الاختياري، أو الصلح القهري من الحاكم، أو دفع ما يتيقن به فراغ الذمة؛ للاحتياط، أو دفع ما تيقن شغلها به؛ للأصل، أو يدفع الخمس إن لم يعلم بزيادته عليه أو نقصانه؛ لأنّ دفعه مطهر للمال، فإن علم بزيادته أو نقصانه فالوجوه السابقة، وجوه واحتمالات،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المال في محصورٍ من أموال المشتري، فالصلح الاختياري أو القهري أو القرعة، ولو امتزج كذلك فلا بد من القسمة؛ لتحقق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القدر وجهل المالك بحيث يئس من معرفته كان كالمجهول المالك حكمه الصدقة على الفقراء والمساكين؛ لظهور الصدقة في ذلك ما لم يكن المتصدق عنه كافراً، وفي الكافر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ظهر المالك ورضي بالصدقة فلا كلام وكان كالإجازة في العقد الفضولي، وإن لم يرضَ ضمن المتصدق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 للحاكم فتصدق به، فالظاهر انتفاء الضمان عنه وعن الحاكم، مع احتمال ثبوته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يتعلّق له به حق مقاصة ولم يكن مخلوطاً بماله، فلو تعلّق به حق المقاصة جاز له أخذه مقاصةً، وإن كان مخلوطاً بماله خلطاً لا يتميّز كان شريكاً، وله القيمة بإذن الحاكم، ويفعل به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المالك والقدر، تصدّق بما يتيقن شغل ذمّته به؛ للأصل، وبما يتيقن فراغها به؛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ذا إذا لم يكن مخلوطاً بماله، فإن كان مخلوطاً ولم يعلم أنّه يزيد على الخمس أو ينقص عنه، تصدّق بخمس المال على السادة من فقراء بني هاشم، وحلّ الباقي، كما مر في باب الخمس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 زيادته على الخمس تصدق بالخمس على السادة، وبالزائد المقطوع به على الأظهر أو المحتمل على وجه على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رجوعه صدقةً على غيرهم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نقصانه، تصدق به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المالك في قوم محصورين، احتمل جواز استخراجه بالقرعة، وكونه بمنزلة المجهول المالك، ولزوم صلح جميع الأفراد المحصورة،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العالم، وأما الجاهل بحكم الربا فلا يتعلّق به نهي؛ لمكان الجهل، ولكنه يشترك مع العالم في ترتب أحكام العقد الفاسد؛ لأنّ الجهل ليس بعذر في الأحكام الوضعية، فإذا علم وعرف بعد ذلك تعلّق به الخطاب أمراً ونهياً؛ لصيرورته بعد العلم به آكل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اتحاد العالم والجاهل في الأحكام الوضعية وعلى وجوب رد الجاهل المال بعد علمه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تُبْتُمْ فَلَكُمْ رُؤُوسُ أمْوَالِكُمْ</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ومفهوم الشرط ملغى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إرادة الإرشاد للتوبة للعالم ابتداء أو بعد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اختصاص سياقها بالعالم مسلّمة، ولكنه أعم من العالم ابتداءً أو بعد جهله، فيتم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الآمرة بردّ مال الربا إذا كان معزولاً معلوماً أهله </w:t>
      </w:r>
      <w:r>
        <w:rPr>
          <w:rStyle w:val="FootnoteAnchor"/>
          <w:rtl w:val="true"/>
        </w:rPr>
        <w:footnoteReference w:id="1407"/>
      </w:r>
      <w:r>
        <w:rPr>
          <w:rFonts w:ascii="Amiri" w:hAnsi="Amiri" w:eastAsia="Amiri" w:cs="Amiri"/>
          <w:color w:val="111111"/>
          <w:sz w:val="28"/>
          <w:sz w:val="28"/>
          <w:szCs w:val="28"/>
          <w:rtl w:val="true"/>
          <w:lang w:bidi="ar-SA"/>
        </w:rPr>
        <w:t xml:space="preserve">من دون تفصيل بين العالم والجاهل، والأخبار المطلقة الدالّة على فساد الربا وحرمة أكله وبيعه وشرائه </w:t>
      </w:r>
      <w:r>
        <w:rPr>
          <w:rStyle w:val="FootnoteAnchor"/>
          <w:rtl w:val="true"/>
        </w:rPr>
        <w:footnoteReference w:id="1408"/>
      </w:r>
      <w:r>
        <w:rPr>
          <w:rFonts w:ascii="Amiri" w:hAnsi="Amiri" w:eastAsia="Amiri" w:cs="Amiri"/>
          <w:color w:val="111111"/>
          <w:sz w:val="28"/>
          <w:sz w:val="28"/>
          <w:szCs w:val="28"/>
          <w:rtl w:val="true"/>
          <w:lang w:bidi="ar-SA"/>
        </w:rPr>
        <w:t>، القوية المعتضدة بالقواعد وفتوى مشهور الأصحاب، فلا يقاومها إلا ما قوي عليها،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التفاوت هنا بين الجاهل الكافر والمسلم،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مشكوك في شموله لحلّيّة أموال الناس الدال على تحريمها العقل والنقل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أصحابنا </w:t>
      </w:r>
      <w:r>
        <w:rPr>
          <w:rStyle w:val="FootnoteAnchor"/>
          <w:rtl w:val="true"/>
        </w:rPr>
        <w:footnoteReference w:id="1410"/>
      </w:r>
      <w:r>
        <w:rPr>
          <w:rFonts w:ascii="Amiri" w:hAnsi="Amiri" w:eastAsia="Amiri" w:cs="Amiri"/>
          <w:color w:val="111111"/>
          <w:sz w:val="28"/>
          <w:sz w:val="28"/>
          <w:szCs w:val="28"/>
          <w:rtl w:val="true"/>
          <w:lang w:bidi="ar-SA"/>
        </w:rPr>
        <w:t>إلى تحليل الربا المأخوذ زمن الجهل، وعدم وجوب رده بعد العلم، إما لتحليل المالك الحقيقي له وإن كان مال الغير، أو لتصحيح عقود الجاهل على الربا من الشارع لطفاً منه وكرماً ؛ لظهور اختصاص أدلّة التحريم بصورة العلم دون الجهل، ولاستصحاب حكم الجهل إلى حالة المعرفة والعلم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المفسر في كلام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وأكل من الربا قبل النهي، ولا يلزمه ردّه</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ولبعض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أراد الخروج من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مخرجك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والموعظة التوبة</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ونحوه غيره </w:t>
      </w:r>
      <w:r>
        <w:rPr>
          <w:rStyle w:val="FootnoteAnchor"/>
          <w:rtl w:val="true"/>
        </w:rPr>
        <w:footnoteReference w:id="1414"/>
      </w:r>
      <w:r>
        <w:rPr>
          <w:rFonts w:ascii="Amiri" w:hAnsi="Amiri" w:eastAsia="Amiri" w:cs="Amiri"/>
          <w:color w:val="111111"/>
          <w:sz w:val="28"/>
          <w:sz w:val="28"/>
          <w:szCs w:val="28"/>
          <w:rtl w:val="true"/>
          <w:lang w:bidi="ar-SA"/>
        </w:rPr>
        <w:t xml:space="preserve">، وغيره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يأكل الربا وهو يرى أنّه حلال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 حتّى يصيبه متعمداً، فإذا أصابه متعمّداً فهو بمنزلة الذي قال اللّه عزّ وجلّ</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 ظاهر ؛ لمنع الملازمة بين اختصاص أدلة التحريم بالعالم، وبين اختصاص الفساد وترتب آثار الأحكام الوضعيّة به؛ ضرورة أنّ أكثر الأحكام الوضعية استفيدت من الأوامر والنواهي مع شمولها للجاهل والعامد، واختصاص الأوامر والنواهي بخصوص العامد، ولمنع حجيّة الاستصحاب ها هنا بعد تبدل الموضوع من الجهل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ولظهور الآية في سقوط الذنب بالتوبة للعالم، لا سقوط الضمان بالبيان للجاهل؛ لظهور الموعظة في ذلك، ولتفسيرها بها لا به ولدلالة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 لا قائل بتعليق الحلّ على الانتهاء بعد البيان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ولمنع دلالة الأخبار على حلّيّة الربا وعدم لزوم ردّه، وغاية ما تدلّ عليه هو العفو عمّا صدر حال الجهل أو حال الجاهلية، فيكون مفادها كمفاد ما دلّ على عذر الجاهل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تُحمل الأخبار على حلّية المال المختلط المجهول صاحبه وقدره، كما تدلّ عليه أخبار أخر </w:t>
      </w:r>
      <w:r>
        <w:rPr>
          <w:rStyle w:val="FootnoteAnchor"/>
          <w:rtl w:val="true"/>
        </w:rPr>
        <w:footnoteReference w:id="1417"/>
      </w:r>
      <w:r>
        <w:rPr>
          <w:rFonts w:ascii="Amiri" w:hAnsi="Amiri" w:eastAsia="Amiri" w:cs="Amiri"/>
          <w:color w:val="111111"/>
          <w:sz w:val="28"/>
          <w:sz w:val="28"/>
          <w:szCs w:val="28"/>
          <w:rtl w:val="true"/>
          <w:lang w:bidi="ar-SA"/>
        </w:rPr>
        <w:t xml:space="preserve">، ولكن لا بد من تقييدها بما بعد إخراج الخمس منه؛ جمعاً بينها وبين الأخبار الدالة على ذلك، المعتضدة بكلام الأصحاب، كما تُحمل الأخبار الأُخر الدالة على حلية </w:t>
      </w:r>
      <w:bookmarkStart w:id="653" w:name="pg19000_245565"/>
    </w:p>
    <w:p>
      <w:pPr>
        <w:pStyle w:val="BookText"/>
        <w:rPr/>
      </w:pPr>
      <w:bookmarkEnd w:id="653"/>
      <w:r>
        <w:rPr>
          <w:rFonts w:ascii="Amiri" w:hAnsi="Amiri" w:eastAsia="Amiri" w:cs="Amiri"/>
          <w:color w:val="111111"/>
          <w:sz w:val="28"/>
          <w:sz w:val="28"/>
          <w:szCs w:val="28"/>
          <w:rtl w:val="true"/>
          <w:lang w:bidi="ar-SA"/>
        </w:rPr>
        <w:t>الربا مع اختلاطه بماله بحيث لا يعرفه، أو ورث مالاً يعرف أن فيه الربا ولكن لا يميزه بعينه، على ما ذكرناه من حليته من حيث إخراج الخمس منه بعد الجهل بالقدر والصاحب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والأخذ بظاهرها والحكم بحلّيّة الربا من حيثية الاختلاط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ابن الجنيد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مخالف لما استقرّت عليه الفتوى وقضت به القواعد، وإن كان في المعتبرة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الحلبي فيمن ورث مالاً قد علم أن صاحبه كان يربي واعترف بذلك،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تعلم أنّ فيه مالاً معروفاً ربا وتعرف أهله فخُذ رأس مالك وردّ ما سوى ذلك، وإن كان مختلطاً فكله هنيئاً مريئاً</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تعرف شيئاً معزولاً وتعرف أهله فخُذ رأس مالك ودَعْ ما سواه، وإن كان المال مختلطاً فكله هنيئاً مريئاً فإنّ المال مالك، واجتنب ما كان يصنع صاحبك</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أنّها مطرحة أو منزلة على ما ذكرنا، سواء كان مفادها حلية الربا من حيثية الاختلاط فقط كما قد يُفهم منها، أو من حيثية الاختلاط وجهل الصاحب معاً كما يُفهم أيضاً؛ لإعراض الأصحاب عن العمل بمضمونها على التقديرين؛ ولمخالفتها الأصول الشرعيَّة والضوابط المرعية</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3372596_1280447820"/>
      <w:bookmarkStart w:id="655" w:name="_Toc244"/>
      <w:bookmarkEnd w:id="654"/>
      <w:r>
        <w:rPr>
          <w:rtl w:val="true"/>
        </w:rPr>
        <w:t>ثالثها</w:t>
      </w:r>
      <w:r>
        <w:rPr>
          <w:rtl w:val="true"/>
        </w:rPr>
        <w:t xml:space="preserve">: </w:t>
      </w:r>
      <w:r>
        <w:rPr>
          <w:rtl w:val="true"/>
        </w:rPr>
        <w:t>عدم حرمة الربا بين الوالد وولده والزوج وزوجته والمالك ومملوكه</w:t>
      </w:r>
      <w:bookmarkEnd w:id="65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اسماً وحكماً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داخل في ماهيته، أو لا ربا حكماً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التحريم من أحكامه بين الوالد وولده، والزوج وزوجته، والمالك ومملوكه، فلكلَّ منهما أخذ الفضل من الآخر؛ للإجماع المنقول </w:t>
      </w:r>
      <w:r>
        <w:rPr>
          <w:rStyle w:val="FootnoteAnchor"/>
          <w:rtl w:val="true"/>
        </w:rPr>
        <w:footnoteReference w:id="1421"/>
      </w:r>
      <w:r>
        <w:rPr>
          <w:rFonts w:ascii="IRNazanin" w:hAnsi="IRNazanin" w:eastAsia="IRNazanin"/>
          <w:color w:val="111111"/>
          <w:sz w:val="28"/>
          <w:sz w:val="28"/>
          <w:szCs w:val="28"/>
          <w:rtl w:val="true"/>
          <w:lang w:bidi="fa-IR"/>
        </w:rPr>
        <w:t xml:space="preserve">، بل المحصل، وللأخبار </w:t>
      </w:r>
      <w:r>
        <w:rPr>
          <w:rStyle w:val="FootnoteAnchor"/>
          <w:rtl w:val="true"/>
        </w:rPr>
        <w:footnoteReference w:id="1422"/>
      </w:r>
      <w:r>
        <w:rPr>
          <w:rFonts w:ascii="Amiri" w:hAnsi="Amiri" w:eastAsia="Amiri" w:cs="Amiri"/>
          <w:color w:val="111111"/>
          <w:sz w:val="28"/>
          <w:sz w:val="28"/>
          <w:szCs w:val="28"/>
          <w:rtl w:val="true"/>
          <w:lang w:bidi="ar-SA"/>
        </w:rPr>
        <w:t>الخاصة النافية للربا بين ما قدمناه بعضاً مع بعض الظاهرة في نفي ماهيته أو نفي أظهر أحكامه، وهو التحريم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وحملها على إرادة النهي عن الربا،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ولا فسوق</w:t>
      </w:r>
      <w:r>
        <w:rPr>
          <w:rFonts w:eastAsia="IRNazanin" w:cs="IRNazanin"/>
          <w:color w:val="111111"/>
          <w:sz w:val="28"/>
          <w:szCs w:val="28"/>
          <w:rtl w:val="true"/>
          <w:lang w:bidi="fa-IR"/>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بعيد عن سياقها، ومخالف </w:t>
      </w:r>
    </w:p>
    <w:p>
      <w:pPr>
        <w:pStyle w:val="BookText"/>
        <w:rPr/>
      </w:pPr>
      <w:r>
        <w:rPr>
          <w:rFonts w:ascii="Amiri" w:hAnsi="Amiri" w:eastAsia="Amiri" w:cs="Amiri"/>
          <w:color w:val="111111"/>
          <w:sz w:val="28"/>
          <w:sz w:val="28"/>
          <w:szCs w:val="28"/>
          <w:rtl w:val="true"/>
          <w:lang w:bidi="ar-SA"/>
        </w:rPr>
        <w:t>لما انعقد عليه الإجماع ولما يقضي به ظهور الخطاب؛ لأقربية التجوز بنفي الشيء عن نفي لازمه من التجوّز بالجملة الخبرية عن إرادة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نفي الربا بين ما ذكرنا هو نفيه من كلّ من الطرفين، كما هو المفهوم لفظاً والمتفق عليه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فخص جواز أخذ الفضل بالوالد من الولد دون العكس، ومع ذلك اشترط عدم وارث له وعدم غريم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جداً وإن استأنس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الاقتصار على المورد اليقيني في الخروج عمّا دلّ على تحريم الربا هو الاقتصار على الولد والوالد الصلبيين؛ لتبادرهما من الفتوى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والاقتصار على الولد النسبي؛ لأنّه المتبادر، دون الرضاعي، وللشك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المقام سيّما بعد إعراض الأصحاب عن التسرية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والاقتصار على الولد المحلّل دون الزنى؛ لانصراف الولد إليه عرفاً،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والاقتصار على الأب دون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والاقتصار في الزوجة على الدائمة دون المتمتع بها؛ لانصراف الإطلاق إليها سيّما زمن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ما يؤذن بخصوص الدائمة كتفويض الزوجة بأن تأخذ من مال الرجل المأدوم وكتسلّط الزوج على مالها بحيث لا يجوز لها عتق عبدها من دون إذنه، وبضميمة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الربا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وبين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والمتمتع بها كأنها مما لا يملك دون الدائمة يقوى القول بالاقتصار على الدائمة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القول بشمول الحكم للمتمتع بها؛ لشمول لفظ الزوجة والأهل لها، ولا يخلو عن قوة</w:t>
      </w:r>
      <w:r>
        <w:rPr>
          <w:rFonts w:eastAsia="Amiri" w:cs="Amiri" w:ascii="Amiri" w:hAnsi="Amiri"/>
          <w:color w:val="111111"/>
          <w:sz w:val="28"/>
          <w:szCs w:val="28"/>
          <w:rtl w:val="true"/>
          <w:lang w:bidi="ar-SA"/>
        </w:rPr>
        <w:t xml:space="preserve">. </w:t>
      </w:r>
      <w:bookmarkStart w:id="656" w:name="pg19000_245567"/>
    </w:p>
    <w:p>
      <w:pPr>
        <w:pStyle w:val="BookText"/>
        <w:rPr/>
      </w:pPr>
      <w:bookmarkEnd w:id="656"/>
      <w:r>
        <w:rPr>
          <w:rFonts w:ascii="Amiri" w:hAnsi="Amiri" w:eastAsia="Amiri" w:cs="Amiri"/>
          <w:color w:val="111111"/>
          <w:sz w:val="28"/>
          <w:sz w:val="28"/>
          <w:szCs w:val="28"/>
          <w:rtl w:val="true"/>
          <w:lang w:bidi="ar-SA"/>
        </w:rPr>
        <w:t>والاقتصار في العبد على المختص دون المشترك إلا بقدر حصته منه، مع احتمال عدم الجواز مطلقاً حتّى بقدر حصته؛ للخبر في المشركين بيني وبينهم ربا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لست تملكهم إنّما تملكهم مع غيرك، أنت وغيرك فيهم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عبدك ليس مثل عبدك وعبد غيرك</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والولد شامل للذكر والأنثى والخنثى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الرجعية بحكم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والولد المشتبه والزوجة المشتبهة يحرم عليهما الربا إلى أن يُستخرجا بالقرعة، وعند استخراجهما فهل القرعة كاشفة أو ناقلة ؟ وجهان، ويجري الحكم على كلّ منهما بما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شامل لجميع أقسامه، سوى المكاتب، فإنّ في دخوله تحت ما دلّ على نفي الربا بين السيد ومملوكه </w:t>
      </w:r>
      <w:r>
        <w:rPr>
          <w:rStyle w:val="FootnoteAnchor"/>
          <w:rtl w:val="true"/>
        </w:rPr>
        <w:footnoteReference w:id="1430"/>
      </w:r>
      <w:r>
        <w:rPr>
          <w:rFonts w:ascii="Amiri" w:hAnsi="Amiri" w:eastAsia="Amiri" w:cs="Amiri"/>
          <w:color w:val="111111"/>
          <w:sz w:val="28"/>
          <w:sz w:val="28"/>
          <w:szCs w:val="28"/>
          <w:rtl w:val="true"/>
          <w:lang w:bidi="ar-SA"/>
        </w:rPr>
        <w:t>إشكالاً؛ لأنّ المكاتب كأنه قد انقطعت سلطنته عن سيّده</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3372598_1280447820"/>
      <w:bookmarkStart w:id="658" w:name="_Toc245"/>
      <w:bookmarkEnd w:id="657"/>
      <w:r>
        <w:rPr>
          <w:rtl w:val="true"/>
        </w:rPr>
        <w:t>رابعها</w:t>
      </w:r>
      <w:r>
        <w:rPr>
          <w:rtl w:val="true"/>
        </w:rPr>
        <w:t xml:space="preserve">: </w:t>
      </w:r>
      <w:r>
        <w:rPr>
          <w:rtl w:val="true"/>
        </w:rPr>
        <w:t>في أنّه لا ربا بين المسلم والحربي من فرق الكفّار</w:t>
      </w:r>
      <w:bookmarkEnd w:id="65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المسلم والحربي من فِرَق الكفّار على أن يأخذ المسلم الفضل دون الحربي، وفاقاً للأكثر </w:t>
      </w:r>
      <w:r>
        <w:rPr>
          <w:rStyle w:val="FootnoteAnchor"/>
          <w:rtl w:val="true"/>
        </w:rPr>
        <w:footnoteReference w:id="1431"/>
      </w:r>
      <w:r>
        <w:rPr>
          <w:rFonts w:ascii="Amiri" w:hAnsi="Amiri" w:eastAsia="Amiri" w:cs="Amiri"/>
          <w:color w:val="111111"/>
          <w:sz w:val="28"/>
          <w:sz w:val="28"/>
          <w:szCs w:val="28"/>
          <w:rtl w:val="true"/>
          <w:lang w:bidi="ar-SA"/>
        </w:rPr>
        <w:t>، واقتصاراً على المورد اليقيني من الخروج عن أدلّة تحريم الربا،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بيننا وبين أهل حربنا ربا نأخذ منهم ألف درهم بدرهم ونأخذ منهم ولا نعطيهم</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فالقول بنفيه عن كلا الطرفين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الربا بين المسلم والحربي كنفيه بين السيد وعبده؛ لأن الحربيين وأموالهم ملك للمسلمين، فأخذ المسلم منهم من قبيل استنقاذ ماله إن قلنا بعدم ملكهم لمالهم وإنّه يملكه المسلمون، ويكون العقد عليه عقداً صوريّاً، أو من قبيل حيازة المباح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يملكون أموالهم ويملكون الثمن المنتقل إليهم، إلا أنّه مباح بالنسبة إلى المسلمين يملكونه بالحيازة وشبهها، فيكون العقد معهم أيضاً عقداً صوريّاً لمكان إباحة أحد العوضين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فأخذ الربا منهم جارٍ على القواعد، فلا يحتاج إلى دليل خاص</w:t>
      </w:r>
      <w:r>
        <w:rPr>
          <w:rFonts w:eastAsia="Amiri" w:cs="Amiri" w:ascii="Amiri" w:hAnsi="Amiri"/>
          <w:color w:val="111111"/>
          <w:sz w:val="28"/>
          <w:szCs w:val="28"/>
          <w:rtl w:val="true"/>
          <w:lang w:bidi="ar-SA"/>
        </w:rPr>
        <w:t xml:space="preserve">. </w:t>
      </w:r>
      <w:bookmarkStart w:id="659" w:name="pg19000_245568"/>
    </w:p>
    <w:p>
      <w:pPr>
        <w:pStyle w:val="BookText"/>
        <w:rPr/>
      </w:pPr>
      <w:bookmarkEnd w:id="659"/>
      <w:r>
        <w:rPr>
          <w:rFonts w:ascii="Amiri" w:hAnsi="Amiri" w:eastAsia="Amiri" w:cs="Amiri"/>
          <w:color w:val="111111"/>
          <w:sz w:val="28"/>
          <w:sz w:val="28"/>
          <w:szCs w:val="28"/>
          <w:rtl w:val="true"/>
          <w:lang w:bidi="ar-SA"/>
        </w:rPr>
        <w:t>والمراد بالحربي ما كان محارباً بالقوة ومن شأنه ذلك، ولا يشترط كونه محارباً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الحربي الداخل بأمان أو عهد أو شبههما في بلاد المسلمين تحت أدلة جواز أخذ الربا منه إشكال، سيّما لو كان العهد والأمان على 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الحربي من أهل الذمة فيحرم أخذ الربا منه على الأقوى والأشهر؛ لعموم الأدلّة </w:t>
      </w:r>
      <w:r>
        <w:rPr>
          <w:rStyle w:val="FootnoteAnchor"/>
          <w:rtl w:val="true"/>
        </w:rPr>
        <w:footnoteReference w:id="1433"/>
      </w:r>
      <w:r>
        <w:rPr>
          <w:rFonts w:ascii="Amiri" w:hAnsi="Amiri" w:eastAsia="Amiri" w:cs="Amiri"/>
          <w:color w:val="111111"/>
          <w:sz w:val="28"/>
          <w:sz w:val="28"/>
          <w:szCs w:val="28"/>
          <w:rtl w:val="true"/>
          <w:lang w:bidi="ar-SA"/>
        </w:rPr>
        <w:t>والاحتياط، فحكمه كحكم المخالفين وباقي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أخذ الربا منه </w:t>
      </w:r>
      <w:r>
        <w:rPr>
          <w:rStyle w:val="FootnoteAnchor"/>
          <w:rtl w:val="true"/>
        </w:rPr>
        <w:footnoteReference w:id="1434"/>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1435"/>
      </w:r>
      <w:r>
        <w:rPr>
          <w:rFonts w:ascii="Amiri" w:hAnsi="Amiri" w:eastAsia="Amiri" w:cs="Amiri"/>
          <w:color w:val="111111"/>
          <w:sz w:val="28"/>
          <w:sz w:val="28"/>
          <w:szCs w:val="28"/>
          <w:rtl w:val="true"/>
          <w:lang w:bidi="ar-SA"/>
        </w:rPr>
        <w:t>، واستند له برواية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المسلم والذمي ربا</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لمعارضة الإجماع بإجماع أقوى منه معتضد بفتوى المشهور وعموم الأدلّة، ومعارضة الرواية برواية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بيني وبينهم 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وخروج الحربي غير ضائرٍ ؛ لأنّ العام المخصوص حجّة في الباقي، وهذه الرواية أقوى، فلتحمل النافية على النهي، أو على ما إذا لم يقوموا بشرائط الذمة</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3372600_1280447820"/>
      <w:bookmarkStart w:id="661" w:name="_Toc246"/>
      <w:bookmarkEnd w:id="660"/>
      <w:r>
        <w:rPr>
          <w:rtl w:val="true"/>
        </w:rPr>
        <w:t>خامسها</w:t>
      </w:r>
      <w:r>
        <w:rPr>
          <w:rtl w:val="true"/>
        </w:rPr>
        <w:t xml:space="preserve">: </w:t>
      </w:r>
      <w:r>
        <w:rPr>
          <w:rtl w:val="true"/>
        </w:rPr>
        <w:t>في أنّه مما يدخل في مفهوم الربا اتحاد الجنس</w:t>
      </w:r>
      <w:bookmarkEnd w:id="661"/>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يدخل في مفهوم الربا اسماً أو يشترط في تحريمه حكماً اتحاد الجنس، وهو الاتفاق في الحقيقة النوعية بحيث يُعدّ في العرف أنّ العوضين ماهية واحدة، كالحنطة والرز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اعتبار باتحاد الاسم وتغايره، فقد يتحد الاسم وتتغاير الماهية كاسم اللحم والدهن، وقد يتغاير الاسم والماهية واحدة، كما اختص بعض أفراد الماهية باسم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شكّ فيه وحدةً وتعدّداً فالأصل يقضي بجواز بيعه متفاضلاً؛ لتعارض أصلي عدم التعدد وعدم الاتحاد، فيبقى الأصل الحكمي سليماً عن المعارض</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من المشكوك فيه السلت والعلس، فيجوز بيعهما بالحنطة والشعير متفاضلاً، </w:t>
      </w:r>
    </w:p>
    <w:p>
      <w:pPr>
        <w:pStyle w:val="BookText"/>
        <w:rPr/>
      </w:pPr>
      <w:r>
        <w:rPr>
          <w:rFonts w:ascii="Amiri" w:hAnsi="Amiri" w:eastAsia="Amiri" w:cs="Amiri"/>
          <w:color w:val="111111"/>
          <w:sz w:val="28"/>
          <w:sz w:val="28"/>
          <w:szCs w:val="28"/>
          <w:rtl w:val="true"/>
          <w:lang w:bidi="ar-SA"/>
        </w:rPr>
        <w:t>والأحوط التجنّب والاحتياط عن بيعه كذلك؛ تغليباً لجانب حرمة الربا، كما يستفاد ذلك من عدة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متحد الجنس شرعاً الحنطة والشعير في خصوص باب الربا، فإنّه قد دلّت الأخبار </w:t>
      </w:r>
      <w:r>
        <w:rPr>
          <w:rStyle w:val="FootnoteAnchor"/>
          <w:rtl w:val="true"/>
        </w:rPr>
        <w:footnoteReference w:id="1438"/>
      </w:r>
      <w:r>
        <w:rPr>
          <w:rFonts w:ascii="Amiri" w:hAnsi="Amiri" w:eastAsia="Amiri" w:cs="Amiri"/>
          <w:color w:val="111111"/>
          <w:sz w:val="28"/>
          <w:sz w:val="28"/>
          <w:szCs w:val="28"/>
          <w:rtl w:val="true"/>
          <w:lang w:bidi="ar-SA"/>
        </w:rPr>
        <w:t xml:space="preserve">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كادت أن تكون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المنقول </w:t>
      </w:r>
      <w:r>
        <w:rPr>
          <w:rStyle w:val="FootnoteAnchor"/>
          <w:rtl w:val="true"/>
        </w:rPr>
        <w:footnoteReference w:id="1439"/>
      </w:r>
      <w:r>
        <w:rPr>
          <w:rFonts w:ascii="Amiri" w:hAnsi="Amiri" w:eastAsia="Amiri" w:cs="Amiri"/>
          <w:color w:val="111111"/>
          <w:sz w:val="28"/>
          <w:sz w:val="28"/>
          <w:szCs w:val="28"/>
          <w:rtl w:val="true"/>
          <w:lang w:bidi="ar-SA"/>
        </w:rPr>
        <w:t>وفتوى الفحول على أنّهما بحكم جنس واحد، فلا يجوز التفاضل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حكم تعبدي جاء به الدليل في باب الربا، فيبقى ما عداه في الزكاة ونحوها على قواعد اختلاف الجنس، أو أنّه كاشف عن اتحادهما في النوع الواحد، وقد خرجا في غير باب الربا من احتسابهما اثنين للدليل أو أنّ لهما ملاحظتين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أن أصلهما واحد ومبدأهما متحد، كما تدلّ عليه الأخبار، ففي الخبر المعتبر في الحنطة والشعير أيصلح أن يأخذ اثنين بواحد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أصلهما واحد</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لأنّ أصل الشعير من الحنطة</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بعد أن جاء جبرئيل لآدم بالحنطة فزرعاها فما زرعه آدم جاء حنطة وما زرعته حوّاء جاء شعيراً</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فبهذه الملاحظة جرى عليهما حكم الجنس الواحد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اختلافهما في الصورة ظاهراً وفي الخواص وفي الاسم والثمرات وفي العرف، فبملاحظة هذه جرى عليهما حكم الاختلاف في باقي الأحكام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ذهب إلى جواز بيع كلّ منهما بالآخر متفاضلاً ؛ لاختلاف جنسيهما عرفاً </w:t>
      </w:r>
      <w:r>
        <w:rPr>
          <w:rStyle w:val="FootnoteAnchor"/>
          <w:rtl w:val="true"/>
        </w:rPr>
        <w:footnoteReference w:id="1444"/>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بالشعير والشعير بالبر، كيف شئتم يداً بيد</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فهو ضعيف المستند لا يعارض ما قدّمنا</w:t>
      </w:r>
      <w:r>
        <w:rPr>
          <w:rFonts w:eastAsia="Amiri" w:cs="Amiri" w:ascii="Amiri" w:hAnsi="Amiri"/>
          <w:color w:val="111111"/>
          <w:sz w:val="28"/>
          <w:szCs w:val="28"/>
          <w:rtl w:val="true"/>
          <w:lang w:bidi="ar-SA"/>
        </w:rPr>
        <w:t xml:space="preserve">. </w:t>
      </w:r>
      <w:bookmarkStart w:id="662" w:name="pg19000_245570"/>
    </w:p>
    <w:p>
      <w:pPr>
        <w:pStyle w:val="Heading5"/>
        <w:numPr>
          <w:ilvl w:val="4"/>
          <w:numId w:val="1"/>
        </w:numPr>
        <w:rPr/>
      </w:pPr>
      <w:bookmarkStart w:id="663" w:name="__RefHeading___Toc13372602_1280447820"/>
      <w:bookmarkStart w:id="664" w:name="_Toc247"/>
      <w:bookmarkEnd w:id="662"/>
      <w:bookmarkEnd w:id="663"/>
      <w:r>
        <w:rPr>
          <w:rtl w:val="true"/>
        </w:rPr>
        <w:t>سادسها</w:t>
      </w:r>
      <w:r>
        <w:rPr>
          <w:rtl w:val="true"/>
        </w:rPr>
        <w:t xml:space="preserve">: </w:t>
      </w:r>
      <w:r>
        <w:rPr>
          <w:rtl w:val="true"/>
        </w:rPr>
        <w:t>في أنّه من متفق الجنس في باب الربا حكماً، أصل الشيء وفرعه</w:t>
      </w:r>
      <w:bookmarkEnd w:id="66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متفق الجنس في باب الربا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صورة وثمرة وشكلاً واسماً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الشيء وفرعه المتكوّن منه كاللحم والصوف والدم والحليب، أو المعمول منه كالحليب والجبن والسمن، وكذا فروع الأصل الواحد المتغايرة بالتكوّن، كأفراد ثمرات النخل أو ثمرات العنب، أو بالعمل كالدبس من التمر والخَلّ منه والسمن من الحليب والجبن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صدق الفرعية والاقتطاع في كلا القسمين فلا يدخل فيها الاستحالة كاستحالة الدقيق ملحاً، فإنّه يخرج عن الدقيقية ها هنا ويلحق بالملحية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وفروع كلّ أصل تتبعه في الاختلاف مع أصل آخر، فلحم البقر ودهنها ولبنها يتبعه، ويغاير لحم الغنم ودهنها ولبنها، ويغاير دهن السمسم، وهما معاً يغايران دهن الزيت، ودبس التمر يغاير دبس العنب، وكذا خَلّ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الإشكال في لحوم السمك والحمام والوحش من كلّ جنس مع إنسيه في أنّها جنس واحد أو أجناس متعدّدة، وطريق الاحتياط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اتحاد أصل الشيء وفرعه واتحاد فروع الأصل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w:t>
      </w:r>
      <w:r>
        <w:rPr>
          <w:rStyle w:val="FootnoteAnchor"/>
          <w:rtl w:val="true"/>
        </w:rPr>
        <w:footnoteReference w:id="1446"/>
      </w:r>
      <w:r>
        <w:rPr>
          <w:rFonts w:ascii="Amiri" w:hAnsi="Amiri" w:eastAsia="Amiri" w:cs="Amiri"/>
          <w:color w:val="111111"/>
          <w:sz w:val="28"/>
          <w:sz w:val="28"/>
          <w:szCs w:val="28"/>
          <w:rtl w:val="true"/>
          <w:lang w:bidi="ar-SA"/>
        </w:rPr>
        <w:t xml:space="preserve">والشهرة المحصلة، والتعليل في أخبار المنع عن التفاضل بين الحنطة والشعير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والاستقراء القطعي الحاصل لمن تتبع موارد المنع في جملة مما ذكرنا من الأخبار الخاصة المتكترة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رواية علي بن إبراهيم،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كيل أو وزن ممّا أصله واحد فليس لبعضه فضل على بعض كيل بكيل أو وزن بوزن</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بعض المحقّقين </w:t>
      </w:r>
      <w:r>
        <w:rPr>
          <w:rStyle w:val="FootnoteAnchor"/>
          <w:rtl w:val="true"/>
        </w:rPr>
        <w:footnoteReference w:id="1450"/>
      </w:r>
      <w:r>
        <w:rPr>
          <w:rFonts w:ascii="Amiri" w:hAnsi="Amiri" w:eastAsia="Amiri" w:cs="Amiri"/>
          <w:color w:val="111111"/>
          <w:sz w:val="28"/>
          <w:sz w:val="28"/>
          <w:szCs w:val="28"/>
          <w:rtl w:val="true"/>
          <w:lang w:bidi="ar-SA"/>
        </w:rPr>
        <w:t xml:space="preserve">في الحكم المذكور؛ استناداً للأصل والعمومات،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وللصحيح عن بيع الغزل بالثياب المنسوجة والغزل أكثر وزناً من الثياب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bookmarkStart w:id="665" w:name="pg19000_245571"/>
    </w:p>
    <w:p>
      <w:pPr>
        <w:pStyle w:val="BookText"/>
        <w:rPr/>
      </w:pPr>
      <w:bookmarkEnd w:id="665"/>
      <w:r>
        <w:rPr>
          <w:rFonts w:ascii="IRNazanin" w:hAnsi="IRNazanin" w:eastAsia="IRNazanin"/>
          <w:color w:val="111111"/>
          <w:sz w:val="28"/>
          <w:sz w:val="28"/>
          <w:szCs w:val="28"/>
          <w:rtl w:val="true"/>
          <w:lang w:bidi="fa-IR"/>
        </w:rPr>
        <w:t>وفيه نظر؛ لانقطاع الأصل، وتخصيص العمومات بما ذكرنا من الأدلّة، ولضعف مقاومة الرواية لها أيضاً، ولو سُلّم فلا نسلّم اختلاف الجنس في أصل الشيء وفرعه وفروع الأصل الواحد؛ إذ لعله متحد كما كشف الشارع لنا عن اتحاده، واختلافها بالصور والأسماء لا يدلّ إلا على اختلافها ظاهراً، والربا يدور أمره مدار الواقع كما يُفهم من الأخبار، لا مدار الظاهر كما في غيره من الأحكام حيث تدور مدار العرف والظهور، ولأنّ تجويز التفاضل إنما كان فی الصحيحة بين الغزل والثياب غير مكيلة ولا موزونة، فتخرج عن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في حرمة التفاضل وجواز التساوي بين الأصل والفروع أو الفروع للأصل الواحد بين ما يزيد أحدهما على الآخر بعد البيع بعمل كطحين بحنطة، أو ينقص كصوف بغزل وقطن بثوب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ما يدل على جواز بيع أحدهما بالآخر متساوياً، كالصحيح المجوّز لبيع البر بالسويق وإن كان فيه ريع فضل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والأصول والقواعد، وظاهر الفتاوى تقضي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استشكل في جواز بيع ما ينقص ويزيد متساوياً لمكان الربا المقدر فيكون كبيع الجاف بالرطب إذا نقص عند جفافه، لا يصغى لإشكاله، ومنع الجاف بالرطب مخصوص بمورده، فلا يُحمل عليه ما شابهه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3372604_1280447820"/>
      <w:bookmarkStart w:id="667" w:name="_Toc248"/>
      <w:bookmarkEnd w:id="666"/>
      <w:r>
        <w:rPr>
          <w:rtl w:val="true"/>
        </w:rPr>
        <w:t>سابعها</w:t>
      </w:r>
      <w:r>
        <w:rPr>
          <w:rtl w:val="true"/>
        </w:rPr>
        <w:t xml:space="preserve">: </w:t>
      </w:r>
      <w:r>
        <w:rPr>
          <w:rtl w:val="true"/>
        </w:rPr>
        <w:t>من شرائط تحقق الرباكون العوضين مقدّرين بالكيل أو الوزن</w:t>
      </w:r>
      <w:bookmarkEnd w:id="66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تحقق اسم الربا أو حكمه من التحريم كون العوضين فيه مقدرين بالكيل أو الوزن على وجه الاتحاد أو الاختلاف؛ للإجماع بقسميه </w:t>
      </w:r>
      <w:r>
        <w:rPr>
          <w:rStyle w:val="FootnoteAnchor"/>
          <w:rtl w:val="true"/>
        </w:rPr>
        <w:footnoteReference w:id="1454"/>
      </w:r>
      <w:r>
        <w:rPr>
          <w:rFonts w:ascii="Amiri" w:hAnsi="Amiri" w:eastAsia="Amiri" w:cs="Amiri"/>
          <w:color w:val="111111"/>
          <w:sz w:val="28"/>
          <w:sz w:val="28"/>
          <w:szCs w:val="28"/>
          <w:rtl w:val="true"/>
          <w:lang w:bidi="ar-SA"/>
        </w:rPr>
        <w:t xml:space="preserve">، ولانصراف أدلة تحريم الربا إليه ؛ وللأخبار الخاصة المتكثّرة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إلّا فيما يكال أو يوزن، وأن ما لا يكال ولا يوزن فلا بأس به متفاضلاً</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بالمكيل والموزون ما من شأنه ذلك، فلو منع من كيله أو وزنه مانع </w:t>
      </w:r>
      <w:bookmarkStart w:id="668" w:name="pg19000_245572"/>
    </w:p>
    <w:p>
      <w:pPr>
        <w:pStyle w:val="BookText"/>
        <w:rPr/>
      </w:pPr>
      <w:bookmarkEnd w:id="668"/>
      <w:r>
        <w:rPr>
          <w:rFonts w:ascii="Amiri" w:hAnsi="Amiri" w:eastAsia="Amiri" w:cs="Amiri"/>
          <w:color w:val="111111"/>
          <w:sz w:val="28"/>
          <w:sz w:val="28"/>
          <w:szCs w:val="28"/>
          <w:rtl w:val="true"/>
          <w:lang w:bidi="ar-SA"/>
        </w:rPr>
        <w:t>لقلته كالحبّة والحبتين من الطعام، أو كبره كالقطع الكبار، أو عدم إمكان تخليصه كالبيوت المموهة بالذهب والسيوف المحلاة به، لم يخرج في جميع ذلك عن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المقدر بالصنعة أو العمل عن التقدير حتّى عاد جزافاً كالثياب من القطن أو الإبريسم وكالسلاح من أنواع الحديد وكبعض الأواني من الصفر والحديد، فلا بأس ببيعه بعضاً ببعض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به في وجه كلّ مسكوك من النقدين بحيث يسقط حكم الوزن عنه وتقوم السكة مقامه</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3372606_1280447820"/>
      <w:bookmarkStart w:id="670" w:name="_Toc249"/>
      <w:bookmarkEnd w:id="669"/>
      <w:r>
        <w:rPr>
          <w:rtl w:val="true"/>
        </w:rPr>
        <w:t xml:space="preserve">ثامنها </w:t>
      </w:r>
      <w:r>
        <w:rPr>
          <w:rtl w:val="true"/>
        </w:rPr>
        <w:t xml:space="preserve">: </w:t>
      </w:r>
      <w:r>
        <w:rPr>
          <w:rtl w:val="true"/>
        </w:rPr>
        <w:t>مدار حكم الربا في المكيل والموزون مدار العادة</w:t>
      </w:r>
      <w:bookmarkEnd w:id="67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تعليق حكم الربا بما يكال أو يوزن أنّ المدار فيه مدار العادة وجوداً وعدماً، كما في سائر ذوات المبادئ ممّا علّق الحكم فيها على المشتق، كالمأكول والملبوس في السجود ونحو ذلك، إلا أنّه قد نُقل الإجماع </w:t>
      </w:r>
      <w:r>
        <w:rPr>
          <w:rStyle w:val="FootnoteAnchor"/>
          <w:rtl w:val="true"/>
        </w:rPr>
        <w:footnoteReference w:id="1456"/>
      </w:r>
      <w:r>
        <w:rPr>
          <w:rFonts w:ascii="Amiri" w:hAnsi="Amiri" w:eastAsia="Amiri" w:cs="Amiri"/>
          <w:color w:val="111111"/>
          <w:sz w:val="28"/>
          <w:sz w:val="28"/>
          <w:szCs w:val="28"/>
          <w:rtl w:val="true"/>
          <w:lang w:bidi="ar-SA"/>
        </w:rPr>
        <w:t xml:space="preserve">وأفتى الأصحاب بأن المقدر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حكم التقدير وحرمة الربا دائماً، فيكون الإجماع المنقول وفتوى الفحول قرينةً على تقيّد إطلاق تعليق الحكم على نفس المشتق بما كان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قرينة على استعمال لفظ المشتق في المعنى الوصفي وفي ذوات مخصوصة كانت مكيلة وموزونة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قرينة على استعماله في المتلبس بالمبدأ، وفيما كان متلبساً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المقدر في زمنه قطعاً،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يجري عليه حكم التقدير </w:t>
      </w:r>
      <w:r>
        <w:rPr>
          <w:rStyle w:val="FootnoteAnchor"/>
          <w:rtl w:val="true"/>
        </w:rPr>
        <w:footnoteReference w:id="1457"/>
      </w:r>
      <w:r>
        <w:rPr>
          <w:rFonts w:ascii="Amiri" w:hAnsi="Amiri" w:eastAsia="Amiri" w:cs="Amiri"/>
          <w:color w:val="111111"/>
          <w:sz w:val="28"/>
          <w:sz w:val="28"/>
          <w:szCs w:val="28"/>
          <w:rtl w:val="true"/>
          <w:lang w:bidi="ar-SA"/>
        </w:rPr>
        <w:t xml:space="preserve">وإن قدر بالعادة، واستظهر بعضهم </w:t>
      </w:r>
      <w:r>
        <w:rPr>
          <w:rStyle w:val="FootnoteAnchor"/>
          <w:rtl w:val="true"/>
        </w:rPr>
        <w:footnoteReference w:id="1458"/>
      </w:r>
      <w:r>
        <w:rPr>
          <w:rFonts w:ascii="Amiri" w:hAnsi="Amiri" w:eastAsia="Amiri" w:cs="Amiri"/>
          <w:color w:val="111111"/>
          <w:sz w:val="28"/>
          <w:sz w:val="28"/>
          <w:szCs w:val="28"/>
          <w:rtl w:val="true"/>
          <w:lang w:bidi="ar-SA"/>
        </w:rPr>
        <w:t>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ضعيف؛ لعموم أخبار جريان الربا في المكيل والموزون، فتخصيصها بما يعلم عدم تقديره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مقاوم، وليس إلا ظاهر الإجماع، وليس له أهلية المقاومة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يقع الإشكال فيما علم تقديره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وعدم تقديره أُخرى، فيباع في زمنه جزافاً ومقدّراً، وفيما عُلم تقديره ابتداءً ثمّ عوده جزافاً، وفيما عُلم تقديره في غير بلده </w:t>
      </w:r>
      <w:bookmarkStart w:id="671" w:name="pg19000_245573"/>
    </w:p>
    <w:p>
      <w:pPr>
        <w:pStyle w:val="BookText"/>
        <w:rPr/>
      </w:pPr>
      <w:bookmarkEnd w:id="671"/>
      <w:r>
        <w:rPr>
          <w:rFonts w:ascii="Amiri" w:hAnsi="Amiri" w:eastAsia="Amiri" w:cs="Amiri"/>
          <w:color w:val="111111"/>
          <w:sz w:val="28"/>
          <w:sz w:val="28"/>
          <w:szCs w:val="28"/>
          <w:rtl w:val="true"/>
          <w:lang w:bidi="ar-SA"/>
        </w:rPr>
        <w:t xml:space="preserve">مما أقر أهله عليه مع عدم تقديره في بلده، وفيما عُلم تقديره في بلد لم يعلم إقرار أهله منه عليه مع الجهل بحاله ببلده، وفيما عُلم تقديره ببلده دون باقي البلدان مع إقرار أهلها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الرجوع للأصل في جميع ذلك قوة، وفي الأخذ بالاحتياط سلامة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يجيء الكلام عند الرجوع في التقدير إلى العادة مع الجهل بحال المقدّر عادةً في زمن الصدور من أنّ المراد بالعادة هي العادة العامة في كلّ البلدان أو الغالبة، فإن كان الغالب التقدير جرى عليه حكمه، وإن كان الجزاف جرى عليه حكم الجزاف، أو لكل بلد عادة يتبعها أهلها أو مَنْ حلّ فيها، أو يكفي في التقدير حصوله في الجملة؛ لصدق أنّه مكيل أو موزون في الجملة فيغلب عليه جانب الاحتياط، ومن أنّ العادة لو جرت بالتقدير مرّةً والجزاف أُخرى، فهل يلاحظ الأخير؛ للأصل، أو الأوّل؛ لصدق المشتق في الجملة والاحتياط ؟ ومن أنّ العادة لو تبدلت بعد التقدير إلى الجزاف فهل يلاحظ الأخير للأصل، أو الأوّل؛ للاحتياط ؟</w:t>
      </w:r>
    </w:p>
    <w:p>
      <w:pPr>
        <w:pStyle w:val="BookText"/>
        <w:rPr/>
      </w:pPr>
      <w:r>
        <w:rPr>
          <w:rFonts w:ascii="Amiri" w:hAnsi="Amiri" w:eastAsia="Amiri" w:cs="Amiri"/>
          <w:color w:val="111111"/>
          <w:sz w:val="28"/>
          <w:sz w:val="28"/>
          <w:szCs w:val="28"/>
          <w:rtl w:val="true"/>
          <w:lang w:bidi="ar-SA"/>
        </w:rPr>
        <w:t>ثم إنا لو قلنا مع اختلاف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بلدٍ حكم نفسه، فلو كان كلّ من المتعاقدين من بلد وقد تعاقدا مع التفاضل في بريّة أو صحراء وكان أحدهما من بلد التقدير والآخر من بلد الجزاف، فهل يرجح جانب ذي بلد الجزاف فيحكم بالصحّة، أو يرجح جانب ذي بلد التقدير فيحكم بالفساد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3372608_1280447820"/>
      <w:bookmarkStart w:id="673" w:name="_Toc250"/>
      <w:bookmarkEnd w:id="672"/>
      <w:r>
        <w:rPr>
          <w:rtl w:val="true"/>
        </w:rPr>
        <w:t>تاسعها</w:t>
      </w:r>
      <w:r>
        <w:rPr>
          <w:rtl w:val="true"/>
        </w:rPr>
        <w:t xml:space="preserve">: </w:t>
      </w:r>
      <w:r>
        <w:rPr>
          <w:rtl w:val="true"/>
        </w:rPr>
        <w:t>شمول حرمة الربا للمبيع أصالة وللمبيع تبعاً</w:t>
      </w:r>
      <w:bookmarkEnd w:id="67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إطلاق الفتاوى والنصوص شمول حرمة الربا للمبيع أصالة وللمبيع تبعاً كبيع الدور المموهة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يظهر من بعضهم </w:t>
      </w:r>
      <w:r>
        <w:rPr>
          <w:rStyle w:val="FootnoteAnchor"/>
          <w:rtl w:val="true"/>
        </w:rPr>
        <w:footnoteReference w:id="1459"/>
      </w:r>
      <w:r>
        <w:rPr>
          <w:rFonts w:ascii="Amiri" w:hAnsi="Amiri" w:eastAsia="Amiri" w:cs="Amiri"/>
          <w:color w:val="111111"/>
          <w:sz w:val="28"/>
          <w:sz w:val="28"/>
          <w:szCs w:val="28"/>
          <w:rtl w:val="true"/>
          <w:lang w:bidi="ar-SA"/>
        </w:rPr>
        <w:t>خروج ما لم يقصد في المعاوضة أصالةً عن حرمة الربا، ويؤيده انصراف أدلّة التحريم للمقصود أصالة دون ما قصد تبعاً، إلا أن الاحتياط ينافيه</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3372610_1280447820"/>
      <w:bookmarkStart w:id="675" w:name="_Toc251"/>
      <w:bookmarkEnd w:id="674"/>
      <w:r>
        <w:rPr>
          <w:rtl w:val="true"/>
        </w:rPr>
        <w:t>عاشرها</w:t>
      </w:r>
      <w:r>
        <w:rPr>
          <w:rtl w:val="true"/>
        </w:rPr>
        <w:t xml:space="preserve">: </w:t>
      </w:r>
      <w:r>
        <w:rPr>
          <w:rtl w:val="true"/>
        </w:rPr>
        <w:t>تحقق الربا بالزيادة العينية وبزيادة الأجل</w:t>
      </w:r>
      <w:bookmarkEnd w:id="675"/>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الربا بالزيادة العينية قطعاً ؛ لظهور الأدلّة فيها، سواء كانت عيناً أو منفعة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بزيادة الأجل أيضاً؛ لأنّ للأجل قسطاً من الثمن، فيكون محسوباً منه، ولفتوى الأصحاب، وللخبر المشتهر نقلاً</w:t>
      </w:r>
      <w:r>
        <w:rPr>
          <w:rStyle w:val="FootnoteAnchor"/>
          <w:rtl w:val="true"/>
        </w:rPr>
        <w:footnoteReference w:id="1460"/>
      </w:r>
      <w:r>
        <w:rPr>
          <w:rFonts w:ascii="Amiri" w:hAnsi="Amiri" w:eastAsia="Amiri" w:cs="Amiri"/>
          <w:color w:val="111111"/>
          <w:sz w:val="28"/>
          <w:sz w:val="28"/>
          <w:szCs w:val="28"/>
          <w:rtl w:val="true"/>
          <w:lang w:bidi="ar-SA"/>
        </w:rPr>
        <w:t>والمنجبر فتوىً وعملاً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676" w:name="pg19000_245574"/>
    </w:p>
    <w:p>
      <w:pPr>
        <w:pStyle w:val="BookText"/>
        <w:rPr/>
      </w:pPr>
      <w:bookmarkEnd w:id="676"/>
      <w:r>
        <w:rPr>
          <w:rFonts w:ascii="Amiri" w:hAnsi="Amiri" w:eastAsia="Amiri" w:cs="Amiri"/>
          <w:color w:val="111111"/>
          <w:sz w:val="28"/>
          <w:sz w:val="28"/>
          <w:szCs w:val="28"/>
          <w:rtl w:val="true"/>
          <w:lang w:bidi="ar-SA"/>
        </w:rPr>
        <w:t>ويتحقق بزيادة الحقّ وباشتراط شيء زائد من عين أو منفعة أو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الربا بزيادة وصفٍ من صحّة أو صنعةٍ في مقابلة المعيب والمكسور وغير المصنوع، أو جودة في مقابلة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يتحقق بزيادة الشرط المجرّد عن زيادة المشروط، كاشتراط بيع شيءٍ بمثله، أو إجارة شيءٍ بأجرة المثل، أو ارتهان شيءٍ على ثمن أو مثمن أو غير ذلك ؟ وجهان، ينشآن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نفس الشرط زيادة وهي منهي عنها؛ ولعدم صدق بيع المثل بالمثل وهو لازم في الربوي، ومن انصراف النهي عن الزيادة، والأمر ببيع المثل بالمثل إلى زيادة العين أو الأجل أو المنفعة أو الحقّ وإلى المماثلة بهما دون الصفات والحالات</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3372612_1280447820"/>
      <w:bookmarkStart w:id="678" w:name="_Toc252"/>
      <w:bookmarkEnd w:id="677"/>
      <w:r>
        <w:rPr>
          <w:rtl w:val="true"/>
        </w:rPr>
        <w:t xml:space="preserve">حادي عشرها </w:t>
      </w:r>
      <w:r>
        <w:rPr>
          <w:rtl w:val="true"/>
        </w:rPr>
        <w:t xml:space="preserve">: </w:t>
      </w:r>
      <w:r>
        <w:rPr>
          <w:rtl w:val="true"/>
        </w:rPr>
        <w:t>حكم ما إذا اختلفت الأجناس في العوضين المقدرين</w:t>
      </w:r>
      <w:bookmarkEnd w:id="678"/>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الأجناس في العوضين المقدرين، فإن كان كلّ منهما من النقدين جاز التفاضل فيهما نقداً؛ للأصل وعموم الأدلّة </w:t>
      </w:r>
      <w:r>
        <w:rPr>
          <w:rStyle w:val="FootnoteAnchor"/>
          <w:rtl w:val="true"/>
        </w:rPr>
        <w:footnoteReference w:id="1462"/>
      </w:r>
      <w:r>
        <w:rPr>
          <w:rFonts w:ascii="Amiri" w:hAnsi="Amiri" w:eastAsia="Amiri" w:cs="Amiri"/>
          <w:color w:val="111111"/>
          <w:sz w:val="28"/>
          <w:sz w:val="28"/>
          <w:szCs w:val="28"/>
          <w:rtl w:val="true"/>
          <w:lang w:bidi="ar-SA"/>
        </w:rPr>
        <w:t xml:space="preserve">، ولا يجوز التفاضل بينهما نسيئة؛ لمنع النسيئة في الصرف مطلقاً حتّى مع التساوي، كما دلّ على ذلك الأخبار </w:t>
      </w:r>
      <w:r>
        <w:rPr>
          <w:rStyle w:val="FootnoteAnchor"/>
          <w:rtl w:val="true"/>
        </w:rPr>
        <w:footnoteReference w:id="1463"/>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أحدهما من النقد والآخر من العروض، جاز التفاضل نقداً ونسيئة؛ لأنّه من السَّلَم والنسيئة المجمع على جوازهما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كلّ منهما من العروض، جاز التفاضل فيهما نقداً، وفي جوازه نسيئة قولان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مع الكراهة، كما هو المشهور نقلاً </w:t>
      </w:r>
      <w:r>
        <w:rPr>
          <w:rStyle w:val="FootnoteAnchor"/>
          <w:rtl w:val="true"/>
        </w:rPr>
        <w:footnoteReference w:id="1464"/>
      </w:r>
      <w:r>
        <w:rPr>
          <w:rFonts w:ascii="Amiri" w:hAnsi="Amiri" w:eastAsia="Amiri" w:cs="Amiri"/>
          <w:color w:val="111111"/>
          <w:sz w:val="28"/>
          <w:sz w:val="28"/>
          <w:szCs w:val="28"/>
          <w:rtl w:val="true"/>
          <w:lang w:bidi="ar-SA"/>
        </w:rPr>
        <w:t xml:space="preserve">وتحصيلاً، والمجمع عليه نقلاً </w:t>
      </w:r>
      <w:r>
        <w:rPr>
          <w:rStyle w:val="FootnoteAnchor"/>
          <w:rtl w:val="true"/>
        </w:rPr>
        <w:footnoteReference w:id="1465"/>
      </w:r>
      <w:r>
        <w:rPr>
          <w:rFonts w:ascii="Amiri" w:hAnsi="Amiri" w:eastAsia="Amiri" w:cs="Amiri"/>
          <w:color w:val="111111"/>
          <w:sz w:val="28"/>
          <w:sz w:val="28"/>
          <w:szCs w:val="28"/>
          <w:rtl w:val="true"/>
          <w:lang w:bidi="ar-SA"/>
        </w:rPr>
        <w:t xml:space="preserve">، والمروي عموماً،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الطعام والتمر والزبيب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شيء منها اثنان بواحد إلا أن تصرفه إلى نوع آخر، فإذا صرفته فلا بأس به</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يكال ويوزن فلا يصلح مثلين بمثل إذا كان من جنس </w:t>
      </w:r>
      <w:bookmarkStart w:id="679" w:name="pg19000_245575"/>
    </w:p>
    <w:p>
      <w:pPr>
        <w:pStyle w:val="BookText"/>
        <w:rPr/>
      </w:pPr>
      <w:bookmarkEnd w:id="679"/>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وخصوصاً،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حنطة بصاعين من تمر وصاع من تمر بصاعين من زبيب</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الجميع شامل للنقد والنسيئة، ولم يقم دليل صالح لتقييده سوى 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والصحيح في الطعام المختلف أو المتاع أو شيء من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ببيعه مثلين بمثل يداً بيد فأما نظرة فإنّه لا يصلح</w:t>
      </w:r>
      <w:r>
        <w:rPr>
          <w:rFonts w:eastAsia="Amiri" w:cs="Amiri" w:ascii="Amiri" w:hAnsi="Amiri"/>
          <w:color w:val="111111"/>
          <w:sz w:val="28"/>
          <w:szCs w:val="28"/>
          <w:rtl w:val="true"/>
          <w:lang w:bidi="ar-SA"/>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 ومثله خبران آخران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والجميع لا يصلح للتقييد؛ لعدم المقاومة، فلا بدّ إما من حملها على التقيّة، أو على الكراهة، والثاني أقرب؛ لفتوى المشهور بذلك، ولظهور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إلا أن الظاهر أن الكراهة خاصة بالزيادة العينية دون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استناداً إلى ما ذكرناه من الأخبار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لضعف المستند متناً في الأكثر ودلالةً، ولموافقته لمذهب العامة، ولمخالفته المشهور بين الأصحاب</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3372614_1280447820"/>
      <w:bookmarkStart w:id="681" w:name="_Toc253"/>
      <w:bookmarkEnd w:id="680"/>
      <w:r>
        <w:rPr>
          <w:rtl w:val="true"/>
        </w:rPr>
        <w:t>ثاني عشرها</w:t>
      </w:r>
      <w:r>
        <w:rPr>
          <w:rtl w:val="true"/>
        </w:rPr>
        <w:t xml:space="preserve">: </w:t>
      </w:r>
      <w:r>
        <w:rPr>
          <w:rtl w:val="true"/>
        </w:rPr>
        <w:t>فيما إذا انتفى التقدير بالكيل والوزن جاز التفاضل في متحد الجنس نقداً ونسيئة</w:t>
      </w:r>
      <w:bookmarkEnd w:id="681"/>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انتفى التقدير بالكيل والوزن جاز التفاضل في متحد الجنس نقداً ونسيئةً، سواء كان معدوداً أو كان غير معدود؛ للأصل، وعموم الأدلّة </w:t>
      </w:r>
      <w:r>
        <w:rPr>
          <w:rStyle w:val="FootnoteAnchor"/>
          <w:rtl w:val="true"/>
        </w:rPr>
        <w:footnoteReference w:id="1473"/>
      </w:r>
      <w:r>
        <w:rPr>
          <w:rFonts w:ascii="Amiri" w:hAnsi="Amiri" w:eastAsia="Amiri" w:cs="Amiri"/>
          <w:color w:val="111111"/>
          <w:sz w:val="28"/>
          <w:sz w:val="28"/>
          <w:szCs w:val="28"/>
          <w:rtl w:val="true"/>
          <w:lang w:bidi="ar-SA"/>
        </w:rPr>
        <w:t xml:space="preserve">وخصوصها الوارد في نفي الربا عمّا لا يكال أو يوزن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ولخصوص الخبر المنجبر بفتوى المشهور نقلاً </w:t>
      </w:r>
      <w:r>
        <w:rPr>
          <w:rStyle w:val="FootnoteAnchor"/>
          <w:rtl w:val="true"/>
        </w:rPr>
        <w:footnoteReference w:id="1475"/>
      </w:r>
      <w:r>
        <w:rPr>
          <w:rFonts w:ascii="Amiri" w:hAnsi="Amiri" w:eastAsia="Amiri" w:cs="Amiri"/>
          <w:color w:val="111111"/>
          <w:sz w:val="28"/>
          <w:sz w:val="28"/>
          <w:szCs w:val="28"/>
          <w:rtl w:val="true"/>
          <w:lang w:bidi="ar-SA"/>
        </w:rPr>
        <w:t>وتحصيلاً بل كاد أن يكون مجمعاً عليه بين المتأخرين،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عد عداً ولم يكل ولم يوزن فلا بأس به اثنان بواحد يداً بيد</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1477"/>
      </w:r>
      <w:r>
        <w:rPr>
          <w:rFonts w:ascii="IRNazanin" w:hAnsi="IRNazanin" w:eastAsia="IRNazanin"/>
          <w:color w:val="111111"/>
          <w:sz w:val="28"/>
          <w:sz w:val="28"/>
          <w:szCs w:val="28"/>
          <w:rtl w:val="true"/>
          <w:lang w:bidi="fa-IR"/>
        </w:rPr>
        <w:t>على لسان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جمع من أصحابنا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فمنعوا </w:t>
      </w:r>
      <w:r>
        <w:rPr>
          <w:rFonts w:eastAsia="IRNazanin" w:cs="IRNazanin"/>
          <w:color w:val="111111"/>
          <w:sz w:val="28"/>
          <w:szCs w:val="28"/>
          <w:rtl w:val="true"/>
          <w:lang w:bidi="fa-IR"/>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الربا في المعدود مطلقاً، وكأنه استناداً لعموم النهي عن الربا، وهي الزيادة مطلقاً، خرج ما خرج وبقي الباقي، ولبعض الأخبار المانعة عن بيع الثوب بالثوبين والعبد بالعبدين </w:t>
      </w:r>
      <w:r>
        <w:rPr>
          <w:rStyle w:val="FootnoteAnchor"/>
          <w:rtl w:val="true"/>
        </w:rPr>
        <w:footnoteReference w:id="1480"/>
      </w:r>
      <w:r>
        <w:rPr>
          <w:rFonts w:ascii="Amiri" w:hAnsi="Amiri" w:eastAsia="Amiri" w:cs="Amiri"/>
          <w:color w:val="111111"/>
          <w:sz w:val="28"/>
          <w:sz w:val="28"/>
          <w:szCs w:val="28"/>
          <w:rtl w:val="true"/>
          <w:lang w:bidi="ar-SA"/>
        </w:rPr>
        <w:t>، ولكون العد نوع تقدير فيحرم التفاضل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للمنع عن بقاء الربا على المعنى اللغوي، فهو إما مجمل فيؤخذ بالمتيقن من مصاديقه في تعلّق التحريم به، وينفى المشكوك به بالأصل، وإما مبين فلا بيان أعظم ممّا دلّ على ثبوته في المقدر بالكيل والوزن دون غيره، وما يعارضه فهو ضعيف لا يُلتفت إليه، ولمنع كون أخبار الثوب والعبد من المعدود، والتمسك بتسريتها إليه بالأولوية مردود بمنع الأولوية أولاً، وبمنع الأصل ثانياً؛ لأنّهم لا يقولون به، ومتى امتنع الأصل بطل القياس، ولمنع كون العد نوع تقدير في هذا الباب، ولو سلمناه فلا نسلّم ثبوت الحكم لكل تقدير إلا على وجه القياس ولا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وخالف جمع آخر </w:t>
      </w:r>
      <w:r>
        <w:rPr>
          <w:rStyle w:val="FootnoteAnchor"/>
          <w:rtl w:val="true"/>
        </w:rPr>
        <w:footnoteReference w:id="1481"/>
      </w:r>
      <w:r>
        <w:rPr>
          <w:rFonts w:ascii="Amiri" w:hAnsi="Amiri" w:eastAsia="Amiri" w:cs="Amiri"/>
          <w:color w:val="111111"/>
          <w:sz w:val="28"/>
          <w:sz w:val="28"/>
          <w:szCs w:val="28"/>
          <w:rtl w:val="true"/>
          <w:lang w:bidi="ar-SA"/>
        </w:rPr>
        <w:t>أيضاً فمنعوا التفاضل فيما لم يكن مقدراً نسيئة لا نقداً إذا كان متحد الجنس، وكأنه استناداً لعموم النهي عن الربا، وقد تقدَّم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ولبعض 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دالّ على نفي البأس عن البعير بالبعيرين والدابة بالدابتين وعن الحيوان كله يداً بيد </w:t>
      </w:r>
      <w:r>
        <w:rPr>
          <w:rStyle w:val="FootnoteAnchor"/>
          <w:rtl w:val="true"/>
        </w:rPr>
        <w:footnoteReference w:id="1482"/>
      </w:r>
      <w:r>
        <w:rPr>
          <w:rFonts w:ascii="Amiri" w:hAnsi="Amiri" w:eastAsia="Amiri" w:cs="Amiri"/>
          <w:color w:val="111111"/>
          <w:sz w:val="28"/>
          <w:sz w:val="28"/>
          <w:szCs w:val="28"/>
          <w:rtl w:val="true"/>
          <w:lang w:bidi="ar-SA"/>
        </w:rPr>
        <w:t>، فيدلّ بمفهومه على ثبوت البأس مع النسيئة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دالّ على كراهة الثوب بالثوبين والبعير بالبعيرين والدابة بالدابتين </w:t>
      </w:r>
      <w:r>
        <w:rPr>
          <w:rStyle w:val="FootnoteAnchor"/>
          <w:rtl w:val="true"/>
        </w:rPr>
        <w:footnoteReference w:id="1483"/>
      </w:r>
      <w:r>
        <w:rPr>
          <w:rFonts w:ascii="IRNazanin" w:hAnsi="IRNazanin" w:eastAsia="IRNazanin"/>
          <w:color w:val="111111"/>
          <w:sz w:val="28"/>
          <w:sz w:val="28"/>
          <w:szCs w:val="28"/>
          <w:rtl w:val="true"/>
          <w:lang w:bidi="fa-IR"/>
        </w:rPr>
        <w:t>على وجه الإطلاق</w:t>
      </w:r>
      <w:r>
        <w:rPr>
          <w:rFonts w:eastAsia="IRNazanin" w:cs="IRNazanin"/>
          <w:color w:val="111111"/>
          <w:sz w:val="28"/>
          <w:szCs w:val="28"/>
          <w:rtl w:val="true"/>
          <w:lang w:bidi="fa-IR"/>
        </w:rPr>
        <w:t xml:space="preserve">. </w:t>
      </w:r>
      <w:bookmarkStart w:id="682" w:name="pg19000_245577"/>
    </w:p>
    <w:p>
      <w:pPr>
        <w:pStyle w:val="BookText"/>
        <w:rPr/>
      </w:pPr>
      <w:bookmarkEnd w:id="682"/>
      <w:r>
        <w:rPr>
          <w:rFonts w:ascii="Amiri" w:hAnsi="Amiri" w:eastAsia="Amiri" w:cs="Amiri"/>
          <w:color w:val="111111"/>
          <w:sz w:val="28"/>
          <w:sz w:val="28"/>
          <w:szCs w:val="28"/>
          <w:rtl w:val="true"/>
          <w:lang w:bidi="ar-SA"/>
        </w:rPr>
        <w:t>وهو مردود بضعف دلالة الأخبار أوّلاً؛ لاشتمالها على المفهوم الضعيف الشامل للحرمة والكراهة بالمعنى الأخص وعلى لفظ الكراهة الشاملة لهما أو الظاهرة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مقاومتها الأخبار المتكثّرة المستفيضة الخاصة المجوّزة لذلك بإطلاقها، المعتضدة بالأصول والعمومات والشهرة المحصلة والإجماع المنقول </w:t>
      </w:r>
      <w:r>
        <w:rPr>
          <w:rStyle w:val="FootnoteAnchor"/>
          <w:rtl w:val="true"/>
        </w:rPr>
        <w:footnoteReference w:id="1484"/>
      </w:r>
      <w:r>
        <w:rPr>
          <w:rFonts w:ascii="Amiri" w:hAnsi="Amiri" w:eastAsia="Amiri" w:cs="Amiri"/>
          <w:color w:val="111111"/>
          <w:sz w:val="28"/>
          <w:sz w:val="28"/>
          <w:szCs w:val="28"/>
          <w:rtl w:val="true"/>
          <w:lang w:bidi="ar-SA"/>
        </w:rPr>
        <w:t xml:space="preserve">وفتوى الفحول ومخالفتها للعامة، وأدلّة نفي العسر والحرج </w:t>
      </w:r>
      <w:r>
        <w:rPr>
          <w:rStyle w:val="FootnoteAnchor"/>
          <w:rtl w:val="true"/>
        </w:rPr>
        <w:footnoteReference w:id="1485"/>
      </w:r>
      <w:r>
        <w:rPr>
          <w:rFonts w:ascii="Amiri" w:hAnsi="Amiri" w:eastAsia="Amiri" w:cs="Amiri"/>
          <w:color w:val="111111"/>
          <w:sz w:val="28"/>
          <w:sz w:val="28"/>
          <w:szCs w:val="28"/>
          <w:rtl w:val="true"/>
          <w:lang w:bidi="ar-SA"/>
        </w:rPr>
        <w:t xml:space="preserve">، فلا بد من طرحها وحملها على التقيّة، أو الأخذ بها وحملها على الكراهة، كما أفتى به جملة من الأصحاب </w:t>
      </w:r>
      <w:r>
        <w:rPr>
          <w:rStyle w:val="FootnoteAnchor"/>
          <w:rtl w:val="true"/>
        </w:rPr>
        <w:footnoteReference w:id="1486"/>
      </w:r>
      <w:r>
        <w:rPr>
          <w:rFonts w:ascii="IRNazanin" w:hAnsi="IRNazanin" w:eastAsia="IRNazanin"/>
          <w:color w:val="111111"/>
          <w:sz w:val="28"/>
          <w:sz w:val="28"/>
          <w:szCs w:val="28"/>
          <w:rtl w:val="true"/>
          <w:lang w:bidi="fa-IR"/>
        </w:rPr>
        <w:t xml:space="preserve">، ولا بأس بالقول بها بعد فتوى الأصحاب وظاهر بعض أخبار الباب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3372616_1280447820"/>
      <w:bookmarkStart w:id="684" w:name="_Toc254"/>
      <w:bookmarkEnd w:id="683"/>
      <w:r>
        <w:rPr>
          <w:rtl w:val="true"/>
        </w:rPr>
        <w:t>ثالث عشرها</w:t>
      </w:r>
      <w:r>
        <w:rPr>
          <w:rtl w:val="true"/>
        </w:rPr>
        <w:t xml:space="preserve">: </w:t>
      </w:r>
      <w:r>
        <w:rPr>
          <w:rtl w:val="true"/>
        </w:rPr>
        <w:t>جواز بيع اليابس بمثله متساوياً وكذا الرطب</w:t>
      </w:r>
      <w:r>
        <w:rPr>
          <w:rtl w:val="true"/>
        </w:rPr>
        <w:t xml:space="preserve">. </w:t>
      </w:r>
      <w:r>
        <w:rPr>
          <w:rtl w:val="true"/>
        </w:rPr>
        <w:t>بالرطب</w:t>
      </w:r>
      <w:bookmarkEnd w:id="684"/>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اليابس بمثله كالحنطة بالحنطة والتمر بالتمر والعنب بالعنب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صاحب أحدهما أو كلّ منهما خليط آخر من زُؤان </w:t>
      </w:r>
      <w:r>
        <w:rPr>
          <w:rStyle w:val="FootnoteAnchor"/>
          <w:rtl w:val="true"/>
        </w:rPr>
        <w:footnoteReference w:id="1488"/>
      </w:r>
      <w:r>
        <w:rPr>
          <w:rFonts w:ascii="Amiri" w:hAnsi="Amiri" w:eastAsia="Amiri" w:cs="Amiri"/>
          <w:color w:val="111111"/>
          <w:sz w:val="28"/>
          <w:sz w:val="28"/>
          <w:szCs w:val="28"/>
          <w:rtl w:val="true"/>
          <w:lang w:bidi="ar-SA"/>
        </w:rPr>
        <w:t>أو تراب ممّا يتموّل أو لا، بحيث لم يعلم زيادة الخالص أو نقصه، ولكنّهما على حسب العادة، فيصح البيع أيضاً؛ للسيرة ونفي العسر والحرج، ولحصول المماثلة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نقص المغشوش وكان الغش ممّا لا يتموّل وكان أيضاً من المعتاد، ففى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المماثلة عرفاً لاتحاد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إرادة صدق المماثلة في الجملة بل المماثلة في كلّ شيءٍ إلا ما أخرجه الدليل، وهنا لم يتماثلا في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والأخير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الرطب بالرطب كالخبز بالخبز والخَلّ بالخَلّ وإن تفاوتا بالأجزاء المائية؛ للسيرة، ورفع العسر والحرج، ولصدق المماثلة عرفاً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له حالتان من رطوبة وجفاف فلا يجوز بيع رطبه بيابسه لا متفاضلاً؛ لمكان الربا المتحقق، ولا متساوياً؛ لمكان الربا المقدّر، أو لمكان الدليل الخاص الدال على منع بيع </w:t>
      </w:r>
    </w:p>
    <w:p>
      <w:pPr>
        <w:pStyle w:val="BookText"/>
        <w:rPr/>
      </w:pPr>
      <w:r>
        <w:rPr>
          <w:rFonts w:ascii="IRNazanin" w:hAnsi="IRNazanin" w:eastAsia="IRNazanin"/>
          <w:color w:val="111111"/>
          <w:sz w:val="28"/>
          <w:sz w:val="28"/>
          <w:szCs w:val="28"/>
          <w:rtl w:val="true"/>
          <w:lang w:bidi="fa-IR"/>
        </w:rPr>
        <w:t xml:space="preserve">التمر بالرطب، المعلّل بنقصانه إذا جفّ </w:t>
      </w:r>
      <w:r>
        <w:rPr>
          <w:rStyle w:val="FootnoteAnchor"/>
          <w:rtl w:val="true"/>
        </w:rPr>
        <w:footnoteReference w:id="1489"/>
      </w:r>
      <w:r>
        <w:rPr>
          <w:rFonts w:ascii="Amiri" w:hAnsi="Amiri" w:eastAsia="Amiri" w:cs="Amiri"/>
          <w:color w:val="111111"/>
          <w:sz w:val="28"/>
          <w:sz w:val="28"/>
          <w:szCs w:val="28"/>
          <w:rtl w:val="true"/>
          <w:lang w:bidi="ar-SA"/>
        </w:rPr>
        <w:t xml:space="preserve">، المؤيَّد بالشهرة نقلاً </w:t>
      </w:r>
      <w:r>
        <w:rPr>
          <w:rStyle w:val="FootnoteAnchor"/>
          <w:rtl w:val="true"/>
        </w:rPr>
        <w:footnoteReference w:id="1490"/>
      </w:r>
      <w:r>
        <w:rPr>
          <w:rFonts w:ascii="Amiri" w:hAnsi="Amiri" w:eastAsia="Amiri" w:cs="Amiri"/>
          <w:color w:val="111111"/>
          <w:sz w:val="28"/>
          <w:sz w:val="28"/>
          <w:szCs w:val="28"/>
          <w:rtl w:val="true"/>
          <w:lang w:bidi="ar-SA"/>
        </w:rPr>
        <w:t xml:space="preserve">وتحصيلاً، وبالإجماع المنقول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فينجبر بهما ضعف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ويسري بموجب التعليل إلى كلّ رطب ويابس أصليين وعارضيين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سريان الحكم لغير البيع من أنواع العقود، ولغير الجاف والرطب من الرطبين اللذين أحدهما أخفّ من الآخر، أو اليابسين اللذين ينقص أحدهما عن الآخر لطول المكث، أو للعوضين اللذين يزيد أحدهما على الآخر فيما بعد ذلك، إشكال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لمكان</w:t>
      </w:r>
    </w:p>
    <w:p>
      <w:pPr>
        <w:pStyle w:val="BookText"/>
        <w:rPr/>
      </w:pPr>
      <w:r>
        <w:rPr>
          <w:rFonts w:ascii="Amiri" w:hAnsi="Amiri" w:eastAsia="Amiri" w:cs="Amiri"/>
          <w:color w:val="111111"/>
          <w:sz w:val="28"/>
          <w:sz w:val="28"/>
          <w:szCs w:val="28"/>
          <w:rtl w:val="true"/>
          <w:lang w:bidi="ar-SA"/>
        </w:rPr>
        <w:t>الربا المقدّر وهو عام، والاحتياط فيه مطلوب، ومن منع كونه للربا، ومنع كون الربا المقدر مما ينهى عنه أو يطلب فيه الاحتياط، فلا يكون حكم التحريم فيهشاملاً، فيقتصر فيه على المورد اليقيني من التعليل ومن موارد العلة، فلا يشمل ما ذكرناه سيّما الجافين أو اللذين يزيد أحدهما على الآخر، فإنّهما ليسا من موارد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الأخبار وفتوى الأصحاب أنّ الحكم مخصوص بالمقدر بالكيل والوزن، دون ما لم يقدر كالثمر على النخل أو الشجر، وأنّ المنع للدليل لا لكونه من الرباء فلا تصححه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جمع من الأصحاب </w:t>
      </w:r>
      <w:r>
        <w:rPr>
          <w:rStyle w:val="FootnoteAnchor"/>
          <w:rtl w:val="true"/>
        </w:rPr>
        <w:footnoteReference w:id="1492"/>
      </w:r>
      <w:r>
        <w:rPr>
          <w:rFonts w:ascii="Amiri" w:hAnsi="Amiri" w:eastAsia="Amiri" w:cs="Amiri"/>
          <w:color w:val="111111"/>
          <w:sz w:val="28"/>
          <w:sz w:val="28"/>
          <w:szCs w:val="28"/>
          <w:rtl w:val="true"/>
          <w:lang w:bidi="ar-SA"/>
        </w:rPr>
        <w:t>، بكراهة بيع التمر بالرطب وما أشبهه؛ استناداً للأصل والعموم، والموثق عن العنب بالزبيب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والرطب بالتمر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 xml:space="preserve">» </w:t>
      </w:r>
      <w:r>
        <w:rPr>
          <w:rStyle w:val="FootnoteAnchor"/>
          <w:rtl w:val="true"/>
        </w:rPr>
        <w:footnoteReference w:id="1493"/>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والبسر الأحمر مثلاً بمِثْلِ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 واستضعافاً للرواية النبوية </w:t>
      </w:r>
      <w:r>
        <w:rPr>
          <w:rStyle w:val="FootnoteAnchor"/>
          <w:rtl w:val="true"/>
        </w:rPr>
        <w:footnoteReference w:id="1495"/>
      </w:r>
      <w:r>
        <w:rPr>
          <w:rFonts w:ascii="Amiri" w:hAnsi="Amiri" w:eastAsia="Amiri" w:cs="Amiri"/>
          <w:color w:val="111111"/>
          <w:sz w:val="28"/>
          <w:sz w:val="28"/>
          <w:szCs w:val="28"/>
          <w:rtl w:val="true"/>
          <w:lang w:bidi="ar-SA"/>
        </w:rPr>
        <w:t xml:space="preserve">لاشتمالها على الاستفهام المنزّه عنه قدر رسول اللّه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ضعف؛ لانقطاع الأصل والعموم بما ذكرنا، ولضعف مقاومة الموثق وما بعده لما </w:t>
      </w:r>
      <w:bookmarkStart w:id="685" w:name="pg19000_245579"/>
    </w:p>
    <w:p>
      <w:pPr>
        <w:pStyle w:val="BookText"/>
        <w:rPr/>
      </w:pPr>
      <w:bookmarkEnd w:id="685"/>
      <w:r>
        <w:rPr>
          <w:rFonts w:ascii="Amiri" w:hAnsi="Amiri" w:eastAsia="Amiri" w:cs="Amiri"/>
          <w:color w:val="111111"/>
          <w:sz w:val="28"/>
          <w:sz w:val="28"/>
          <w:szCs w:val="28"/>
          <w:rtl w:val="true"/>
          <w:lang w:bidi="ar-SA"/>
        </w:rPr>
        <w:t>ذكرناه، مع إمكان حملهما على المماثلة حتّى بالجفاف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العنب بالزبيب حتّى يجف، ولمنع ضعف النبوي بالاستفهام؛ لوقوعه كثيراً في الكلام مراداً به البيان والإعلام لوجه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بالفرق بين التمر والرطب فيحرم بيع بعضه ببعض؛ لما ذكرناه، وبين غيره ممّا يشاركه في العلة؛ استضعافاً للعلة، كما اختاره جمع </w:t>
      </w:r>
      <w:r>
        <w:rPr>
          <w:rStyle w:val="FootnoteAnchor"/>
          <w:rtl w:val="true"/>
        </w:rPr>
        <w:footnoteReference w:id="1496"/>
      </w:r>
      <w:r>
        <w:rPr>
          <w:rFonts w:ascii="Amiri" w:hAnsi="Amiri" w:eastAsia="Amiri" w:cs="Amiri"/>
          <w:color w:val="111111"/>
          <w:sz w:val="28"/>
          <w:sz w:val="28"/>
          <w:szCs w:val="28"/>
          <w:rtl w:val="true"/>
          <w:lang w:bidi="ar-SA"/>
        </w:rPr>
        <w:t>، إلا أنّ ما ذكرناه أقوى</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3372618_1280447820"/>
      <w:bookmarkStart w:id="687" w:name="_Toc255"/>
      <w:bookmarkEnd w:id="686"/>
      <w:r>
        <w:rPr>
          <w:rtl w:val="true"/>
        </w:rPr>
        <w:t xml:space="preserve">رابع عشرها </w:t>
      </w:r>
      <w:r>
        <w:rPr>
          <w:rtl w:val="true"/>
        </w:rPr>
        <w:t xml:space="preserve">: </w:t>
      </w:r>
      <w:r>
        <w:rPr>
          <w:rtl w:val="true"/>
        </w:rPr>
        <w:t>لا يجوز بيع اللحم بالحيوان المذبوح المماثل له</w:t>
      </w:r>
      <w:bookmarkEnd w:id="687"/>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أو مع عظم لعدم انفكاكهما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بالحيوان المذبوح المماثل له للفتوى والرواية </w:t>
      </w:r>
      <w:r>
        <w:rPr>
          <w:rStyle w:val="FootnoteAnchor"/>
          <w:rtl w:val="true"/>
        </w:rPr>
        <w:footnoteReference w:id="1497"/>
      </w:r>
      <w:r>
        <w:rPr>
          <w:rFonts w:ascii="Amiri" w:hAnsi="Amiri" w:eastAsia="Amiri" w:cs="Amiri"/>
          <w:color w:val="111111"/>
          <w:sz w:val="28"/>
          <w:sz w:val="28"/>
          <w:szCs w:val="28"/>
          <w:rtl w:val="true"/>
          <w:lang w:bidi="ar-SA"/>
        </w:rPr>
        <w:t xml:space="preserve">ولشبهة الربا، ولا بالحيّ المماثل له أيضاً على الأظهر؛ لإطلاق الإجماع المنقول </w:t>
      </w:r>
      <w:r>
        <w:rPr>
          <w:rStyle w:val="FootnoteAnchor"/>
          <w:rtl w:val="true"/>
        </w:rPr>
        <w:footnoteReference w:id="1498"/>
      </w:r>
      <w:r>
        <w:rPr>
          <w:rFonts w:ascii="Amiri" w:hAnsi="Amiri" w:eastAsia="Amiri" w:cs="Amiri"/>
          <w:color w:val="111111"/>
          <w:sz w:val="28"/>
          <w:sz w:val="28"/>
          <w:szCs w:val="28"/>
          <w:rtl w:val="true"/>
          <w:lang w:bidi="ar-SA"/>
        </w:rPr>
        <w:t>المؤيَّد بفتوى الفحول والموثق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اللحم بالحيوان</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 وضعف سنده مجبور بالشهرة نقلاً </w:t>
      </w:r>
      <w:r>
        <w:rPr>
          <w:rStyle w:val="FootnoteAnchor"/>
          <w:rtl w:val="true"/>
        </w:rPr>
        <w:footnoteReference w:id="1500"/>
      </w:r>
      <w:r>
        <w:rPr>
          <w:rFonts w:ascii="Amiri" w:hAnsi="Amiri" w:eastAsia="Amiri" w:cs="Amiri"/>
          <w:color w:val="111111"/>
          <w:sz w:val="28"/>
          <w:sz w:val="28"/>
          <w:szCs w:val="28"/>
          <w:rtl w:val="true"/>
          <w:lang w:bidi="ar-SA"/>
        </w:rPr>
        <w:t>وتحصيلاً، وكذا ضعف دلالة الكراهة على التحريم مجبور بما ذكرنا، وبما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يكره الحلال</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إلا الحرام</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سريان الحكم لغير البيع؛ أخذاً بإطلاق الموثّق، وتحرّزاً عن شبهة الخلاف، واحتياطاً عن شبهة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المذبوح مما لا تقدير فيه كالحي، ولو قلنا بتقديره فسريان المنع فيه لكلّ معاوضة ظاهر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الأحوط سريان المنع للحيوان المماثل وغيره؛ أخذاً بالإطلاق، وإن كان الأقوى انصرافه للمماثل فقط</w:t>
      </w:r>
      <w:r>
        <w:rPr>
          <w:rFonts w:eastAsia="Amiri" w:cs="Amiri" w:ascii="Amiri" w:hAnsi="Amiri"/>
          <w:color w:val="111111"/>
          <w:sz w:val="28"/>
          <w:szCs w:val="28"/>
          <w:rtl w:val="true"/>
          <w:lang w:bidi="ar-SA"/>
        </w:rPr>
        <w:t xml:space="preserve">. </w:t>
      </w:r>
      <w:bookmarkStart w:id="688" w:name="pg19000_245580"/>
    </w:p>
    <w:p>
      <w:pPr>
        <w:pStyle w:val="BookText"/>
        <w:rPr/>
      </w:pPr>
      <w:bookmarkEnd w:id="688"/>
      <w:r>
        <w:rPr>
          <w:rFonts w:ascii="Amiri" w:hAnsi="Amiri" w:eastAsia="Amiri" w:cs="Amiri"/>
          <w:color w:val="111111"/>
          <w:sz w:val="28"/>
          <w:sz w:val="28"/>
          <w:szCs w:val="28"/>
          <w:rtl w:val="true"/>
          <w:lang w:bidi="ar-SA"/>
        </w:rPr>
        <w:t>وكذا الأحوط إلحاق ما كان كاللحم من مصران وكلية وكرشة، دون العظم المجرد؛ لعدم صدق اللحم عليه قطعاً</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3372620_1280447820"/>
      <w:bookmarkStart w:id="690" w:name="_Toc256"/>
      <w:bookmarkEnd w:id="689"/>
      <w:r>
        <w:rPr>
          <w:rtl w:val="true"/>
        </w:rPr>
        <w:t>خامس عشرها</w:t>
      </w:r>
      <w:r>
        <w:rPr>
          <w:rtl w:val="true"/>
        </w:rPr>
        <w:t xml:space="preserve">: </w:t>
      </w:r>
      <w:r>
        <w:rPr>
          <w:rtl w:val="true"/>
        </w:rPr>
        <w:t>جواز الاحتيال في التخلّص من الربا</w:t>
      </w:r>
      <w:bookmarkEnd w:id="690"/>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الاحتيال في التخلّص من الربا؛ للأصل والأخبار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فيمن اشترى ألف درهم وديناراً بألفي درهم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بألف درهم ودرهم بألف درهم ودينارين إذا دخل فيهما ديناران أو أقل أو أكثر فلا بأس به</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بالدراهم وعن فضل ما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نحاس أو ذهب فلا بأس</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الربا على القرض،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لؤلؤة تسوى مائة درهم بألف درهم،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هذه اللؤلؤة بألف درهم على أن أؤخّرك بثمنها وبمالي عليك كذا وكذا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بها وأنا أُربحك، فأبيعه جبة تقوم علَيَّ بألف درهم بعشرة آلاف 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 درهم وأُوخره بالمال،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ورود هذه الأخبار الخاصة وشمول إطلاقات أدلّة العقود لما كانت غايته الحيلة أو غيرها، لم يبق شكٍّ في جواز استعمال الحيل في التخلّص عن الربا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يصغى لشبهة بطلان هذه العقود من جهة عدم القصد، والعقود تابعة للقصود؛ وذلك لتحقق القصد للنقل والانتقال، وهو الذي يراد تحققه في العقود، فلا يضر اختلاف القصد في </w:t>
      </w:r>
    </w:p>
    <w:p>
      <w:pPr>
        <w:pStyle w:val="BookText"/>
        <w:rPr/>
      </w:pPr>
      <w:r>
        <w:rPr>
          <w:rFonts w:ascii="Amiri" w:hAnsi="Amiri" w:eastAsia="Amiri" w:cs="Amiri"/>
          <w:color w:val="111111"/>
          <w:sz w:val="28"/>
          <w:sz w:val="28"/>
          <w:szCs w:val="28"/>
          <w:rtl w:val="true"/>
          <w:lang w:bidi="ar-SA"/>
        </w:rPr>
        <w:t>الغايات المترتبة على النقل والانتقال من كون المطلوب نفس القنية أو نفس التجارة لطلب الربح، أو نفس الحيلة ليترتب أمر آخر مع تحقق القصد إلى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التخلّص كثيرة يعرفها صاحب البصيرة، فقد تكون بعقد معاوضة وقد تكون بعقد مجاني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تتعلّق بأصل العوضين، وقد تتعلّق بنفس الزيادة، وقد تكون بضميمة ما يتموّل إلى الناقص من غير جنسه فتقابل الضميمة في أحدهما الزائد في الجانب الآخر، وقد تكون بضميمة ما يتموّل إلى كلّ من الجانبين مع العلم بالناقص منهما أو مع الجهل به فينصرف كلّ منهما إلى مخالفه؛ تصحيحاً للعقد مهما أمكن، لا لجريان الأحكام عليه من صرف وشبهه؛ لمخالفته للقواعد القاضية بتوزيع الثمن على المثمن، فيجوز حينئذٍ بيع درهم ومد من تمر بعشرة دراهم وعشرة أمداد، وينصرف كلّ منهما إلى مخالفه انصر افاً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الناقل الانصراف إلى الموافق، قام احتمال الصحّة؛ لأنّه قهري جاء بحكم الشرع، واحتمال البطلان؛ لتبعية العقود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الدرهم لواحدٍ والمُدّ لآخر، احتمل أخذ كلّ واحدٍ منهما ما انصرف إليه ماله، واحتمل البطلان؛ للشكّ في الانصراف القهري في هذه الصورة، واحتمل الصحّة والتوزيع بالنسبة، أما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فلظاهر إطلاق الفتوى وبعض الأخبار </w:t>
      </w:r>
      <w:r>
        <w:rPr>
          <w:rStyle w:val="FootnoteAnchor"/>
          <w:rtl w:val="true"/>
        </w:rPr>
        <w:footnoteReference w:id="1508"/>
      </w:r>
      <w:r>
        <w:rPr>
          <w:rFonts w:ascii="Amiri" w:hAnsi="Amiri" w:eastAsia="Amiri" w:cs="Amiri"/>
          <w:color w:val="111111"/>
          <w:sz w:val="28"/>
          <w:sz w:val="28"/>
          <w:szCs w:val="28"/>
          <w:rtl w:val="true"/>
          <w:lang w:bidi="ar-SA"/>
        </w:rPr>
        <w:t>، وأما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توزيع من العوضين على الآخر في جميع عقود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مداً ودرهماً بمدين ودرهمين فتلف المد أو الدرهم قبل القبض أو استحق ولم يُجز المالك، احتمل البطلان في الجميع؛ لمكان التوزيع؛ لأن الباقي منهما يقابل مُداً ودرهماً من المدين والدرهمين وهو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الصحّة مطلقاً؛ لصحة العقد أوّلاً؛ لمكان الانصراف إلى المخالف، ولزوم الربا بعد التقسيط غير مضر ؛ لأنّ المنهي عنه هو الربا الابتدائي عند صدور العقد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الصحّة والتقسيط على وجه لا يلزم منه الربا؛ بناءً على أن أجزاء المبيع لما قوبلت بأجزاء الثمن على طريق الشيوع لم يجب أن يقع التقسيط على وجه يلزم منه الربا صيانةً للعقد عن الفساد مهما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واحتمل الفساد إن تبيّن أنّ أحدهما مال الغير؛ لعدم حصول الصحّة في المجموع عند ابتداء العقد؛ لعدم رضى المالك به، والشرط في حصول النقل رضى المالك به في الابتداء أو في الأثناء، والصحّة إن تلف قبل القبض؛ لأنّ التلف قبله فاسخ من حينه 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البطلان في المخالف؛ لانصرافه إليه والمفروض أنّه قد تلف قبل قبضه، أو تبين أنّه للغير فينفسخ العقد بالنسبة إليه، ويصح بالنسبة إلى مخالف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مُداً ودرهماً بعشرة دراهم، فإن انكشف أنّ المُدِّ للغير ولم يُجز فالأقوى البطلان، واحتمال الصحّة والتوزيع ضعيف</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تلف المُدّ قبل قبضه، فاحتمال الصحّة والتوزيع واحتمال البطلان كفرسي رهان</w:t>
      </w:r>
      <w:r>
        <w:rPr>
          <w:rFonts w:eastAsia="Amiri" w:cs="Amiri" w:ascii="Amiri" w:hAnsi="Amiri"/>
          <w:color w:val="111111"/>
          <w:sz w:val="28"/>
          <w:szCs w:val="28"/>
          <w:rtl w:val="true"/>
          <w:lang w:bidi="ar-SA"/>
        </w:rPr>
        <w:t xml:space="preserve">. </w:t>
      </w:r>
      <w:bookmarkStart w:id="691" w:name="pg19000_245583"/>
    </w:p>
    <w:p>
      <w:pPr>
        <w:pStyle w:val="Heading3"/>
        <w:numPr>
          <w:ilvl w:val="2"/>
          <w:numId w:val="1"/>
        </w:numPr>
        <w:rPr/>
      </w:pPr>
      <w:bookmarkStart w:id="692" w:name="__RefHeading___Toc13372622_1280447820"/>
      <w:bookmarkStart w:id="693" w:name="_Toc257"/>
      <w:bookmarkEnd w:id="691"/>
      <w:bookmarkEnd w:id="692"/>
      <w:r>
        <w:rPr>
          <w:rtl w:val="true"/>
        </w:rPr>
        <w:t>القول في الصرف</w:t>
      </w:r>
      <w:bookmarkEnd w:id="693"/>
    </w:p>
    <w:p>
      <w:pPr>
        <w:pStyle w:val="Heading4"/>
        <w:numPr>
          <w:ilvl w:val="3"/>
          <w:numId w:val="1"/>
        </w:numPr>
        <w:rPr/>
      </w:pPr>
      <w:bookmarkStart w:id="694" w:name="__RefHeading___Toc13372624_1280447820"/>
      <w:bookmarkStart w:id="695" w:name="_Toc258"/>
      <w:bookmarkEnd w:id="694"/>
      <w:r>
        <w:rPr>
          <w:rtl w:val="true"/>
        </w:rPr>
        <w:t>تعريف الصرف لغةً وشرعاً</w:t>
      </w:r>
      <w:bookmarkEnd w:id="695"/>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Style w:val="FootnoteAnchor"/>
          <w:rtl w:val="true"/>
        </w:rPr>
        <w:footnoteReference w:id="1509"/>
      </w:r>
      <w:r>
        <w:rPr>
          <w:rFonts w:ascii="Amiri" w:hAnsi="Amiri" w:eastAsia="Amiri" w:cs="Amiri"/>
          <w:color w:val="111111"/>
          <w:sz w:val="28"/>
          <w:sz w:val="28"/>
          <w:szCs w:val="28"/>
          <w:rtl w:val="true"/>
          <w:lang w:bidi="ar-SA"/>
        </w:rPr>
        <w:t xml:space="preserve">، وورد لمعان كثيرة غير ذلك قد استعمل فيها في الكتاب والسنّة،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شرعية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الأثمان بالأثمان متجانسة أو مختلفة، مسكوكة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مختص بالبيع، فلا يسري إلى غيره حكماً ولا اسماً؛ اقتصاراً على اليقين من الفتوى والرواية، واستناداً للظاهر ممّا علّق على نقل الأعيان كالأثمان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البيع دون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اختصاصه بالبيع فالظاهر أنّ اختصاصه ليس كاختصاص السلم، فلا يجوز النقل بما اشتق منه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كما يجوز البيع فى مقام السلم،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بالأثمان ها هنا النقدان، سُمّيا بذلك؛ لوقوعهما ثمناً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استحق به الشيء أو قيمة الشيء، وفي لسان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مدخولاً للباء، أو ما بذله القابل للموجب، أو ما قصد بالإبدال لا بالأصالة، أو ما لم يناد عليه، أو ما كان في المرتبة الثالثة بحسب القصد أو بحسب إيجاب العقد، أو الثانية بالنسبة إلى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الحدود صادقة غالباً عليهما، بل نقل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ثمن مطلقاً وإن اقترنت الباء بغيرهما، حتّى لو باعه ديناراً بحيوان ثبت للبائع الخيار، وادعى على ذلك الإجماع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لدوران الخيار مدار المشتري لا مدار الثمن والمثمن، والمشتري قد اشترى ديناراً فلا خيار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على جميع الحدود المتقدّمة ما لو تعاطيا حيواناً بحيوان من دون صيغةٍ، ومن دون ظهور قصد الأصالة أو الإبدال من أحدهما من دون الآخر، ومن دون أن ينادي أحدهما عليه دون الآخر، ولعله يسقط اسم الثمن ها هنا، أو يكون كلّ منهما ثمناً ومثمناً بالاعتبارين</w:t>
      </w:r>
      <w:r>
        <w:rPr>
          <w:rFonts w:eastAsia="Amiri" w:cs="Amiri" w:ascii="Amiri" w:hAnsi="Amiri"/>
          <w:color w:val="111111"/>
          <w:sz w:val="28"/>
          <w:szCs w:val="28"/>
          <w:rtl w:val="true"/>
          <w:lang w:bidi="ar-SA"/>
        </w:rPr>
        <w:t xml:space="preserve">. </w:t>
      </w:r>
      <w:bookmarkStart w:id="696" w:name="pg19000_245584"/>
    </w:p>
    <w:p>
      <w:pPr>
        <w:pStyle w:val="Heading4"/>
        <w:numPr>
          <w:ilvl w:val="3"/>
          <w:numId w:val="1"/>
        </w:numPr>
        <w:rPr/>
      </w:pPr>
      <w:bookmarkStart w:id="697" w:name="__RefHeading___Toc13372626_1280447820"/>
      <w:bookmarkStart w:id="698" w:name="_Toc259"/>
      <w:bookmarkEnd w:id="696"/>
      <w:bookmarkEnd w:id="697"/>
      <w:r>
        <w:rPr>
          <w:rtl w:val="true"/>
        </w:rPr>
        <w:t>والكلام في الصرف يقع في أُمور</w:t>
      </w:r>
      <w:r>
        <w:rPr>
          <w:rtl w:val="true"/>
        </w:rPr>
        <w:t>:</w:t>
      </w:r>
      <w:bookmarkEnd w:id="698"/>
    </w:p>
    <w:p>
      <w:pPr>
        <w:pStyle w:val="Heading5"/>
        <w:numPr>
          <w:ilvl w:val="4"/>
          <w:numId w:val="1"/>
        </w:numPr>
        <w:rPr/>
      </w:pPr>
      <w:bookmarkStart w:id="699" w:name="__RefHeading___Toc13372628_1280447820"/>
      <w:bookmarkStart w:id="700" w:name="_Toc260"/>
      <w:bookmarkEnd w:id="699"/>
      <w:r>
        <w:rPr>
          <w:rtl w:val="true"/>
        </w:rPr>
        <w:t>أحدها</w:t>
      </w:r>
      <w:r>
        <w:rPr>
          <w:rtl w:val="true"/>
        </w:rPr>
        <w:t xml:space="preserve">: </w:t>
      </w:r>
      <w:r>
        <w:rPr>
          <w:rtl w:val="true"/>
        </w:rPr>
        <w:t>في أنّه يشترط في صحة الصرف التقابض قبل التفرّق من المتعاقدين بأبدانهما</w:t>
      </w:r>
      <w:bookmarkEnd w:id="70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يشترط في أصل البيع ويشترط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قبل التفرّق من المتعاقدين بأبدانهما تفرّقاً عرفيّاً لا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التفرّق العرفي الخطوة بينهما، وفي الأقل منها إشكال ينشأ من الشكّ في صدق التفرّق عرفاً واستصحاب عدمه، وظهور تحديد الفقهاء له بالخطوة فما فوق، ومن منع حصول الشكّ في الصدق ومعارضة استصحاب عدمه باستصحاب عدم حصول الشرط، وهو التقابض قبل التفرّق الواقعي، ومنع تحديد الفقهاء له بذلك،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نزا حائطاً فانز معه</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فارقا المجلس مصطحبين فلا بأس، والتعبير عن عدم التفرّق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توسعاً وكناية عنه؛ لتلازمهما غالباً، فكأنه صار حقيقة عرفية في التعبير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على النحو المتقدّم في باب القبض من التخلية إن قلنا بها مطلقاً، أو النقل في المنقول إن قلنا به مطلقاً، أو الوزن في الموزون كالنقدين إن اشترطناه واكتفينا به مطلقاً، أو الإمساك باليد إن اشترطناه فيما يمسك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الإذن من كلّ من المتعاقدين، إلا إذا قضت به الإذن الفحوائيّة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مقبوضاً للمتعاقدين قبل العقد، فإن كان بنحو الغصب افتقر إلى الإذن في الاستدامة ولو فحوى، وفي احتياجه لتجديد نية القبض وجه يوافقه الاحتياط، وإن كان بنحو الأمانة ففي احتياجه للإذن في قبضه استدامة بعد وقوع الصيغة وجه قوي، سيّما مع الجهل بكونه بيد صاحبه أمانة، وفي احتياجه لتجديد نية القبض وجه يوافقه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مقام القبض التصرّف المجرّد عنه أو إتلافه ؟ الظاهر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تقبيض المال المشترك إذن الشريك ؟ وجهان، أقواهما العدم؛ لعدم</w:t>
      </w:r>
    </w:p>
    <w:p>
      <w:pPr>
        <w:pStyle w:val="BookText"/>
        <w:rPr/>
      </w:pPr>
      <w:r>
        <w:rPr>
          <w:rFonts w:ascii="Amiri" w:hAnsi="Amiri" w:eastAsia="Amiri" w:cs="Amiri"/>
          <w:color w:val="111111"/>
          <w:sz w:val="28"/>
          <w:sz w:val="28"/>
          <w:szCs w:val="28"/>
          <w:rtl w:val="true"/>
          <w:lang w:bidi="ar-SA"/>
        </w:rPr>
        <w:t>استلزام الحرمة للبطلان، كالإقباض بمكان أو كف مغصوبين، وأحوطهما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على الغريم بمنزلة المقبوض له؛ لمساواته له أو قوّته عليه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القبض ما يشترط في العقد من الكمال والاختيار والرشد، فلا بد من حصولها </w:t>
      </w:r>
      <w:bookmarkStart w:id="701" w:name="pg19000_245585"/>
    </w:p>
    <w:p>
      <w:pPr>
        <w:pStyle w:val="BookText"/>
        <w:rPr/>
      </w:pPr>
      <w:bookmarkEnd w:id="701"/>
      <w:r>
        <w:rPr>
          <w:rFonts w:ascii="Amiri" w:hAnsi="Amiri" w:eastAsia="Amiri" w:cs="Amiri"/>
          <w:color w:val="111111"/>
          <w:sz w:val="28"/>
          <w:sz w:val="28"/>
          <w:szCs w:val="28"/>
          <w:rtl w:val="true"/>
          <w:lang w:bidi="ar-SA"/>
        </w:rPr>
        <w:t>إلى تمام القبض من الطرفين؛ لأنّ المملك هو التقبيض من الجانبين للجانبين، لا أنّ كلّ قبض</w:t>
      </w:r>
    </w:p>
    <w:p>
      <w:pPr>
        <w:pStyle w:val="BookText"/>
        <w:rPr/>
      </w:pPr>
      <w:r>
        <w:rPr>
          <w:rFonts w:ascii="Amiri" w:hAnsi="Amiri" w:eastAsia="Amiri" w:cs="Amiri"/>
          <w:color w:val="111111"/>
          <w:sz w:val="28"/>
          <w:sz w:val="28"/>
          <w:szCs w:val="28"/>
          <w:rtl w:val="true"/>
          <w:lang w:bidi="ar-SA"/>
        </w:rPr>
        <w:t>مملك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الفضولية كما يجري في العقد</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13372630_1280447820"/>
      <w:bookmarkStart w:id="703" w:name="_Toc261"/>
      <w:bookmarkEnd w:id="702"/>
      <w:r>
        <w:rPr>
          <w:rtl w:val="true"/>
        </w:rPr>
        <w:t>ثانيها</w:t>
      </w:r>
      <w:r>
        <w:rPr>
          <w:rtl w:val="true"/>
        </w:rPr>
        <w:t xml:space="preserve">: </w:t>
      </w:r>
      <w:r>
        <w:rPr>
          <w:rtl w:val="true"/>
        </w:rPr>
        <w:t>في بيان المراد باشتراط التقابض قبل التفرّق</w:t>
      </w:r>
      <w:bookmarkEnd w:id="70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باشتراط التقابض قبل التفرّق كون القبض أحد أجزاء سبب الملك، فلا يتحقق الملك إلا به، فحصوله مثبت للملك من حينه، لا كاشف عنه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 كذلك، أو احتمال أنّه شرط في اللزوم على وجه الإثبات أو على وجه الكشف احتمالات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أيضاً باشتراط التقابض بيان كون التفرّق مبطلاً من حينه بعد الحكم بصحة العقد، أو كاشفاً عن البطلان من أصله بعد الحكم بصحته ظاهراً؛ لمخالفة القول بذلك لظاهر الأصحاب؛ إذ الظاهر منهم كون التقابض نفسه شرطاً للملك، لا أن التفرّق نفسه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القول بشرطيّة التقابض قبل التفرّق القول بالبطلان بالتفرّق قبله، فمن عبّر بالبطلان بالتفرّق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القول به إلى المشهور </w:t>
      </w:r>
      <w:r>
        <w:rPr>
          <w:rStyle w:val="FootnoteAnchor"/>
          <w:rtl w:val="true"/>
        </w:rPr>
        <w:footnoteReference w:id="1512"/>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بيان الشرطية المذكورة تعبيراً بالملزوم عن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ذكرناه من الشرطيّة الإجماعات المنقولة على البطلان بالتفرّق قبل القبض </w:t>
      </w:r>
      <w:r>
        <w:rPr>
          <w:rStyle w:val="FootnoteAnchor"/>
          <w:rtl w:val="true"/>
        </w:rPr>
        <w:footnoteReference w:id="1514"/>
      </w:r>
      <w:r>
        <w:rPr>
          <w:rFonts w:ascii="Amiri" w:hAnsi="Amiri" w:eastAsia="Amiri" w:cs="Amiri"/>
          <w:color w:val="111111"/>
          <w:sz w:val="28"/>
          <w:sz w:val="28"/>
          <w:szCs w:val="28"/>
          <w:rtl w:val="true"/>
          <w:lang w:bidi="ar-SA"/>
        </w:rPr>
        <w:t xml:space="preserve">والشهرة المحكية </w:t>
      </w:r>
      <w:r>
        <w:rPr>
          <w:rStyle w:val="FootnoteAnchor"/>
          <w:rtl w:val="true"/>
        </w:rPr>
        <w:footnoteReference w:id="1515"/>
      </w:r>
      <w:r>
        <w:rPr>
          <w:rFonts w:ascii="Amiri" w:hAnsi="Amiri" w:eastAsia="Amiri" w:cs="Amiri"/>
          <w:color w:val="111111"/>
          <w:sz w:val="28"/>
          <w:sz w:val="28"/>
          <w:szCs w:val="28"/>
          <w:rtl w:val="true"/>
          <w:lang w:bidi="ar-SA"/>
        </w:rPr>
        <w:t>والمحصلة على ذلك، بضميمة أنّ الظاهر من عبارات الأصحاب وفتواهم أن ذلك لمكان شرطية التقابض تصريحاً في مقام وتلويحاً في آخر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الصحيح الناهي عن المفارقة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نزا حائطاً فانز معه</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فإنّ الظاهر من النهي في سياق هذا المقام أنّه إرشاد لبيان بطلان البيع بالتفرق، وبضميمة فهم الفقهاء وفتاواهم من أنّ البطلان لمكان فوات الشرط يكون دليلاً على ثبوت الشرطية</w:t>
      </w:r>
      <w:r>
        <w:rPr>
          <w:rFonts w:eastAsia="Amiri" w:cs="Amiri" w:ascii="Amiri" w:hAnsi="Amiri"/>
          <w:color w:val="111111"/>
          <w:sz w:val="28"/>
          <w:szCs w:val="28"/>
          <w:rtl w:val="true"/>
          <w:lang w:bidi="ar-SA"/>
        </w:rPr>
        <w:t xml:space="preserve">. </w:t>
      </w:r>
      <w:bookmarkStart w:id="704" w:name="pg19000_245586"/>
    </w:p>
    <w:p>
      <w:pPr>
        <w:pStyle w:val="BookText"/>
        <w:rPr/>
      </w:pPr>
      <w:bookmarkEnd w:id="704"/>
      <w:r>
        <w:rPr>
          <w:rFonts w:ascii="Amiri" w:hAnsi="Amiri" w:eastAsia="Amiri" w:cs="Amiri"/>
          <w:color w:val="111111"/>
          <w:sz w:val="28"/>
          <w:sz w:val="28"/>
          <w:szCs w:val="28"/>
          <w:rtl w:val="true"/>
          <w:lang w:bidi="ar-SA"/>
        </w:rPr>
        <w:t xml:space="preserve">ويدلّ عليه أيضاً الأخبار الآمرة ببيع النقدين يداً بيد </w:t>
      </w:r>
      <w:r>
        <w:rPr>
          <w:rStyle w:val="FootnoteAnchor"/>
          <w:rtl w:val="true"/>
        </w:rPr>
        <w:footnoteReference w:id="1517"/>
      </w:r>
      <w:r>
        <w:rPr>
          <w:rFonts w:ascii="Amiri" w:hAnsi="Amiri" w:eastAsia="Amiri" w:cs="Amiri"/>
          <w:color w:val="111111"/>
          <w:sz w:val="28"/>
          <w:sz w:val="28"/>
          <w:szCs w:val="28"/>
          <w:rtl w:val="true"/>
          <w:lang w:bidi="ar-SA"/>
        </w:rPr>
        <w:t>الظاهرة بمعونة سياقها وفتوى الأصحاب أنّ ذلك إرشاد للشرطيّة، لا أنّه حكم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1518"/>
      </w:r>
      <w:r>
        <w:rPr>
          <w:rFonts w:ascii="Amiri" w:hAnsi="Amiri" w:eastAsia="Amiri" w:cs="Amiri"/>
          <w:color w:val="111111"/>
          <w:sz w:val="28"/>
          <w:sz w:val="28"/>
          <w:szCs w:val="28"/>
          <w:rtl w:val="true"/>
          <w:lang w:bidi="ar-SA"/>
        </w:rPr>
        <w:t>إلى وجوب التقابض شرعاً؛ أخذاً بظاهر الأوامر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الشرعى فى أمثال هذه المقامات مصروف للإرشاد بقرينة السياق والفتاوى، ولو أريد به بيان الحكم الشرعي من الوجوب فقط لكان مخالفاً للإجماع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المنقول، وإن أُريد به بيان الحكم الشرعي والوضعي معاً لكان مخالفاً لظاهر الاستعمال في الأوامر والنواهي؛ لأنّ استعمال الأمر في الوجوب والشرطية واستعمال النهي في التحريم والبطلان بالتفرّق ممنوع عنه لغةً، ومُعرَض عنه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اشتراط التقابض في الصرف </w:t>
      </w:r>
      <w:r>
        <w:rPr>
          <w:rStyle w:val="FootnoteAnchor"/>
          <w:rtl w:val="true"/>
        </w:rPr>
        <w:footnoteReference w:id="1520"/>
      </w:r>
      <w:r>
        <w:rPr>
          <w:rFonts w:ascii="Amiri" w:hAnsi="Amiri" w:eastAsia="Amiri" w:cs="Amiri"/>
          <w:color w:val="111111"/>
          <w:sz w:val="28"/>
          <w:sz w:val="28"/>
          <w:szCs w:val="28"/>
          <w:rtl w:val="true"/>
          <w:lang w:bidi="ar-SA"/>
        </w:rPr>
        <w:t xml:space="preserve">للخبرين الدال أحدهما على جواز الإسلاف في النقدين </w:t>
      </w:r>
      <w:r>
        <w:rPr>
          <w:rStyle w:val="FootnoteAnchor"/>
          <w:rtl w:val="true"/>
        </w:rPr>
        <w:footnoteReference w:id="1521"/>
      </w:r>
      <w:r>
        <w:rPr>
          <w:rFonts w:ascii="Amiri" w:hAnsi="Amiri" w:eastAsia="Amiri" w:cs="Amiri"/>
          <w:color w:val="111111"/>
          <w:sz w:val="28"/>
          <w:sz w:val="28"/>
          <w:szCs w:val="28"/>
          <w:rtl w:val="true"/>
          <w:lang w:bidi="ar-SA"/>
        </w:rPr>
        <w:t xml:space="preserve">، والآخر على جواز النسيئة فيهما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ضعيفان سنداً ودلالةً ؛ لأنّ موردهما جواز النسيئة والسَّلم فيهما، وجوازهما لا يستلزم عدم اشتراط التقابض قبل التفرّق؛ لجواز القول بجواز الأولين ومنع الثاني، والقول بعدم الثاني وعدم جواز الأوّلين، والقول بمنعهما معاً؛ استضعافاً للخبرين كما هو الأقوى، ويأتي في محله </w:t>
      </w:r>
      <w:r>
        <w:rPr>
          <w:rStyle w:val="FootnoteAnchor"/>
          <w:rtl w:val="true"/>
        </w:rPr>
        <w:footnoteReference w:id="152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5"/>
        <w:numPr>
          <w:ilvl w:val="4"/>
          <w:numId w:val="1"/>
        </w:numPr>
        <w:rPr/>
      </w:pPr>
      <w:bookmarkStart w:id="705" w:name="__RefHeading___Toc13372632_1280447820"/>
      <w:bookmarkStart w:id="706" w:name="_Toc262"/>
      <w:bookmarkEnd w:id="705"/>
      <w:r>
        <w:rPr>
          <w:rtl w:val="true"/>
        </w:rPr>
        <w:t>ثالثها</w:t>
      </w:r>
      <w:r>
        <w:rPr>
          <w:rtl w:val="true"/>
        </w:rPr>
        <w:t xml:space="preserve">: </w:t>
      </w:r>
      <w:r>
        <w:rPr>
          <w:rtl w:val="true"/>
        </w:rPr>
        <w:t>حكم ما لو تقابضا في البعض خاصة</w:t>
      </w:r>
      <w:bookmarkEnd w:id="70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تقابضا في البعض خاصةً، صح فيه دون ما لم يتقابضا فيه، وتخيّرا فيما صح فيه بين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لتبعيض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الإمساك ما لم يكن تأخير الإقباض عن التفرّق بتفريط منهما أو من أحدهما، فيسقط خيارهما في الأوّل وخيار المفرط منهما في الثاني؛ </w:t>
      </w:r>
      <w:bookmarkStart w:id="707" w:name="pg19000_245587"/>
    </w:p>
    <w:p>
      <w:pPr>
        <w:pStyle w:val="BookText"/>
        <w:rPr/>
      </w:pPr>
      <w:bookmarkEnd w:id="707"/>
      <w:r>
        <w:rPr>
          <w:rFonts w:ascii="Amiri" w:hAnsi="Amiri" w:eastAsia="Amiri" w:cs="Amiri"/>
          <w:color w:val="111111"/>
          <w:sz w:val="28"/>
          <w:sz w:val="28"/>
          <w:szCs w:val="28"/>
          <w:rtl w:val="true"/>
          <w:lang w:bidi="ar-SA"/>
        </w:rPr>
        <w:t>كل ذلك لوجود الشرط المصحح للبيع في الأوّل فيدخل في العمومات، ولفقده فيبطل في الثاني، ولتبعيض الصفقة الموجب للخيار في الثالث ولإدخال الضرر على نفسه بتفريطه في التأخير فيسقط خياره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مما ظاهره البطلان رأساً في مثل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يبتاع من رجل بدينار، هل يصلح له أن يأخذ بنصفه ورقاً أو بيعاً ويترك نصفه حتّى يأتي بعد فيأخذه منه ورقاً أو بيعاً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أترك شيئاً حتّى آخذه جميعاً، فلا تفعله</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الدلالة أوّلاً، ومحتمل لانصرافه إلى المنع من صحّة المجموع من حيث المجموع ثانياً</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3372634_1280447820"/>
      <w:bookmarkStart w:id="709" w:name="_Toc263"/>
      <w:bookmarkEnd w:id="708"/>
      <w:r>
        <w:rPr>
          <w:rtl w:val="true"/>
        </w:rPr>
        <w:t>رابعها</w:t>
      </w:r>
      <w:r>
        <w:rPr>
          <w:rtl w:val="true"/>
        </w:rPr>
        <w:t xml:space="preserve">: </w:t>
      </w:r>
      <w:r>
        <w:rPr>
          <w:rtl w:val="true"/>
        </w:rPr>
        <w:t>في بيان المدار في التفرق المبطل للصرف</w:t>
      </w:r>
      <w:bookmarkEnd w:id="70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التفرّق المبطل للصرف هو تفرّق المتعاقدين المباشرين للصيغة، أصليين أو ولتين أو وكيلين أو فضولتين أو ملفّقين، فلا عبرة ببقاء غيرهما مجتمعين ولو كانا هما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يشترط وقوع التقبيض من المتعاقدين بل لو تقابض الأصيلان مع عدم افتراق الوكيلين صح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تقابض الفضوليان بعد صدور العقد عنهما فضولاً، صح الصرف مع الإجازة وعدم افتراق فضولي العقد إلى صدور فضولي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والوكيل عن اثنين والوليّ عنهما والاثنان على حَقَّرٍ واحد لا يتحقق بينهما افتراق، فيصح لهما الصرف متى تقابضا مع احتمال أنّ القيام من مجلس العقد بحكم التفرّق</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3372636_1280447820"/>
      <w:bookmarkStart w:id="711" w:name="_Toc264"/>
      <w:bookmarkEnd w:id="710"/>
      <w:r>
        <w:rPr>
          <w:rtl w:val="true"/>
        </w:rPr>
        <w:t>خامسها</w:t>
      </w:r>
      <w:r>
        <w:rPr>
          <w:rtl w:val="true"/>
        </w:rPr>
        <w:t xml:space="preserve">: </w:t>
      </w:r>
      <w:r>
        <w:rPr>
          <w:rtl w:val="true"/>
        </w:rPr>
        <w:t>حكم ما لو اشترى دراهم بدنانير أو بالعكس ثم اشترى بها جنساً آخر قبل القبض في الشراء الأوّل</w:t>
      </w:r>
      <w:bookmarkEnd w:id="711"/>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دراهم بدنانير أو بالعكس كلّيّة أو معيّنة ثم اشترى بها جنساً آخر قبل القبض في الشراء الأوَّل، بطل الشراء الثاني مطلقاً؛ لوقوعه في غير الملك، لتوقف صحّة البيع الثاني على صحّة البيع الأوّل الموقوف صحته على التقابض قبل التفرق، وهو غير حاصل قبل البيع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علّل المنع بكونه من بيع ما يوزن قبل قبضه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منعه وفي كونه منه نظر</w:t>
      </w:r>
      <w:r>
        <w:rPr>
          <w:rFonts w:eastAsia="Amiri" w:cs="Amiri" w:ascii="Amiri" w:hAnsi="Amiri"/>
          <w:color w:val="111111"/>
          <w:sz w:val="28"/>
          <w:szCs w:val="28"/>
          <w:rtl w:val="true"/>
          <w:lang w:bidi="ar-SA"/>
        </w:rPr>
        <w:t xml:space="preserve">. </w:t>
      </w:r>
      <w:bookmarkStart w:id="712" w:name="pg19000_245588"/>
    </w:p>
    <w:p>
      <w:pPr>
        <w:pStyle w:val="BookText"/>
        <w:rPr/>
      </w:pPr>
      <w:bookmarkEnd w:id="712"/>
      <w:r>
        <w:rPr>
          <w:rFonts w:ascii="Amiri" w:hAnsi="Amiri" w:eastAsia="Amiri" w:cs="Amiri"/>
          <w:color w:val="111111"/>
          <w:sz w:val="28"/>
          <w:sz w:val="28"/>
          <w:szCs w:val="28"/>
          <w:rtl w:val="true"/>
          <w:lang w:bidi="ar-SA"/>
        </w:rPr>
        <w:t xml:space="preserve">قيل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رواية تشعر بالمنع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 الأوّل إن حصل منهما التقابض، وبطل الشراء ان إن تفرّقا قبل التقابض بعد وقوع العقدين؛ لانتفاء شرط صحّة الصرف فيهما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وصحح الأوّل جمع من أصحابنا </w:t>
      </w:r>
      <w:r>
        <w:rPr>
          <w:rStyle w:val="FootnoteAnchor"/>
          <w:rtl w:val="true"/>
        </w:rPr>
        <w:footnoteReference w:id="1527"/>
      </w:r>
      <w:r>
        <w:rPr>
          <w:rFonts w:ascii="Amiri" w:hAnsi="Amiri" w:eastAsia="Amiri" w:cs="Amiri"/>
          <w:color w:val="111111"/>
          <w:sz w:val="28"/>
          <w:sz w:val="28"/>
          <w:szCs w:val="28"/>
          <w:rtl w:val="true"/>
          <w:lang w:bidi="ar-SA"/>
        </w:rPr>
        <w:t>مع حصول التقابض قبل التفرّق؛ لحصول الشرط في الأوَّل، وتنزيل الثانى منزلة مَنْ باع شيئاً ثم ملكه، فهو إمّا كالفضولي يفتقر للإجازة، أو يصح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في النقد المعيّن قبل قبضه، ويشكل في الكلي، إلا احتمال تشخص الكلّي في فرده وانصبابه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الحلّي بين بين ما إذا وقع العقد على معيّن وحصل فيه التقابض في المجلس فصححه، وبين ما إذا وقع على كلّي فأفسده؛ لأنّه من بيع الدَّين بالدَّين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منه؛ إذ الكلّي الحال ليس من أقسام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له الاستناد للشبهة المتقدّمة، وقد تقدَّم تخريجها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أجاز البائع الأوّل شراء المشتري الثاني وقبضه المبيع، صح الصرف بينهما؛ لعدم الفرق في الفضولي بين الشراء لنفسه أو للمُجيز، وعدم الفرق في الإجازة بين كونها لنفسه أو للفضولي، إلا أنّ بعض هذه الصُّور الأربع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يفترق المتعاقدان بالعقد الثاني، ومع افتراقهما يبطل الصرف، ولا تصححه الإجازة</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3372638_1280447820"/>
      <w:bookmarkStart w:id="714" w:name="_Toc265"/>
      <w:bookmarkEnd w:id="713"/>
      <w:r>
        <w:rPr>
          <w:rtl w:val="true"/>
        </w:rPr>
        <w:t>سادسها</w:t>
      </w:r>
      <w:r>
        <w:rPr>
          <w:rtl w:val="true"/>
        </w:rPr>
        <w:t xml:space="preserve">: </w:t>
      </w:r>
      <w:r>
        <w:rPr>
          <w:rtl w:val="true"/>
        </w:rPr>
        <w:t>حكم ما لو كان لشخص على شخص آخر أحد النقدين وأراد تحويله إلى نقد آخر</w:t>
      </w:r>
      <w:bookmarkEnd w:id="71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على شخص آخر أحد النقدين وأراد تحويله إلى نقد آخر، جاز أن يأمر الشخص بتحويل ما في ذمته من النقد إلى نقد آخر بزيادة أم لا إذا كان مختلف الجنس، أو بغير زيادةٍ مطلقاً إذا ساعره على ذلك وعرف كلّ منهما قدر العوضين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بالتحويل قد يكون مصرحاً بطريقه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بصيغة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فيتولّى </w:t>
      </w:r>
    </w:p>
    <w:p>
      <w:pPr>
        <w:pStyle w:val="BookText"/>
        <w:rPr/>
      </w:pPr>
      <w:r>
        <w:rPr>
          <w:rFonts w:ascii="Amiri" w:hAnsi="Amiri" w:eastAsia="Amiri" w:cs="Amiri"/>
          <w:color w:val="111111"/>
          <w:sz w:val="28"/>
          <w:sz w:val="28"/>
          <w:szCs w:val="28"/>
          <w:rtl w:val="true"/>
          <w:lang w:bidi="ar-SA"/>
        </w:rPr>
        <w:t>الإيجاب والقبول بنفسه إن جاز، أو بنفسه وغيره إن لم يجز،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بصيغة البيع وأفرز ما أنت مشغول لي به وأفرز عوضه واقبضهما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فيتولى الجميع من الإيجاب والقبول والقبض والإقباض بنفسه أو بنفسه وبغيره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مطلقاً، ومع الإطلاق فإما أن يأمره بالتحويل فقط، والظاهر انصرافه للبيع؛ لظهور الأمر بالمعاوضة فيه، والظاهر إرادة البيع الصحيح منه، وحينئذٍ فيلزم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توكيله في عقد البيع بنفسه إن قلنا بجواز تولّي طرفي العقد لواحد، أو بنفسه وغيره إن لم نقل، وتوكيله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القبض؛ لتوقف صحّة البيع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يُفرز ما في ذمته ويقبضه بوكالته عن صاحبه ويُفرز عوضه فيقبضه لنفسه أيضاً بوكالته عنه و عنه، وإما بأن يجدّد نيّة القبض فقط، بناءً على أنّ ما للغير الذي في ذمته بمنزلة المقبوض له، وكذا ينوي قبض عوضه؛ لأنّه بحكم ما في ذمته، أو لأنّ النقدين من واحد كما أشارت إليه الرواية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الدراهم من عندك والدنانير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فيكون ذلك مستثنى من اشتراط التقابض في الصرف وإما أن يأمره بالتحويل على جهة البيع، فيلزم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البيع الصحيح المشتمل على القبض والإقباض الصحيحين على نحو ما ذكرناه، فيدل على إرادة تولّي العقد بنفسه أو بنفسه وغيره، وعلى تولّي طرفي القبض على جهة الإفراز أو على جهة تجديد نيته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الذمة بمنزلة المقبوض وأنّ عوضه بمنزلته؛ لأن النقدين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ما ذكرناه فلا منافاة بين ما ذكرناه وبين القواعد، إلا في كون ما في الذمة بمنزلة المقبوض وكون عوضه بمنزلته، فإنّهما وإن خالفا القواعد معاً أو الأخير منهما لكن ظاهر الروايتين المعتبرتين المشتهرتين فتوى وروايةً يدلّ عليه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أحدهما عن الرجل تكون عنده دراهم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من غير أن أقبض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عنده دنانير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دراهم وأثبتها لي عندك ولم أقبض منه شيئاً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الآخر ما يدل على ذلك 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الدراهم من عندك والدنانير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أصحابنا </w:t>
      </w:r>
      <w:r>
        <w:rPr>
          <w:rStyle w:val="FootnoteAnchor"/>
          <w:rtl w:val="true"/>
        </w:rPr>
        <w:footnoteReference w:id="1533"/>
      </w:r>
      <w:r>
        <w:rPr>
          <w:rFonts w:ascii="Amiri" w:hAnsi="Amiri" w:eastAsia="Amiri" w:cs="Amiri"/>
          <w:color w:val="111111"/>
          <w:sz w:val="28"/>
          <w:sz w:val="28"/>
          <w:szCs w:val="28"/>
          <w:rtl w:val="true"/>
          <w:lang w:bidi="ar-SA"/>
        </w:rPr>
        <w:t xml:space="preserve">الأخذ بظاهر الرواية والجمود على مدلولها وإن خالفت القواعد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النقل بلفظ التحويل، ومن أنّه من صيغ بيع الصرف أو عقد مستقل، ومن أنّه يحصل النقل به بلا قبول، ومن أنّ التفرّق قبل القبض غير مانع، ومن أنّه يصح وقوع الإيجاب بلفظ الأمر، ومن أنّ ما في الذمة بمنزلة المقبوض ومن أن عوضه بمنزلته، وخالفت الاحتياط من جواز بيع الدين بما يكون ديناً، ومن جواز بيع ما لم يقبض على مَنْ هو عليه، وهُما لا يخلوان من إشكال، وعلى ذلك فينبغي الاقتصار على الدراهم والدنانير دون غيرهما، ومع ذلك فهو بعيد جداً، كما أن طرحها أو حملها على بيع ذمّةٍ بدمةٍ بناءً على أنّ كلّاً منهما غريم للآخر، أو حملها على العزم على الوفاء بوقته من دون إجراء عقد معاوضة، أو حملها على أنّ النقد كان أمانةٌ عند البائع كله بعيد أيضاً، فإرجاعها للقواعد وتطبيقها عليها إلا فيما لا يمكن فيها أولى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أحد النقدين غشٌّ متموّل غير مستهلك بحيث لا يصدق عليه الاسم المغشوش جاز بيعه بالمخالف مطلقاً؛ للأصل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عن شراء الفضة فيها الرصاص بالورق وإذا خلصت نقصت من كلّ عشرة در همان أو ثلاثة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شراء الذهب فيه الفضة والزئبق والتراب بالدنانير والورق،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تصارفه إلا بالورق</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فيه من حصر بيع المغشوش بالمخالف مبني على الغالب من نقص الخالص عن المغشوش بحسب المقدار، فإنّ بناء البيع على المماكسة والمغابنة فالمشتري لا يبذل فضةً أو ذهباً خالصين في مقابلة الغش وتعسر معرفة مقدار المغشوش وإلا فلو تحقق خلاف الغالب من زيادة الخالص على الغش أو حصول معرفة المقدار لجاز، كما سيجيء إن شاء اللّه تعالى</w:t>
      </w:r>
      <w:r>
        <w:rPr>
          <w:rFonts w:eastAsia="Amiri" w:cs="Amiri" w:ascii="Amiri" w:hAnsi="Amiri"/>
          <w:color w:val="111111"/>
          <w:sz w:val="28"/>
          <w:szCs w:val="28"/>
          <w:rtl w:val="true"/>
          <w:lang w:bidi="ar-SA"/>
        </w:rPr>
        <w:t xml:space="preserve">. </w:t>
      </w:r>
      <w:bookmarkStart w:id="715" w:name="pg19000_245591"/>
    </w:p>
    <w:p>
      <w:pPr>
        <w:pStyle w:val="BookText"/>
        <w:rPr/>
      </w:pPr>
      <w:bookmarkEnd w:id="715"/>
      <w:r>
        <w:rPr>
          <w:rFonts w:ascii="Amiri" w:hAnsi="Amiri" w:eastAsia="Amiri" w:cs="Amiri"/>
          <w:color w:val="111111"/>
          <w:sz w:val="28"/>
          <w:sz w:val="28"/>
          <w:szCs w:val="28"/>
          <w:rtl w:val="true"/>
          <w:lang w:bidi="ar-SA"/>
        </w:rPr>
        <w:t>وجاز بيعه بجنسه مع مساواة المغشوش للصافي في الوزن، فيكون الزائد من الصافي في مقابلة المغشوش إذا كان متموّلاً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مع العلم بزيادة الصافي المنفرد على صافي المغشوش في الجملة وإن لم يعلم قدره ولم يكونا متساويين، فتقابل زيادة الصافي زيادة الغش في المغشوش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المغشوش بالمغشوش علم قدر الصافي فيهما أم لم يعلم بعد أن يعلم قدر المجموع، والعلم بقدر المجموع يرفع الجهالة، كما أن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كالضميمة إلى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شبهة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الخالص بالخالص من جنسه مع العلم بزيادة أحدهما أو مع الجهل بها؛ لأن الجهل في باب الربا كالعلم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الخالص بالمغشوش أيضاً مع عدم العلم بقدرهما، مخافة لزوم الربا، كبيع الربية الآن بالشامي مع عدم العلم بوزنهما، إلا إذا علم زيادة الخالص على خالص المغشوش في مقابلة الغش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المسكوك قد خرج عن الموزونية بالسكة، وإنّها كما تقوم مقام الوزن بالنسبة إلى العلم بالتقدير، كذلك تخرج الموزون عن حكمه اللازم له على تقدير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بالغش المستهلك عرفاً، فيباع جوهر الرصاص والنحاس بالفضة والذهب وإن كان فيهما يسير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ظواهر الخطاب المعلق على نفس الاسم واتفاق فتوى الأصحاب ظاهراً، والسيرة تشهد بذلك أيضاً، والأخبار المتكثرة،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الأسرب يشترى بالفضة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الغالب عليه الأسرب فلا بأس</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ونحوه غيره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3372640_1280447820"/>
      <w:bookmarkStart w:id="717" w:name="_Toc266"/>
      <w:bookmarkEnd w:id="716"/>
      <w:r>
        <w:rPr>
          <w:rtl w:val="true"/>
        </w:rPr>
        <w:t xml:space="preserve">سابعها </w:t>
      </w:r>
      <w:r>
        <w:rPr>
          <w:rtl w:val="true"/>
        </w:rPr>
        <w:t xml:space="preserve">: </w:t>
      </w:r>
      <w:r>
        <w:rPr>
          <w:rtl w:val="true"/>
        </w:rPr>
        <w:t>حكم ما لو كان في أحد النقدين غش متموّل غير مستهلك بحيث لا يصدق عليه اسم المغشوش</w:t>
      </w:r>
      <w:bookmarkEnd w:id="717"/>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تراب أحد النقدين بتراب آخر من جنسه، ولا بنقد آخر من جنسه مع الجهل بوزنهما أو بوزن أحدهما، ويجوز مع العلم بتساوي النقدين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هنا بالتراب، فلا يصلح كونه ضميمةٌ كي يصح البيع مع كونه في كلّ من الطرفين مطلقاً، أو في طرفٍ مع زيادة النقد الآخر على ما اشتمل عليه من النقد</w:t>
      </w:r>
      <w:r>
        <w:rPr>
          <w:rFonts w:eastAsia="Amiri" w:cs="Amiri" w:ascii="Amiri" w:hAnsi="Amiri"/>
          <w:color w:val="111111"/>
          <w:sz w:val="28"/>
          <w:szCs w:val="28"/>
          <w:rtl w:val="true"/>
          <w:lang w:bidi="ar-SA"/>
        </w:rPr>
        <w:t xml:space="preserve">. </w:t>
      </w:r>
      <w:bookmarkStart w:id="718" w:name="pg19000_245592"/>
    </w:p>
    <w:p>
      <w:pPr>
        <w:pStyle w:val="BookText"/>
        <w:rPr/>
      </w:pPr>
      <w:bookmarkEnd w:id="718"/>
      <w:r>
        <w:rPr>
          <w:rFonts w:ascii="Amiri" w:hAnsi="Amiri" w:eastAsia="Amiri" w:cs="Amiri"/>
          <w:color w:val="111111"/>
          <w:sz w:val="28"/>
          <w:sz w:val="28"/>
          <w:szCs w:val="28"/>
          <w:rtl w:val="true"/>
          <w:lang w:bidi="ar-SA"/>
        </w:rPr>
        <w:t>نعم، يصح بيعه بغير جنسه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التراب المجتمع من تراب النقدين بهما معاً وبأحدهما مع زيادته على مقابله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عن الجوهر الذي يخرج من المعدن وفيه ذهب وفضة وصفر جميعاً كيف نشتريه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تشتريه بالذهب والفضة</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ما يدلّ على ما ذكرناه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3372642_1280447820"/>
      <w:bookmarkStart w:id="720" w:name="_Toc267"/>
      <w:bookmarkEnd w:id="719"/>
      <w:r>
        <w:rPr>
          <w:rtl w:val="true"/>
        </w:rPr>
        <w:t>تاسعها</w:t>
      </w:r>
      <w:r>
        <w:rPr>
          <w:rtl w:val="true"/>
        </w:rPr>
        <w:t xml:space="preserve">: </w:t>
      </w:r>
      <w:r>
        <w:rPr>
          <w:rtl w:val="true"/>
        </w:rPr>
        <w:t>حرمة نقل المغشوش من النقدين وغيرهما</w:t>
      </w:r>
      <w:bookmarkEnd w:id="720"/>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نقل المغشوش من النقدين وغيرهما من المسكوك أو من غيره؛ للنص الدال على حرمة الغش </w:t>
      </w:r>
      <w:r>
        <w:rPr>
          <w:rStyle w:val="FootnoteAnchor"/>
          <w:rtl w:val="true"/>
        </w:rPr>
        <w:footnoteReference w:id="1538"/>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1539"/>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سنده بابن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الستوق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من فضّة وطبقة من نحاس وطبقة من فضة،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 هذا فإنّه لا يحلّ بيع هذا ولا إنفاقه</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دلالة على وجوب كسر المغشوش وإتلافه؛ لما فيه من الفساد، ولا ضمان عليه لو كان للغير ولو تلف مادةً وهيئةً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البيع به وبيعه وإن حرم؛ لعدم منافاة التحريم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يتسلّط الجاهل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فيما كان مغشوشاً، أما ما كان زيوفاً وقلباً فإنّ البيع به فاسد ومحرم، ويجب إتلافه من غير كلام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المغشوش لو بيع بشرط الكسر مع إبانة حاله للمنتقل إليه جاز</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إنفاقه وصرفه لو كان معلوم الصرف بين عامة الناس أو بين أهل بلد الصرف، سواء علموا أنّه مغشوش أم لا، وسواء علموا وزن ما فيه من الصافي أم لا، وسواء علموا وزن المجموع أم لا، على الظاهر في الجميع؛ للسيرة القاضية بجواز جميع ذلك، ولعموم الأدلّة</w:t>
      </w:r>
      <w:r>
        <w:rPr>
          <w:rStyle w:val="FootnoteAnchor"/>
          <w:rtl w:val="true"/>
        </w:rPr>
        <w:footnoteReference w:id="1541"/>
      </w:r>
      <w:r>
        <w:rPr>
          <w:rFonts w:ascii="IRNazanin" w:hAnsi="IRNazanin" w:eastAsia="IRNazanin"/>
          <w:color w:val="111111"/>
          <w:sz w:val="28"/>
          <w:sz w:val="28"/>
          <w:szCs w:val="28"/>
          <w:rtl w:val="true"/>
          <w:lang w:bidi="fa-IR"/>
        </w:rPr>
        <w:t xml:space="preserve">، </w:t>
      </w:r>
      <w:bookmarkStart w:id="721" w:name="pg19000_245593"/>
    </w:p>
    <w:p>
      <w:pPr>
        <w:pStyle w:val="BookText"/>
        <w:rPr/>
      </w:pPr>
      <w:bookmarkEnd w:id="721"/>
      <w:r>
        <w:rPr>
          <w:rFonts w:ascii="Amiri" w:hAnsi="Amiri" w:eastAsia="Amiri" w:cs="Amiri"/>
          <w:color w:val="111111"/>
          <w:sz w:val="28"/>
          <w:sz w:val="28"/>
          <w:szCs w:val="28"/>
          <w:rtl w:val="true"/>
          <w:lang w:bidi="ar-SA"/>
        </w:rPr>
        <w:t xml:space="preserve">ولنفي العسر والحرج </w:t>
      </w:r>
      <w:r>
        <w:rPr>
          <w:rStyle w:val="FootnoteAnchor"/>
          <w:rtl w:val="true"/>
        </w:rPr>
        <w:footnoteReference w:id="1542"/>
      </w:r>
      <w:r>
        <w:rPr>
          <w:rFonts w:ascii="Amiri" w:hAnsi="Amiri" w:eastAsia="Amiri" w:cs="Amiri"/>
          <w:color w:val="111111"/>
          <w:sz w:val="28"/>
          <w:sz w:val="28"/>
          <w:szCs w:val="28"/>
          <w:rtl w:val="true"/>
          <w:lang w:bidi="ar-SA"/>
        </w:rPr>
        <w:t>، ولقيام السكة المعتادة مقام الوزن في المقدار ومقام البيان في النوع، كما يظهر من الطريقة المألوفة من قديم الزمان إلى هذا الأوان من صرف المسكوك مع عدم معرفة قدره ونوعه المركب منه على التحقيق، والمساهلة في ذلك مع عدم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ما يدل على ذلك أيضاً، كالصحيح في الدراهم تحمل على الدرهم دانقين،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يجوز بين الناس</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أنفقت ما يجوز بين أهل المدينة والبلد فلا بأس</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أنفقت ما يجوز</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 عن الدراهم المحمول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الفضة الثلثين فلا بأس</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جوازها إذا كانت الفضة الغالبة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محمولان على إرادة المعتاد من الدراهم؛ لأن الغالب في المعتاد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قيام سكة السلطان في بدئها بالمعتاد إشكال</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3372644_1280447820"/>
      <w:bookmarkStart w:id="723" w:name="_Toc268"/>
      <w:bookmarkEnd w:id="722"/>
      <w:r>
        <w:rPr>
          <w:rtl w:val="true"/>
        </w:rPr>
        <w:t>عاشرها</w:t>
      </w:r>
      <w:r>
        <w:rPr>
          <w:rtl w:val="true"/>
        </w:rPr>
        <w:t xml:space="preserve">: </w:t>
      </w:r>
      <w:r>
        <w:rPr>
          <w:rtl w:val="true"/>
        </w:rPr>
        <w:t>جواز بيع الأواني المصوغة من النقدين مع معرفة قدر الجملة</w:t>
      </w:r>
      <w:bookmarkEnd w:id="723"/>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المصوغة من النقدين وكل مجتمع منهما يجوز بيعها مع معرفة قدر الجملة، ولا يحتاج إلى معرفة قدر كلّ واحدٍ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بيعها بالمصوغ منهما معاً، وبالمصوغ من أحدهما مع زيادة فيه تقابل النقد الآخر وإن قلت بعد أن تكون متموّلةً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يتفاوت الحال بعد العلم بوزن المجموع بين علم مقدار ما فيهما من كلّ واحدٍ من النقدين أم لا، وبين إمكان تخليصهما أم لا، وبين كون الثمن من جنس النقد الأقل في المصوغ أو من جنس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يكفي الظن بالزيادة المقابلة للجنس الآخر؛ لعسر العلم اليقيني بقدره غالباً، ومشقة التخليص الموجب له، ولأنّ المرء متعبّد بظنّه، أو يعتبر القطع؛ لأنّه الأصل، وتعسّره لا يوجب جواز الانتقال إلى الظن إلا حيث لا يمكن التخلّص من ضرر عدم العلم إلا به، وهنا ليس كذلك؛ لإمكان العدول إلى البيع بغير الجنس، أو نحوه مما يرفع شبهة الربا ؟</w:t>
      </w:r>
    </w:p>
    <w:p>
      <w:pPr>
        <w:pStyle w:val="BookText"/>
        <w:rPr/>
      </w:pPr>
      <w:r>
        <w:rPr>
          <w:rFonts w:ascii="Amiri" w:hAnsi="Amiri" w:eastAsia="Amiri" w:cs="Amiri"/>
          <w:color w:val="111111"/>
          <w:sz w:val="28"/>
          <w:sz w:val="28"/>
          <w:szCs w:val="28"/>
          <w:rtl w:val="true"/>
          <w:lang w:bidi="ar-SA"/>
        </w:rPr>
        <w:t>نعم، لو اضطر إلى البيع وانحصر الطريق في ذلك وتعسّر العلم، لكان الجواز متجهاً؛ لنفي العسر والحرج المعلوم ثبوته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الشرعى فلا إشكال في قيامه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جمع من أصحابنا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المصوغ من النقدين إن كان كلّ واحدٍ منهما معلوماً جاز بيعه بجنسه من غير زيادةٍ وبغير الجنس وإن زاد وإن لم يعلم وأمكن تخليصهما لم يُبع بأحدهما، وبيع بهما وبغيرهما وإن تعذر التخليص وكان الأغلب أحدهما بيعت بالأقلّ منهما خاصةً، وإن تساويا مقداراً بيعت بهما وبغيرهما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لعدم المانع من بيع المعلوم بجنسه مع زيادة تقابل الجنس الآخر، وبهما معاً مع الزيادة والنقيصة، ومن بيع ما لم يعلم إذا أمكن تخليصه بأحدهما مع العلم بزيادته على جنسه زيادة تقابل الجنس الآخر، ومن بيع ما لم يعلم إذا تعذر التخليص وكان الأغلب أحدهما بالأكثر منهما؛ لعدم الفرق بين الأكثر والأقلّ بعد فرض الزيادة في ذلك الجنس في مقابلة الآخر، ومن بيعه عند التساوي مقداراً بأحدهما مع زيادته لمقابلة الجنس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مستندهم في المنع من بيعه بأحدهما مع إمكان التخليص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 فيه ذهب وفضة أشتريه بذهب أو فضة،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تقدر على تخليصه فلا، وإن لم تقدر على تخليصه فلا بأس</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قصور سنداً بجهالة جمع من رواته، ومنافاة إطلاقه الجواز أخيراً ومنعاً أوّلاً بإمكان التخليص وعدمه لما فصلوه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 كلامهم والنصّ على إرادة الإرشاد للطريق الأسهل والندب إليه</w:t>
      </w:r>
      <w:r>
        <w:rPr>
          <w:rFonts w:eastAsia="Amiri" w:cs="Amiri" w:ascii="Amiri" w:hAnsi="Amiri"/>
          <w:color w:val="111111"/>
          <w:sz w:val="28"/>
          <w:szCs w:val="28"/>
          <w:rtl w:val="true"/>
          <w:lang w:bidi="ar-SA"/>
        </w:rPr>
        <w:t xml:space="preserve">. </w:t>
      </w:r>
      <w:bookmarkStart w:id="724" w:name="pg19000_245595"/>
    </w:p>
    <w:p>
      <w:pPr>
        <w:pStyle w:val="Heading5"/>
        <w:numPr>
          <w:ilvl w:val="4"/>
          <w:numId w:val="1"/>
        </w:numPr>
        <w:rPr/>
      </w:pPr>
      <w:bookmarkStart w:id="725" w:name="__RefHeading___Toc13372646_1280447820"/>
      <w:bookmarkStart w:id="726" w:name="_Toc269"/>
      <w:bookmarkEnd w:id="724"/>
      <w:bookmarkEnd w:id="725"/>
      <w:r>
        <w:rPr>
          <w:rtl w:val="true"/>
        </w:rPr>
        <w:t>حادي عاشرها</w:t>
      </w:r>
      <w:r>
        <w:rPr>
          <w:rtl w:val="true"/>
        </w:rPr>
        <w:t xml:space="preserve">: </w:t>
      </w:r>
      <w:r>
        <w:rPr>
          <w:rtl w:val="true"/>
        </w:rPr>
        <w:t>في أنّ المحلّى بأحد النقدين تباع الحلّيّة تبعاً للمحلى</w:t>
      </w:r>
      <w:bookmarkEnd w:id="726"/>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بأحد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سيوف وظروف وبيوت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الحلية تبعاً للمحلى من غير احتياج إلى وزن على الظاهر؛ لمكان الضرورة والتبعية، وعدم إمكان التخليص، ولا يغتفر فيها الربا؛ لعدم خروجها عن الوزن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بيعها بمجموع النقدين وبالنقد المخالف وبالمماثل مع زيادة تصلح لمقابلة المحلّى، كما تدلّ على ذلك القواعد والفتاوى والإجماع المنقول </w:t>
      </w:r>
      <w:r>
        <w:rPr>
          <w:rStyle w:val="FootnoteAnchor"/>
          <w:rtl w:val="true"/>
        </w:rPr>
        <w:footnoteReference w:id="1550"/>
      </w:r>
      <w:r>
        <w:rPr>
          <w:rFonts w:ascii="Amiri" w:hAnsi="Amiri" w:eastAsia="Amiri" w:cs="Amiri"/>
          <w:color w:val="111111"/>
          <w:sz w:val="28"/>
          <w:sz w:val="28"/>
          <w:szCs w:val="28"/>
          <w:rtl w:val="true"/>
          <w:lang w:bidi="ar-SA"/>
        </w:rPr>
        <w:t>والأخبار الخاصة المنجبرة بفتوى الأصحاب وقواعد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المفضّض يباع بالدراهم،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الفضة أقل من النقد فلا بأس، وإن كانت أكثر فلا يصلح</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المحلّى والسيف الحديد المموه بالفضة يبيعه بالدراهم،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Style w:val="FootnoteAnchor"/>
          <w:rtl w:val="true"/>
        </w:rPr>
        <w:footnoteReference w:id="155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15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يبيعه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الثمن أكثر من الفضة فلا بأس</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الروايات الصحيحة من نفي البأس عن بيع السيف المحلّى بالنقد </w:t>
      </w:r>
      <w:r>
        <w:rPr>
          <w:rStyle w:val="FootnoteAnchor"/>
          <w:rtl w:val="true"/>
        </w:rPr>
        <w:footnoteReference w:id="1555"/>
      </w:r>
      <w:r>
        <w:rPr>
          <w:rFonts w:ascii="Amiri" w:hAnsi="Amiri" w:eastAsia="Amiri" w:cs="Amiri"/>
          <w:color w:val="111111"/>
          <w:sz w:val="28"/>
          <w:sz w:val="28"/>
          <w:szCs w:val="28"/>
          <w:rtl w:val="true"/>
          <w:lang w:bidi="ar-SA"/>
        </w:rPr>
        <w:t>على وجه الإطلاق مقيد بما ذكرناه من اشتراط الزيادة، كما أنّ ما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المحلى بالفضة يباع بالذهب إلى أجل مسمّى،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لم يختلفوا في النسأ أنّه الربا، إنما اختلفوا في اليد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نبيعه بالدراهم بنقد،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عَرَض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الدراهم التي تعطى أكثر من الفضة التي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بالاحتياط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أنّهم يعرفون،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يعرفون ذلك فلا بأس، وإلا فإنّهم يجعلون معه العرض أحبّ إليَّ</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يستفاد منه اشتراط المعرفة في بيع المحلّى بجنس الحلية وعدم الاكتفاء فيه بالمظنّة وكفاية الزيادة الحكمية في حرمة الربا، </w:t>
      </w:r>
      <w:bookmarkStart w:id="727" w:name="pg19000_245596"/>
    </w:p>
    <w:p>
      <w:pPr>
        <w:pStyle w:val="BookText"/>
        <w:rPr/>
      </w:pPr>
      <w:bookmarkEnd w:id="727"/>
      <w:r>
        <w:rPr>
          <w:rFonts w:ascii="Amiri" w:hAnsi="Amiri" w:eastAsia="Amiri" w:cs="Amiri"/>
          <w:color w:val="111111"/>
          <w:sz w:val="28"/>
          <w:sz w:val="28"/>
          <w:szCs w:val="28"/>
          <w:rtl w:val="true"/>
          <w:lang w:bidi="ar-SA"/>
        </w:rPr>
        <w:t xml:space="preserve">ولا تتوقف على الزيادة العينية، وجواز بيع المحلّى بجنس الحلية مع انضمام عرض إليه، تساويا قدراً أو اختلفا علم قدرهما أو جهل؛ وذلك لرجوع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إلى الثمن المفهوم منها أو إلى النقد، لا إلى السيوف كما قد يتوهم من بعض عبارات الأصحاب؛ لمنافاته القواعد اللفظيَّة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بيع المحلى نسيئة، نقد ما قابل الحلية ولزم فيه التقابض وإن وقعت نسيئة الثمن صورة في مقابلة المجموع؛ وذلك لعدم جواز النسيئة في الصرف كما في الأخبار </w:t>
      </w:r>
      <w:r>
        <w:rPr>
          <w:rStyle w:val="FootnoteAnchor"/>
          <w:rtl w:val="true"/>
        </w:rPr>
        <w:footnoteReference w:id="1557"/>
      </w:r>
      <w:r>
        <w:rPr>
          <w:rFonts w:ascii="Amiri" w:hAnsi="Amiri" w:eastAsia="Amiri" w:cs="Amiri"/>
          <w:color w:val="111111"/>
          <w:sz w:val="28"/>
          <w:sz w:val="28"/>
          <w:szCs w:val="28"/>
          <w:rtl w:val="true"/>
          <w:lang w:bidi="ar-SA"/>
        </w:rPr>
        <w:t>وفتاوى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السيف المحلّى بالفضة بنسا إذا نقد ثمن الفضة، وإلا فاجعل ثمنه طعاماً</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ونحوه الثاني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إليهما الموثق المتقدم </w:t>
      </w:r>
      <w:r>
        <w:rPr>
          <w:rStyle w:val="FootnoteAnchor"/>
          <w:rtl w:val="true"/>
        </w:rPr>
        <w:footnoteReference w:id="1560"/>
      </w:r>
      <w:r>
        <w:rPr>
          <w:rFonts w:ascii="Amiri" w:hAnsi="Amiri" w:eastAsia="Amiri" w:cs="Amiri"/>
          <w:color w:val="111111"/>
          <w:sz w:val="28"/>
          <w:sz w:val="28"/>
          <w:szCs w:val="28"/>
          <w:rtl w:val="true"/>
          <w:lang w:bidi="ar-SA"/>
        </w:rPr>
        <w:t>بحمل الكراهة فيه على الحرمة، كما يؤذن به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جواز بيع السيف المحلّى بالفضة نسيئةً لأنّ فيه الحديد والسير </w:t>
      </w:r>
      <w:r>
        <w:rPr>
          <w:rStyle w:val="FootnoteAnchor"/>
          <w:rtl w:val="true"/>
        </w:rPr>
        <w:footnoteReference w:id="1561"/>
      </w:r>
      <w:r>
        <w:rPr>
          <w:rFonts w:ascii="Amiri" w:hAnsi="Amiri" w:eastAsia="Amiri" w:cs="Amiri"/>
          <w:color w:val="111111"/>
          <w:sz w:val="28"/>
          <w:sz w:val="28"/>
          <w:szCs w:val="28"/>
          <w:rtl w:val="true"/>
          <w:lang w:bidi="ar-SA"/>
        </w:rPr>
        <w:t>قاصر عن معارضة ما قدمنا سنداً، وصالح للتقييد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لزوم استثناء ما قابل الحلية من النقد من إطلاق النسيئة؛ لإطلاق المنع من النسيئة في بيع الصرف كإطلاق المنع من التفرّق قبل القبض ولا يجدي القبض قبل التفرّق مع اشتراط الأجل في الصرف؛ لبطلانه بنفس اشتراط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ويتشخّص النقد المقابل للحلية بنيته من الدافع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يتشخّص بنفسه عند وقوع الدفع بقدر المقابل تصحيحاً للعقد مهما أمكن ولو قهراً، ولإطلاق الرواية، أو لا يتشخّص؛ لاستبعاد تشخّص العمل من دون نية، ولظهور الرواية بذلك ؟ ولا يبعد الأخير</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3372648_1280447820"/>
      <w:bookmarkStart w:id="729" w:name="_Toc270"/>
      <w:bookmarkEnd w:id="728"/>
      <w:r>
        <w:rPr>
          <w:rtl w:val="true"/>
        </w:rPr>
        <w:t>ثاني عشرها</w:t>
      </w:r>
      <w:r>
        <w:rPr>
          <w:rtl w:val="true"/>
        </w:rPr>
        <w:t xml:space="preserve">: </w:t>
      </w:r>
      <w:r>
        <w:rPr>
          <w:rtl w:val="true"/>
        </w:rPr>
        <w:t>عدم جواز إبدال نقد على جهة المعاوضة مطلقاً بنقد آخر مع تساوي الجنس</w:t>
      </w:r>
      <w:bookmarkEnd w:id="72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إبدال نقد على جهة المعاوضة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بنقد آخر مع تساوي الجنس، واشتراط شيء مع أحدهما دون الآخر صالح لمقابلته بعوض، إلا أن </w:t>
      </w:r>
    </w:p>
    <w:p>
      <w:pPr>
        <w:pStyle w:val="BookText"/>
        <w:rPr/>
      </w:pPr>
      <w:r>
        <w:rPr>
          <w:rFonts w:ascii="Amiri" w:hAnsi="Amiri" w:eastAsia="Amiri" w:cs="Amiri"/>
          <w:color w:val="111111"/>
          <w:sz w:val="28"/>
          <w:sz w:val="28"/>
          <w:szCs w:val="28"/>
          <w:rtl w:val="true"/>
          <w:lang w:bidi="ar-SA"/>
        </w:rPr>
        <w:t>يكون الشرط ممّا لا يتموّل ولا يعتد به، أو يقابله شرط آخر في العوض المقابل، أو زيادة فيه تصلح للمقابلة؛ كلّ ذلك لما قدمنا من حصول الربا بالزيادة، عينيّة كانت أو حكميةً، شطريّةً كانت أو شرطيّةً، خلافاً لمن خصها بالعينيّة، وتردّه الأخبار وفتاوى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انضمام الشرط إلى الخالص إذا بيع بمغشوش ليقابل الغش إذا ساوى الخالص خالص المغشوش أو نقص عنه، كما يجوز جعل إبدال نقد بنقد آخر مع التساوي شرطاً في عقد آخر من بيع أو إجارة، ولا يلزم منه الربا؛ لأنّ اشتراط شيء في عقد الربويين غير اشتراط عقد الربويين في غيره مع مساواتهما؛ للزوم الربا في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جعل الإبدال جزء معاوضة من ثمن الإجارة أو من مال جعالة،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 لي الخاتم على أن أبدل لك درهماً بدرهم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الإجارة أو الجعالة، أو على أنّ الأُجرة ومال الجعالة مطويّ ذكره موكول إلى العرف، والإبدال شرط في أحد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جارٍ على نهج القواعد والضوابط، إلا أنّه قد ورد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يقول للصائغ صغ لي هذا الخاتم وأبدل لك درهماً طازجياً بدرهم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وقد فهم منها الجمهور من الأصحاب أنّ اشتراط الصياغة وقع في عقد الإبدال، لا العكس كما ينادي به ظاهرها؛ إذ الظاهر منها عكس ما فهموه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فإن أخذنا بظاهرها وافقت القواعد المعلومة المتقدّمة ولا إشكال حينئذٍ، ويكون الإبدال عوض العمل أو مال الجعالة أو وعداً، وتكون الأجرة متروكة اتكالاً على أجرة المثل، وإن أخذنا بما فهم منها الجمهور لزم الاقتصار على موردها الخاص من الصياغة دون غيرها من الشرائط، ومن إبدال درهم بدرهم دون غيرهما، بل طازجي بغلة دون غيرهما، إلا ما يعلم منه تنقيح المناط الفارق، ولا يجوز التعدّي عن موردها إلى غيره؛ لمخالفتها القواعد الحاكمة بمساواة الزيادة الحكمية للعينيّة في لزوم الربا، خلافاً لمن منع ذلك</w:t>
      </w:r>
      <w:r>
        <w:rPr>
          <w:rStyle w:val="FootnoteAnchor"/>
          <w:rtl w:val="true"/>
        </w:rPr>
        <w:footnoteReference w:id="1563"/>
      </w:r>
      <w:r>
        <w:rPr>
          <w:rFonts w:ascii="Amiri" w:hAnsi="Amiri" w:eastAsia="Amiri" w:cs="Amiri"/>
          <w:color w:val="111111"/>
          <w:sz w:val="28"/>
          <w:sz w:val="28"/>
          <w:szCs w:val="28"/>
          <w:rtl w:val="true"/>
          <w:lang w:bidi="ar-SA"/>
        </w:rPr>
        <w:t xml:space="preserve">، وخلافاً لمن تسرى بها لكلّ شرط وثمن ومثمن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730" w:name="pg19000_245598"/>
    </w:p>
    <w:p>
      <w:pPr>
        <w:pStyle w:val="BookText"/>
        <w:rPr/>
      </w:pPr>
      <w:bookmarkEnd w:id="730"/>
      <w:r>
        <w:rPr>
          <w:rFonts w:ascii="Amiri" w:hAnsi="Amiri" w:eastAsia="Amiri" w:cs="Amiri"/>
          <w:color w:val="111111"/>
          <w:sz w:val="28"/>
          <w:sz w:val="28"/>
          <w:szCs w:val="28"/>
          <w:rtl w:val="true"/>
          <w:lang w:bidi="ar-SA"/>
        </w:rPr>
        <w:t>ولولا ما يظهر من الأصحاب من العمل بها على نحو ما فهموه حتّى قال في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مقبولة غير مطعون بها </w:t>
      </w:r>
      <w:r>
        <w:rPr>
          <w:rStyle w:val="FootnoteAnchor"/>
          <w:rtl w:val="true"/>
        </w:rPr>
        <w:footnoteReference w:id="1565"/>
      </w:r>
      <w:r>
        <w:rPr>
          <w:rFonts w:ascii="Amiri" w:hAnsi="Amiri" w:eastAsia="Amiri" w:cs="Amiri"/>
          <w:color w:val="111111"/>
          <w:sz w:val="28"/>
          <w:sz w:val="28"/>
          <w:szCs w:val="28"/>
          <w:rtl w:val="true"/>
          <w:lang w:bidi="ar-SA"/>
        </w:rPr>
        <w:t xml:space="preserve">، وأن المشايخ اعتمدوا عليها، وأن العمل بها أظهر بين الأصحاب ومستثنى من الآية </w:t>
      </w:r>
      <w:r>
        <w:rPr>
          <w:rStyle w:val="FootnoteAnchor"/>
          <w:rtl w:val="true"/>
        </w:rPr>
        <w:footnoteReference w:id="1566"/>
      </w:r>
      <w:r>
        <w:rPr>
          <w:rFonts w:ascii="Amiri" w:hAnsi="Amiri" w:eastAsia="Amiri" w:cs="Amiri"/>
          <w:color w:val="111111"/>
          <w:sz w:val="28"/>
          <w:sz w:val="28"/>
          <w:szCs w:val="28"/>
          <w:rtl w:val="true"/>
          <w:lang w:bidi="ar-SA"/>
        </w:rPr>
        <w:t xml:space="preserve">وعموم الرواية </w:t>
      </w:r>
      <w:r>
        <w:rPr>
          <w:rStyle w:val="FootnoteAnchor"/>
          <w:rtl w:val="true"/>
        </w:rPr>
        <w:footnoteReference w:id="1567"/>
      </w:r>
      <w:r>
        <w:rPr>
          <w:rFonts w:ascii="Amiri" w:hAnsi="Amiri" w:eastAsia="Amiri" w:cs="Amiri"/>
          <w:color w:val="111111"/>
          <w:sz w:val="28"/>
          <w:sz w:val="28"/>
          <w:szCs w:val="28"/>
          <w:rtl w:val="true"/>
          <w:lang w:bidi="ar-SA"/>
        </w:rPr>
        <w:t>، لكان اللازم الأخذ بظاهرها دون ما فهموه، أو طرحها، أو حملها على الدرهم الطازج وهو الخالص، والغلة وهو المغشوش فيكون الشرط في مقابلة الغش</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3372650_1280447820"/>
      <w:bookmarkStart w:id="732" w:name="_Toc271"/>
      <w:bookmarkEnd w:id="731"/>
      <w:r>
        <w:rPr>
          <w:rtl w:val="true"/>
        </w:rPr>
        <w:t>ثالث عشرها</w:t>
      </w:r>
      <w:r>
        <w:rPr>
          <w:rtl w:val="true"/>
        </w:rPr>
        <w:t xml:space="preserve">: </w:t>
      </w:r>
      <w:r>
        <w:rPr>
          <w:rtl w:val="true"/>
        </w:rPr>
        <w:t>تراب الصياغة المجتمع من النقدين يباع بهما وبغيرهما</w:t>
      </w:r>
      <w:bookmarkEnd w:id="732"/>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الصياغة المجتمع من النقدين يباع بهما وبغيرهما، وبأحدهما مع الزيادة فيه لمقابلة النقد الآخر على وجه العلم دون الظنّ، ولا يجوز مع الجهل بالقدر؛ احتياطاً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بعض الأخبار الأمر ببيعه بالطعام </w:t>
      </w:r>
      <w:r>
        <w:rPr>
          <w:rStyle w:val="FootnoteAnchor"/>
          <w:rtl w:val="true"/>
        </w:rPr>
        <w:footnoteReference w:id="1568"/>
      </w:r>
      <w:r>
        <w:rPr>
          <w:rFonts w:ascii="Amiri" w:hAnsi="Amiri" w:eastAsia="Amiri" w:cs="Amiri"/>
          <w:color w:val="111111"/>
          <w:sz w:val="28"/>
          <w:sz w:val="28"/>
          <w:szCs w:val="28"/>
          <w:rtl w:val="true"/>
          <w:lang w:bidi="ar-SA"/>
        </w:rPr>
        <w:t>، وهي لمخالفتها القواعد والأخبار القاضية بجواز بيعه بغيره على نحو ما قدمنا، ولإعراض الأصحاب عن الحكم بها، لزم تنزيلها على الندب والإرشاد إلى ما هو أحوط في التجنّب عن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الأمر بالتصدق به بعد بيعه على وجه الإطلاق في روايةٍ </w:t>
      </w:r>
      <w:r>
        <w:rPr>
          <w:rStyle w:val="FootnoteAnchor"/>
          <w:rtl w:val="true"/>
        </w:rPr>
        <w:footnoteReference w:id="1569"/>
      </w:r>
      <w:r>
        <w:rPr>
          <w:rFonts w:ascii="Amiri" w:hAnsi="Amiri" w:eastAsia="Amiri" w:cs="Amiri"/>
          <w:color w:val="111111"/>
          <w:sz w:val="28"/>
          <w:sz w:val="28"/>
          <w:szCs w:val="28"/>
          <w:rtl w:val="true"/>
          <w:lang w:bidi="ar-SA"/>
        </w:rPr>
        <w:t xml:space="preserve">، وورد في أُخرى الأمر بالتصدق به عند خوف اتهام صاحبه له إذا أخبره به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على خلاف القواعد؛ لعموم الأولى للمعلوم أهله والمجهول، ولا قائل به في المعلوم بل يجب إرجاعه إليه، ولظهور الثانية في المعلوم عند خوف اتهامه له، والقاعدة تقضي بدسه في أمواله، أو إبقائه عنده أمانة، أو إيصاله إلى الحاكم على وجه التخيير أو الترتيب، فالأولى تنزيل الروايتين على حال جهل المالك، ويراد بقوله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أخبرته اتهمني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الاستخبار؛ لاحتمال أنّه مالكه، فأسقط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الاستخبار لمكان الخوف رأفةً به، فعاد مجهول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أن المال الذي يخشى قابضه من إرجاعه إلى مالكه يعود كالمجهول المالك فيتصدق به عنه لمكان هذه الرواية، بعيد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تراب الصياغة إن أعرض عنه أهله عاد مباحاً للصائغ وغيره، ولا يبعد أولوية الصائغ من غيره بتملكه له، وإن لم يعرضوا عنه وجب إرجاعه لأهله وإخبارهم، سواء كان مما يتموّل أو لا يتموّل لقلّته؛ لأنّ غصبه على كلّ تقدير محرم، ويضمن بالمثل مع عدم التموّل، فإن كان أهله معلومين دفعه إليهم إن لم يخش ضرراً، وإلا دسه في أموالهم، أو دفعه إلى الحاكم، أو أبقاه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اشترك فيه جماعة ولم يعرف كلّ واحدٍ قدر ماله تصالحوا عليه صلحاً قهريّاً أو اختيارياً، أو اقترعوا على إخراج القدر، وإن علم أهله في محصورين، أقرع على أهله، أو تصالحوا عليه صلحاً قهريّاً أو اختيارياً، ولو أمكن الأخير قدم على الأولين، أو يعود كالمجهول الأصلي فيتصدق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أقروا بأن المال لهم، وإن أنكروه دسه في أموالهم، وإلا دفعه إلى الحاكم، وإلا تصدق به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جهل أهله، لزمه الفحص، فإن أيس من الاطلاع عليهم وكان مختلطاً بماله اختلاطاً لا يتميّز، فإن كان مجهول القدر أصلاً دفع خمس الجميع عيناً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للهاشميين دون غيرهم على الأظهر، وحلّ له الباقي، وإن كان مجهولاً ولكن يعلم بنقصانه عن الخمس تصدّق بما يتيقن به الشغل والأحوط بما يتيقن به البراءة، وإن كان يعلم بزيادته عليه دفع الخمس للهاشميين وتصدق بما زاد عليه على نحو ما مرّ، مع احتمال لزوم الصدقة بالجميع على غير الهاشميين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مختلطاً بماله تصدّق بجميعه؛ للأمر بذلك في هذا المقام، وفي مقام مجهول المالك </w:t>
      </w:r>
      <w:r>
        <w:rPr>
          <w:rStyle w:val="FootnoteAnchor"/>
          <w:rtl w:val="true"/>
        </w:rPr>
        <w:footnoteReference w:id="1571"/>
      </w:r>
      <w:r>
        <w:rPr>
          <w:rFonts w:ascii="Amiri" w:hAnsi="Amiri" w:eastAsia="Amiri" w:cs="Amiri"/>
          <w:color w:val="111111"/>
          <w:sz w:val="28"/>
          <w:sz w:val="28"/>
          <w:szCs w:val="28"/>
          <w:rtl w:val="true"/>
          <w:lang w:bidi="ar-SA"/>
        </w:rPr>
        <w:t xml:space="preserve">، وفاقاً للمشهور، وخلافاً لمن أوجب جعل مجهول المالك </w:t>
      </w:r>
      <w:r>
        <w:rPr>
          <w:rStyle w:val="FootnoteAnchor"/>
          <w:rtl w:val="true"/>
        </w:rPr>
        <w:footnoteReference w:id="1572"/>
      </w:r>
      <w:r>
        <w:rPr>
          <w:rFonts w:ascii="Amiri" w:hAnsi="Amiri" w:eastAsia="Amiri" w:cs="Amiri"/>
          <w:color w:val="111111"/>
          <w:sz w:val="28"/>
          <w:sz w:val="28"/>
          <w:szCs w:val="28"/>
          <w:rtl w:val="true"/>
          <w:lang w:bidi="ar-SA"/>
        </w:rPr>
        <w:t>أمانة ولمن أجاز أكله؛ فإنّ ضعف دليلهما عن مقاومته لما ذكرنا يمنع الأخذ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 عليه التصدق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مخالفاً أو كافراً أو نص على عدم التصدّق عنه قبل الجهل به، ففي وجوب الصدقة عنه تعبداً، أو الرجوع به إلى الحاكم، أو جواز تملكه وجوه، أحوطها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الصدقة بنفس العين مهما أمكن، إلا إذا كان التصدق بالقيمة أعود، ففي جواز الانتقال إليها وجه، وربما أشعر به الأمر ببيعه بطعام في الرواية المتقدّمة </w:t>
      </w:r>
      <w:r>
        <w:rPr>
          <w:rStyle w:val="FootnoteAnchor"/>
          <w:rtl w:val="true"/>
        </w:rPr>
        <w:footnoteReference w:id="1573"/>
      </w:r>
      <w:r>
        <w:rPr>
          <w:rFonts w:ascii="Amiri" w:hAnsi="Amiri" w:eastAsia="Amiri" w:cs="Amiri"/>
          <w:color w:val="111111"/>
          <w:sz w:val="28"/>
          <w:sz w:val="28"/>
          <w:szCs w:val="28"/>
          <w:rtl w:val="true"/>
          <w:lang w:bidi="ar-SA"/>
        </w:rPr>
        <w:t xml:space="preserve">مع احتمال أن ذلك 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 لأنّه الولي الحقيقي، لا بيان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الرجوع إلى الحاكم في التصدق اقتصاراً على مورد اليقين من التصرف بمال الغير، ولأنّه الولي على مال الغائب؛ لعموم ولايته، وجعله حاكماً في الرواية، ولولايته على ما هو أشد، ولضرورة النظام القاضية بها، أو لا يلزم لإطلاق الأمر في الأخبار بالتصدق من دون اشتراط أمر آخر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الأمر 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لأن الظاهر أنّها بصدد بيان الأحكام لا بصدد الرخصة في الفعل كما فهمه بعض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مصرف هذه الصدقة المساكين؛ لظهور لفظها في ذلك، ولاقتضاء استقراء مواردها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إعطائها الهاشميين؛ لعدم وجوبها أصالة على المتصدق من ماله عنه فليست من المفروضة الممنوع عنها، وعدمه؛ لدخولها في إطلاق المفروضة في الجملة فيشملها دليل المنع، وجهان، والوجه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دفعها لواجبي النفقة للتوسعة لا للإنفاق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الصدقة فوراً عرفياً، ولو أخرها لا لعذر ضمن، ولو أتلف العين تصدق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الوصية بها عند ظهور أمارات الموت، فإن مات تولّى إخراجها الوصي، وكذا التصدق بها، وإلا فالحاكم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تسليمها إلى الحاكم، كما أن الوارث الأحوط له ذلك أيضاً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متلوفةً وقد كانت مضمونةً عليه أخرج من تركته مثلها أو قيمتها كسائر الديون، و احتمال العدم في حكم العدم</w:t>
      </w:r>
      <w:r>
        <w:rPr>
          <w:rFonts w:eastAsia="Amiri" w:cs="Amiri" w:ascii="Amiri" w:hAnsi="Amiri"/>
          <w:color w:val="111111"/>
          <w:sz w:val="28"/>
          <w:szCs w:val="28"/>
          <w:rtl w:val="true"/>
          <w:lang w:bidi="ar-SA"/>
        </w:rPr>
        <w:t xml:space="preserve">. </w:t>
      </w:r>
      <w:bookmarkStart w:id="733" w:name="pg19000_245601"/>
    </w:p>
    <w:p>
      <w:pPr>
        <w:pStyle w:val="BookText"/>
        <w:rPr/>
      </w:pPr>
      <w:bookmarkEnd w:id="733"/>
      <w:r>
        <w:rPr>
          <w:rFonts w:ascii="Amiri" w:hAnsi="Amiri" w:eastAsia="Amiri" w:cs="Amiri"/>
          <w:color w:val="111111"/>
          <w:sz w:val="28"/>
          <w:sz w:val="28"/>
          <w:szCs w:val="28"/>
          <w:rtl w:val="true"/>
          <w:lang w:bidi="ar-SA"/>
        </w:rPr>
        <w:t>ولو ظهر صاحبها بعد التصدق بها، فإن أجاز الصدقة فلا كلام، وإن لم يُجز رجع بالعين ما دامت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فسخ من حينه فالنماء للمتصدّق عليه، أو من أصله فالنماء لمالكها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العين متلوفة ضمنها للمالك واحتسبت الصدقة له؛ لعموم أدلّة الضمان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أو لأهله</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بمعنى أنّه لك إن لم يجز؛ لاحتساب الشارع الصدقة له قهراً، ولأهله إن أجازوا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المعاني الأُخر بعيد إما عن ظاهرها أو عن القواعد الفقهية، كحملها على الترديد في النية، أو على حالة الإعراض وعدمه، أو على حالة ظهورهم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إلى الحاكم فتصدق بها الحاكم أو تلفت منه، فلا ضمان على الدافع؛ لإيصالها إلى الولي بإذن الشارع، ولا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ضمانه مع التصدّق يكون من بيت المال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بعدم الضمان مع التصدّق مطلقاً؛ لعموم نفي السبيل عن المحسنين</w:t>
      </w:r>
      <w:r>
        <w:rPr>
          <w:rStyle w:val="FootnoteAnchor"/>
          <w:rtl w:val="true"/>
        </w:rPr>
        <w:footnoteReference w:id="1576"/>
      </w:r>
      <w:r>
        <w:rPr>
          <w:rFonts w:ascii="Amiri" w:hAnsi="Amiri" w:eastAsia="Amiri" w:cs="Amiri"/>
          <w:color w:val="111111"/>
          <w:sz w:val="28"/>
          <w:sz w:val="28"/>
          <w:szCs w:val="28"/>
          <w:rtl w:val="true"/>
          <w:lang w:bidi="ar-SA"/>
        </w:rPr>
        <w:t>، وللأصل، ولأمر الشارع بالتصدق فلا تستعقبه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ضعف؛ لترجيح أدلة الضمان لقوتها على أدلة نفي السبيل عن أهل الإحسان وإن كان بين الدليلين عموم من وجه؛ لتنزيل الأخير منزلة القواعد العامة، فيسرع إليها ظنّ التخصيص، بخلاف دليل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الكلام لغير تراب الصياغة ممّا شاكلها من المجتمع من خشب النجارين أو طحين الطحانين أو خِرَق الخياطين وشبه ذلك</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3372652_1280447820"/>
      <w:bookmarkStart w:id="735" w:name="_Toc272"/>
      <w:bookmarkEnd w:id="734"/>
      <w:r>
        <w:rPr>
          <w:rtl w:val="true"/>
        </w:rPr>
        <w:t>رابع عشرها</w:t>
      </w:r>
      <w:r>
        <w:rPr>
          <w:rtl w:val="true"/>
        </w:rPr>
        <w:t xml:space="preserve">: </w:t>
      </w:r>
      <w:r>
        <w:rPr>
          <w:rtl w:val="true"/>
        </w:rPr>
        <w:t>عدم وجوب إعادة الزيادات المتعارفة في الموازين بالنسبة إلى النقود المبيعة بعضها ببعض</w:t>
      </w:r>
      <w:bookmarkEnd w:id="73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إعادة الزيادات المتعارفة في الموازين بالنسبة إلى النقود المبيعة بعضها ببعض مسكوكة أم لا، ولا يلزم ردّها، ولا يمتنع بيعها كذلك من جهة الربا، بل تملك </w:t>
      </w:r>
    </w:p>
    <w:p>
      <w:pPr>
        <w:pStyle w:val="BookText"/>
        <w:rPr/>
      </w:pPr>
      <w:r>
        <w:rPr>
          <w:rFonts w:ascii="Amiri" w:hAnsi="Amiri" w:eastAsia="Amiri" w:cs="Amiri"/>
          <w:color w:val="111111"/>
          <w:sz w:val="28"/>
          <w:sz w:val="28"/>
          <w:szCs w:val="28"/>
          <w:rtl w:val="true"/>
          <w:lang w:bidi="ar-SA"/>
        </w:rPr>
        <w:t xml:space="preserve">بالعقد للمنقول إليه، كلّ ذلك للإجماع المنقول </w:t>
      </w:r>
      <w:r>
        <w:rPr>
          <w:rStyle w:val="FootnoteAnchor"/>
          <w:rtl w:val="true"/>
        </w:rPr>
        <w:footnoteReference w:id="1577"/>
      </w:r>
      <w:r>
        <w:rPr>
          <w:rFonts w:ascii="Amiri" w:hAnsi="Amiri" w:eastAsia="Amiri" w:cs="Amiri"/>
          <w:color w:val="111111"/>
          <w:sz w:val="28"/>
          <w:sz w:val="28"/>
          <w:szCs w:val="28"/>
          <w:rtl w:val="true"/>
          <w:lang w:bidi="ar-SA"/>
        </w:rPr>
        <w:t xml:space="preserve">، وفتوى الأصحاب، والسيرة الكاشفة عن تقرير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الصحيح عن فضول الكيل والموازين،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تعدياً فلا بأس</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تكن معتادةً، حرم بيعها كذلك؛ لمكان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باع كلّيّاً ودفع ما فيه زيادة بنيّة الوفاء من غير الزائد، أو باع معيناً من جملة مشتملة عليه فدفع المعين مع الزائد عليه، أو باع معيّناً فدفع معه زيادة على وجه السهو أو الجهل والنسيان ولم يقصد بيع الجميع، صح البيع في جميع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البطلان في الأوّل؛ لمكان تشخّص الكلّي المبيع بالفرد المدفوع فيلزم الربا،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الزيادة المدفوعة إن كانت عن عمدٍ من الدافع، فلا إشكال على الظاهر في كونها أمانةٌ مالكية لا تُضمن إلا بتعد أو تفريط، ونقل على ذلك الاتفاق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عن سهو منه، ففي كونها مضمونةً على القابض؛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ولأنها أولى من ضمان المقبوض بالسوم، ولأنّها مقبوضة على أنّها أحد العوضين الجاري عليهما عقد المعاوضة فيتعلّق بها الضمان، وعدمه للأصل، ولكونها مقبوضةً بإذن المالك فتكون كسائر الأمانات المالكية، وللشكّ فى شمول دليل الضمان لها، ولإجمال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به الحفظ دون الضمان ولأنّ حملها على المقبوض بالسوم قياس مع عدم القطع بثبوت المقيس عليه، والمساواة ممنوعة فضلاً عن الأولوية، ولأنّ القبض على نية العوضية غير موجب للضمان بعد ظهور الخلاف، وجهان، أحوطهما الضمان؛ لعموم الخبر </w:t>
      </w:r>
      <w:r>
        <w:rPr>
          <w:rStyle w:val="FootnoteAnchor"/>
          <w:rtl w:val="true"/>
        </w:rPr>
        <w:footnoteReference w:id="1582"/>
      </w:r>
      <w:r>
        <w:rPr>
          <w:rFonts w:ascii="Amiri" w:hAnsi="Amiri" w:eastAsia="Amiri" w:cs="Amiri"/>
          <w:color w:val="111111"/>
          <w:sz w:val="28"/>
          <w:sz w:val="28"/>
          <w:szCs w:val="28"/>
          <w:rtl w:val="true"/>
          <w:lang w:bidi="ar-SA"/>
        </w:rPr>
        <w:t xml:space="preserve">، وتنزيله على الحفظ أو رميه بالإجمال خلاف ظاهره وظاهر ما عليه الأصحاب، ومنع الأولوية من المقبوض بالسوم في الضمان ظاهر المنع وثبوت الأصل ممّا نسلّمه </w:t>
      </w:r>
      <w:r>
        <w:rPr>
          <w:rStyle w:val="FootnoteAnchor"/>
          <w:rtl w:val="true"/>
        </w:rPr>
        <w:footnoteReference w:id="1583"/>
      </w:r>
      <w:r>
        <w:rPr>
          <w:rFonts w:ascii="Amiri" w:hAnsi="Amiri" w:eastAsia="Amiri" w:cs="Amiri"/>
          <w:color w:val="111111"/>
          <w:sz w:val="28"/>
          <w:sz w:val="28"/>
          <w:szCs w:val="28"/>
          <w:rtl w:val="true"/>
          <w:lang w:bidi="ar-SA"/>
        </w:rPr>
        <w:t>في محلّه إن شاء اللّه تعالى</w:t>
      </w:r>
      <w:r>
        <w:rPr>
          <w:rFonts w:eastAsia="Amiri" w:cs="Amiri" w:ascii="Amiri" w:hAnsi="Amiri"/>
          <w:color w:val="111111"/>
          <w:sz w:val="28"/>
          <w:szCs w:val="28"/>
          <w:rtl w:val="true"/>
          <w:lang w:bidi="ar-SA"/>
        </w:rPr>
        <w:t xml:space="preserve">. </w:t>
      </w:r>
      <w:bookmarkStart w:id="736" w:name="pg19000_245603"/>
    </w:p>
    <w:p>
      <w:pPr>
        <w:pStyle w:val="BookText"/>
        <w:rPr/>
      </w:pPr>
      <w:bookmarkEnd w:id="736"/>
      <w:r>
        <w:rPr>
          <w:rFonts w:ascii="Amiri" w:hAnsi="Amiri" w:eastAsia="Amiri" w:cs="Amiri"/>
          <w:color w:val="111111"/>
          <w:sz w:val="28"/>
          <w:sz w:val="28"/>
          <w:szCs w:val="28"/>
          <w:rtl w:val="true"/>
          <w:lang w:bidi="ar-SA"/>
        </w:rPr>
        <w:t>وهل هي أمانة شرعيّة فيجب ردّها فوراً وإعلام المالك بها، أو مالكية فلا يجب إلا حفظها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الأول؛ اقتصاراً على المورد اليقيني من جواز الاستيلاء على مال الغير</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13372654_1280447820"/>
      <w:bookmarkStart w:id="738" w:name="_Toc273"/>
      <w:bookmarkEnd w:id="737"/>
      <w:r>
        <w:rPr>
          <w:rtl w:val="true"/>
        </w:rPr>
        <w:t>خامس عشرها</w:t>
      </w:r>
      <w:r>
        <w:rPr>
          <w:rtl w:val="true"/>
        </w:rPr>
        <w:t xml:space="preserve">: </w:t>
      </w:r>
      <w:r>
        <w:rPr>
          <w:rtl w:val="true"/>
        </w:rPr>
        <w:t>حكم ما لو ظهر في المبيع أو الثمن في الصرف وغيره من غير الجنس</w:t>
      </w:r>
      <w:bookmarkEnd w:id="738"/>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المبيع أو الثمن المعينين في الصرف وغيره في البيع وغيره من غير الجنس بطل كلّاً إن ظهر الكلّ كذلك، وبعضاً إن ظهر البعض، ويتسلّط على الخيار؛ لمكان تبعيض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ترجح الإشارة على الاسم ها هنا كي يصح العقد فيتسلّط المنقول إليه على الخيار كما يتسلّط عند فوات الوصف؛ لأنّ الاسم قد أخذ عنواناً في المعقود عليه ها هنا فيذهب أثر العقد بذهابه، بخلاف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صالحه على شيءٍ واشترط عليه كونه الشيء الفلاني فظهر غيره وقلنا باغتفار الجهالة في عقد الصلح لكان للصحة وثبوت الخيار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ظهر في المعقود عليه عيب من الجنس كسواد الفضّة وخشونتها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للمنقول إليه الخيار بين الردّ للكل، وبين الإمساك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الاحتياج معه إلى الإبراء عن الأرش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الإمساك مع الأرش إذا اختلف الجنسان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اتحدا بطل أخذ الأرش حذراً من لزوم الربا في المعاوضة، مع احتمال جوازه؛ لأنّه غرامة مستقلة، وليس له تبعيض المردود؛ للزوم الضرر على المردود عليه، إلا إذا تعددت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التفرق في الصرف قبل أخذ الأرش فيصح له أخذ الأرش بعده ؟ الأقوى ذلك؛ لأنّ المدفوع أرشاً إما أنّه غرامة مستقلة سببها العقد على المعيب، أو العيب الكائن في أحد العوضين، أو الاطلاع عليه، أو اختياره من المنقول إليه، دون الفسخ والرد، أو المركب من اثنين أو ثلاثة، وإمّا أنّه عوض وصف فائت من أحد العوضين؛ لأن العيب مفوّت لوصف الصحّة، وإما أنّه جزء من الصحيح يسترد في مقابلة فوات جزء صوري من المعيب أو ماكان كالجزء منه، وإمّا أنّه تكملة للمعيب في مقابلة زيادة الجزء من الصحيح</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فليس من بيع الصرف المشترط فيه التقابض قبل التفرّق، فيصح قبضه بعد التفرّق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على الثاني؛ لأنّ المشترط فيه التقابض قبل التفرّق هو ما كان من عين أحد العوضين، لا ما كان من أعواض أوصافه وعوارضه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فاسترداد جزء من الصحيح ليس من المعاوضة في شيءٍ فضلاً عن أن يكون بيعاً أو يدخل في البيع، فيصح القبض أيضاً بعد التفرق فيه، ويلزم بطلانه لو كان ربوياً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الرابع فإن أريد كونه تكملة للمعيب أنّه جبر لفوات الوصف منه وليس في الصحيح زيادة حقيقية، فلا إشكال أيضاً في جواز أخذه بعد التفرّق؛ لأنّه ليس من الصرف في شيء، إلا أنّه لا يخلو من إشكال من جهة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في الصحيح زيادة حقيقية وفي المعيب نقصان حقيقي، كان لعدم جواز أخذ الأرش بعد التفرّق وجه إلّا أنّ الأصل فيه ممنوع؛ ضرورة أنّ الصحيح يقابل المعيب على طريق التمامية من غير حاجةٍ إلى هبة الزيادة في الصحيح لمن انتقل إليه ممن انتقل إليه المعيب إذا رضي به مجاناً، وأنّ التصرف لا يحرم ممّن انتقل إليه الصحيح فيه لمكان الشركة، وأنّه لا يحتاج من انتقل إليه الصحيح إلى إبراء ممّن انتقل إليه المعيب، وأنّه لا يفتقر عند أخذ الأرش إلى بيان قدر الزائد فراراً من الجهالة في المعاوضة التابعة للبيع، وأنّه لا تفسد المعاوضة في الصحيح بالمعيب لمكان الربا في متساوي الجنس، وأنّه لا يجري حكم بيع الحيوان والثمار عليه لو كان الأرش على عيب فيهما، ولا حكم المنافع أو أعواضها لو كان المعيب والصحيح منهما، ولا حكم الصرف فيما لو كان المبيع غير نقد ولكن كان ثمنه نقداً؛ لانصراف الأرش للنقد، فيكون بيع نقد بنقد إلى غير ذلك من اللوازم القاضية بعدم كون الأرش جزءاً من الصحيح، وعدم كونه تكملة للمعيب، وعدم دخوله في عقد المعاوضة ابتداء، وعدم كونه من أركانها وإن سببه العقد على المعيب بنفسه أو بواسطة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 الاختيار له هو المثبت دون الرد أو العفو عنه، وأنّ العقد إنما سبب أمراً كلّيّاً وهو التخيير بينه وبين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الاختيار كاشف عن أن ابتداء تعلّقه قد كان وقت العقد، فإن أُريد تخييراً فممكن، وإن أريد عيناً فممنوع، والحكم به تحكم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أصحابنا أنّ المشتري إن أخذ الأرش من جنس السليم من النقدين بعد </w:t>
      </w:r>
    </w:p>
    <w:p>
      <w:pPr>
        <w:pStyle w:val="BookText"/>
        <w:rPr/>
      </w:pPr>
      <w:r>
        <w:rPr>
          <w:rFonts w:ascii="IRNazanin" w:hAnsi="IRNazanin" w:eastAsia="IRNazanin"/>
          <w:color w:val="111111"/>
          <w:sz w:val="28"/>
          <w:sz w:val="28"/>
          <w:szCs w:val="28"/>
          <w:rtl w:val="true"/>
          <w:lang w:bidi="fa-IR"/>
        </w:rPr>
        <w:t xml:space="preserve">التفرّق بطل أخذه </w:t>
      </w:r>
      <w:r>
        <w:rPr>
          <w:rStyle w:val="FootnoteAnchor"/>
          <w:rtl w:val="true"/>
        </w:rPr>
        <w:footnoteReference w:id="1584"/>
      </w:r>
      <w:r>
        <w:rPr>
          <w:rFonts w:ascii="Amiri" w:hAnsi="Amiri" w:eastAsia="Amiri" w:cs="Amiri"/>
          <w:color w:val="111111"/>
          <w:sz w:val="28"/>
          <w:sz w:val="28"/>
          <w:szCs w:val="28"/>
          <w:rtl w:val="true"/>
          <w:lang w:bidi="ar-SA"/>
        </w:rPr>
        <w:t>لأنّ السليم قابل المعيب وأرشه، فإذا تفرّقا بطل فيما قابل الأرش، فلا يصح أخذ الأرش بعد التفرّق؛ لأنّ أخذه من السليم كاشف عن إرادة مقابلة الصحيح للمعيب وأرشه، وإن أخذه من غير السليم صح؛ لانكشاف إرادة مقابلة نفس الصحيح بنفس المعيب، ويكون الأرش في مقابلة فوات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آخر أنّه إن أخذ الأرش من جنس النقدين بعد التفرّق بطل؛ لدخوله في بيع نقد بنقد، وإن أخذه من غير جنسهما صحّ </w:t>
      </w:r>
      <w:r>
        <w:rPr>
          <w:rStyle w:val="FootnoteAnchor"/>
          <w:rtl w:val="true"/>
        </w:rPr>
        <w:footnoteReference w:id="1585"/>
      </w:r>
      <w:r>
        <w:rPr>
          <w:rFonts w:ascii="Amiri" w:hAnsi="Amiri" w:eastAsia="Amiri" w:cs="Amiri"/>
          <w:color w:val="111111"/>
          <w:sz w:val="28"/>
          <w:sz w:val="28"/>
          <w:szCs w:val="28"/>
          <w:rtl w:val="true"/>
          <w:lang w:bidi="ar-SA"/>
        </w:rPr>
        <w:t>لأنّه يكون صرفاً وغيره، فالصرف ما حصل به التقابض قبل التفرّق، وغيره ما حصل به ذلك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الفرق بين الأخذ من السليم والأخذ من المعيب بعد أن كان كلّ منهما من النقد الممنوع من التفرّق قبل التقابض فيه ليس له وجه معلوم ولا أمر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صرحوا به من أن الأرش جزء من الثمن، وظاهرهم أنّه جزء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الرجوع إلى غير النقدين في الغرامات المالية، والقاعدة تقضي بالرجوع إليهما سيّما فيما يتعلق بهما، وحينئذٍ فالرجوع إلى غيرهما معاوضة جديدة على النقد الثابت بالذمة، والمفروض أنّه قد بطل بالتفرّق فتبطل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وإن كان هو النقد لكنّه لم يتعيّن إلّا باختيار الأرش، فابتداء تعلّقه بالذمة هو اختيار الأرش، فلو أخذ عوضه في مجلس الاختيار قبل التفرّق عنه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أيضاً لا يتم للزومه؛ لجواز أخذه من النقدين كذلك أولاً، ولمنع كون المثبت للأرش هو نفس الاختيار ثانياً، بل المثبت له نفس العقد أو هو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الاختيار معيناً للأرش بعد ثبوته كلّيّاً مخيّراً بينه وبين الردّ، وهو أمر غير الإثبات به ابتداء، ولخروجه عن بيع الصرف الممنوع فيه التفرّق قبل القبض على أي تقدير ثالثاً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كان العوضان معيّنين، وإن كانا كلّيّين أو أحدهما، فإن خرجا من غير الجنس بطل الصرف فيهما وكان لهما إبدالهما قبل التفرّق، فإن تفرّقا قبل الإبدال بطل الصرف، ولو رضيا كان معاوضةً جديدة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خرج فيهما عيب من الجنس كان لهما الرضى بالمعيب؛ لأنّه فرد من الكلي، وكان لهما فسخ الفرد والمطالبة بالفرد الصحيح؛ لبقاء موجب العقد على الكلي وإن تعلّق الفسخ بفرديّة المعيب له؛ لأنّه بمنزلة معاوضة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فسخ أصل العقد؛ لانصباب الكلّي على الفرد واتحاده به فيتسلّط على فسخه فيكون فسخاً للعقد من أصله، أو ليس له ذلك؛ لأنّ قبض الفرد عن الكلي بمنزلة معاوضة جديدة، فلا يقضي فسخ الفرد بانفساخ الكلّي، ولا يؤدي إلى جوازه ؟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الكلّي نفس الفرد؛ لانصبابه عليه واتحاده،به، ممنوعة؛ ضرورة أن المعقود عليه نفس الكلي لا الفرد، وإلا لزم تعلّق البيع بالمعدوم أو بما لا يملكه العاقد، فيكون من باب الفضولي، أو من باب مَنْ باع شيئاً ثمّ مَلَكه، وكلاهما بعيد عن مذاق الفقهاء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لهما الرضى بالمعيب مجاناً مع تساوي الجنس حذراً من لزوم الربا، والرضى به مع الأرش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البائع الصحيح عن المعيب وأرشه، ففي وجوب قبوله على المشتري وانتفاء لزوم الأرش على البائع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يتفرّقا، فإن تفرّقا ففي جواز أخذ الأرش وعدمه وجهان، أقواهما الجواز كما تقدم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جواز فسخ الفرد وأخذ البدل وجهان أيضاً ينشآن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المعاوضة الأولى بقبض فردها وعدم المانع من فسخها، بمعنى فسخ فردها المعيب ثانياً من جهة حصول العيب في الفرد، ومتى فسخ الفرد عاد الحقّ إلى الذمة سليماً؛ لبقاء الكلّي ببقاء موجب العقد الأوَّل، فيجوز العمل بمقتضاه، وهو قبض الفرد الصحيح عن الكلّي المعقود عليه ابتداء، وكون الأوّل عوضاً في المعاوضة لا ينافي عوضيّة غيره عند انفساخ عوضيته، ومن أن الإبدال يقتضي عدم الرضى بالمقبوض أوّلاً، فيتعيّن المقبوض ثانياً للفرديّة، وقد حصل التفرّق قبله فيفسد، وأن جواز الإبدال يستلزم عدمه؛ لأنّ ردّ الأوّل يرفع تعيّن المبيع فيه، وهو لازم لعدم كون المردود مبيعاً، فإذا حصل التفرّق قبل قبض بدله فقد حصل التفرّق قبل قبض المبيع في الصرف، فإنّ الردّ کاشف عن عدم صحّة المعاوضة ابتداءً وعدم تعيّن المقبوض فيبطل الصرف فيه، والأول أقوى</w:t>
      </w:r>
      <w:r>
        <w:rPr>
          <w:rFonts w:eastAsia="IRNazanin" w:cs="IRNazanin"/>
          <w:color w:val="111111"/>
          <w:sz w:val="28"/>
          <w:szCs w:val="28"/>
          <w:rtl w:val="true"/>
          <w:lang w:bidi="fa-IR"/>
        </w:rPr>
        <w:t xml:space="preserve">. </w:t>
      </w:r>
      <w:bookmarkStart w:id="739" w:name="pg19000_245607"/>
    </w:p>
    <w:p>
      <w:pPr>
        <w:pStyle w:val="BookText"/>
        <w:rPr/>
      </w:pPr>
      <w:bookmarkEnd w:id="739"/>
      <w:r>
        <w:rPr>
          <w:rFonts w:ascii="Amiri" w:hAnsi="Amiri" w:eastAsia="Amiri" w:cs="Amiri"/>
          <w:color w:val="111111"/>
          <w:sz w:val="28"/>
          <w:sz w:val="28"/>
          <w:szCs w:val="28"/>
          <w:rtl w:val="true"/>
          <w:lang w:bidi="ar-SA"/>
        </w:rPr>
        <w:t>وفي جميع الوجوه إلا الوجه الأخير نظر ظاهر يُعلم ممّا قدمناه من أن الفرد ليس هو نفس الكلي ولا منصب عليه، فيجوز فسخ فرديته له وبقاء الكلّي مورداً للعقد فيقوم مقامه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جواز أخذ البدل بعد التفرّق فهل يشترط فيه كونه في مجلس الرد؛ لرجوع الصرف إلى كلّيين لم يحصل التقابض في فرديهما، فيلزم فيهما التقابض قبل التفرّق، والتفرق الأوّل لا أثر له في البطلان لمصادفته لتمامية اجتماع أجزاء العقد وشرائطه، وعند عوده إلى ما كان قبل القبض عاد له نقصان الشرط، فعاد له اشتراط إتمامه وهو عدم التفرّق قبل القبض أو لا يشترط لصحة العقد بحصول القبض أوّلاً، والردّ والإبدال ليس بمعاوضةٍ جديدة ولا عين المعاوضة الأولى، بل حكم شرعيّ جاء بسبب العيب الحادث حالة العقد، فيكفي في صحّة الصرف حصول القبض الأوَّل، وردّ المعيب وأخذ بدله حكم حادث لم يدل دليل على اشتراط التقابض فيه في مجلس واحد ؟ وجهان،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 الأخير مما قدمناه من أنّ الردّ فسخ للفردية فيعود الكلّي مورداً للعقد، فلا بد من التقابض في فرده، وليس من الأحكام الشرعيَّة المسببة عن العقد والخارجة عن موارده، ولا من معاوضات الأفراد صحيحها بمعيبها كي يلزم التقابض في المعيب أيضاً بالنسبة إلى المردود إليه قبل التفرّق، بل يجوز تقبيض الصحيح والتفرّق قبل قبض المبيع ممن هو في يده</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3372656_1280447820"/>
      <w:bookmarkStart w:id="741" w:name="_Toc274"/>
      <w:bookmarkEnd w:id="740"/>
      <w:r>
        <w:rPr>
          <w:rtl w:val="true"/>
        </w:rPr>
        <w:t>سادس عشرها</w:t>
      </w:r>
      <w:r>
        <w:rPr>
          <w:rtl w:val="true"/>
        </w:rPr>
        <w:t xml:space="preserve">: </w:t>
      </w:r>
      <w:r>
        <w:rPr>
          <w:rtl w:val="true"/>
        </w:rPr>
        <w:t>حكم ما لو تلف أحد العوضين من النقدين أو كلّ منهما ثم ظهر من غير الجنس</w:t>
      </w:r>
      <w:bookmarkEnd w:id="741"/>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أحد العوضين من النقدين أو كلّ منهما فظهر من غير الجنس بعد ذلك، ضمنه القابض له بمثله أو قيمته؛ لعموم دليل الضمان </w:t>
      </w:r>
      <w:r>
        <w:rPr>
          <w:rStyle w:val="FootnoteAnchor"/>
          <w:rtl w:val="true"/>
        </w:rPr>
        <w:footnoteReference w:id="1586"/>
      </w:r>
      <w:r>
        <w:rPr>
          <w:rFonts w:ascii="Amiri" w:hAnsi="Amiri" w:eastAsia="Amiri" w:cs="Amiri"/>
          <w:color w:val="111111"/>
          <w:sz w:val="28"/>
          <w:sz w:val="28"/>
          <w:szCs w:val="28"/>
          <w:rtl w:val="true"/>
          <w:lang w:bidi="ar-SA"/>
        </w:rPr>
        <w:t>، ولأن ما يُضمن بصحيحه يُضمن بفاسده، ولأنّه أولى من ضمان 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 معيباً بعد ذلك، كان له الأرش إن كان غير متحد الجنس</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له الفسخ فيدفع مثله أو قيمته ويرجع بثمنه؛ استصحاباً للخيار، ولحديث لا ضرار </w:t>
      </w:r>
      <w:r>
        <w:rPr>
          <w:rStyle w:val="FootnoteAnchor"/>
          <w:rtl w:val="true"/>
        </w:rPr>
        <w:footnoteReference w:id="1587"/>
      </w:r>
      <w:r>
        <w:rPr>
          <w:rFonts w:ascii="IRNazanin" w:hAnsi="IRNazanin" w:eastAsia="IRNazanin"/>
          <w:color w:val="111111"/>
          <w:sz w:val="28"/>
          <w:sz w:val="28"/>
          <w:szCs w:val="28"/>
          <w:rtl w:val="true"/>
          <w:lang w:bidi="fa-IR"/>
        </w:rPr>
        <w:t xml:space="preserve">، </w:t>
      </w:r>
      <w:bookmarkStart w:id="742" w:name="pg19000_245608"/>
    </w:p>
    <w:p>
      <w:pPr>
        <w:pStyle w:val="BookText"/>
        <w:rPr/>
      </w:pPr>
      <w:bookmarkEnd w:id="742"/>
      <w:r>
        <w:rPr>
          <w:rFonts w:ascii="Amiri" w:hAnsi="Amiri" w:eastAsia="Amiri" w:cs="Amiri"/>
          <w:color w:val="111111"/>
          <w:sz w:val="28"/>
          <w:sz w:val="28"/>
          <w:szCs w:val="28"/>
          <w:rtl w:val="true"/>
          <w:lang w:bidi="ar-SA"/>
        </w:rPr>
        <w:t>أو ليس له؛ لضمان العيب الحادث على المشتري فيبطل الردّ به فالتلف أولى، ولانقطاع الاستصحاب بتغير الموضوع، ولعدم جواز جبر الضرر بالضرر ؟ والأخير أقوى، فليس للمشتري حينئذٍ سوى الأرش، ومع اتحاد الجنس فلا ردّ ولا أرش</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13372658_1280447820"/>
      <w:bookmarkStart w:id="744" w:name="_Toc275"/>
      <w:bookmarkEnd w:id="743"/>
      <w:r>
        <w:rPr>
          <w:rtl w:val="true"/>
        </w:rPr>
        <w:t>سابع عشرها</w:t>
      </w:r>
      <w:r>
        <w:rPr>
          <w:rtl w:val="true"/>
        </w:rPr>
        <w:t xml:space="preserve">: </w:t>
      </w:r>
      <w:r>
        <w:rPr>
          <w:rtl w:val="true"/>
        </w:rPr>
        <w:t>في أنّه يجوز لمن عليه نقد لآخر وكذا للآخر عليه نقد لصاحبه أن يتبايعا ما في ذممهما نقداً بنقد</w:t>
      </w:r>
      <w:bookmarkEnd w:id="744"/>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نقد لآخر وكذا للآخر عليه نقد لصاحبه أن يتبايعا ما في ذممهما نقداً بنقد، ولا يفتقر إلى إفرازهما والتوكيل من كلّ منهما في قبض ماله، بل يكفي كونهما في ذممهما؛ لأنّ ما في الذمة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الاحتياج إلى تجديد نية القبض لما في ذمّة كلّ منهما مع الإذن من صاحبه،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عبيد بن زرارة </w:t>
      </w:r>
      <w:r>
        <w:rPr>
          <w:rStyle w:val="FootnoteAnchor"/>
          <w:rtl w:val="true"/>
        </w:rPr>
        <w:footnoteReference w:id="1588"/>
      </w:r>
      <w:r>
        <w:rPr>
          <w:rFonts w:ascii="Amiri" w:hAnsi="Amiri" w:eastAsia="Amiri" w:cs="Amiri"/>
          <w:color w:val="111111"/>
          <w:sz w:val="28"/>
          <w:sz w:val="28"/>
          <w:szCs w:val="28"/>
          <w:rtl w:val="true"/>
          <w:lang w:bidi="ar-SA"/>
        </w:rPr>
        <w:t>ما يدلّ على جواز ذلك، ومع ذلك فالحكم به لا يخلو من إشكال؛ لأنّه بيع دين بدين والأظهر منعه فلتُحمل الرواية على الصلح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أيضاً من غير إشكال بيع الدين على مَنْ هو عليه بنقد فيقبضه قبل التفرّق، ويكفي في قبض الدين كونه في ذمته؛ لكونه بمنزلة المقبوض وفي الأخبار </w:t>
      </w:r>
      <w:r>
        <w:rPr>
          <w:rStyle w:val="FootnoteAnchor"/>
          <w:rtl w:val="true"/>
        </w:rPr>
        <w:footnoteReference w:id="1589"/>
      </w:r>
      <w:r>
        <w:rPr>
          <w:rFonts w:ascii="Amiri" w:hAnsi="Amiri" w:eastAsia="Amiri" w:cs="Amiri"/>
          <w:color w:val="111111"/>
          <w:sz w:val="28"/>
          <w:sz w:val="28"/>
          <w:szCs w:val="28"/>
          <w:rtl w:val="true"/>
          <w:lang w:bidi="ar-SA"/>
        </w:rPr>
        <w:t>ما يدلّ بإطلاقه 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البيع على مَنْ عنده الأمانة من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في داره دون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بنقد آخر وقبضه منه، ولا يفتقر إلى تقبيض الأمانة جديداً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الافتقار إلى الإذن في القبض من المالك وتجديد النية ممن عنده الأمانة</w:t>
      </w:r>
      <w:r>
        <w:rPr>
          <w:rFonts w:eastAsia="Amiri" w:cs="Amiri" w:ascii="Amiri" w:hAnsi="Amiri"/>
          <w:color w:val="111111"/>
          <w:sz w:val="28"/>
          <w:szCs w:val="28"/>
          <w:rtl w:val="true"/>
          <w:lang w:bidi="ar-SA"/>
        </w:rPr>
        <w:t xml:space="preserve">. </w:t>
      </w:r>
      <w:bookmarkStart w:id="745" w:name="pg19000_245609"/>
    </w:p>
    <w:p>
      <w:pPr>
        <w:pStyle w:val="Heading3"/>
        <w:numPr>
          <w:ilvl w:val="2"/>
          <w:numId w:val="1"/>
        </w:numPr>
        <w:rPr/>
      </w:pPr>
      <w:bookmarkStart w:id="746" w:name="__RefHeading___Toc13372660_1280447820"/>
      <w:bookmarkStart w:id="747" w:name="_Toc276"/>
      <w:bookmarkEnd w:id="745"/>
      <w:bookmarkEnd w:id="746"/>
      <w:r>
        <w:rPr>
          <w:rtl w:val="true"/>
        </w:rPr>
        <w:t>القول في بيع الثمار</w:t>
      </w:r>
      <w:bookmarkEnd w:id="747"/>
    </w:p>
    <w:p>
      <w:pPr>
        <w:pStyle w:val="Heading4"/>
        <w:numPr>
          <w:ilvl w:val="3"/>
          <w:numId w:val="1"/>
        </w:numPr>
        <w:rPr/>
      </w:pPr>
      <w:bookmarkStart w:id="748" w:name="__RefHeading___Toc13372662_1280447820"/>
      <w:bookmarkStart w:id="749" w:name="_Toc277"/>
      <w:bookmarkEnd w:id="748"/>
      <w:r>
        <w:rPr>
          <w:rtl w:val="true"/>
        </w:rPr>
        <w:t>إشارة</w:t>
      </w:r>
      <w:r>
        <w:rPr>
          <w:rtl w:val="true"/>
        </w:rPr>
        <w:t>:</w:t>
      </w:r>
      <w:bookmarkEnd w:id="749"/>
    </w:p>
    <w:p>
      <w:pPr>
        <w:pStyle w:val="BookText"/>
        <w:rPr/>
      </w:pPr>
      <w:r>
        <w:rPr>
          <w:rFonts w:ascii="Amiri" w:hAnsi="Amiri" w:eastAsia="Amiri" w:cs="Amiri"/>
          <w:color w:val="111111"/>
          <w:sz w:val="28"/>
          <w:sz w:val="28"/>
          <w:szCs w:val="28"/>
          <w:rtl w:val="true"/>
          <w:lang w:bidi="ar-SA"/>
        </w:rPr>
        <w:t>وهي ثمرة النخل والشجر،حقيقةً، وقد يدخل في اسمها الخضر، وقد يلحق بها إلحاقاً كما يلحق بها أحكام الزرع والبقول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البيع إليها بمعنى اللام، وخصت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 الحيوان والنقدان بانفرادها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أحكام خاصة بها دون سائر المبيعات</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3372664_1280447820"/>
      <w:bookmarkStart w:id="751" w:name="_Toc278"/>
      <w:bookmarkEnd w:id="750"/>
      <w:r>
        <w:rPr>
          <w:rtl w:val="true"/>
        </w:rPr>
        <w:t>والكلام فيه يقع في أُمور</w:t>
      </w:r>
      <w:r>
        <w:rPr>
          <w:rtl w:val="true"/>
        </w:rPr>
        <w:t>:</w:t>
      </w:r>
      <w:bookmarkEnd w:id="751"/>
    </w:p>
    <w:p>
      <w:pPr>
        <w:pStyle w:val="Heading5"/>
        <w:numPr>
          <w:ilvl w:val="4"/>
          <w:numId w:val="1"/>
        </w:numPr>
        <w:rPr/>
      </w:pPr>
      <w:bookmarkStart w:id="752" w:name="__RefHeading___Toc13372666_1280447820"/>
      <w:bookmarkStart w:id="753" w:name="_Toc279"/>
      <w:bookmarkEnd w:id="752"/>
      <w:r>
        <w:rPr>
          <w:rtl w:val="true"/>
        </w:rPr>
        <w:t>أحدها</w:t>
      </w:r>
      <w:r>
        <w:rPr>
          <w:rtl w:val="true"/>
        </w:rPr>
        <w:t xml:space="preserve">: </w:t>
      </w:r>
      <w:r>
        <w:rPr>
          <w:rtl w:val="true"/>
        </w:rPr>
        <w:t>عدم صحة بيع المعدوم من الثمار مع عدم وجود أصله</w:t>
      </w:r>
      <w:r>
        <w:rPr>
          <w:rtl w:val="true"/>
        </w:rPr>
        <w:t xml:space="preserve">. </w:t>
      </w:r>
      <w:r>
        <w:rPr>
          <w:rtl w:val="true"/>
        </w:rPr>
        <w:t>مع عدم وجود أصله ومادته مطلقا</w:t>
      </w:r>
      <w:bookmarkEnd w:id="75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المعدوم من الثمار مع عدم وجود أصله ومادته مطلقاً؛ للإجماع وظواهر الأخبار </w:t>
      </w:r>
      <w:r>
        <w:rPr>
          <w:rStyle w:val="FootnoteAnchor"/>
          <w:rtl w:val="true"/>
        </w:rPr>
        <w:footnoteReference w:id="1590"/>
      </w:r>
      <w:r>
        <w:rPr>
          <w:rFonts w:ascii="Amiri" w:hAnsi="Amiri" w:eastAsia="Amiri" w:cs="Amiri"/>
          <w:color w:val="111111"/>
          <w:sz w:val="28"/>
          <w:sz w:val="28"/>
          <w:szCs w:val="28"/>
          <w:rtl w:val="true"/>
          <w:lang w:bidi="ar-SA"/>
        </w:rPr>
        <w:t xml:space="preserve">، وللشك في شمول أدلة العقود وإطلاق أدلة البيوع له؛ لأنّ الظاهر كون البيع مقتضياً للملك حين صدور العقد، فهو صفة وجودية تقتضي محلّاً موجوداً، وهو حين العقد محال؛ لعدم تعلّق الموجود بالمعدوم، وتأخره إلى حين الوجود فيتعلّق به بعده منافٍ لظاهر إطلاق العقد ومشروعية وضعه كتاباً </w:t>
      </w:r>
      <w:r>
        <w:rPr>
          <w:rStyle w:val="FootnoteAnchor"/>
          <w:rtl w:val="true"/>
        </w:rPr>
        <w:footnoteReference w:id="1591"/>
      </w:r>
      <w:r>
        <w:rPr>
          <w:rFonts w:ascii="Amiri" w:hAnsi="Amiri" w:eastAsia="Amiri" w:cs="Amiri"/>
          <w:color w:val="111111"/>
          <w:sz w:val="28"/>
          <w:sz w:val="28"/>
          <w:szCs w:val="28"/>
          <w:rtl w:val="true"/>
          <w:lang w:bidi="ar-SA"/>
        </w:rPr>
        <w:t xml:space="preserve">وسنّةً </w:t>
      </w:r>
      <w:r>
        <w:rPr>
          <w:rStyle w:val="FootnoteAnchor"/>
          <w:rtl w:val="true"/>
        </w:rPr>
        <w:footnoteReference w:id="1592"/>
      </w:r>
      <w:r>
        <w:rPr>
          <w:rFonts w:ascii="Amiri" w:hAnsi="Amiri" w:eastAsia="Amiri" w:cs="Amiri"/>
          <w:color w:val="111111"/>
          <w:sz w:val="28"/>
          <w:sz w:val="28"/>
          <w:szCs w:val="28"/>
          <w:rtl w:val="true"/>
          <w:lang w:bidi="ar-SA"/>
        </w:rPr>
        <w:t xml:space="preserve">بل وإجماعاً؛ وللزوم الضرر المنهي عنه </w:t>
      </w:r>
      <w:r>
        <w:rPr>
          <w:rStyle w:val="FootnoteAnchor"/>
          <w:rtl w:val="true"/>
        </w:rPr>
        <w:footnoteReference w:id="1593"/>
      </w:r>
      <w:r>
        <w:rPr>
          <w:rFonts w:ascii="Amiri" w:hAnsi="Amiri" w:eastAsia="Amiri" w:cs="Amiri"/>
          <w:color w:val="111111"/>
          <w:sz w:val="28"/>
          <w:sz w:val="28"/>
          <w:szCs w:val="28"/>
          <w:rtl w:val="true"/>
          <w:lang w:bidi="ar-SA"/>
        </w:rPr>
        <w:t>في كلّ العقود أو في خصوص البيع؛ ضرورة أن غرر المعدوم أقوى من غرر الموجود الغير معلوم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جواز الصلح على مثل ذلك وجهان، ينشآن من عموم دليله </w:t>
      </w:r>
      <w:r>
        <w:rPr>
          <w:rStyle w:val="FootnoteAnchor"/>
          <w:rtl w:val="true"/>
        </w:rPr>
        <w:footnoteReference w:id="1594"/>
      </w:r>
      <w:r>
        <w:rPr>
          <w:rFonts w:ascii="Amiri" w:hAnsi="Amiri" w:eastAsia="Amiri" w:cs="Amiri"/>
          <w:color w:val="111111"/>
          <w:sz w:val="28"/>
          <w:sz w:val="28"/>
          <w:szCs w:val="28"/>
          <w:rtl w:val="true"/>
          <w:lang w:bidi="ar-SA"/>
        </w:rPr>
        <w:t xml:space="preserve">فيملك بعد وجوده، أو يملك إن يملك، ومن الشك في انصرافه لمثل هذه الصورة، وعموم النهي عن الغرر مطلقاً كما في بعض الأخبار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مع وجود أصله ومادته من شجرة أو بذر أو عرق فالظاهر جواز الصلح عليه مطلقاً ؛ لعموم دليله </w:t>
      </w:r>
      <w:r>
        <w:rPr>
          <w:rStyle w:val="FootnoteAnchor"/>
          <w:rtl w:val="true"/>
        </w:rPr>
        <w:footnoteReference w:id="1596"/>
      </w:r>
      <w:r>
        <w:rPr>
          <w:rFonts w:ascii="Amiri" w:hAnsi="Amiri" w:eastAsia="Amiri" w:cs="Amiri"/>
          <w:color w:val="111111"/>
          <w:sz w:val="28"/>
          <w:sz w:val="28"/>
          <w:szCs w:val="28"/>
          <w:rtl w:val="true"/>
          <w:lang w:bidi="ar-SA"/>
        </w:rPr>
        <w:t>، وارتفاع الغرر في الجملة، وعدم جواز بيعه سنةً واحدة مع عدم الضميمة إليه، سواء في ذلك ثمرة النخل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بالعام الواحد الثمرة الواحدة وإن خرجت في أقل من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قدمناه، وللإجماعات المستفيضة النقل </w:t>
      </w:r>
      <w:r>
        <w:rPr>
          <w:rStyle w:val="FootnoteAnchor"/>
          <w:rtl w:val="true"/>
        </w:rPr>
        <w:footnoteReference w:id="1597"/>
      </w:r>
      <w:r>
        <w:rPr>
          <w:rFonts w:ascii="Amiri" w:hAnsi="Amiri" w:eastAsia="Amiri" w:cs="Amiri"/>
          <w:color w:val="111111"/>
          <w:sz w:val="28"/>
          <w:sz w:val="28"/>
          <w:szCs w:val="28"/>
          <w:rtl w:val="true"/>
          <w:lang w:bidi="ar-SA"/>
        </w:rPr>
        <w:t>بل الإجماع المحصل، وللشهرة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ولجملة من الأخبار الدالّة عليه فحوى، كالأخبار الناهية عن بيع الثمرة قبل بدو الصلاح،</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النخل حولاً واحداً حتّى يطعم، وإن شئت أن تبتاعه سنتين فافعل</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بيع الحائط فيه النخل والشجر سنة واحدة فلا يباعن حتّى تبلغ ثمرته</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لا تباع الثمرة حتّى يبدو صلاحها</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عن الفاكهة،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فاكهة كثيرة في موضع واحد فأطعم بعضها فقد حلّ بيع الفاكهة كلّها، فإذا كان نوعاً واحداً فلا يحل بيعه حتّى يطعم</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الثمرة قبل أن تدرك،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تلك الأرض بيع له غلّة قد أدركت فبيع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والدالة صريحاً، كالخبر المعتبر عن بيع الثمرة هل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طلعها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أن يشتري معها غيرها رطبة أو بقلاً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تخرج الثمرة كان رأس مال المشتري في الرطبة والبقلة</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النخل أيحل إذا كان زهواً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استبان البسر من الشيص </w:t>
      </w:r>
      <w:r>
        <w:rPr>
          <w:rStyle w:val="FootnoteAnchor"/>
          <w:rtl w:val="true"/>
        </w:rPr>
        <w:footnoteReference w:id="1605"/>
      </w:r>
      <w:r>
        <w:rPr>
          <w:rFonts w:ascii="Amiri" w:hAnsi="Amiri" w:eastAsia="Amiri" w:cs="Amiri"/>
          <w:color w:val="111111"/>
          <w:sz w:val="28"/>
          <w:sz w:val="28"/>
          <w:szCs w:val="28"/>
          <w:rtl w:val="true"/>
          <w:lang w:bidi="ar-SA"/>
        </w:rPr>
        <w:t>حلّ بيعه وشراؤه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السلم في النخل قبل أن يطلع،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السلم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شراء النخل سنة واحدة أيصلح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يشترى حتّى يبلغ</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يكره شراء النخل قبل أن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ولكن السنتين والثلاث وعن الرجل يبتاع النخل والفاكهة قبل أن يطلع فيشتري سنتين أو ثلاث سنين أو أربعاً،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يكره شراء سنة واحدة قبل أن يطلع مخافة الآفة حتّى يستبين</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وبمعونة ضمّ الأخبار بعضاً إلى بعض وفتوى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الحرمة من لفظ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أصحابنا </w:t>
      </w:r>
      <w:r>
        <w:rPr>
          <w:rStyle w:val="FootnoteAnchor"/>
          <w:rtl w:val="true"/>
        </w:rPr>
        <w:footnoteReference w:id="1608"/>
      </w:r>
      <w:r>
        <w:rPr>
          <w:rFonts w:ascii="Amiri" w:hAnsi="Amiri" w:eastAsia="Amiri" w:cs="Amiri"/>
          <w:color w:val="111111"/>
          <w:sz w:val="28"/>
          <w:sz w:val="28"/>
          <w:szCs w:val="28"/>
          <w:rtl w:val="true"/>
          <w:lang w:bidi="ar-SA"/>
        </w:rPr>
        <w:t>إلى كراهة بيع الثمار سنةً واحدة مع عدم وجودها؛ لبعض الأخبار الدالة على ذلك، فمنها ما تقدَّم الآن من الخبر المشتمل على لفظ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تبايع الناس بالنخل فقعد النخل ذلك العام،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فعلوا فلا تشتروا النخل العام حتّى يطلع فيه شيء، ولم يحرمه</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لا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ذلك البيع حتّى تبلغ الثمرة، ولم يحرمه، ولكن إنّما فعل ذلك من أجل خصومتهم</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يستند لعمومات أدلّة البيوع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ضعف</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ثبوت عموم شامل للمقام على وجه التحقيق، وليس إلا الإطلاق، وهو منصرف لغيره قطعاً، ولو سلمنا العموم فهو مخصوص بما تقدَّم من الأدلّة</w:t>
      </w:r>
      <w:r>
        <w:rPr>
          <w:rFonts w:eastAsia="Amiri" w:cs="Amiri" w:ascii="Amiri" w:hAnsi="Amiri"/>
          <w:color w:val="111111"/>
          <w:sz w:val="28"/>
          <w:szCs w:val="28"/>
          <w:rtl w:val="true"/>
          <w:lang w:bidi="ar-SA"/>
        </w:rPr>
        <w:t xml:space="preserve">. </w:t>
      </w:r>
      <w:bookmarkStart w:id="754" w:name="pg19000_245612"/>
    </w:p>
    <w:p>
      <w:pPr>
        <w:pStyle w:val="BookText"/>
        <w:rPr/>
      </w:pPr>
      <w:bookmarkEnd w:id="754"/>
      <w:r>
        <w:rPr>
          <w:rFonts w:ascii="Amiri" w:hAnsi="Amiri" w:eastAsia="Amiri" w:cs="Amiri"/>
          <w:color w:val="111111"/>
          <w:sz w:val="28"/>
          <w:sz w:val="28"/>
          <w:szCs w:val="28"/>
          <w:rtl w:val="true"/>
          <w:lang w:bidi="ar-SA"/>
        </w:rPr>
        <w:t>وأمّا الأخبار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شاذة فتوى وعملاً، وما نُسب </w:t>
      </w:r>
      <w:r>
        <w:rPr>
          <w:rStyle w:val="FootnoteAnchor"/>
          <w:rtl w:val="true"/>
        </w:rPr>
        <w:footnoteReference w:id="1612"/>
      </w:r>
      <w:r>
        <w:rPr>
          <w:rFonts w:ascii="Amiri" w:hAnsi="Amiri" w:eastAsia="Amiri" w:cs="Amiri"/>
          <w:color w:val="111111"/>
          <w:sz w:val="28"/>
          <w:sz w:val="28"/>
          <w:szCs w:val="28"/>
          <w:rtl w:val="true"/>
          <w:lang w:bidi="ar-SA"/>
        </w:rPr>
        <w:t xml:space="preserve">للشيخ من الفتوى بها </w:t>
      </w:r>
      <w:r>
        <w:rPr>
          <w:rStyle w:val="FootnoteAnchor"/>
          <w:rtl w:val="true"/>
        </w:rPr>
        <w:footnoteReference w:id="1613"/>
      </w:r>
      <w:r>
        <w:rPr>
          <w:rFonts w:ascii="Amiri" w:hAnsi="Amiri" w:eastAsia="Amiri" w:cs="Amiri"/>
          <w:color w:val="111111"/>
          <w:sz w:val="28"/>
          <w:sz w:val="28"/>
          <w:szCs w:val="28"/>
          <w:rtl w:val="true"/>
          <w:lang w:bidi="ar-SA"/>
        </w:rPr>
        <w:t xml:space="preserve">غير معلوم؛ إذ لعلّ حكمه بالكراهة كان لمجرد الجمع بين الأخبار، كما هي قاعدته في كثير من المواضع، أو كان الحكم بالكراهة متعلّقاً بما ظهر قبل بدو صلاحه، كما تشعر به عبارته بعد ضم بعضها إلى بعض كما قيل </w:t>
      </w:r>
      <w:r>
        <w:rPr>
          <w:rStyle w:val="FootnoteAnchor"/>
          <w:rtl w:val="true"/>
        </w:rPr>
        <w:footnoteReference w:id="1614"/>
      </w:r>
      <w:r>
        <w:rPr>
          <w:rFonts w:ascii="Amiri" w:hAnsi="Amiri" w:eastAsia="Amiri" w:cs="Amiri"/>
          <w:color w:val="111111"/>
          <w:sz w:val="28"/>
          <w:sz w:val="28"/>
          <w:szCs w:val="28"/>
          <w:rtl w:val="true"/>
          <w:lang w:bidi="ar-SA"/>
        </w:rPr>
        <w:t>ولو نسب إليه الأصحاب الحكم بالكراهة بهذا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فهذه الأخبار لا تقاوم الأدلّة المتقدّمة المحكمة المعتضدة بما ذكرناه، على أنّ الخبر الأوّل محتمل لإرادة الحرمة من لفظ الكراهة بمعونة فتوى الأصحاب، كما يستعمل كثيراً في الأخبار، أو لإرادة بدو الصلاح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بَعد إلا أنّه لا بأس في الجمع المقدم على الطرح، والأخيرين أيضاً محتملان لإرادة بدو الصلاح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من الأخير</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3372668_1280447820"/>
      <w:bookmarkStart w:id="756" w:name="_Toc280"/>
      <w:bookmarkEnd w:id="755"/>
      <w:r>
        <w:rPr>
          <w:rtl w:val="true"/>
        </w:rPr>
        <w:t>ثانيها</w:t>
      </w:r>
      <w:r>
        <w:rPr>
          <w:rtl w:val="true"/>
        </w:rPr>
        <w:t xml:space="preserve">: </w:t>
      </w:r>
      <w:r>
        <w:rPr>
          <w:rtl w:val="true"/>
        </w:rPr>
        <w:t>حكم بيع الثمار مع الضميمة سنةً واحدةً</w:t>
      </w:r>
      <w:bookmarkEnd w:id="75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بيعه سنةً واحدة مع الضميمة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 لإطلاق الأخبار المانعة </w:t>
      </w:r>
      <w:r>
        <w:rPr>
          <w:rStyle w:val="FootnoteAnchor"/>
          <w:rtl w:val="true"/>
        </w:rPr>
        <w:footnoteReference w:id="1615"/>
      </w:r>
      <w:r>
        <w:rPr>
          <w:rFonts w:ascii="Amiri" w:hAnsi="Amiri" w:eastAsia="Amiri" w:cs="Amiri"/>
          <w:color w:val="111111"/>
          <w:sz w:val="28"/>
          <w:sz w:val="28"/>
          <w:szCs w:val="28"/>
          <w:rtl w:val="true"/>
          <w:lang w:bidi="ar-SA"/>
        </w:rPr>
        <w:t xml:space="preserve">والإجماعات المنقولة </w:t>
      </w:r>
      <w:r>
        <w:rPr>
          <w:rStyle w:val="FootnoteAnchor"/>
          <w:rtl w:val="true"/>
        </w:rPr>
        <w:footnoteReference w:id="1616"/>
      </w:r>
      <w:r>
        <w:rPr>
          <w:rFonts w:ascii="Amiri" w:hAnsi="Amiri" w:eastAsia="Amiri" w:cs="Amiri"/>
          <w:color w:val="111111"/>
          <w:sz w:val="28"/>
          <w:sz w:val="28"/>
          <w:szCs w:val="28"/>
          <w:rtl w:val="true"/>
          <w:lang w:bidi="ar-SA"/>
        </w:rPr>
        <w:t xml:space="preserve">المعتضدة بالشهرة المحصلة والمنقولة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والجواز؛ للموثقة المتقدّمة </w:t>
      </w:r>
      <w:r>
        <w:rPr>
          <w:rStyle w:val="FootnoteAnchor"/>
          <w:rtl w:val="true"/>
        </w:rPr>
        <w:footnoteReference w:id="1618"/>
      </w:r>
      <w:r>
        <w:rPr>
          <w:rFonts w:ascii="Amiri" w:hAnsi="Amiri" w:eastAsia="Amiri" w:cs="Amiri"/>
          <w:color w:val="111111"/>
          <w:sz w:val="28"/>
          <w:sz w:val="28"/>
          <w:szCs w:val="28"/>
          <w:rtl w:val="true"/>
          <w:lang w:bidi="ar-SA"/>
        </w:rPr>
        <w:t xml:space="preserve">الدالة عليه مع ضميمة الرطبة والبقل، ولإشعار جملة من الروايات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الضمائم لما هو ممنوع من حيثية الجهالة، أو عدم القدرة على التسليم،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يفرّق بين التابعة والمعادلة وبين المتبوعة فيصح في الأخير؛ للاقتصار على مورد اليقين، ولإشعار الموثقة بذلك، حيث علل ذلك بصيرورة رأس مال المشتري فيها، دون الأوّلين فيفسد؛ أخذاً بالأخبار المانعة وكلام الأصحاب</w:t>
      </w:r>
      <w:r>
        <w:rPr>
          <w:rFonts w:eastAsia="Amiri" w:cs="Amiri" w:ascii="Amiri" w:hAnsi="Amiri"/>
          <w:color w:val="111111"/>
          <w:sz w:val="28"/>
          <w:szCs w:val="28"/>
          <w:rtl w:val="true"/>
          <w:lang w:bidi="ar-SA"/>
        </w:rPr>
        <w:t xml:space="preserve">. </w:t>
      </w:r>
      <w:bookmarkStart w:id="757" w:name="pg19000_245613"/>
    </w:p>
    <w:p>
      <w:pPr>
        <w:pStyle w:val="BookText"/>
        <w:rPr/>
      </w:pPr>
      <w:bookmarkEnd w:id="757"/>
      <w:r>
        <w:rPr>
          <w:rFonts w:ascii="Amiri" w:hAnsi="Amiri" w:eastAsia="Amiri" w:cs="Amiri"/>
          <w:color w:val="111111"/>
          <w:sz w:val="28"/>
          <w:sz w:val="28"/>
          <w:szCs w:val="28"/>
          <w:rtl w:val="true"/>
          <w:lang w:bidi="ar-SA"/>
        </w:rPr>
        <w:t xml:space="preserve">وهل يصح بيع المعدوم إذا كان ممّا يتجدد في تلك السنة بانضمامه إلى الموجود؛ قضاء للسيرة، ولدليل نفي الحرج </w:t>
      </w:r>
      <w:r>
        <w:rPr>
          <w:rStyle w:val="FootnoteAnchor"/>
          <w:rtl w:val="true"/>
        </w:rPr>
        <w:footnoteReference w:id="1620"/>
      </w:r>
      <w:r>
        <w:rPr>
          <w:rFonts w:ascii="Amiri" w:hAnsi="Amiri" w:eastAsia="Amiri" w:cs="Amiri"/>
          <w:color w:val="111111"/>
          <w:sz w:val="28"/>
          <w:sz w:val="28"/>
          <w:szCs w:val="28"/>
          <w:rtl w:val="true"/>
          <w:lang w:bidi="ar-SA"/>
        </w:rPr>
        <w:t>، أو لا يصح؛ لاختصاص جواز ضمّ المعدوم في السنة اللاحقة للموجود في السنة السابقة دون غيرها ؟</w:t>
      </w:r>
    </w:p>
    <w:p>
      <w:pPr>
        <w:pStyle w:val="BookText"/>
        <w:rPr/>
      </w:pPr>
      <w:r>
        <w:rPr>
          <w:rFonts w:ascii="Amiri" w:hAnsi="Amiri" w:eastAsia="Amiri" w:cs="Amiri"/>
          <w:color w:val="111111"/>
          <w:sz w:val="28"/>
          <w:sz w:val="28"/>
          <w:szCs w:val="28"/>
          <w:rtl w:val="true"/>
          <w:lang w:bidi="ar-SA"/>
        </w:rPr>
        <w:t xml:space="preserve">والحق هو البناء على الأوَّل، كما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وغيره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3372670_1280447820"/>
      <w:bookmarkStart w:id="759" w:name="_Toc281"/>
      <w:bookmarkEnd w:id="758"/>
      <w:r>
        <w:rPr>
          <w:rtl w:val="true"/>
        </w:rPr>
        <w:t>ثالثها</w:t>
      </w:r>
      <w:r>
        <w:rPr>
          <w:rtl w:val="true"/>
        </w:rPr>
        <w:t xml:space="preserve">: </w:t>
      </w:r>
      <w:r>
        <w:rPr>
          <w:rtl w:val="true"/>
        </w:rPr>
        <w:t>حكم بيع الثمر أزيد من عام واحد بمعنى أزيد من ثمرة واحدة</w:t>
      </w:r>
      <w:bookmarkEnd w:id="75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بيعه أزيد من عام واحد بمعنى أزيد من ثمرة واحدة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 لما قدمنا من القاعدة، وللإجماع المنقول </w:t>
      </w:r>
      <w:r>
        <w:rPr>
          <w:rStyle w:val="FootnoteAnchor"/>
          <w:rtl w:val="true"/>
        </w:rPr>
        <w:footnoteReference w:id="1623"/>
      </w:r>
      <w:r>
        <w:rPr>
          <w:rFonts w:ascii="Amiri" w:hAnsi="Amiri" w:eastAsia="Amiri" w:cs="Amiri"/>
          <w:color w:val="111111"/>
          <w:sz w:val="28"/>
          <w:sz w:val="28"/>
          <w:szCs w:val="28"/>
          <w:rtl w:val="true"/>
          <w:lang w:bidi="ar-SA"/>
        </w:rPr>
        <w:t xml:space="preserve">، والشهرة المحصلة والمنقولة بلفظ الأشهر والأكثر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ولإطلاق الموثقة </w:t>
      </w:r>
      <w:r>
        <w:rPr>
          <w:rStyle w:val="FootnoteAnchor"/>
          <w:rtl w:val="true"/>
        </w:rPr>
        <w:footnoteReference w:id="1625"/>
      </w:r>
      <w:r>
        <w:rPr>
          <w:rFonts w:ascii="Amiri" w:hAnsi="Amiri" w:eastAsia="Amiri" w:cs="Amiri"/>
          <w:color w:val="111111"/>
          <w:sz w:val="28"/>
          <w:sz w:val="28"/>
          <w:szCs w:val="28"/>
          <w:rtl w:val="true"/>
          <w:lang w:bidi="ar-SA"/>
        </w:rPr>
        <w:t>المانعة مطلقاً إلا مع الضميمة، ومفهوم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أثمرت فابتعها أربعة أعوام إن شئت مع ذلك العام أو أكثر من ذلك أو أقلّ</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والجواز، ونُسب </w:t>
      </w:r>
      <w:r>
        <w:rPr>
          <w:rStyle w:val="FootnoteAnchor"/>
          <w:rtl w:val="true"/>
        </w:rPr>
        <w:footnoteReference w:id="1627"/>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والعلّامة في بعض كتبه </w:t>
      </w:r>
      <w:r>
        <w:rPr>
          <w:rStyle w:val="FootnoteAnchor"/>
          <w:rtl w:val="true"/>
        </w:rPr>
        <w:footnoteReference w:id="1629"/>
      </w:r>
      <w:r>
        <w:rPr>
          <w:rFonts w:ascii="IRNazanin" w:hAnsi="IRNazanin" w:eastAsia="IRNazanin"/>
          <w:color w:val="111111"/>
          <w:sz w:val="28"/>
          <w:sz w:val="28"/>
          <w:szCs w:val="28"/>
          <w:rtl w:val="true"/>
          <w:lang w:bidi="fa-IR"/>
        </w:rPr>
        <w:t>للأصل والعمومات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بكراهة السنة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السنتين والثلاث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يحمل في هذه السنة حمل في السنة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يبتاع النخل والفاكهة قبل أن يطلع فيشتري سنتين أو ثلاثاً أو أربعاً،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وللصحيح المجوّز للبيع قبل البلوغ ثلاث سنين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bookmarkStart w:id="760" w:name="pg19000_245614"/>
    </w:p>
    <w:p>
      <w:pPr>
        <w:pStyle w:val="BookText"/>
        <w:rPr/>
      </w:pPr>
      <w:bookmarkEnd w:id="760"/>
      <w:r>
        <w:rPr>
          <w:rFonts w:ascii="Amiri" w:hAnsi="Amiri" w:eastAsia="Amiri" w:cs="Amiri"/>
          <w:color w:val="111111"/>
          <w:sz w:val="28"/>
          <w:sz w:val="28"/>
          <w:szCs w:val="28"/>
          <w:rtl w:val="true"/>
          <w:lang w:bidi="ar-SA"/>
        </w:rPr>
        <w:t xml:space="preserve">وللمعتبرين الناصين على المنع في الحول الواحد قبل أن يطعم </w:t>
      </w:r>
      <w:r>
        <w:rPr>
          <w:rStyle w:val="FootnoteAnchor"/>
          <w:rtl w:val="true"/>
        </w:rPr>
        <w:footnoteReference w:id="1632"/>
      </w:r>
      <w:r>
        <w:rPr>
          <w:rFonts w:ascii="Amiri" w:hAnsi="Amiri" w:eastAsia="Amiri" w:cs="Amiri"/>
          <w:color w:val="111111"/>
          <w:sz w:val="28"/>
          <w:sz w:val="28"/>
          <w:szCs w:val="28"/>
          <w:rtl w:val="true"/>
          <w:lang w:bidi="ar-SA"/>
        </w:rPr>
        <w:t>، المشعر بجوازه فيما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للزوم تخصيص الأصل والعموم بما قدمنا من الأدلّة، ولضعف الأخبار عن المقاومة لما تقدّم، فلا بد من طرحها، أو حملها على التقيّة، أو حمل الطلوع في الأوّل على بدو الصلاح، ويكون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خاست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يستأنس له بملاحظة الصحيح المشترط في نفي البأس عن الشراء ثلاث سنين كونه قبل البلوغ الظاهر في بدو الصلاح، وجعله المعيار له دون غيره، مع تضمّن صدره تعليل الجواز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يخرج في هذه السنة أُخرج من قابل</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ولو كان المعيار هو الظهور لكان عدم تبديله بالبلوغ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الجواب عنه وعمّا بعده من حيث جعلهما المعيار في الجواز مع تعدد السنين والمنع مع الاتحاد هو ما قبل الإطعام الظاهر في بدو الصلاح، كما يشهد به كلام أهل اللغة </w:t>
      </w:r>
      <w:r>
        <w:rPr>
          <w:rStyle w:val="FootnoteAnchor"/>
          <w:rtl w:val="true"/>
        </w:rPr>
        <w:footnoteReference w:id="1635"/>
      </w:r>
      <w:r>
        <w:rPr>
          <w:rFonts w:ascii="Amiri" w:hAnsi="Amiri" w:eastAsia="Amiri" w:cs="Amiri"/>
          <w:color w:val="111111"/>
          <w:sz w:val="28"/>
          <w:sz w:val="28"/>
          <w:szCs w:val="28"/>
          <w:rtl w:val="true"/>
          <w:lang w:bidi="ar-SA"/>
        </w:rPr>
        <w:t>، حيث فسروه بالإطعام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 المتأخرين جواز بيع الثمار قبل ظهورها بشرط القطع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وتردّه الأخبار السابقة والإجماعات المنقولة وعدم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البيع مطلقاً مع كلّ واحدٍ من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مع اجتماع الأمور المتقدّمة من الضميمة وما فوق الواحدة ومع اشتراط القطع؛ لحصول المانع، وعدم وجود دليل يدلّ على الجواز</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3372672_1280447820"/>
      <w:bookmarkStart w:id="762" w:name="_Toc282"/>
      <w:bookmarkEnd w:id="761"/>
      <w:r>
        <w:rPr>
          <w:rtl w:val="true"/>
        </w:rPr>
        <w:t>رابعها</w:t>
      </w:r>
      <w:r>
        <w:rPr>
          <w:rtl w:val="true"/>
        </w:rPr>
        <w:t xml:space="preserve">: </w:t>
      </w:r>
      <w:r>
        <w:rPr>
          <w:rtl w:val="true"/>
        </w:rPr>
        <w:t>جواز بیع ما بدا صلاحه بلا شرط</w:t>
      </w:r>
      <w:bookmarkEnd w:id="76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فيما بدا صلاحه شيء مما تقدم، بل يجوز بيعه بلا شرط؛ للأخبار </w:t>
      </w:r>
      <w:r>
        <w:rPr>
          <w:rStyle w:val="FootnoteAnchor"/>
          <w:rtl w:val="true"/>
        </w:rPr>
        <w:footnoteReference w:id="1637"/>
      </w:r>
      <w:r>
        <w:rPr>
          <w:rFonts w:ascii="Amiri" w:hAnsi="Amiri" w:eastAsia="Amiri" w:cs="Amiri"/>
          <w:color w:val="111111"/>
          <w:sz w:val="28"/>
          <w:sz w:val="28"/>
          <w:szCs w:val="28"/>
          <w:rtl w:val="true"/>
          <w:lang w:bidi="ar-SA"/>
        </w:rPr>
        <w:t xml:space="preserve">عموماً وخصوصاً، وللإجماع محصلاً ومنقولاً </w:t>
      </w:r>
      <w:r>
        <w:rPr>
          <w:rStyle w:val="FootnoteAnchor"/>
          <w:rtl w:val="true"/>
        </w:rPr>
        <w:footnoteReference w:id="1638"/>
      </w:r>
      <w:r>
        <w:rPr>
          <w:rFonts w:ascii="Amiri" w:hAnsi="Amiri" w:eastAsia="Amiri" w:cs="Amiri"/>
          <w:color w:val="111111"/>
          <w:sz w:val="28"/>
          <w:sz w:val="28"/>
          <w:szCs w:val="28"/>
          <w:rtl w:val="true"/>
          <w:lang w:bidi="ar-SA"/>
        </w:rPr>
        <w:t xml:space="preserve">، ولا يتفاوت الحال بين اشتراط القطع وعدمه، </w:t>
      </w:r>
    </w:p>
    <w:p>
      <w:pPr>
        <w:pStyle w:val="BookText"/>
        <w:rPr/>
      </w:pPr>
      <w:r>
        <w:rPr>
          <w:rFonts w:ascii="Amiri" w:hAnsi="Amiri" w:eastAsia="Amiri" w:cs="Amiri"/>
          <w:color w:val="111111"/>
          <w:sz w:val="28"/>
          <w:sz w:val="28"/>
          <w:szCs w:val="28"/>
          <w:rtl w:val="true"/>
          <w:lang w:bidi="ar-SA"/>
        </w:rPr>
        <w:t>ولا جهالة فيه؛ لأنّه ممّا يباع جزافاً قبل القطع، ويرتفع الغرر عنه بمجرد الرؤية والخرص، وجهالة مدة المكث في رؤوس النخل والشجر غير ضارّة؛ لعدم باعثيّتها على الضرر والغرر عرفاً، ولكونها مستفادةً تبعاً ولم يتعلّق العقد بها أصالةً، فيغتفر فيها ما لا يغتفر فيما تعلّق به أصالة، ولأن بقاءها المدة الحاكمة بها العادة والقاضي بها العرف بمنزلة المعلوم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ببدو الصلاح في النخل في النصوص والفتاوى هو الاحمرار والاصفرار الطبيعيين على ما هو المشهور نقلاً </w:t>
      </w:r>
      <w:r>
        <w:rPr>
          <w:rStyle w:val="FootnoteAnchor"/>
          <w:rtl w:val="true"/>
        </w:rPr>
        <w:footnoteReference w:id="1639"/>
      </w:r>
      <w:r>
        <w:rPr>
          <w:rFonts w:ascii="Amiri" w:hAnsi="Amiri" w:eastAsia="Amiri" w:cs="Amiri"/>
          <w:color w:val="111111"/>
          <w:sz w:val="28"/>
          <w:sz w:val="28"/>
          <w:szCs w:val="28"/>
          <w:rtl w:val="true"/>
          <w:lang w:bidi="ar-SA"/>
        </w:rPr>
        <w:t xml:space="preserve">بل تحصيلاً، وربما نُسب </w:t>
      </w:r>
      <w:r>
        <w:rPr>
          <w:rStyle w:val="FootnoteAnchor"/>
          <w:rtl w:val="true"/>
        </w:rPr>
        <w:footnoteReference w:id="1640"/>
      </w:r>
      <w:r>
        <w:rPr>
          <w:rFonts w:ascii="Amiri" w:hAnsi="Amiri" w:eastAsia="Amiri" w:cs="Amiri"/>
          <w:color w:val="111111"/>
          <w:sz w:val="28"/>
          <w:sz w:val="28"/>
          <w:szCs w:val="28"/>
          <w:rtl w:val="true"/>
          <w:lang w:bidi="ar-SA"/>
        </w:rPr>
        <w:t>الأصحابنا، ويلحق بهما باقي الألوان من الاخضرار والسواد تنقيحاً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المراد ببدو الصلاح ذلك كثير من النصوص ظهوراً في بعض، كالتعبير عنه بالإطعام في بعض </w:t>
      </w:r>
      <w:r>
        <w:rPr>
          <w:rStyle w:val="FootnoteAnchor"/>
          <w:rtl w:val="true"/>
        </w:rPr>
        <w:footnoteReference w:id="1641"/>
      </w:r>
      <w:r>
        <w:rPr>
          <w:rFonts w:ascii="Amiri" w:hAnsi="Amiri" w:eastAsia="Amiri" w:cs="Amiri"/>
          <w:color w:val="111111"/>
          <w:sz w:val="28"/>
          <w:sz w:val="28"/>
          <w:szCs w:val="28"/>
          <w:rtl w:val="true"/>
          <w:lang w:bidi="ar-SA"/>
        </w:rPr>
        <w:t xml:space="preserve">، والبلوغ في بعض </w:t>
      </w:r>
      <w:r>
        <w:rPr>
          <w:rStyle w:val="FootnoteAnchor"/>
          <w:rtl w:val="true"/>
        </w:rPr>
        <w:footnoteReference w:id="1642"/>
      </w:r>
      <w:r>
        <w:rPr>
          <w:rFonts w:ascii="Amiri" w:hAnsi="Amiri" w:eastAsia="Amiri" w:cs="Amiri"/>
          <w:color w:val="111111"/>
          <w:sz w:val="28"/>
          <w:sz w:val="28"/>
          <w:szCs w:val="28"/>
          <w:rtl w:val="true"/>
          <w:lang w:bidi="ar-SA"/>
        </w:rPr>
        <w:t xml:space="preserve">، والإدراك في ثالث </w:t>
      </w:r>
      <w:r>
        <w:rPr>
          <w:rStyle w:val="FootnoteAnchor"/>
          <w:rtl w:val="true"/>
        </w:rPr>
        <w:footnoteReference w:id="1643"/>
      </w:r>
      <w:r>
        <w:rPr>
          <w:rFonts w:ascii="Amiri" w:hAnsi="Amiri" w:eastAsia="Amiri" w:cs="Amiri"/>
          <w:color w:val="111111"/>
          <w:sz w:val="28"/>
          <w:sz w:val="28"/>
          <w:szCs w:val="28"/>
          <w:rtl w:val="true"/>
          <w:lang w:bidi="ar-SA"/>
        </w:rPr>
        <w:t>، وصريحاً في آخر، كالتعبير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w:t>
      </w:r>
      <w:r>
        <w:rPr>
          <w:rStyle w:val="FootnoteAnchor"/>
          <w:rtl w:val="true"/>
        </w:rPr>
        <w:footnoteReference w:id="1644"/>
      </w:r>
      <w:r>
        <w:rPr>
          <w:rFonts w:ascii="Amiri" w:hAnsi="Amiri" w:eastAsia="Amiri" w:cs="Amiri"/>
          <w:color w:val="111111"/>
          <w:sz w:val="28"/>
          <w:sz w:val="28"/>
          <w:szCs w:val="28"/>
          <w:rtl w:val="true"/>
          <w:lang w:bidi="ar-SA"/>
        </w:rPr>
        <w:t xml:space="preserve">المفسّر فيهما وفي كلام أهل اللغة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بالتلوّن أو الاحمرار والاصفرار، 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المفسّر فيه بالاحمرار والاصفرار </w:t>
      </w:r>
      <w:r>
        <w:rPr>
          <w:rStyle w:val="FootnoteAnchor"/>
          <w:rtl w:val="true"/>
        </w:rPr>
        <w:footnoteReference w:id="1646"/>
      </w:r>
      <w:r>
        <w:rPr>
          <w:rFonts w:ascii="Amiri" w:hAnsi="Amiri" w:eastAsia="Amiri" w:cs="Amiri"/>
          <w:color w:val="111111"/>
          <w:sz w:val="28"/>
          <w:sz w:val="28"/>
          <w:szCs w:val="28"/>
          <w:rtl w:val="true"/>
          <w:lang w:bidi="ar-SA"/>
        </w:rPr>
        <w:t>، فيحمل الظاهر الأوّل على النصّ الصريح؛ لقوته وانجباره بفتوى المشهور، ويكون التعبير عن التلوّن بغيره إما مجازاً باعتبار علاقة المقاربة، وإمّا مستعمل في معناه، فيُفهم منه التلوّن لمكان التلازم، بناءً على وقوع تلك الأمور مصاحبة للتلوّن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 بدو الصلاح عبارة عن وصوله إلى حالة معنوية وهي البلوغ والإدراك، ولكن تنبعث عنها تلك الأمور من الإطعام والتلوّن والزهو، ويكون التعبير عنه بتلك الأمور لبيان علائمه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كلّ واحدٍ ممّا هو مذكور في الأخبار يصدق عليه بدو الصلاح، فأيها سبق تحقق بدو الصلاح به، إلا أن الأوجه ما ذكرناه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ببدو الصلاح في غير النخل هو انعقاد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w:t>
      </w:r>
      <w:r>
        <w:rPr>
          <w:rStyle w:val="FootnoteAnchor"/>
          <w:rtl w:val="true"/>
        </w:rPr>
        <w:footnoteReference w:id="1647"/>
      </w: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غطاء، وهو كمام الثمرة، أو كمامين كالجوز واللوز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يُفسر بتناثر الزهر والورد كما نُسب </w:t>
      </w:r>
      <w:r>
        <w:rPr>
          <w:rStyle w:val="FootnoteAnchor"/>
          <w:rtl w:val="true"/>
        </w:rPr>
        <w:footnoteReference w:id="1648"/>
      </w:r>
      <w:r>
        <w:rPr>
          <w:rFonts w:ascii="Amiri" w:hAnsi="Amiri" w:eastAsia="Amiri" w:cs="Amiri"/>
          <w:color w:val="111111"/>
          <w:sz w:val="28"/>
          <w:sz w:val="28"/>
          <w:szCs w:val="28"/>
          <w:rtl w:val="true"/>
          <w:lang w:bidi="ar-SA"/>
        </w:rPr>
        <w:t xml:space="preserve">للمشهور أو لمشهور المتأخرين، ودلّ عليه الخبر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بشرائها إذا صلحت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صلاح ثمرته؟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عقد بعد سقوط ورده</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 xml:space="preserve">أو تلوّن الثمرة، أو صفاء لونها، أو انعقاد الحضرم في مثل العنب، أو الحلاوة وطيب الأكل في مثل التفاح، أو النضج في مثل البطيخ، أو تناهي عظم بعضه في مثل القنّاء؛ للأخبار المعلّقة للبيع على الإدراك </w:t>
      </w:r>
      <w:r>
        <w:rPr>
          <w:rStyle w:val="FootnoteAnchor"/>
          <w:rtl w:val="true"/>
        </w:rPr>
        <w:footnoteReference w:id="1650"/>
      </w:r>
      <w:r>
        <w:rPr>
          <w:rFonts w:ascii="IRNazanin" w:hAnsi="IRNazanin" w:eastAsia="IRNazanin"/>
          <w:color w:val="111111"/>
          <w:sz w:val="28"/>
          <w:sz w:val="28"/>
          <w:szCs w:val="28"/>
          <w:rtl w:val="true"/>
          <w:lang w:bidi="fa-IR"/>
        </w:rPr>
        <w:t xml:space="preserve">، أو البلوغ </w:t>
      </w:r>
      <w:r>
        <w:rPr>
          <w:rStyle w:val="FootnoteAnchor"/>
          <w:rtl w:val="true"/>
        </w:rPr>
        <w:footnoteReference w:id="1651"/>
      </w:r>
      <w:r>
        <w:rPr>
          <w:rFonts w:ascii="IRNazanin" w:hAnsi="IRNazanin" w:eastAsia="IRNazanin"/>
          <w:color w:val="111111"/>
          <w:sz w:val="28"/>
          <w:sz w:val="28"/>
          <w:szCs w:val="28"/>
          <w:rtl w:val="true"/>
          <w:lang w:bidi="fa-IR"/>
        </w:rPr>
        <w:t xml:space="preserve">أو الطعم </w:t>
      </w:r>
      <w:r>
        <w:rPr>
          <w:rStyle w:val="FootnoteAnchor"/>
          <w:rtl w:val="true"/>
        </w:rPr>
        <w:footnoteReference w:id="1652"/>
      </w:r>
      <w:r>
        <w:rPr>
          <w:rFonts w:ascii="IRNazanin" w:hAnsi="IRNazanin" w:eastAsia="IRNazanin"/>
          <w:color w:val="111111"/>
          <w:sz w:val="28"/>
          <w:sz w:val="28"/>
          <w:szCs w:val="28"/>
          <w:rtl w:val="true"/>
          <w:lang w:bidi="fa-IR"/>
        </w:rPr>
        <w:t xml:space="preserve">أو انعقاد العنب حصرماً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الوسط؛ للعمومات وفتوى المشهور والأصول والقواعد، ويُنزّل ما دلّ على البلوغ والإدراك والتلوّن على الاستحباب، أو على إرادة الظهور وانعقاد الحب من جميع تلك الألفاظ، لعلاقة المقاربة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بعضهم أن بدو الصلاح عبارة عن الأمن من حصول الفساد وعروض الآفة </w:t>
      </w:r>
      <w:r>
        <w:rPr>
          <w:rStyle w:val="FootnoteAnchor"/>
          <w:rtl w:val="true"/>
        </w:rPr>
        <w:footnoteReference w:id="1654"/>
      </w:r>
      <w:r>
        <w:rPr>
          <w:rFonts w:ascii="Amiri" w:hAnsi="Amiri" w:eastAsia="Amiri" w:cs="Amiri"/>
          <w:color w:val="111111"/>
          <w:sz w:val="28"/>
          <w:sz w:val="28"/>
          <w:szCs w:val="28"/>
          <w:rtl w:val="true"/>
          <w:lang w:bidi="ar-SA"/>
        </w:rPr>
        <w:t>للخبر في بيع الثمر،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تثمر وتأمن ثمرتها من الآفة</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ونحوه غيره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أنّه عبارة عمّا طلعت عليه الثريا </w:t>
      </w:r>
      <w:r>
        <w:rPr>
          <w:rStyle w:val="FootnoteAnchor"/>
          <w:rtl w:val="true"/>
        </w:rPr>
        <w:footnoteReference w:id="1657"/>
      </w:r>
      <w:r>
        <w:rPr>
          <w:rFonts w:ascii="Amiri" w:hAnsi="Amiri" w:eastAsia="Amiri" w:cs="Amiri"/>
          <w:color w:val="111111"/>
          <w:sz w:val="28"/>
          <w:sz w:val="28"/>
          <w:szCs w:val="28"/>
          <w:rtl w:val="true"/>
          <w:lang w:bidi="ar-SA"/>
        </w:rPr>
        <w:t xml:space="preserve">لرواية عامية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ضعيفان شاذان لا يقاومان ما دلّت عليه الأخبار المعتضدة بالشهرة والإجماع المنقول، فتنزيلها على المشهور أولى وأرجح، وإلا فلتطرح</w:t>
      </w:r>
      <w:r>
        <w:rPr>
          <w:rFonts w:eastAsia="Amiri" w:cs="Amiri" w:ascii="Amiri" w:hAnsi="Amiri"/>
          <w:color w:val="111111"/>
          <w:sz w:val="28"/>
          <w:szCs w:val="28"/>
          <w:rtl w:val="true"/>
          <w:lang w:bidi="ar-SA"/>
        </w:rPr>
        <w:t xml:space="preserve">. </w:t>
      </w:r>
      <w:bookmarkStart w:id="763" w:name="pg19000_245617"/>
    </w:p>
    <w:p>
      <w:pPr>
        <w:pStyle w:val="Heading5"/>
        <w:numPr>
          <w:ilvl w:val="4"/>
          <w:numId w:val="1"/>
        </w:numPr>
        <w:rPr/>
      </w:pPr>
      <w:bookmarkStart w:id="764" w:name="__RefHeading___Toc13372674_1280447820"/>
      <w:bookmarkStart w:id="765" w:name="_Toc283"/>
      <w:bookmarkEnd w:id="763"/>
      <w:bookmarkEnd w:id="764"/>
      <w:r>
        <w:rPr>
          <w:rtl w:val="true"/>
        </w:rPr>
        <w:t>خامسها</w:t>
      </w:r>
      <w:r>
        <w:rPr>
          <w:rtl w:val="true"/>
        </w:rPr>
        <w:t xml:space="preserve">: </w:t>
      </w:r>
      <w:r>
        <w:rPr>
          <w:rtl w:val="true"/>
        </w:rPr>
        <w:t>جواز بيع ثمر النخل وغيره بعد الظهور مع انضمام شيء إليها</w:t>
      </w:r>
      <w:bookmarkEnd w:id="765"/>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ثمر النخل وغيره بعد الظهور مع انضمام شيء إليها تابعاً أو متبوعاً، ولكن بحيث يجوز بيعه منفرداً ومع اشتراط القطع في الحال وإن لم يقطع بعد تراضيهما على اشتراطه، أو مع البيع أزيد من سنة، أو مع الجميع بلا خلاف منقول </w:t>
      </w:r>
      <w:r>
        <w:rPr>
          <w:rStyle w:val="FootnoteAnchor"/>
          <w:rtl w:val="true"/>
        </w:rPr>
        <w:footnoteReference w:id="1659"/>
      </w:r>
      <w:r>
        <w:rPr>
          <w:rFonts w:ascii="Amiri" w:hAnsi="Amiri" w:eastAsia="Amiri" w:cs="Amiri"/>
          <w:color w:val="111111"/>
          <w:sz w:val="28"/>
          <w:sz w:val="28"/>
          <w:szCs w:val="28"/>
          <w:rtl w:val="true"/>
          <w:lang w:bidi="ar-SA"/>
        </w:rPr>
        <w:t xml:space="preserve">بل الإجماع محصل عليه، وللأخبار العامة </w:t>
      </w:r>
      <w:r>
        <w:rPr>
          <w:rStyle w:val="FootnoteAnchor"/>
          <w:rtl w:val="true"/>
        </w:rPr>
        <w:footnoteReference w:id="1660"/>
      </w:r>
      <w:r>
        <w:rPr>
          <w:rFonts w:ascii="Amiri" w:hAnsi="Amiri" w:eastAsia="Amiri" w:cs="Amiri"/>
          <w:color w:val="111111"/>
          <w:sz w:val="28"/>
          <w:sz w:val="28"/>
          <w:szCs w:val="28"/>
          <w:rtl w:val="true"/>
          <w:lang w:bidi="ar-SA"/>
        </w:rPr>
        <w:t>والأصول والقواعد من غير معارض سوى ما يتوهم من إطلاق الأخبار المانعة، وهو ضعيف؛ لانصرافها لغير ما جمع أحد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من جواز البيع مع الضميمة قبل الظهور</w:t>
      </w:r>
      <w:r>
        <w:rPr>
          <w:rStyle w:val="FootnoteAnchor"/>
          <w:rtl w:val="true"/>
        </w:rPr>
        <w:footnoteReference w:id="1661"/>
      </w:r>
      <w:r>
        <w:rPr>
          <w:rFonts w:ascii="Amiri" w:hAnsi="Amiri" w:eastAsia="Amiri" w:cs="Amiri"/>
          <w:color w:val="111111"/>
          <w:sz w:val="28"/>
          <w:sz w:val="28"/>
          <w:szCs w:val="28"/>
          <w:rtl w:val="true"/>
          <w:lang w:bidi="ar-SA"/>
        </w:rPr>
        <w:t xml:space="preserve">، فيسري لما بعده بالطريق الأولى إن جوّزنا الأولوية مع عدم ثبوت حكم الأصل، وإن أريد بالطلوع بدو الصلاح كان نصاً في المطلوب، وإلى ما ورد من جواز البيع سنتين قبل البلوغ كما في بعضها </w:t>
      </w:r>
      <w:r>
        <w:rPr>
          <w:rStyle w:val="FootnoteAnchor"/>
          <w:rtl w:val="true"/>
        </w:rPr>
        <w:footnoteReference w:id="1662"/>
      </w:r>
      <w:r>
        <w:rPr>
          <w:rFonts w:ascii="Amiri" w:hAnsi="Amiri" w:eastAsia="Amiri" w:cs="Amiri"/>
          <w:color w:val="111111"/>
          <w:sz w:val="28"/>
          <w:sz w:val="28"/>
          <w:szCs w:val="28"/>
          <w:rtl w:val="true"/>
          <w:lang w:bidi="ar-SA"/>
        </w:rPr>
        <w:t xml:space="preserve">، أو الطلوع كما في آخر </w:t>
      </w:r>
      <w:r>
        <w:rPr>
          <w:rStyle w:val="FootnoteAnchor"/>
          <w:rtl w:val="true"/>
        </w:rPr>
        <w:footnoteReference w:id="1663"/>
      </w:r>
      <w:r>
        <w:rPr>
          <w:rFonts w:ascii="Amiri" w:hAnsi="Amiri" w:eastAsia="Amiri" w:cs="Amiri"/>
          <w:color w:val="111111"/>
          <w:sz w:val="28"/>
          <w:sz w:val="28"/>
          <w:szCs w:val="28"/>
          <w:rtl w:val="true"/>
          <w:lang w:bidi="ar-SA"/>
        </w:rPr>
        <w:t>، أو بشرط القطع كما في ثالث على ما قيل</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الاشتراط في اشتراط القطع هو كونه مما ينتفع به بعده في العادة، وإلا عُد سفهاً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بالمجمع عليه بيع الثمرة على مالك الأصل، أو بيع الأصل مع استثناء الثمرة؛ لعدم دليل عليه في الأوَّل، وعدم دخوله في بيع الثمار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بيعت الثمرة مع الأصل، كان من موارد الإجماع؛ لدخوله في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 الثمرة بعد الظهور قبل بدو الصلاح بدون أحد الأمور المذكورة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للإجماع المنقول </w:t>
      </w:r>
      <w:r>
        <w:rPr>
          <w:rStyle w:val="FootnoteAnchor"/>
          <w:rtl w:val="true"/>
        </w:rPr>
        <w:footnoteReference w:id="1665"/>
      </w:r>
      <w:r>
        <w:rPr>
          <w:rFonts w:ascii="Amiri" w:hAnsi="Amiri" w:eastAsia="Amiri" w:cs="Amiri"/>
          <w:color w:val="111111"/>
          <w:sz w:val="28"/>
          <w:sz w:val="28"/>
          <w:szCs w:val="28"/>
          <w:rtl w:val="true"/>
          <w:lang w:bidi="ar-SA"/>
        </w:rPr>
        <w:t>وفتوى المشهور ولاحتمال الضرر، وخوف النزاع والشقاق؛ لأن المقصود بالأصالة معدوم فيشبه بيع المعدوم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وللأخبار الخاصة المتكثّرة،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والموثق عن الفاكهة متى يحلّ بيعها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فاكهة كثيرة في موضع واحد فأطعم بعضها فقد حلّ بيع الفاكهة كلّها</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تلك الأرض بيع له غلّة قد أدركت فبيع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فى النخل وفيه البسر الأخضر،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يتلوّن</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تشتره حتّى يتبين صلاحه</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يشترى حتّى يبلغ</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تباع الثمار حتّى تزهو</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يزهو قلت وما الزهو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يحمر ويصفر</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دلّ على أنّ المجوّز للبيع هو بدو الصلاح وإن اختلف التعبير عنه بلوازمه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على كراهية؛ للأصل وعمومات الأدلّة، ولجواز بيع الخضر والفواكه قبل التلوّن وبدو الصلاح، والظاهر اتحادهما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ولخصوص الصحيح المصرّح بالكراهة في بيعها عاماً واحداً قبل ظهورها </w:t>
      </w:r>
      <w:r>
        <w:rPr>
          <w:rStyle w:val="FootnoteAnchor"/>
          <w:rtl w:val="true"/>
        </w:rPr>
        <w:footnoteReference w:id="1675"/>
      </w:r>
      <w:r>
        <w:rPr>
          <w:rFonts w:ascii="IRNazanin" w:hAnsi="IRNazanin" w:eastAsia="IRNazanin"/>
          <w:color w:val="111111"/>
          <w:sz w:val="28"/>
          <w:sz w:val="28"/>
          <w:szCs w:val="28"/>
          <w:rtl w:val="true"/>
          <w:lang w:bidi="fa-IR"/>
        </w:rPr>
        <w:t>، وظاهر</w:t>
      </w:r>
    </w:p>
    <w:p>
      <w:pPr>
        <w:pStyle w:val="BookText"/>
        <w:rPr/>
      </w:pPr>
      <w:r>
        <w:rPr>
          <w:rFonts w:ascii="Amiri" w:hAnsi="Amiri" w:eastAsia="Amiri" w:cs="Amiri"/>
          <w:color w:val="111111"/>
          <w:sz w:val="28"/>
          <w:sz w:val="28"/>
          <w:szCs w:val="28"/>
          <w:rtl w:val="true"/>
          <w:lang w:bidi="ar-SA"/>
        </w:rPr>
        <w:t xml:space="preserve">الكراهة هى لا الكراهة المصطلحة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فنهاهم عن ذلك ولم يحرمه</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الأخير ضعيف لا يقاوم الأوّل؛ لقوته عليه، والأصل مقطوع، والعمومات </w:t>
      </w:r>
      <w:bookmarkStart w:id="766" w:name="pg19000_245619"/>
    </w:p>
    <w:p>
      <w:pPr>
        <w:pStyle w:val="BookText"/>
        <w:rPr/>
      </w:pPr>
      <w:bookmarkEnd w:id="766"/>
      <w:r>
        <w:rPr>
          <w:rFonts w:ascii="Amiri" w:hAnsi="Amiri" w:eastAsia="Amiri" w:cs="Amiri"/>
          <w:color w:val="111111"/>
          <w:sz w:val="28"/>
          <w:sz w:val="28"/>
          <w:szCs w:val="28"/>
          <w:rtl w:val="true"/>
          <w:lang w:bidi="ar-SA"/>
        </w:rPr>
        <w:t>مخصصة، والخبر متروك الظاهر إن أُريد من الطلوع مجرد الظهور، ومحمول على إرادة الحرمة من لفظ الكراهة؛ جمعاً بينه وبين ظواهر باقي الأخبار ومشهور الأصحاب إن أُريد من الطلوع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 قرينةً على إرادة الكراهة بالمعنى المصطلح محمول على البيع سنتين بقرينة أن الممنوع منه عند العامة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بالتفصيل بين السلامة إلى أوان البلوغ فالصحّة على وجه الكشف أو النقل، وبين عدمها فالفساد على وجه الكشف أو النقل خال عن الدليل وشاذ بين الأصحاب، ومعارض للأدلة المتقدّمة، فلا يلتفت إليه</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3372676_1280447820"/>
      <w:bookmarkStart w:id="768" w:name="_Toc284"/>
      <w:bookmarkEnd w:id="767"/>
      <w:r>
        <w:rPr>
          <w:rtl w:val="true"/>
        </w:rPr>
        <w:t>سادسها</w:t>
      </w:r>
      <w:r>
        <w:rPr>
          <w:rtl w:val="true"/>
        </w:rPr>
        <w:t xml:space="preserve">: </w:t>
      </w:r>
      <w:r>
        <w:rPr>
          <w:rtl w:val="true"/>
        </w:rPr>
        <w:t>فيما لو أدرك بعض ثمرة النخلة أو بعض ثمرة بستان واحد جاز بيعها أجمع</w:t>
      </w:r>
      <w:bookmarkEnd w:id="768"/>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بعض ثمرة النخلة أو بعض ثمرة بستان واحد جاز بيعها أجمع، اتحد جنس ما أدرك مع ما لم يدرك أم اختلف؛ للإجماع بقسميه </w:t>
      </w:r>
      <w:r>
        <w:rPr>
          <w:rStyle w:val="FootnoteAnchor"/>
          <w:rtl w:val="true"/>
        </w:rPr>
        <w:footnoteReference w:id="1677"/>
      </w:r>
      <w:r>
        <w:rPr>
          <w:rFonts w:ascii="Amiri" w:hAnsi="Amiri" w:eastAsia="Amiri" w:cs="Amiri"/>
          <w:color w:val="111111"/>
          <w:sz w:val="28"/>
          <w:sz w:val="28"/>
          <w:szCs w:val="28"/>
          <w:rtl w:val="true"/>
          <w:lang w:bidi="ar-SA"/>
        </w:rPr>
        <w:t>على الظاهر، ولمكان الضميمة المتقدم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تلك الأرض بيع له غلّة قد أدركت فبيع ذلك كله حلال</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التفاوت بين أن يكون ما أدرك مقصوداً أصالة أو تبعاً أو معادلاً؛ لإطلاق النصّ والفتوى، ولقضاء العموم بجواز بيع ما لم يدرك كما أدرك، خرج عنه المجرّد عن الضميمة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كون الضميمة مما يتموّل عادةً ويقابل بعوض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جواز ضم ثمرة بستان آخر لم يدرك إلى بعض ثمرة بستان قد أدرك مع الاتحاد والاختلاف؛ تمسكاً بالأصل وقاعدة الجواز، مع عدم المعارض من غرر وجهالة محققين، سوى الأخبار المانعة عن بيع الثمرة قبل بدو الصلاح </w:t>
      </w:r>
      <w:r>
        <w:rPr>
          <w:rStyle w:val="FootnoteAnchor"/>
          <w:rtl w:val="true"/>
        </w:rPr>
        <w:footnoteReference w:id="1680"/>
      </w:r>
      <w:r>
        <w:rPr>
          <w:rFonts w:ascii="Amiri" w:hAnsi="Amiri" w:eastAsia="Amiri" w:cs="Amiri"/>
          <w:color w:val="111111"/>
          <w:sz w:val="28"/>
          <w:sz w:val="28"/>
          <w:szCs w:val="28"/>
          <w:rtl w:val="true"/>
          <w:lang w:bidi="ar-SA"/>
        </w:rPr>
        <w:t>، وهي منصرفة بحكم التبادر لغير ما ضم إليه ضميمة من ثمر مدرك أو غيره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المنع؛ تمسكاً بإطلاق أخبار المنع خرج منها ضميمة البستان الواحد وبقي </w:t>
      </w:r>
      <w:bookmarkStart w:id="769" w:name="pg19000_245620"/>
    </w:p>
    <w:p>
      <w:pPr>
        <w:pStyle w:val="BookText"/>
        <w:rPr/>
      </w:pPr>
      <w:bookmarkEnd w:id="769"/>
      <w:r>
        <w:rPr>
          <w:rFonts w:ascii="Amiri" w:hAnsi="Amiri" w:eastAsia="Amiri" w:cs="Amiri"/>
          <w:color w:val="111111"/>
          <w:sz w:val="28"/>
          <w:sz w:val="28"/>
          <w:szCs w:val="28"/>
          <w:rtl w:val="true"/>
          <w:lang w:bidi="ar-SA"/>
        </w:rPr>
        <w:t>الباقي، وللموثق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فاكهة كثيرة في موضع واحد فأطعم بعضها فقد حلّ بيع الفاكهة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أنواعاً متفرّقة فلا يباع منها شيء حتّى يطعم كلّ نوع منها واحدة</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لا يخلو من ضعفٍ؛ لانصراف أدلّة المنع لما ذكرنا، ولضعف الموثقة سنداً ودلالة؛ لاشتمالها على ما لا نقول به من اشتراط اتحاد الأنواع، فلا تقاوم ما قدمناه من إطلاق الروايتين المتقدمتين القاضي ثانيهما بالجواز مطلقاً ولو مع تعدد البستان</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3372678_1280447820"/>
      <w:bookmarkStart w:id="771" w:name="_Toc285"/>
      <w:bookmarkEnd w:id="770"/>
      <w:r>
        <w:rPr>
          <w:rtl w:val="true"/>
        </w:rPr>
        <w:t>سابعها</w:t>
      </w:r>
      <w:r>
        <w:rPr>
          <w:rtl w:val="true"/>
        </w:rPr>
        <w:t xml:space="preserve">: </w:t>
      </w:r>
      <w:r>
        <w:rPr>
          <w:rtl w:val="true"/>
        </w:rPr>
        <w:t>عدم الفرق بين ثمر النخل وغيره من ثمر الشجر أو الخضر في المنع من بیعه قبل ظهوره</w:t>
      </w:r>
      <w:bookmarkEnd w:id="77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في مطاوي المباحث المتقدّمة أنّه لا فرق بين ثمر النخل وغيره من ثمر الشجر بل والخضر في الأحكام المتقدّمة من المنع من بيعه قبل ظهوره مطلقاً، ومن جوازه بعد بدو صلاحه مطلقاً، ومن عدم جوازه ما بين الظهور وبدو الصلاح إلا مع اجتماع أحد الأمور المتقدّمة، فلو خلا من أحدها لم يجز بيعه، إلا أن الفرق بينهما إنما يتحقق فيما يتحقق به بدوّ الصلاح في غير النخل، فإن قلنا بتحققه بالظهور نفسه لم تتحقق حينئذٍ واسطة بينهما يتحقق بها المنع من بيعه إلا مع اجتماع أحد الأمور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انعقاد الحبّ وسقوط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الواسطة وجرى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بدو الصلاح أمر وراء ذلك من البلوغ والإطعام والتموه والزهو والتلوّن والنضج وتناهي عظم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كلام بعض أصحابنا </w:t>
      </w:r>
      <w:r>
        <w:rPr>
          <w:rStyle w:val="FootnoteAnchor"/>
          <w:rtl w:val="true"/>
        </w:rPr>
        <w:footnoteReference w:id="1682"/>
      </w:r>
      <w:r>
        <w:rPr>
          <w:rFonts w:ascii="Amiri" w:hAnsi="Amiri" w:eastAsia="Amiri" w:cs="Amiri"/>
          <w:color w:val="111111"/>
          <w:sz w:val="28"/>
          <w:sz w:val="28"/>
          <w:szCs w:val="28"/>
          <w:rtl w:val="true"/>
          <w:lang w:bidi="ar-SA"/>
        </w:rPr>
        <w:t xml:space="preserve">، وتشعر بجملة منها جملة من رواياتنا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تحققت الواسطة البعيدة، إلا أنّ في جريان الحكم السابق عليه لو سُلّم نظراً وتأمّلاً، وذلك لاختصاص الكثير من الروايات المانعة من بيع الثمرة قبل بدو الصلاح على ذلك النحو بثمر النخل، واختصاص فتوى الفقهاء بالمنع، وما نُسب لمشهورهم بها أيضاً، وحينئذٍ فتسريته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الروايات الحاكمة بالعموم، ومع فتوى المشهور على خلاف ذلك؛ لتصريحهم بجواز البيع في غير ثمر النخل بمجرّد الظهور كما في كلام بعض </w:t>
      </w:r>
      <w:r>
        <w:rPr>
          <w:rStyle w:val="FootnoteAnchor"/>
          <w:rtl w:val="true"/>
        </w:rPr>
        <w:footnoteReference w:id="1684"/>
      </w:r>
      <w:r>
        <w:rPr>
          <w:rFonts w:ascii="Amiri" w:hAnsi="Amiri" w:eastAsia="Amiri" w:cs="Amiri"/>
          <w:color w:val="111111"/>
          <w:sz w:val="28"/>
          <w:sz w:val="28"/>
          <w:szCs w:val="28"/>
          <w:rtl w:val="true"/>
          <w:lang w:bidi="ar-SA"/>
        </w:rPr>
        <w:t xml:space="preserve">أو بمجرد انعقاد الحبّ وتناثر الورد كما في كلام بعض آخر </w:t>
      </w:r>
      <w:r>
        <w:rPr>
          <w:rStyle w:val="FootnoteAnchor"/>
          <w:rtl w:val="true"/>
        </w:rPr>
        <w:footnoteReference w:id="1685"/>
      </w:r>
      <w:r>
        <w:rPr>
          <w:rFonts w:ascii="Amiri" w:hAnsi="Amiri" w:eastAsia="Amiri" w:cs="Amiri"/>
          <w:color w:val="111111"/>
          <w:sz w:val="28"/>
          <w:sz w:val="28"/>
          <w:szCs w:val="28"/>
          <w:rtl w:val="true"/>
          <w:lang w:bidi="ar-SA"/>
        </w:rPr>
        <w:t xml:space="preserve">، ومع عمومات الأدلّة القاضية </w:t>
      </w:r>
      <w:bookmarkStart w:id="772" w:name="pg19000_245621"/>
    </w:p>
    <w:p>
      <w:pPr>
        <w:pStyle w:val="BookText"/>
        <w:rPr/>
      </w:pPr>
      <w:bookmarkEnd w:id="772"/>
      <w:r>
        <w:rPr>
          <w:rFonts w:ascii="Amiri" w:hAnsi="Amiri" w:eastAsia="Amiri" w:cs="Amiri"/>
          <w:color w:val="111111"/>
          <w:sz w:val="28"/>
          <w:sz w:val="28"/>
          <w:szCs w:val="28"/>
          <w:rtl w:val="true"/>
          <w:lang w:bidi="ar-SA"/>
        </w:rPr>
        <w:t xml:space="preserve">بجواز البيع مطلقاً وكذا الأصول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 وبعيدة عن الصواب، فليحمل ما دلّ على تسرية الحكم وتساويه من الأخبار على الاستحباب، لا على جهة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جواز بيع الخضر وما شابهها بعد ظهورها وانعقادها مطلقاً، ولا يفتقر فيها إلى تناثر الورد؛ لورود الرواية به في ثمرة الشجر </w:t>
      </w:r>
      <w:r>
        <w:rPr>
          <w:rStyle w:val="FootnoteAnchor"/>
          <w:rtl w:val="true"/>
        </w:rPr>
        <w:footnoteReference w:id="1686"/>
      </w:r>
      <w:r>
        <w:rPr>
          <w:rFonts w:ascii="Amiri" w:hAnsi="Amiri" w:eastAsia="Amiri" w:cs="Amiri"/>
          <w:color w:val="111111"/>
          <w:sz w:val="28"/>
          <w:sz w:val="28"/>
          <w:szCs w:val="28"/>
          <w:rtl w:val="true"/>
          <w:lang w:bidi="ar-SA"/>
        </w:rPr>
        <w:t xml:space="preserve">، ولا يجوز بيعها قبل ظهورها مطلقاً، ظهرت الأصول أم لا، ظهر الورد فيها أم لا، إلا إذا كانت الثمرة هي نفس الورد، كلّ ذلك لأدلة نفي الضرر والغرر </w:t>
      </w:r>
      <w:r>
        <w:rPr>
          <w:rStyle w:val="FootnoteAnchor"/>
          <w:rtl w:val="true"/>
        </w:rPr>
        <w:footnoteReference w:id="1687"/>
      </w:r>
      <w:r>
        <w:rPr>
          <w:rFonts w:ascii="Amiri" w:hAnsi="Amiri" w:eastAsia="Amiri" w:cs="Amiri"/>
          <w:color w:val="111111"/>
          <w:sz w:val="28"/>
          <w:sz w:val="28"/>
          <w:szCs w:val="28"/>
          <w:rtl w:val="true"/>
          <w:lang w:bidi="ar-SA"/>
        </w:rPr>
        <w:t>، ولزوم بيع المعدوم، ولا تضر جهالة الثمرة ما دامت في الكمام؛ لأصالة الصحّة وابتناء بيعها على ذلك، كبيع فأرة المسك</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3372680_1280447820"/>
      <w:bookmarkStart w:id="774" w:name="_Toc286"/>
      <w:bookmarkEnd w:id="773"/>
      <w:r>
        <w:rPr>
          <w:rtl w:val="true"/>
        </w:rPr>
        <w:t>ثامنها</w:t>
      </w:r>
      <w:r>
        <w:rPr>
          <w:rtl w:val="true"/>
        </w:rPr>
        <w:t xml:space="preserve">: </w:t>
      </w:r>
      <w:r>
        <w:rPr>
          <w:rtl w:val="true"/>
        </w:rPr>
        <w:t>جواز بيع حب الزرع بعد ظهوره وبيع الزرع نفسه وبيعه بعد ظهوره</w:t>
      </w:r>
      <w:bookmarkEnd w:id="774"/>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حبّ الزرع بعد ظهوره مطلقاً؛ لعموم الأدلّة، وأصالة عدم اشتراطه بما اشترطنا به بيع الثمر، ولا يجوز قبله؛ لما قدمنا من الأدلّة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الزرع نفسه ولو كان تحت الأرض في وجه قوي، وأما الصلح عليه فلا إشكال فيه، وقبل خروجه من البذر لا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الصلح عليه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بيعه بعد ظهوره سنبلاً أم لا، انعقد فيه الحب أم لا، دخل بيع الحبّ فيه أم لا، اشترط قطعه أم لا، قائماً أو حصيداً، متفرّقاً أو كديساً، بيدراً أو مديساً، مفصولاً من التبن أو مختلطاً، مستوراً حبّه أو ظاهراً،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الانفصال عن التبن يعود إلى حكم المكيل والموزون، كلّ ذلك لعموم الأدلّة جنساً ونوعاً، ولفتوى الأصحاب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ولأخبار الباب النافية للبأس عن شراء الزرع الأخضر في الصحيحين، وفي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تحصده إن شئت أو تعلفه قبل أن يسنبل وهو حشيش</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تركته حتّى تحصده وإن شئت بعته حشيشاً</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حصيد الحنطة والشعير وسائر الحصائد،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بيعه فليبعه بما شاء</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bookmarkStart w:id="775" w:name="pg19000_245622"/>
    </w:p>
    <w:p>
      <w:pPr>
        <w:pStyle w:val="BookText"/>
        <w:rPr/>
      </w:pPr>
      <w:bookmarkEnd w:id="775"/>
      <w:r>
        <w:rPr>
          <w:rFonts w:ascii="Amiri" w:hAnsi="Amiri" w:eastAsia="Amiri" w:cs="Amiri"/>
          <w:color w:val="111111"/>
          <w:sz w:val="28"/>
          <w:sz w:val="28"/>
          <w:szCs w:val="28"/>
          <w:rtl w:val="true"/>
          <w:lang w:bidi="ar-SA"/>
        </w:rPr>
        <w:t xml:space="preserve">وعن المقنع اشتراط بيع الزرع سنبلاً أو كونه للقصيل </w:t>
      </w:r>
      <w:r>
        <w:rPr>
          <w:rStyle w:val="FootnoteAnchor"/>
          <w:rtl w:val="true"/>
        </w:rPr>
        <w:footnoteReference w:id="1692"/>
      </w:r>
      <w:r>
        <w:rPr>
          <w:rFonts w:ascii="Amiri" w:hAnsi="Amiri" w:eastAsia="Amiri" w:cs="Amiri"/>
          <w:color w:val="111111"/>
          <w:sz w:val="28"/>
          <w:sz w:val="28"/>
          <w:szCs w:val="28"/>
          <w:rtl w:val="true"/>
          <w:lang w:bidi="ar-SA"/>
        </w:rPr>
        <w:t>،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الحنطة والشعير أشتري زرعه قبل أن يسنبل وهو حشيش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يشتريه لقصيل يعلفه الدواب ثمّ يتركه إن شاء حتّى يسنبل</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لضعف سنده و شذوذه، فلا يقاوم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الزرع ما لم يسنبل، فإذا كنت تشتري أصله فلا بأس</w:t>
      </w:r>
      <w:r>
        <w:rPr>
          <w:rFonts w:eastAsia="Amiri" w:cs="Amiri" w:ascii="Amiri" w:hAnsi="Amiri"/>
          <w:color w:val="111111"/>
          <w:sz w:val="28"/>
          <w:szCs w:val="28"/>
          <w:rtl w:val="true"/>
          <w:lang w:bidi="ar-SA"/>
        </w:rPr>
        <w:t xml:space="preserve">» </w:t>
      </w:r>
      <w:r>
        <w:rPr>
          <w:rStyle w:val="FootnoteAnchor"/>
          <w:rtl w:val="true"/>
        </w:rPr>
        <w:footnoteReference w:id="1694"/>
      </w:r>
      <w:r>
        <w:rPr>
          <w:rFonts w:ascii="IRNazanin" w:hAnsi="IRNazanin" w:eastAsia="IRNazanin"/>
          <w:color w:val="111111"/>
          <w:sz w:val="28"/>
          <w:sz w:val="28"/>
          <w:szCs w:val="28"/>
          <w:rtl w:val="true"/>
          <w:lang w:bidi="fa-IR"/>
        </w:rPr>
        <w:t>یراد به الحب قبل ظهوره كما هو ظاهر سياقه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النصوص والفتاوى هو استحقاق المشتري الصبر على البائع في إبقائه إلى أوان قطعه، أطلق أو اشترط، ما لم يشترط القطع، ولا تضر الجهالة؛ لعدم الغرر عرفاً لمكان العادة، ولكون ذلك من التوابع العقدية أو الأحكام الشرعيَّة، فلا يلزم فيها العلم بكل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ورد في الموثق عن شراء القصيل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اشترط عليه الإبقاء حين اشتراه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قصيلاً، وإن شاء تركه كما هو حتّى يكون سنبلاً، وإلا فلا ينبغي له أن يتركه حتّى يسنبل</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 وهو منافٍ لما قدمناه، فلا بد من حمله على الكراهة أو استحباب القطع كما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شرائه بشرط القصل بعيد عن سياقه، ولا دلالة في شرائه قصيلاً على ذلك؛ للفرق بين شرائه قصيلاً وشرائه بشرط القصل</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3372682_1280447820"/>
      <w:bookmarkStart w:id="777" w:name="_Toc287"/>
      <w:bookmarkEnd w:id="776"/>
      <w:r>
        <w:rPr>
          <w:rtl w:val="true"/>
        </w:rPr>
        <w:t>تاسعها</w:t>
      </w:r>
      <w:r>
        <w:rPr>
          <w:rtl w:val="true"/>
        </w:rPr>
        <w:t xml:space="preserve">: </w:t>
      </w:r>
      <w:r>
        <w:rPr>
          <w:rtl w:val="true"/>
        </w:rPr>
        <w:t>عدم جواز بيع الخضر قبل ظهورها وجوازه بعده</w:t>
      </w:r>
      <w:bookmarkEnd w:id="77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الخضر قبل ظهورها، ويجوز بعده على وجه الإطلاق على الأظهر، فإن كان مما يلتقط جاز بيعه لقطة ولقطات متعدّدة، ولكن يشترط علم العدد فيها، وإن كان مما يجز جاز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كالرطبة ونحوها، وهو نبت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جزة وجزات، وإن كان مما يخرط جاز بيعه كذلك خرطة وخرطات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كالحنّاء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ضبط العدد في ذلك كله، ويكون المعدوم منها بمنزلة المعدوم في الثمار يسوغ بيعه بانضمامه إلى الموجود حالة البيع، ولا يتفاوت </w:t>
      </w:r>
      <w:bookmarkStart w:id="778" w:name="pg19000_245623"/>
    </w:p>
    <w:p>
      <w:pPr>
        <w:pStyle w:val="BookText"/>
        <w:rPr/>
      </w:pPr>
      <w:bookmarkEnd w:id="778"/>
      <w:r>
        <w:rPr>
          <w:rFonts w:ascii="Amiri" w:hAnsi="Amiri" w:eastAsia="Amiri" w:cs="Amiri"/>
          <w:color w:val="111111"/>
          <w:sz w:val="28"/>
          <w:sz w:val="28"/>
          <w:szCs w:val="28"/>
          <w:rtl w:val="true"/>
          <w:lang w:bidi="ar-SA"/>
        </w:rPr>
        <w:t>بين كون المتجددة من جنس الخارجة أم من غيره، والمرجع في اللقطة إلى العرف، فما دلّ على صلاحيته للقطع يقطع، وما دلّ على عدمه لصغره أو شكّ فيه بقي إلى أن يصلح للقطع إن دخل في البيع عرفاً، وإن اختص البيع بما يُقطع عرفاً حين العقد بقي ما لم يصلح للقطع على ملك مالكه كلّ ذلك للإجماع، والأخبار الخاصة، فمنها عن ورق الشجر هل يصلح شراؤه ثلاث خرطات أو أربع خرطات،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الورق في شجر فاشتر ما شئت منه من خرطة</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بيعها خرطات أو جزات ونحوها قبل ظهور الأولى، ولا بيع الخرطات المتأخرة من دون ضميمة الخرطة الموجودة إليها في البيع؛ لمكان الغرر والضرر، ولأنّه بيع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جوّز ذلك</w:t>
      </w:r>
      <w:r>
        <w:rPr>
          <w:rStyle w:val="FootnoteAnchor"/>
          <w:rtl w:val="true"/>
        </w:rPr>
        <w:footnoteReference w:id="1697"/>
      </w:r>
      <w:r>
        <w:rPr>
          <w:rFonts w:ascii="IRNazanin" w:hAnsi="IRNazanin" w:eastAsia="IRNazanin"/>
          <w:color w:val="111111"/>
          <w:sz w:val="28"/>
          <w:sz w:val="28"/>
          <w:szCs w:val="28"/>
          <w:rtl w:val="true"/>
          <w:lang w:bidi="fa-IR"/>
        </w:rPr>
        <w:t>، وهو محجوج بما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 الموثق عن الرطبة يبيعها هذه الجزة وكذا وكذا جزة بعدها،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يبيع الحنّاء كذا وكذا خرطة</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محمول على ما ذكرنا، بل ظاهره ذلك، فلا يصلح الاستناد إليه في مخالفة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اشتراط قابلية الخرط والجز للخرطة الأولى والجزة الأولى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اختلطت خرطات المشتري مع خرطات البائع ولم يمكن التمييز، فالصلح الاختياري أو القهري، والقرعة على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النزاع في دخول شيءٍ من مال البائع في مال المشتري، كان القول قول المشتري</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13372684_1280447820"/>
      <w:bookmarkStart w:id="780" w:name="_Toc288"/>
      <w:bookmarkEnd w:id="779"/>
      <w:r>
        <w:rPr>
          <w:rtl w:val="true"/>
        </w:rPr>
        <w:t>عاشرها</w:t>
      </w:r>
      <w:r>
        <w:rPr>
          <w:rtl w:val="true"/>
        </w:rPr>
        <w:t xml:space="preserve">: </w:t>
      </w:r>
      <w:r>
        <w:rPr>
          <w:rtl w:val="true"/>
        </w:rPr>
        <w:t>في بيان حق المارّة</w:t>
      </w:r>
      <w:bookmarkEnd w:id="78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مار بثمرة النخل والفواكه جاز له أن يأكل منها ما لم يضر بها ويقصد، كأن يأكل منها كثيراً بحيث يؤثر فيها أثراً بيناً فيحصل مسمّى الإضرار عرفاً وهو يختلف بكثرة الثمرة وقلتها وكثرة المارّة وقلّتها، وذلك لفتوى المشهور نقلاً </w:t>
      </w:r>
      <w:r>
        <w:rPr>
          <w:rStyle w:val="FootnoteAnchor"/>
          <w:rtl w:val="true"/>
        </w:rPr>
        <w:footnoteReference w:id="1699"/>
      </w:r>
      <w:r>
        <w:rPr>
          <w:rFonts w:ascii="Amiri" w:hAnsi="Amiri" w:eastAsia="Amiri" w:cs="Amiri"/>
          <w:color w:val="111111"/>
          <w:sz w:val="28"/>
          <w:sz w:val="28"/>
          <w:szCs w:val="28"/>
          <w:rtl w:val="true"/>
          <w:lang w:bidi="ar-SA"/>
        </w:rPr>
        <w:t xml:space="preserve">، بل تحصيلاً، وللإجماعات المنقولة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والأخبار المستفيضة المنجبرة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كالصحيح عن الرجل يمر بالنخل والسنبل والثمرة، أفيجوز له أن يأكل منها من غير إذن صاحبها في ضرورة أو من غير ضرورة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بالبستان وقد حيط عليه أو لم يحط، هل يجوز له أن يأكل من ثمره وليس يحمله على الأكل من ثمره إلّا الشهوة له وله ما يغنيه عن الأكل من ثمره ؟ وهل له أن يأكل من جوع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يأكل، ولا يحمله ولا يفسده</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بالثمرة فآكل منها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ولا تحمل</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يمرّ على الثمرة ويأكل منها ولا يفسد</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وألحق بثمرة النخل والشجر الزرعُ والخضر؛ لعموم الأدلّة، وربما نُسب </w:t>
      </w:r>
      <w:r>
        <w:rPr>
          <w:rStyle w:val="FootnoteAnchor"/>
          <w:rtl w:val="true"/>
        </w:rPr>
        <w:footnoteReference w:id="1705"/>
      </w:r>
      <w:r>
        <w:rPr>
          <w:rFonts w:ascii="Amiri" w:hAnsi="Amiri" w:eastAsia="Amiri" w:cs="Amiri"/>
          <w:color w:val="111111"/>
          <w:sz w:val="28"/>
          <w:sz w:val="28"/>
          <w:szCs w:val="28"/>
          <w:rtl w:val="true"/>
          <w:lang w:bidi="ar-SA"/>
        </w:rPr>
        <w:t xml:space="preserve">للمشهور، ونُقل عليه الإجماع </w:t>
      </w:r>
      <w:r>
        <w:rPr>
          <w:rStyle w:val="FootnoteAnchor"/>
          <w:rtl w:val="true"/>
        </w:rPr>
        <w:footnoteReference w:id="17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 الإلحاق قوم آخرون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الجواز فلا ضمان على الأكل قطعاً؛ لظاهر نفي البأس في الأخبار، ولظاهر الإذن الشرعيَّة فيه من دون ذكر الضمان في مقام البيان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أفسد ضمن ما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مع ضمان الكل، واحتمال أنّه إن نوى في الابتداء الإفساد حرم عليه الكلّ وضمنه وإن لم يَنْوِ وحصل بالعارض ضمن ما حصل به الفساد وحرم، وهذا هو الأقوى، بل لو نوى الإفساد ابتداءً حرم عليه التصرف وضمن ما أكله وإن لم يتحقق به الإفساد على الأظهر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الحكم مخالفاً للقواعد لزم الاقتصار على المورد اليقيني من الأخبار وفتاوى الأخيار، فلا يحل له إلا أن يكون المرور اتفاقيّاً لا بقصد الأكل كما يظهر من الأخبار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أن يكون القصد مشتركاً بين الأكل والمرور، وأن يكون المقصد ما فوق مكان الثمرة كما يظهر من لفظ المرور، ولا يكون المقصد بمكانها، وإلا فلا يحلّ، وأن لا يعلم نهى المالك بل ولا يظنّه، وإنّما يظنّ الرخصة أو يشكّ فيها، وأن تكون الثمرة على الشجرة وما شابهها، فلو اقتطعت لم يحلّ، وأن لا يحمل منها شيئاً ليخرج به فيأكل ما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أكل فحمل حلّ له الأكل وحرم الحمل وضمنه، وأن يكون الأكل مسلماً إذا كان صاحب الثمرة كذلك في وجه، وأن يكون مكان الثمرة له باب الدخول والخروج أو بغير حائط، فلو كان محيطاً عليه وقد سدت بابه فلا يجوز أن ينزو الحائط، ولا ينافي ذلك الخبر المتقدم </w:t>
      </w:r>
      <w:r>
        <w:rPr>
          <w:rStyle w:val="FootnoteAnchor"/>
          <w:rtl w:val="true"/>
        </w:rPr>
        <w:footnoteReference w:id="1709"/>
      </w:r>
      <w:r>
        <w:rPr>
          <w:rFonts w:ascii="Amiri" w:hAnsi="Amiri" w:eastAsia="Amiri" w:cs="Amiri"/>
          <w:color w:val="111111"/>
          <w:sz w:val="28"/>
          <w:sz w:val="28"/>
          <w:szCs w:val="28"/>
          <w:rtl w:val="true"/>
          <w:lang w:bidi="ar-SA"/>
        </w:rPr>
        <w:t>، وأن لا يأكل زائداً عن شبعه، وأن لا ينوب غيره منابه، وأن لا يفسد قبل الأكل فيحرم بعده، ويضمن في وجه، وأن لا يعلم حصول الإفساد بأكله قبل أكله بكسر غصن أو قلع زرع أو إتلافه، ولو أكل كذلك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أكل فحصل الإفساد بأكله قهراً، ففي ضمانه لما أكل ولما أفسده وجه توافقه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المارة فحصل الإفساد بالأخير حرم عليه دون الأولين، ولو حصل الإفساد بمجموعهم دون انفرادهم، اقترعوا بينهم مع المشاحة، ولو دخل الجميع فأكلوا ضمن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والأحوط المنع على الإطلاق؛ لقضاء العقل والنقل </w:t>
      </w:r>
      <w:r>
        <w:rPr>
          <w:rStyle w:val="FootnoteAnchor"/>
          <w:rtl w:val="true"/>
        </w:rPr>
        <w:footnoteReference w:id="1710"/>
      </w:r>
      <w:r>
        <w:rPr>
          <w:rFonts w:ascii="Amiri" w:hAnsi="Amiri" w:eastAsia="Amiri" w:cs="Amiri"/>
          <w:color w:val="111111"/>
          <w:sz w:val="28"/>
          <w:sz w:val="28"/>
          <w:szCs w:val="28"/>
          <w:rtl w:val="true"/>
          <w:lang w:bidi="ar-SA"/>
        </w:rPr>
        <w:t>بحرمة التصرّف بمال الغير والجور والسرقة والخيانة، ولتأدية ذلك إلى اضمحلال أموال الناس من الثمار الموضوعة في الطرق، واضمحلال الأخماس والزكوات الحاصلة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الأخبار الخاصة، ومنها الصحيح عن الرجل يمرّ بالثمرة من الزرع والنخل والكرم والشجر والمباطخ وغير ذلك من الثمر، أيحل له أن يتناول منه شيئاً ويأكل بغير إذن صاحبه ؟ وكيف حاله إن نهاه صاحب الثمرة ؟ وكم الحد الذي يسعه أن يتناول منه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يمرّ بالسنبل فيأخذ منه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كلّ مَنْ يمرّ يأخذ سنبلة كان لا يبقى شيء</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781" w:name="pg19000_245626"/>
    </w:p>
    <w:p>
      <w:pPr>
        <w:pStyle w:val="BookText"/>
        <w:rPr/>
      </w:pPr>
      <w:bookmarkEnd w:id="781"/>
      <w:r>
        <w:rPr>
          <w:rFonts w:ascii="Amiri" w:hAnsi="Amiri" w:eastAsia="Amiri" w:cs="Amiri"/>
          <w:color w:val="111111"/>
          <w:sz w:val="28"/>
          <w:sz w:val="28"/>
          <w:szCs w:val="28"/>
          <w:rtl w:val="true"/>
          <w:lang w:bidi="ar-SA"/>
        </w:rPr>
        <w:t>وهذه وإن أمكن حملها على الكراهة أو الإفساد أو حالة القطع بعدم الرضى إلا أنّها بضميمة الأصول والقواعد وبضميمة التوقف من تخصيص أدلّة المنع بأخبار الجواز يكون الاحتياط التام التجنّب عن أموال الناس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حصلت الإذن الفحوائية ممّا يفيد الظنّ بها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وضعها في الطريق وعدم التسوّر والتحفظ عليها، وعدم جعل ناطور لها، وغير ذلك مما يفيد المظنة بالرخصة كوضع الأبيات للضيوف والدور الخارجة للمستطرقين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الاذن ممّن له أهلية الإذن، فجواز الأكل مع الشرائط المتقدّمة لا بأس به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3372686_1280447820"/>
      <w:bookmarkStart w:id="783" w:name="_Toc289"/>
      <w:bookmarkEnd w:id="782"/>
      <w:r>
        <w:rPr>
          <w:rtl w:val="true"/>
        </w:rPr>
        <w:t>حادي عشرها حرمة المحاقلة والمزابنة وتفسيرهما</w:t>
      </w:r>
      <w:bookmarkEnd w:id="783"/>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المحاقلة، وهي بيع ثمرة النخل مطلقاً بثمر مطلق منه، أو مطلقاً كما في بعض الأخبار </w:t>
      </w:r>
      <w:r>
        <w:rPr>
          <w:rStyle w:val="FootnoteAnchor"/>
          <w:rtl w:val="true"/>
        </w:rPr>
        <w:footnoteReference w:id="1713"/>
      </w:r>
      <w:r>
        <w:rPr>
          <w:rFonts w:ascii="Amiri" w:hAnsi="Amiri" w:eastAsia="Amiri" w:cs="Amiri"/>
          <w:color w:val="111111"/>
          <w:sz w:val="28"/>
          <w:sz w:val="28"/>
          <w:szCs w:val="28"/>
          <w:rtl w:val="true"/>
          <w:lang w:bidi="ar-SA"/>
        </w:rPr>
        <w:t xml:space="preserve">، أو بيع السنبل بحبّ منه أو مطلقاً كما في بعض الأخبار </w:t>
      </w:r>
      <w:r>
        <w:rPr>
          <w:rStyle w:val="FootnoteAnchor"/>
          <w:rtl w:val="true"/>
        </w:rPr>
        <w:footnoteReference w:id="1714"/>
      </w:r>
      <w:r>
        <w:rPr>
          <w:rFonts w:ascii="Amiri" w:hAnsi="Amiri" w:eastAsia="Amiri" w:cs="Amiri"/>
          <w:color w:val="111111"/>
          <w:sz w:val="28"/>
          <w:sz w:val="28"/>
          <w:szCs w:val="28"/>
          <w:rtl w:val="true"/>
          <w:lang w:bidi="ar-SA"/>
        </w:rPr>
        <w:t xml:space="preserve">، وعبّر به الفقهاء الأخيار، والمزابنة هي الأوّل على ما في بعض الأخبار </w:t>
      </w:r>
      <w:r>
        <w:rPr>
          <w:rStyle w:val="FootnoteAnchor"/>
          <w:rtl w:val="true"/>
        </w:rPr>
        <w:footnoteReference w:id="1715"/>
      </w:r>
      <w:r>
        <w:rPr>
          <w:rFonts w:ascii="Amiri" w:hAnsi="Amiri" w:eastAsia="Amiri" w:cs="Amiri"/>
          <w:color w:val="111111"/>
          <w:sz w:val="28"/>
          <w:sz w:val="28"/>
          <w:szCs w:val="28"/>
          <w:rtl w:val="true"/>
          <w:lang w:bidi="ar-SA"/>
        </w:rPr>
        <w:t xml:space="preserve">وعبّر به الفقهاء الأخيار، أو الثاني على ما في بعض آخر من الأخبار </w:t>
      </w:r>
      <w:r>
        <w:rPr>
          <w:rStyle w:val="FootnoteAnchor"/>
          <w:rtl w:val="true"/>
        </w:rPr>
        <w:footnoteReference w:id="1716"/>
      </w:r>
      <w:r>
        <w:rPr>
          <w:rFonts w:ascii="Amiri" w:hAnsi="Amiri" w:eastAsia="Amiri" w:cs="Amiri"/>
          <w:color w:val="111111"/>
          <w:sz w:val="28"/>
          <w:sz w:val="28"/>
          <w:szCs w:val="28"/>
          <w:rtl w:val="true"/>
          <w:lang w:bidi="ar-SA"/>
        </w:rPr>
        <w:t>، ولا يبعد صحّة إطلاق كلّ منهما على كلّ منهما؛ جمعاً بين ما في الأخبار وما فسره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فهما محرَّمان نصاً </w:t>
      </w:r>
      <w:r>
        <w:rPr>
          <w:rStyle w:val="FootnoteAnchor"/>
          <w:rtl w:val="true"/>
        </w:rPr>
        <w:footnoteReference w:id="1717"/>
      </w:r>
      <w:r>
        <w:rPr>
          <w:rFonts w:ascii="Amiri" w:hAnsi="Amiri" w:eastAsia="Amiri" w:cs="Amiri"/>
          <w:color w:val="111111"/>
          <w:sz w:val="28"/>
          <w:sz w:val="28"/>
          <w:szCs w:val="28"/>
          <w:rtl w:val="true"/>
          <w:lang w:bidi="ar-SA"/>
        </w:rPr>
        <w:t>وفتوى وإجماعاً إذا كان عوض ثمر النخل ثمراً منه، أو كان عوض السنبل حبّاً منه حنطة أو غيرها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الفرق بين أن يكون العوض تمراً أو غيره من ثمر النخل؛ لظاهر الفتوى والإجماع المنقول </w:t>
      </w:r>
      <w:r>
        <w:rPr>
          <w:rStyle w:val="FootnoteAnchor"/>
          <w:rtl w:val="true"/>
        </w:rPr>
        <w:footnoteReference w:id="1718"/>
      </w:r>
      <w:r>
        <w:rPr>
          <w:rFonts w:ascii="Amiri" w:hAnsi="Amiri" w:eastAsia="Amiri" w:cs="Amiri"/>
          <w:color w:val="111111"/>
          <w:sz w:val="28"/>
          <w:sz w:val="28"/>
          <w:szCs w:val="28"/>
          <w:rtl w:val="true"/>
          <w:lang w:bidi="ar-SA"/>
        </w:rPr>
        <w:t xml:space="preserve">، وإن اختص ذكر التمر في الأخبار </w:t>
      </w:r>
      <w:r>
        <w:rPr>
          <w:rStyle w:val="FootnoteAnchor"/>
          <w:rtl w:val="true"/>
        </w:rPr>
        <w:footnoteReference w:id="1719"/>
      </w:r>
      <w:r>
        <w:rPr>
          <w:rFonts w:ascii="Amiri" w:hAnsi="Amiri" w:eastAsia="Amiri" w:cs="Amiri"/>
          <w:color w:val="111111"/>
          <w:sz w:val="28"/>
          <w:sz w:val="28"/>
          <w:szCs w:val="28"/>
          <w:rtl w:val="true"/>
          <w:lang w:bidi="ar-SA"/>
        </w:rPr>
        <w:t>دون غيره، وهو إما منزل على الغالب أو على إطلاق التمر على سائر ثمرة 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فرق في السنبل بين الحنطة وغيرها، وإن ظهر من كثير من الأخبار </w:t>
      </w:r>
      <w:r>
        <w:rPr>
          <w:rStyle w:val="FootnoteAnchor"/>
          <w:rtl w:val="true"/>
        </w:rPr>
        <w:footnoteReference w:id="1720"/>
      </w:r>
      <w:r>
        <w:rPr>
          <w:rFonts w:ascii="Amiri" w:hAnsi="Amiri" w:eastAsia="Amiri" w:cs="Amiri"/>
          <w:color w:val="111111"/>
          <w:sz w:val="28"/>
          <w:sz w:val="28"/>
          <w:szCs w:val="28"/>
          <w:rtl w:val="true"/>
          <w:lang w:bidi="ar-SA"/>
        </w:rPr>
        <w:t>تخصيص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يراد بالزرع في الأخبار </w:t>
      </w:r>
      <w:r>
        <w:rPr>
          <w:rStyle w:val="FootnoteAnchor"/>
          <w:rtl w:val="true"/>
        </w:rPr>
        <w:footnoteReference w:id="1721"/>
      </w:r>
      <w:r>
        <w:rPr>
          <w:rFonts w:ascii="Amiri" w:hAnsi="Amiri" w:eastAsia="Amiri" w:cs="Amiri"/>
          <w:color w:val="111111"/>
          <w:sz w:val="28"/>
          <w:sz w:val="28"/>
          <w:szCs w:val="28"/>
          <w:rtl w:val="true"/>
          <w:lang w:bidi="ar-SA"/>
        </w:rPr>
        <w:t>هو السنبل؛ لأنّه قبله حشيش يباع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عوض الثمر ثمراً أو تمراً من غيره، وعوض السنبل حبّاً من غيره مجانساً له ففي دخولهما في اسم المزابنة والمحاقلة وتحريمهما، أو تحريمهما وإن لم يدخلا في اسمهما، أو عدم دخولهما وعدم تحريمهما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للإجماع المنقول </w:t>
      </w:r>
      <w:r>
        <w:rPr>
          <w:rStyle w:val="FootnoteAnchor"/>
          <w:rtl w:val="true"/>
        </w:rPr>
        <w:footnoteReference w:id="1722"/>
      </w:r>
      <w:r>
        <w:rPr>
          <w:rFonts w:ascii="Amiri" w:hAnsi="Amiri" w:eastAsia="Amiri" w:cs="Amiri"/>
          <w:color w:val="111111"/>
          <w:sz w:val="28"/>
          <w:sz w:val="28"/>
          <w:szCs w:val="28"/>
          <w:rtl w:val="true"/>
          <w:lang w:bidi="ar-SA"/>
        </w:rPr>
        <w:t xml:space="preserve">، والشهرة المنقولة </w:t>
      </w:r>
      <w:r>
        <w:rPr>
          <w:rStyle w:val="FootnoteAnchor"/>
          <w:rtl w:val="true"/>
        </w:rPr>
        <w:footnoteReference w:id="1723"/>
      </w:r>
      <w:r>
        <w:rPr>
          <w:rFonts w:ascii="IRNazanin" w:hAnsi="IRNazanin" w:eastAsia="IRNazanin"/>
          <w:color w:val="111111"/>
          <w:sz w:val="28"/>
          <w:sz w:val="28"/>
          <w:szCs w:val="28"/>
          <w:rtl w:val="true"/>
          <w:lang w:bidi="fa-IR"/>
        </w:rPr>
        <w:t xml:space="preserve">والأخبار </w:t>
      </w:r>
      <w:r>
        <w:rPr>
          <w:rStyle w:val="FootnoteAnchor"/>
          <w:rtl w:val="true"/>
        </w:rPr>
        <w:footnoteReference w:id="1724"/>
      </w:r>
      <w:r>
        <w:rPr>
          <w:rFonts w:ascii="Amiri" w:hAnsi="Amiri" w:eastAsia="Amiri" w:cs="Amiri"/>
          <w:color w:val="111111"/>
          <w:sz w:val="28"/>
          <w:sz w:val="28"/>
          <w:szCs w:val="28"/>
          <w:rtl w:val="true"/>
          <w:lang w:bidi="ar-SA"/>
        </w:rPr>
        <w:t xml:space="preserve">المعتبرة الدالة على أنّهما بيع الزرع وهو في سنبله بالبر، وبيع الثمر في رؤوس النخل بالتمر، والخبر الآمر بشراء الزرع بالورق معلّلاً بأنّ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المشعر بعدم جواز بيعه بطعام،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العرية للرجل تكون في دار رجل آخر فيجوز له أن يبيعها بخرصها تمراً ولا يجوز ذلك في غيره</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وهو نص في المطلوب ولو منعنا بيع العرية بتمر منها، وهذا القول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الثمر بتمر واشترط كونه منها فهل يدخل في المتفق على منعه أو في المختلف فيه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استناداً للأصل والعمومات، وهي مخصصة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الدالة على الجواز،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يشتري زرعاً قد سنبل وبلغ بحنطة</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عن مقاومة ما قدّمنا، مع شموله لما أجمع على خلافه من البيع بحب منه، فحمله على اختلاف الجنس أولى</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حصائد الحنطة والشعير وسائر الحصائد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فليبعه بما شاء</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و شموله للمُجمع على 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اختصاصه بالحصائد وهي غير الزرع، فلعلنا نجوزه فيها دون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جوازه مطلقاً، فيكون من قبيل العام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على أن يعطيه من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فإنّي أشتري منه الأرض بكيل معلوم وحنطة من غيرها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قدمنا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مورده بيع الأرض لا الزرع، والتجوز فيها عنه 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ثمرة نخلك هذا الذي فيها بقفيزين من تمر أو أكثر أو أقل، يُسمّى ما شاء فباعه،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والبسر من نخلة واحدة لا بأس به</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على ما أجمع على بطلانه، سيّما مع التصريح في آخره به، وذلك ممّا يوهنه ويضعفه عن مقاومة 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خمسة عشر وسقاً من تمر وكان له نخل،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في نخلي بتمرك، فأبى،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في نخله بتمرك</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سنداً ودلالةً؛ لعدم التصريح به بالبيع، فلعله كان وفاءً أو صلحاً، ولا شكّ أنّ الممنوع منه في النصّ والفتوى هو البيع دون غيره، كما أنّ الممنوع منه هو ثمرة النخل والزرع دون باقي ثمرات الأشجار، وما لم يُسم زرعاً له سنبل كالبقول والخضروات ونحوها، إلا أن يجيء المنع من جهة اتحاد العوض والمعوّض فيما لو كان البيع بشيءٍ منه، وهو خلاف قواعد المعاوضة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أن المانع من ذلك هو لزوم الربا بين المتجانسين، أو المانع هو بيع الرطب باليابس فيما كان أحدهما رطباً وكان الآخر يابساً ؛ قضاءً للعلة في منع بيع الرطب بالتمر، فهو مردود بما تقدَّم في باب الربا من أنّ الممنوع منه في باب الربا وفي باب بيع الرطب باليابس هو ما كان مقدّراً بالكيل والوزن فعلاً، ولا شكّ أنّ الثمرة على الشجرة والحبّ على الأصول لا يدخله التقدير بوجه من الوجوه</w:t>
      </w:r>
      <w:r>
        <w:rPr>
          <w:rFonts w:eastAsia="Amiri" w:cs="Amiri" w:ascii="Amiri" w:hAnsi="Amiri"/>
          <w:color w:val="111111"/>
          <w:sz w:val="28"/>
          <w:szCs w:val="28"/>
          <w:rtl w:val="true"/>
          <w:lang w:bidi="ar-SA"/>
        </w:rPr>
        <w:t xml:space="preserve">. </w:t>
      </w:r>
      <w:bookmarkStart w:id="784" w:name="pg19000_245629"/>
    </w:p>
    <w:p>
      <w:pPr>
        <w:pStyle w:val="Heading5"/>
        <w:numPr>
          <w:ilvl w:val="4"/>
          <w:numId w:val="1"/>
        </w:numPr>
        <w:rPr/>
      </w:pPr>
      <w:bookmarkStart w:id="785" w:name="__RefHeading___Toc13372688_1280447820"/>
      <w:bookmarkStart w:id="786" w:name="_Toc290"/>
      <w:bookmarkEnd w:id="784"/>
      <w:bookmarkEnd w:id="785"/>
      <w:r>
        <w:rPr>
          <w:rtl w:val="true"/>
        </w:rPr>
        <w:t>ثاني عشرها</w:t>
      </w:r>
      <w:r>
        <w:rPr>
          <w:rtl w:val="true"/>
        </w:rPr>
        <w:t xml:space="preserve">: </w:t>
      </w:r>
      <w:r>
        <w:rPr>
          <w:rtl w:val="true"/>
        </w:rPr>
        <w:t>جواز العرية</w:t>
      </w:r>
      <w:bookmarkEnd w:id="786"/>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حكم المزابنة العرية بالنصّ والإجماع، فيجوز شراؤها بخرصها تمراً، أي بقدرها المخروص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العرايا بأن تشتريها بخرصها تمراً</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والقدر المتيقن جوازه من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العريّة هي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من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دون المتعدّدة، كالكائنة في غير دار المالك فيشتريها صاحب الدار من المالك، وهل يشترط ملك الأصل مع الثمرة، أو يكفي ملك ثمرتها لصاحبها ؟ وجهان، ولا يبعد الأخير، وأن يكون بخرصها دون ما زاد وما نقص تمراً دون غيره، وأن يكون التمر من غيرها 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تعدية الحكم للبستان؛ لظاهر فتوى الأصحاب، والإجماع المنقول </w:t>
      </w:r>
      <w:r>
        <w:rPr>
          <w:rStyle w:val="FootnoteAnchor"/>
          <w:rtl w:val="true"/>
        </w:rPr>
        <w:footnoteReference w:id="1733"/>
      </w:r>
      <w:r>
        <w:rPr>
          <w:rFonts w:ascii="Amiri" w:hAnsi="Amiri" w:eastAsia="Amiri" w:cs="Amiri"/>
          <w:color w:val="111111"/>
          <w:sz w:val="28"/>
          <w:sz w:val="28"/>
          <w:szCs w:val="28"/>
          <w:rtl w:val="true"/>
          <w:lang w:bidi="ar-SA"/>
        </w:rPr>
        <w:t xml:space="preserve">في الباب، وإطلاق بعض الأخبار </w:t>
      </w:r>
      <w:r>
        <w:rPr>
          <w:rStyle w:val="FootnoteAnchor"/>
          <w:rtl w:val="true"/>
        </w:rPr>
        <w:footnoteReference w:id="1734"/>
      </w:r>
      <w:r>
        <w:rPr>
          <w:rFonts w:ascii="Amiri" w:hAnsi="Amiri" w:eastAsia="Amiri" w:cs="Amiri"/>
          <w:color w:val="111111"/>
          <w:sz w:val="28"/>
          <w:sz w:val="28"/>
          <w:szCs w:val="28"/>
          <w:rtl w:val="true"/>
          <w:lang w:bidi="ar-SA"/>
        </w:rPr>
        <w:t xml:space="preserve">، ولما نُقل </w:t>
      </w:r>
      <w:r>
        <w:rPr>
          <w:rStyle w:val="FootnoteAnchor"/>
          <w:rtl w:val="true"/>
        </w:rPr>
        <w:footnoteReference w:id="1735"/>
      </w:r>
      <w:r>
        <w:rPr>
          <w:rFonts w:ascii="Amiri" w:hAnsi="Amiri" w:eastAsia="Amiri" w:cs="Amiri"/>
          <w:color w:val="111111"/>
          <w:sz w:val="28"/>
          <w:sz w:val="28"/>
          <w:szCs w:val="28"/>
          <w:rtl w:val="true"/>
          <w:lang w:bidi="ar-SA"/>
        </w:rPr>
        <w:t>، عن أهل اللغة من العموم لذلك، ويلحق بالبستان الخان ونحوه؛ لبعض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الأقوى تعديته لغير مالك عين الدار من المستأجر وشبهه؛ لبعض ما ذكرنا، وتنقيحاً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تعديته للشجر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فيها مطابقة ثمرتها جافة لثمنها في الواقع، بل يكفي المطابقة في ظنّ الخارص، كما هو المفهوم من النصّ والفتوى فلو زادت عند الجفاف عليه أو نقصت عنه لم يقدح في الصحّة، خلافاً لمن اعتبر المطابقة، وعليه فيحرم التصرّف بالنخلة بالأكل ونحوه قبل الاستعلام وهو 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يشترط فيها التقابض في المجلس، خلافاً لمن اشترطه، وهو ضعيف</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المماثلة بين ثمرة النخلة عند صيرورتها تمراً وبين التمر الذي هو ثمنها، أو المماثلة بين ما عليها رطباً وبين التمر؛ وذلك لاستلزام عدمه بيع الرطب بالتمر متساوياً وهو ممنوع، أو لا يشترط؛ لإطلاق النص، ولأن الممنوع يشترط؛ لإطلاق النص، ولأنّ الممنوع منه هو المقدر كيلاً ووزناً، لا ما كان </w:t>
      </w:r>
      <w:bookmarkStart w:id="787" w:name="pg19000_245630"/>
    </w:p>
    <w:p>
      <w:pPr>
        <w:pStyle w:val="BookText"/>
        <w:rPr/>
      </w:pPr>
      <w:bookmarkEnd w:id="787"/>
      <w:r>
        <w:rPr>
          <w:rFonts w:ascii="Amiri" w:hAnsi="Amiri" w:eastAsia="Amiri" w:cs="Amiri"/>
          <w:color w:val="111111"/>
          <w:sz w:val="28"/>
          <w:sz w:val="28"/>
          <w:szCs w:val="28"/>
          <w:rtl w:val="true"/>
          <w:lang w:bidi="ar-SA"/>
        </w:rPr>
        <w:t xml:space="preserve">على رؤوس النخل ؟ والأخير هو الأقوى، إلّا أنّ الأوّل نُسب للأكثر </w:t>
      </w:r>
      <w:r>
        <w:rPr>
          <w:rStyle w:val="FootnoteAnchor"/>
          <w:rtl w:val="true"/>
        </w:rPr>
        <w:footnoteReference w:id="1736"/>
      </w:r>
      <w:r>
        <w:rPr>
          <w:rFonts w:ascii="Amiri" w:hAnsi="Amiri" w:eastAsia="Amiri" w:cs="Amiri"/>
          <w:color w:val="111111"/>
          <w:sz w:val="28"/>
          <w:sz w:val="28"/>
          <w:szCs w:val="28"/>
          <w:rtl w:val="true"/>
          <w:lang w:bidi="ar-SA"/>
        </w:rPr>
        <w:t>بل للكل</w:t>
      </w:r>
      <w:r>
        <w:rPr>
          <w:rStyle w:val="FootnoteAnchor"/>
          <w:rtl w:val="true"/>
        </w:rPr>
        <w:footnoteReference w:id="1737"/>
      </w:r>
      <w:r>
        <w:rPr>
          <w:rFonts w:ascii="Amiri" w:hAnsi="Amiri" w:eastAsia="Amiri" w:cs="Amiri"/>
          <w:color w:val="111111"/>
          <w:sz w:val="28"/>
          <w:sz w:val="28"/>
          <w:szCs w:val="28"/>
          <w:rtl w:val="true"/>
          <w:lang w:bidi="ar-SA"/>
        </w:rPr>
        <w:t>، فالتعدي عما هم عليه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بيع جزء مشاع منها كبيع كلّها، تنقيحاً للمناط، أو لا اقتصاراً على المنصوص ؟ وهل يشترط اتحاد صاحب الدار ؟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حلول الثمن ؟ ظاهر الأصحاب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ما زاد على الواحدة؛ لظهور الحكم في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بيعها بتمر منها ؟ الظاهر عدم الجواز؛ أخذاً بالقواعد من لزوم تغاير الثمن والمثمن، ونُسب للأصحاب</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13372690_1280447820"/>
      <w:bookmarkStart w:id="789" w:name="_Toc291"/>
      <w:bookmarkEnd w:id="788"/>
      <w:r>
        <w:rPr>
          <w:rtl w:val="true"/>
        </w:rPr>
        <w:t xml:space="preserve">ثالث عشرها </w:t>
      </w:r>
      <w:r>
        <w:rPr>
          <w:rtl w:val="true"/>
        </w:rPr>
        <w:t xml:space="preserve">: </w:t>
      </w:r>
      <w:r>
        <w:rPr>
          <w:rtl w:val="true"/>
        </w:rPr>
        <w:t>حكم ما إذا كان بين اثنين أو جماعة ثمرة نخل أو شجر فتقبل أحدهما بحصة صاحبه بثمن معلوم القدر منها أو من غيرها</w:t>
      </w:r>
      <w:bookmarkEnd w:id="789"/>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اثنين أو جماعة ثمرة نخل أو ثمرة شجر، ملكا الأصول معها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بهما الزرع، ولا يخلو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أحدهما بحصة صاحبه بثمن معلوم القدر منها أو من غيرها، جاز؛ لفتوى المشهور، وظاهر الاتفاق المحصل والمنقول </w:t>
      </w:r>
      <w:r>
        <w:rPr>
          <w:rStyle w:val="FootnoteAnchor"/>
          <w:rtl w:val="true"/>
        </w:rPr>
        <w:footnoteReference w:id="1739"/>
      </w:r>
      <w:r>
        <w:rPr>
          <w:rFonts w:ascii="Amiri" w:hAnsi="Amiri" w:eastAsia="Amiri" w:cs="Amiri"/>
          <w:color w:val="111111"/>
          <w:sz w:val="28"/>
          <w:sz w:val="28"/>
          <w:szCs w:val="28"/>
          <w:rtl w:val="true"/>
          <w:lang w:bidi="ar-SA"/>
        </w:rPr>
        <w:t xml:space="preserve">، عدا الشاذ الذي لا يُعتد به، كابن إدريس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إما أن تأخذ هذا النخل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وتعطيني نصف هذا الكيل زاد أو نقص، وإما أن آخذه أنا بذلك وأردّ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أهل خيبر ثمارهم كذلك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لا إشكال فيه، إنما الإشكال أنّ العقد بذلك النحو هل هو بيع مستثنى من حكم المزابنة والمحاقلة، أو صلح مستثنى من لزوم تغاير الثمن والمثمن لو لزم ذلك في الصلح، ومستثنى من حرمة الربا لو قلنا بجريانه في مثل هذا المقام، أو معاملة جديدة جاء بها الدليل؟ </w:t>
      </w:r>
      <w:bookmarkStart w:id="790" w:name="pg19000_245631"/>
    </w:p>
    <w:p>
      <w:pPr>
        <w:pStyle w:val="BookText"/>
        <w:rPr/>
      </w:pPr>
      <w:bookmarkEnd w:id="790"/>
      <w:r>
        <w:rPr>
          <w:rFonts w:ascii="Amiri" w:hAnsi="Amiri" w:eastAsia="Amiri" w:cs="Amiri"/>
          <w:color w:val="111111"/>
          <w:sz w:val="28"/>
          <w:sz w:val="28"/>
          <w:szCs w:val="28"/>
          <w:rtl w:val="true"/>
          <w:lang w:bidi="ar-SA"/>
        </w:rPr>
        <w:t>والأظهر الثالث؛ لأنّه الظاهر من أخبارها، ولأنّ الحكم بالاستثناء متوقف على التصريح بما يستثنى من حكم التحريم الثابت بالسنة والإجماع،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اخترناه فالظاهر أنّه عقد لازم؛ لأنّ الأصل في العقود المشكوك فيها ذلك، ويفتقر إلى صيغة جامعة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وإن خلت عنها الأخبار، ويصح فيها المعاطاة فيكفي أي قول دلّ على ذلك، وعلى الاكتفاء بذلك تحمل الأخبار من حيث خلوها عن ذكر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الثمن نفس الثمرة المعينة منها، ويجوز جعله كلياً، ويشترط أن يؤدي منها، ويجوز جعله كلياً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 فيلتزم القابل بالثمن، تلفت الثمرة كلّاً أم بعضاً أم بقيت، زادت على ما تقبل أو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الأوّلين يلتزم القابل بالثمن نقصت أو زادت فالنقصان عليه والزيادة له إن كان النقصان والزيادة لخطا في الخرص وإن كان النقصان لتلفٍ سماوي فإن تلفت رأساً فلا شيء على القابل، وإن تلف بعضها نقص من الثمن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ذلك هو أنّه لما كان العوض من المعوّض به وقد رضي به المقبل فقد رضي بكون حقه في العين لا في الذمة، فإذا تلف من دون تفريط احتاج انتقاله إلى الذمة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ما إذا كان الثمن من نفس العين فلا شيء عليه، وبين ما كان كلياً ولكن اشترط تأديته من نفس العين فيلتزم به، وهو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ضعف ما أورده ابن إدريس على أصل الحكم بأن هذا التقبيل إن كان بيعاً فسد؛ لأنّه مزابنة، وإن كان صلحاً فسد؛ لمكان الغرر، لكون العوض من نفس الثمرة، وإن كان في الذمة لزم، سواء بقيت الثمرة أو تلفت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معاملة خاصة، أو بيع مستثنى بالدليل، أو صلح مغتفر فيه الغرر؛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تلف من المعوّض شيء لزم تلف بعض العوض لمكان الإشاعة بينهما، وإذا لم يتحقق ضمانه لم يجب أداء شيءٍ منه</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13372692_1280447820"/>
      <w:bookmarkStart w:id="792" w:name="_Toc292"/>
      <w:bookmarkEnd w:id="791"/>
      <w:r>
        <w:rPr>
          <w:rtl w:val="true"/>
        </w:rPr>
        <w:t>رابع عشرها</w:t>
      </w:r>
      <w:r>
        <w:rPr>
          <w:rtl w:val="true"/>
        </w:rPr>
        <w:t xml:space="preserve">: </w:t>
      </w:r>
      <w:r>
        <w:rPr>
          <w:rtl w:val="true"/>
        </w:rPr>
        <w:t>حكم ما لو اشترى ثمرة أو زرعاً بشرط القطع</w:t>
      </w:r>
      <w:bookmarkEnd w:id="79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ثمرة أو زرعاً بشرط القطع أو قضت العادة بقطعه، وجب على </w:t>
      </w:r>
    </w:p>
    <w:p>
      <w:pPr>
        <w:pStyle w:val="BookText"/>
        <w:rPr/>
      </w:pPr>
      <w:r>
        <w:rPr>
          <w:rFonts w:ascii="Amiri" w:hAnsi="Amiri" w:eastAsia="Amiri" w:cs="Amiri"/>
          <w:color w:val="111111"/>
          <w:sz w:val="28"/>
          <w:sz w:val="28"/>
          <w:szCs w:val="28"/>
          <w:rtl w:val="true"/>
          <w:lang w:bidi="ar-SA"/>
        </w:rPr>
        <w:t>المشتري قطعه، فإن لم يفعل تولّى البائع قطعه بعد الاستئذان من الحاكم أو بدونه، والأوّل أحوط إن أمكن الرجوع إلى الحاكم، وإلا فلا إشكال في جواز تولّي القطع بنفسه، وله أُجرة المثل على بقائه زائداً على المدة إذا لم ينو التبرع، وله أرش فساد الأرض إن حصل ببقائه فيها، ويرجع إليه بأجرة حمله ونقله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يشترط القطع أو تجري العادة به فليس للبائع تكليف مشتري الثمرة بقطعها، كما أنّه ليس لمشتري الأصول تكليف البائع بقطع الثمرة، بل يلزم عليهما إبقاؤها إلى حين قطعها عادة؛ قضاء للشرط الضمني والحكم الشرعي، ولا يترتب عليه فساد من جهة الجهالة؛ للعلم به في الجملة، ولأنّه من الشرائط الضمنية فلا يعتبر فيها العلم تفصيلاً، ولأنّه من الأحكام الشرعيَّة التابعة للمعاوضة بعد وقوعها صحيحة، وليس من أركان المعاوضة ولا داخلة فيها، فلا تؤثر الجهالة فيها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اضطربت العادة في الرجوع إليها فالأغلب، ومع التساوي لزم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أطلق احتمل البطلان، واحتمل التنزيل على أقلّ المراتب؛ لأنّه المتيقن، واحتمل على أعلاها صيانةً لمال المشتري، واحتمل على أوسطها، واحتمل القرعة، على ضعف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البائع والمشتري في الوقت، رجعا لأهل الخبرة، فإن اختلفوا رجعا إلى الأعدل ثم الأكثر، ثمّ الأبصر، وقد يقوى الأخير ويضعف الأوّل فيقدم عليه، ومع التعادل يقرع، أو يقدم قول المشتري؛ لشدّة تعلّق حقه، أو البائع؛ لسبقه،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وقت قطع بعض الثمرة دون بعض، جرى على كلّ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تأخر بلوغ الثمرة عن الوقت المعتاد بحيث يتضرّر المشتري بقطعها، جاز للبائع قطعها، وإبقاؤها بالأجرة، واحتمال لزوم إبقائها على البائع بأجرة وجة لا يبعد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البلدان بالعادة كان لكل بلد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عينا وقتاً اتبع ولو خالف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لكلّ واحدٍ منهما عادة تخصه، احتمل لزوم البيان، وإلا فالبطلان، واحتمل الاقتراع، واحتمل تقديم عرف البائع، واحتمل تقديم عرف المشتري</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اتفقا على وحدة العادة واختلفا في صفة الثمار لتعذر الاختبار، قوي تقديم قول الناقل، مع احتمال تقديم قول المنقول إليه</w:t>
      </w:r>
      <w:r>
        <w:rPr>
          <w:rFonts w:eastAsia="Amiri" w:cs="Amiri" w:ascii="Amiri" w:hAnsi="Amiri"/>
          <w:color w:val="111111"/>
          <w:sz w:val="28"/>
          <w:szCs w:val="28"/>
          <w:rtl w:val="true"/>
          <w:lang w:bidi="ar-SA"/>
        </w:rPr>
        <w:t xml:space="preserve">. </w:t>
      </w:r>
      <w:bookmarkStart w:id="793" w:name="pg19000_245633"/>
    </w:p>
    <w:p>
      <w:pPr>
        <w:pStyle w:val="BookText"/>
        <w:rPr/>
      </w:pPr>
      <w:bookmarkEnd w:id="793"/>
      <w:r>
        <w:rPr>
          <w:rFonts w:ascii="Amiri" w:hAnsi="Amiri" w:eastAsia="Amiri" w:cs="Amiri"/>
          <w:color w:val="111111"/>
          <w:sz w:val="28"/>
          <w:sz w:val="28"/>
          <w:szCs w:val="28"/>
          <w:rtl w:val="true"/>
          <w:lang w:bidi="ar-SA"/>
        </w:rPr>
        <w:t>ولو كانت العادة على حال فتغيّرت قبل الاستواء، فالمدار على وقت العقد فيرجع صاحب الأصل بالأجرة والأرش، ويحتمل اختصاص الرجوع بالبائع، ويحتمل إلغاء العادة 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حكما بعادةٍ فظهر تقدّمها أو تأخرها احتمل الأجرة والأرش لمن عليه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العدم، واحتمل الفرق بين الحكم على نفسه وبين حكم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تضرّر صاحب الأصل بالاقتطاف بعد حصول الوقت لم يلزم صاحب الثمرة الإبقاء تضرّر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تضرّر به قبل حصول وقته، احتمل لزوم إبقائها عليه إذا لم يتضرر بإبقائها</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3372694_1280447820"/>
      <w:bookmarkStart w:id="795" w:name="_Toc293"/>
      <w:bookmarkEnd w:id="794"/>
      <w:r>
        <w:rPr>
          <w:rtl w:val="true"/>
        </w:rPr>
        <w:t>خامس عشرها</w:t>
      </w:r>
      <w:r>
        <w:rPr>
          <w:rtl w:val="true"/>
        </w:rPr>
        <w:t xml:space="preserve">: </w:t>
      </w:r>
      <w:r>
        <w:rPr>
          <w:rtl w:val="true"/>
        </w:rPr>
        <w:t>فيما يتعلّق بمشتري الثمرة وصاحب الأصل من سقي الشجرة وغيره من الأحكام</w:t>
      </w:r>
      <w:bookmarkEnd w:id="795"/>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مشتري الثمرة وصاحب الأصل سقي الشجرة وما بحكمها إذا تضرّر بعدم السقي ولم يتضرّر الآخر به، أو إذا انتفع به ولم يتضرّر الآخر، انتفع به أم لا، وإذا تضررا معاً منع أحدهما الآخر بنفسه أو بالحاكم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تضرّر أحدهما ولم ينتفع الآخر ولم يتضرر كان للمضرور منع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تضرّر أحدهما بالسقي وانتفع الآخر، منعه المتضرر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تضرّر أحدهما بالسقي وتضرّر الآخر بعدمه، لزم ترجيح الأشد ضرراً، فإن تساويا لزم ترجيح المنقول إليه على الناقل ؛ لإقدامه على ضرر نفسه بنقله، قيل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قول الأكثر، ويحتمل الاقتراع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 نفعهما، قوي تقديم نفع المنقول إليه، ويحتمل تقديم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تقابل ضرر أحدهما ونفع الآخر، لزم ترجيح مصلحة المنقول إليه أيضاً إن قابلت ما فات على الآخر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الناقل والمنقول إليه في ترتب الضرر، رجعا إلى أهل الخبرة، فإن تعذر قدّم مدعيه؛ لأنّه مانع عن الضرر بماله ويحتمل تقديم قول المنقول إليه، ويحتمل تقديم قول صاحب الأصل، ولا ضمان على المأذون فيما يترتب على صاحبه شرعاً، ويضمن غيره مقدار ما أصابه من الضرر، بل ما فاته من النفع على إشكال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توقف السقي على إجراء ماء ضارّ بما يمر به فلا بأس إن كان الإجراء مستحقاً له </w:t>
      </w:r>
      <w:bookmarkStart w:id="796" w:name="pg19000_245634"/>
    </w:p>
    <w:p>
      <w:pPr>
        <w:pStyle w:val="BookText"/>
        <w:rPr/>
      </w:pPr>
      <w:bookmarkEnd w:id="796"/>
      <w:r>
        <w:rPr>
          <w:rFonts w:ascii="Amiri" w:hAnsi="Amiri" w:eastAsia="Amiri" w:cs="Amiri"/>
          <w:color w:val="111111"/>
          <w:sz w:val="28"/>
          <w:sz w:val="28"/>
          <w:szCs w:val="28"/>
          <w:rtl w:val="true"/>
          <w:lang w:bidi="ar-SA"/>
        </w:rPr>
        <w:t>قبل تعلق حق الغير، ويلزم الإجراء على قدر الحاجة حينئذٍ، ويرجع فيه إلى أهل الخبرة، فإن اختلفوا فالأعدل ثم الأكثر، ومع التساوي قدّم احتمال الضرر، مع احتمال تقديم احتمال عدمه؛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انقطع الماء أو امتنع السقي به لم يجب قطع الثمرة وإن تضرّر الأصل بمص الرطوبة، سواء تضرّر صاحب الثمرة بالإبقاء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أدى الضرر إلى إتلاف الأصل، ففي عدم وجوب القطع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يلزمه القطع فلا يبعد أن له الأرش وأجرة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أخر القطع بعد الوجوب، ضمن ما فات على صاحب الأصل بسبب البقاء</w:t>
      </w:r>
      <w:r>
        <w:rPr>
          <w:rFonts w:eastAsia="IRNazanin" w:cs="IRNazanin"/>
          <w:color w:val="111111"/>
          <w:sz w:val="28"/>
          <w:szCs w:val="28"/>
          <w:rtl w:val="true"/>
          <w:lang w:bidi="fa-IR"/>
        </w:rPr>
        <w:t>.</w:t>
      </w:r>
    </w:p>
    <w:p>
      <w:pPr>
        <w:pStyle w:val="Heading5"/>
        <w:numPr>
          <w:ilvl w:val="4"/>
          <w:numId w:val="1"/>
        </w:numPr>
        <w:rPr/>
      </w:pPr>
      <w:bookmarkStart w:id="797" w:name="__RefHeading___Toc13372696_1280447820"/>
      <w:bookmarkStart w:id="798" w:name="_Toc294"/>
      <w:bookmarkEnd w:id="797"/>
      <w:r>
        <w:rPr>
          <w:rtl w:val="true"/>
        </w:rPr>
        <w:t>سادس عشرها</w:t>
      </w:r>
      <w:r>
        <w:rPr>
          <w:rtl w:val="true"/>
        </w:rPr>
        <w:t xml:space="preserve">: </w:t>
      </w:r>
      <w:r>
        <w:rPr>
          <w:rtl w:val="true"/>
        </w:rPr>
        <w:t>جواز بيع الثمرة كسراً مشاعاً</w:t>
      </w:r>
      <w:bookmarkEnd w:id="798"/>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الثمرة كسراً مشاعاً، وبيعها واستثناء ثمرة نخلة بعينها، أو استثناء قدر معين من أرطال معينة ونحوها، واستثناء قدر مشاع، وإذا خاست الثمرة سقط من المشاع المستثنى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استثناء الأرطال بالمشاع فيسقط بحسابه أيضاً كأن تخرص الثمرة ويخرص ما خاس منها ثلثاً أو ربعاً فيسقط من الأرطال بذلك الحساب، أو ينزل على الكلى فللبائع ما استثناه بما بقي من الثمرة حتّى لو لم يبق إلا قدر ما استثناه كان له، وجهان، وظاهر الأصحاب على الأوَّل، وربما يساعده فهم العرف، إلا مع التصريح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استثناء القدر المعيّن العلم باشتمال الثمرة عليه وزيادة كي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وأُسمّي الثمن وأستثني الكر من التمر أو أكثر أو العدد من النخل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في الرجل يبيع الثمرة ثم يستثني كيلاً وتمراً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3372698_1280447820"/>
      <w:bookmarkStart w:id="800" w:name="_Toc295"/>
      <w:bookmarkEnd w:id="799"/>
      <w:r>
        <w:rPr>
          <w:rtl w:val="true"/>
        </w:rPr>
        <w:t>سابع عشرها</w:t>
      </w:r>
      <w:r>
        <w:rPr>
          <w:rtl w:val="true"/>
        </w:rPr>
        <w:t xml:space="preserve">: </w:t>
      </w:r>
      <w:r>
        <w:rPr>
          <w:rtl w:val="true"/>
        </w:rPr>
        <w:t>حكم ما إذا باع الثمرة فتلفت قبل التخلية كلاً أو بعضاً</w:t>
      </w:r>
      <w:bookmarkEnd w:id="80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الثمرة فتلفت قبل التخلية كلاً أو بعضاً كانت من مال البائع، وإن </w:t>
      </w:r>
    </w:p>
    <w:p>
      <w:pPr>
        <w:pStyle w:val="BookText"/>
        <w:rPr/>
      </w:pPr>
      <w:r>
        <w:rPr>
          <w:rFonts w:ascii="Amiri" w:hAnsi="Amiri" w:eastAsia="Amiri" w:cs="Amiri"/>
          <w:color w:val="111111"/>
          <w:sz w:val="28"/>
          <w:sz w:val="28"/>
          <w:szCs w:val="28"/>
          <w:rtl w:val="true"/>
          <w:lang w:bidi="ar-SA"/>
        </w:rPr>
        <w:t>أتلفها المشتري كان بمنزلة القبض بل هو أقوى، واحتمال انفساخ العقد وضمان المثل والقيمة للبائع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أتلفها أجنبي تخيّر المشتري بين الفسخ وبين الإمضاء والرجوع عليه بالمثل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جواز رجوعه على البائع بهما غير بعيد؛ لضمانه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أتلفها البائع،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انفسخ البيع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للمشتري الخيار بين الفسخ وبين الإمضاء والرجوع على البائع </w:t>
      </w:r>
      <w:r>
        <w:rPr>
          <w:rStyle w:val="FootnoteAnchor"/>
          <w:rtl w:val="true"/>
        </w:rPr>
        <w:footnoteReference w:id="1750"/>
      </w:r>
      <w:r>
        <w:rPr>
          <w:rFonts w:ascii="Amiri" w:hAnsi="Amiri" w:eastAsia="Amiri" w:cs="Amiri"/>
          <w:color w:val="111111"/>
          <w:sz w:val="28"/>
          <w:sz w:val="28"/>
          <w:szCs w:val="28"/>
          <w:rtl w:val="true"/>
          <w:lang w:bidi="ar-SA"/>
        </w:rPr>
        <w:t>،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بعد التخلية كان تلفها من مال المشتري؛ لأنّها دخلت في ضمانه، والقبض ها هنا هو التخلية، ولا تفتقر إلى كيل ولا وزن في تحقق القبض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في المكيل والموزون كيله ووزنه؛ لعدم كون الثمرة على رؤوس النخل ممّا يكال ويوزن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يبيع ما ابتاعه من الثمرة قبل التخلية وبعدها بزيادة عمّا ابتاعه أو نقصان؛ للأصل، والنصّ </w:t>
      </w:r>
      <w:r>
        <w:rPr>
          <w:rStyle w:val="FootnoteAnchor"/>
          <w:rtl w:val="true"/>
        </w:rPr>
        <w:footnoteReference w:id="1751"/>
      </w:r>
      <w:r>
        <w:rPr>
          <w:rFonts w:ascii="Amiri" w:hAnsi="Amiri" w:eastAsia="Amiri" w:cs="Amiri"/>
          <w:color w:val="111111"/>
          <w:sz w:val="28"/>
          <w:sz w:val="28"/>
          <w:szCs w:val="28"/>
          <w:rtl w:val="true"/>
          <w:lang w:bidi="ar-SA"/>
        </w:rPr>
        <w:t>والفتوى، ولا يحرم بل ولا يكره قبل القبض؛ لأنّ حكم التحريم والكراهة في بيع المكيل والموزون قبل قبضه أو كيله ووزنه، لا مطلق البيع، ولا مطلق الطعام على الأظهر الأشهر</w:t>
      </w:r>
      <w:r>
        <w:rPr>
          <w:rFonts w:eastAsia="Amiri" w:cs="Amiri" w:ascii="Amiri" w:hAnsi="Amiri"/>
          <w:color w:val="111111"/>
          <w:sz w:val="28"/>
          <w:szCs w:val="28"/>
          <w:rtl w:val="true"/>
          <w:lang w:bidi="ar-SA"/>
        </w:rPr>
        <w:t xml:space="preserve">. </w:t>
      </w:r>
      <w:bookmarkStart w:id="801" w:name="pg19000_245636"/>
    </w:p>
    <w:p>
      <w:pPr>
        <w:pStyle w:val="Heading3"/>
        <w:numPr>
          <w:ilvl w:val="2"/>
          <w:numId w:val="1"/>
        </w:numPr>
        <w:rPr/>
      </w:pPr>
      <w:bookmarkStart w:id="802" w:name="__RefHeading___Toc13372700_1280447820"/>
      <w:bookmarkStart w:id="803" w:name="_Toc296"/>
      <w:bookmarkEnd w:id="801"/>
      <w:bookmarkEnd w:id="802"/>
      <w:r>
        <w:rPr>
          <w:rtl w:val="true"/>
        </w:rPr>
        <w:t>القول في بيع الحيوان</w:t>
      </w:r>
      <w:bookmarkEnd w:id="803"/>
    </w:p>
    <w:p>
      <w:pPr>
        <w:pStyle w:val="Heading4"/>
        <w:numPr>
          <w:ilvl w:val="3"/>
          <w:numId w:val="1"/>
        </w:numPr>
        <w:rPr/>
      </w:pPr>
      <w:bookmarkStart w:id="804" w:name="__RefHeading___Toc13372702_1280447820"/>
      <w:bookmarkStart w:id="805" w:name="_Toc297"/>
      <w:bookmarkEnd w:id="804"/>
      <w:r>
        <w:rPr>
          <w:rtl w:val="true"/>
        </w:rPr>
        <w:t>إشارة</w:t>
      </w:r>
      <w:r>
        <w:rPr>
          <w:rtl w:val="true"/>
        </w:rPr>
        <w:t>:</w:t>
      </w:r>
      <w:bookmarkEnd w:id="805"/>
    </w:p>
    <w:p>
      <w:pPr>
        <w:pStyle w:val="BookText"/>
        <w:rPr/>
      </w:pPr>
      <w:r>
        <w:rPr>
          <w:rFonts w:ascii="Amiri" w:hAnsi="Amiri" w:eastAsia="Amiri" w:cs="Amiri"/>
          <w:color w:val="111111"/>
          <w:sz w:val="28"/>
          <w:sz w:val="28"/>
          <w:szCs w:val="28"/>
          <w:rtl w:val="true"/>
          <w:lang w:bidi="ar-SA"/>
        </w:rPr>
        <w:t>خص بالذكر كبيع الثمار؛ لكونه ذا أحكام خاصة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3372704_1280447820"/>
      <w:bookmarkStart w:id="807" w:name="_Toc298"/>
      <w:bookmarkEnd w:id="806"/>
      <w:r>
        <w:rPr>
          <w:rtl w:val="true"/>
        </w:rPr>
        <w:t>والكلام فيه في مباحث</w:t>
      </w:r>
      <w:r>
        <w:rPr>
          <w:rtl w:val="true"/>
        </w:rPr>
        <w:t>:</w:t>
      </w:r>
      <w:bookmarkEnd w:id="807"/>
    </w:p>
    <w:p>
      <w:pPr>
        <w:pStyle w:val="Heading4"/>
        <w:numPr>
          <w:ilvl w:val="3"/>
          <w:numId w:val="1"/>
        </w:numPr>
        <w:rPr/>
      </w:pPr>
      <w:bookmarkStart w:id="808" w:name="__RefHeading___Toc13372706_1280447820"/>
      <w:bookmarkStart w:id="809" w:name="_Toc299"/>
      <w:bookmarkEnd w:id="808"/>
      <w:r>
        <w:rPr>
          <w:rtl w:val="true"/>
        </w:rPr>
        <w:t>أحدها</w:t>
      </w:r>
      <w:r>
        <w:rPr>
          <w:rtl w:val="true"/>
        </w:rPr>
        <w:t xml:space="preserve">: </w:t>
      </w:r>
      <w:r>
        <w:rPr>
          <w:rtl w:val="true"/>
        </w:rPr>
        <w:t>جواز ملك الكافر أصالة أو تبعاً إذا كان خالياً عن ذمام أو عهد أو أمان وكذا استرقاقه</w:t>
      </w:r>
      <w:bookmarkEnd w:id="80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اتصف بصفة الكفر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إنكار أو جحود أو عناد أو شرك أو شكّ في ربوبية أو نبوة أو معاد في أصلها أو في ضروري من ضرورياتها كاشف عن حصول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تبعاً لذلك الكافر الأصلي، وكان المتصف بأحد الوصفين خالياً عن ذمام أو عهد أو أمان ممّا يعتصم به عن أهل الإسلام يجوز ملكه واسترقاقه إذا أُسر قهراً أو أخذ سرقة أو غيلة، ملك بنيّة التملك أو بدونه ما لم ينو الآخذ الخلاف، كالرد إلى وطنه أو حفظه، سواء كان الأخذ بإذن الإمام أو بدونه بجهاد أو بدونه، علم نسب المأسور أم لا، أمكن تولّده من مسلم أم لا؛ عملاً بظاهر الحال حيث إنّه أخذ من ديار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قبل الأخذ حُرِّ من الأحرار، أو مباح من المباحات، أو ملك للمسلمين كافة ؟ وجوه، أوجهها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قابلاً للملك، كما إذا كان طفلاً أو امرأةً أو بالغاً قد استرقه الإمام حالة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يتصف بالكفر الأصلي، بل كان مرتداً فطرياً أو مليّاً أو منتحلاً للإسلام، وكذا مَنْ</w:t>
      </w:r>
    </w:p>
    <w:p>
      <w:pPr>
        <w:pStyle w:val="BookText"/>
        <w:rPr/>
      </w:pPr>
      <w:r>
        <w:rPr>
          <w:rFonts w:ascii="Amiri" w:hAnsi="Amiri" w:eastAsia="Amiri" w:cs="Amiri"/>
          <w:color w:val="111111"/>
          <w:sz w:val="28"/>
          <w:sz w:val="28"/>
          <w:szCs w:val="28"/>
          <w:rtl w:val="true"/>
          <w:lang w:bidi="ar-SA"/>
        </w:rPr>
        <w:t>لم يكن قابلاً للأسر لا يجوز تملكه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ويسري الرق في عقب المملوك وإن أسلم أو آمن، كلّ ذلك للأخبار </w:t>
      </w:r>
      <w:r>
        <w:rPr>
          <w:rStyle w:val="FootnoteAnchor"/>
          <w:rtl w:val="true"/>
        </w:rPr>
        <w:footnoteReference w:id="1752"/>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أُخذ أخذ لقيط دار الحرب ملك مع نيّة التملك أو بدونها على الوجهين، إذا علم عدم اشتمال الدار على مسلم يمكن تولّده منه ولو احتمالاً، ذكراً كان أو أنثى، أو على معتصم بأحد العواصم يمكن تولّده منه أيضاً على الأظهر فى ذلك؛ أخذاً بالأخبار الناصة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المنبوذ </w:t>
      </w:r>
    </w:p>
    <w:p>
      <w:pPr>
        <w:pStyle w:val="BookText"/>
        <w:rPr/>
      </w:pP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 xml:space="preserve">كما في أحدها وثانيها،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 لا يشترى ولا يباع</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كما في ثالث،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ولا يشترى ولا يوهب</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كما في رابعها وإطلاقها وإن كان شاملاً لإمكان تولّده من مسلم وعدمه إلا أن فهم الأصحاب وفتاواهم وظهور الإطلاق في غير المقطوع به أنّه من أهل الحرب مما يقيد ذلك الإطلاق، بل لولا إطباق الأصحاب على حُرّيّة اللقيط مع إمكان التولد من مسلم في دار الحرب لأمكن صرف تلك الأخبار إلى لقيط دار الإسلام، كما تُصرف أخبار لقطة المال إليها، وكان حكم لقيط دار الحرب كحكم أسيره؛ لضعف إجراء حكم اللقيط للأسير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ويُقبل إقرار اللقيط بعد الحكم عليه بالحُريّة كلّاً أو بعضاً، مسلماً أو كافراً، أو بما يلزمها بعد جمعه لشرائط صحّة الإقرار لمالك معيّن مسلم أو كافر، وإن لزم بيعه عليه أو مطلقاً، كذب إقراره المقر له أو صدقه أو سكت؛ لأنّ الإقرار حجّة على المقرّ صدقه المقرّ أم لا؛ عملاً بعموم الأدلّة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الإقرار لمعيّن دفع إليه، وإن كذبه دسّ في أمواله أو دفع إلى الحاكم، وإن كان لمجهول جرى عليه حكم مجهول المالك وتولاه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معروفاً بالحُرّية بنسبه واستناده لأبويه وعشيرته، فإنّه لا يُقبل؛ لضعف إقراره بمعارضته لما هو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بين اللقيط وبين كلّ مجهول النسب إذا أقرّ على نفسه بالرقيّة، فإنّه يُقبل منه مع کماله ورشده؛ لعموم دليل الإقرار </w:t>
      </w:r>
      <w:r>
        <w:rPr>
          <w:rStyle w:val="FootnoteAnchor"/>
          <w:rtl w:val="true"/>
        </w:rPr>
        <w:footnoteReference w:id="1757"/>
      </w:r>
      <w:r>
        <w:rPr>
          <w:rFonts w:ascii="Amiri" w:hAnsi="Amiri" w:eastAsia="Amiri" w:cs="Amiri"/>
          <w:color w:val="111111"/>
          <w:sz w:val="28"/>
          <w:sz w:val="28"/>
          <w:szCs w:val="28"/>
          <w:rtl w:val="true"/>
          <w:lang w:bidi="ar-SA"/>
        </w:rPr>
        <w:t xml:space="preserve">، وللشهرة المنقولة </w:t>
      </w:r>
      <w:r>
        <w:rPr>
          <w:rStyle w:val="FootnoteAnchor"/>
          <w:rtl w:val="true"/>
        </w:rPr>
        <w:footnoteReference w:id="1758"/>
      </w:r>
      <w:r>
        <w:rPr>
          <w:rFonts w:ascii="Amiri" w:hAnsi="Amiri" w:eastAsia="Amiri" w:cs="Amiri"/>
          <w:color w:val="111111"/>
          <w:sz w:val="28"/>
          <w:sz w:val="28"/>
          <w:szCs w:val="28"/>
          <w:rtl w:val="true"/>
          <w:lang w:bidi="ar-SA"/>
        </w:rPr>
        <w:t xml:space="preserve">بل المحصلة، ولظاهر نقل الإجماع كما عن بعض </w:t>
      </w:r>
      <w:r>
        <w:rPr>
          <w:rStyle w:val="FootnoteAnchor"/>
          <w:rtl w:val="true"/>
        </w:rPr>
        <w:footnoteReference w:id="1759"/>
      </w:r>
      <w:r>
        <w:rPr>
          <w:rFonts w:ascii="Amiri" w:hAnsi="Amiri" w:eastAsia="Amiri" w:cs="Amiri"/>
          <w:color w:val="111111"/>
          <w:sz w:val="28"/>
          <w:sz w:val="28"/>
          <w:szCs w:val="28"/>
          <w:rtl w:val="true"/>
          <w:lang w:bidi="ar-SA"/>
        </w:rPr>
        <w:t>، وللصحيحة أو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على نفسه بالعبودية وهو مدرك</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وللخبر عن رجلٍ حُرّ أقرّ أنّه 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بما أقرّ به</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ونحوه غيره </w:t>
      </w:r>
      <w:r>
        <w:rPr>
          <w:rStyle w:val="FootnoteAnchor"/>
          <w:rtl w:val="true"/>
        </w:rPr>
        <w:footnoteReference w:id="17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فمَنْعُ ابن إدريس من قبول إقراره؛ لحكم الشارع عليه بالحرية </w:t>
      </w:r>
      <w:r>
        <w:rPr>
          <w:rStyle w:val="FootnoteAnchor"/>
          <w:rtl w:val="true"/>
        </w:rPr>
        <w:footnoteReference w:id="1763"/>
      </w:r>
      <w:r>
        <w:rPr>
          <w:rFonts w:ascii="Amiri" w:hAnsi="Amiri" w:eastAsia="Amiri" w:cs="Amiri"/>
          <w:color w:val="111111"/>
          <w:sz w:val="28"/>
          <w:sz w:val="28"/>
          <w:szCs w:val="28"/>
          <w:rtl w:val="true"/>
          <w:lang w:bidi="ar-SA"/>
        </w:rPr>
        <w:t>، فلا ينتقض، أو لتوقف صحّة الإقرار على الحرّية حتّى لا يكون إقراراً في حق الغير، المستلزمة لبطلانه، ضعيف لا يقاوم ما قدمناه، كضعف مَنْ لم يشترط الرشد في إقراره؛ استناداً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منصرفة للرشيد، بل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 على أن الإقرار بالرقية إما إقرار بمال أو يستلزم مالاً غالباً كما إذا كان في يده مال أو هو أقوى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والإقرار لا يمضى إلا في حق المقر دون غيره، فإقرار المرأة لا يُسمع في حق الزوج، وكذا إقرار من عقد عقداً لازماً أو عمل متبرعاً أو أباح شيئاً فتلف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استلزم الإقرار رفع حد أو تخفيفه، أو رفع وجوب نفقة، قبل فيما له لا فيما عليه، وفي اندفاع الحدّ عنه لمكان الشبهة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تُسمع بينة المقرّ على خلاف ما أقرّ به؛ لتكذيبه إيّاها بإقراره، إلا إذا أقام البينة على أمر محتمل في إقراره كدعوى شبهة مسموعة في حقه، أو غلط بحكم شرعي أو نسب أو نحو ذلك، بل قد تُسمع دعواه من غير بيّنةٍ ولكن مع يمينه في وجه قوي، سيّما مع عدم المنازع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وللإنسان أن يشتري ما يُباع في الأسواق من المماليك، أقروا بالرقية أو سكتوا، صغاراً أو كباراً، مميّزين أم لا للإجماع، والأخبار </w:t>
      </w:r>
      <w:r>
        <w:rPr>
          <w:rStyle w:val="FootnoteAnchor"/>
          <w:rtl w:val="true"/>
        </w:rPr>
        <w:footnoteReference w:id="1764"/>
      </w:r>
      <w:r>
        <w:rPr>
          <w:rFonts w:ascii="Amiri" w:hAnsi="Amiri" w:eastAsia="Amiri" w:cs="Amiri"/>
          <w:color w:val="111111"/>
          <w:sz w:val="28"/>
          <w:sz w:val="28"/>
          <w:szCs w:val="28"/>
          <w:rtl w:val="true"/>
          <w:lang w:bidi="ar-SA"/>
        </w:rPr>
        <w:t>، والسيرة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ادعوا الحرّية، فإن كان بعد الإقرار أو بعد البيع مع حضورهم ومشاهدتهم لم تسمع دعواهم في الأوّل ولا بينتهم إلا إذا أظهروا للإقرار وجهاً محتملاً، وتُسمع دعواهم مع البينة في الأخير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قبل الإقرار وقبل البيع، فإن كانوا مشهورين في الرقية مع بلوغ حد الشياع أو عدمه على الأظهر، أو كان قد جرت عليه أحكام الرقية من قبل، أو استقرت عليه اليد القاضية بالملكيّة من تصرّف وسلطنة أمر ونهي حكم برقيته، ولا تسمع دعواه الحُرّية إلا ببينة، وإن لم يكن شيء مما ذكرنا وإنما كانت مجرد دعوى شخص برقية آخر لم تسمع دعوى مدعي الرقّيّة إلا بالبيّنة</w:t>
      </w:r>
      <w:r>
        <w:rPr>
          <w:rFonts w:eastAsia="Amiri" w:cs="Amiri" w:ascii="Amiri" w:hAnsi="Amiri"/>
          <w:color w:val="111111"/>
          <w:sz w:val="28"/>
          <w:szCs w:val="28"/>
          <w:rtl w:val="true"/>
          <w:lang w:bidi="ar-SA"/>
        </w:rPr>
        <w:t xml:space="preserve">. </w:t>
      </w:r>
      <w:bookmarkStart w:id="810" w:name="pg19000_245639"/>
    </w:p>
    <w:p>
      <w:pPr>
        <w:pStyle w:val="BookText"/>
        <w:rPr/>
      </w:pPr>
      <w:bookmarkEnd w:id="810"/>
      <w:r>
        <w:rPr>
          <w:rFonts w:ascii="Amiri" w:hAnsi="Amiri" w:eastAsia="Amiri" w:cs="Amiri"/>
          <w:color w:val="111111"/>
          <w:sz w:val="28"/>
          <w:sz w:val="28"/>
          <w:szCs w:val="28"/>
          <w:rtl w:val="true"/>
          <w:lang w:bidi="ar-SA"/>
        </w:rPr>
        <w:t>وهذا كله يمكن أخذه من السيرة القطعية ومن قواعد اليد ومن حمل فعل المسلم على الصحّة مع عدم المعارض والممانع ومن أصالة الحُرّيّة مع عدم ما يقطعها ومن ظواهر الأخبار،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ادعى أنّه حُرٌّ ولم يأتِ ببينةٍ على ذلك أشتريه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السوق فأريد أشتري 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إلا أن يكون لها بينة</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فإنّ ترك الاستفصال فيها مع قيام الاحتمال دليل على جملة مما ذكرنا من الأحكام المتقدّمة</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3372708_1280447820"/>
      <w:bookmarkStart w:id="812" w:name="_Toc300"/>
      <w:bookmarkEnd w:id="811"/>
      <w:r>
        <w:rPr>
          <w:rtl w:val="true"/>
        </w:rPr>
        <w:t>ثانيها</w:t>
      </w:r>
      <w:r>
        <w:rPr>
          <w:rtl w:val="true"/>
        </w:rPr>
        <w:t xml:space="preserve">: </w:t>
      </w:r>
      <w:r>
        <w:rPr>
          <w:rtl w:val="true"/>
        </w:rPr>
        <w:t>صحه تملك كلِّ من الزوجين الآخر دواماً ومتعة وكذا المحلل له ما لم يختلفا في الإسلام وعدمه</w:t>
      </w:r>
      <w:bookmarkEnd w:id="81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يملك كلّ من الزوجين الآخر دواماً أو متعةً، وكذا المحلل له ما لم يختلفا في الإسلام وعدمه، فتبطل الزوجية ويبقى الملك؛ إجماعاً محصلاً ومنقولاً</w:t>
      </w:r>
      <w:r>
        <w:rPr>
          <w:rStyle w:val="FootnoteAnchor"/>
          <w:rtl w:val="true"/>
        </w:rPr>
        <w:footnoteReference w:id="1767"/>
      </w:r>
      <w:r>
        <w:rPr>
          <w:rFonts w:ascii="Amiri" w:hAnsi="Amiri" w:eastAsia="Amiri" w:cs="Amiri"/>
          <w:color w:val="111111"/>
          <w:sz w:val="28"/>
          <w:sz w:val="28"/>
          <w:szCs w:val="28"/>
          <w:rtl w:val="true"/>
          <w:lang w:bidi="ar-SA"/>
        </w:rPr>
        <w:t xml:space="preserve">، صريحاً في الزوجية وضمناً، وعلى وجه العموم في التحليل على ما قيل </w:t>
      </w:r>
      <w:r>
        <w:rPr>
          <w:rStyle w:val="FootnoteAnchor"/>
          <w:rtl w:val="true"/>
        </w:rPr>
        <w:footnoteReference w:id="1768"/>
      </w:r>
      <w:r>
        <w:rPr>
          <w:rFonts w:ascii="Amiri" w:hAnsi="Amiri" w:eastAsia="Amiri" w:cs="Amiri"/>
          <w:color w:val="111111"/>
          <w:sz w:val="28"/>
          <w:sz w:val="28"/>
          <w:szCs w:val="28"/>
          <w:rtl w:val="true"/>
          <w:lang w:bidi="ar-SA"/>
        </w:rPr>
        <w:t xml:space="preserve">، ولامتناع اشتراك الأسباب المسوّغة للوطء؛ لظاهر الإجماع والكتاب </w:t>
      </w:r>
      <w:r>
        <w:rPr>
          <w:rStyle w:val="FootnoteAnchor"/>
          <w:rtl w:val="true"/>
        </w:rPr>
        <w:footnoteReference w:id="1769"/>
      </w:r>
      <w:r>
        <w:rPr>
          <w:rFonts w:ascii="Amiri" w:hAnsi="Amiri" w:eastAsia="Amiri" w:cs="Amiri"/>
          <w:color w:val="111111"/>
          <w:sz w:val="28"/>
          <w:sz w:val="28"/>
          <w:szCs w:val="28"/>
          <w:rtl w:val="true"/>
          <w:lang w:bidi="ar-SA"/>
        </w:rPr>
        <w:t xml:space="preserve">لأنّ التفصيل فيه قاطع للشركة، وظاهره منع الجمع، وللسنة </w:t>
      </w:r>
      <w:r>
        <w:rPr>
          <w:rStyle w:val="FootnoteAnchor"/>
          <w:rtl w:val="true"/>
        </w:rPr>
        <w:footnoteReference w:id="1770"/>
      </w:r>
      <w:r>
        <w:rPr>
          <w:rFonts w:ascii="Amiri" w:hAnsi="Amiri" w:eastAsia="Amiri" w:cs="Amiri"/>
          <w:color w:val="111111"/>
          <w:sz w:val="28"/>
          <w:sz w:val="28"/>
          <w:szCs w:val="28"/>
          <w:rtl w:val="true"/>
          <w:lang w:bidi="ar-SA"/>
        </w:rPr>
        <w:t xml:space="preserve">، قيل </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ولتضاد اللوازم والتوابع فيبطل اللاحق السابق، وللزوم اجتماع سببين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حُرّة تكون تحت المملوك فتشتريه هل يبطل نكاحه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لها زوج مملوك فمات مولاه فورثته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bookmarkStart w:id="813" w:name="pg19000_245640"/>
    </w:p>
    <w:p>
      <w:pPr>
        <w:pStyle w:val="BookText"/>
        <w:rPr/>
      </w:pPr>
      <w:bookmarkEnd w:id="813"/>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زوج أم ولد له مملوكة فمات فورت الولد نصيباً في زوج أمه، ثم مات الولد فورثته أمه كيف تصنع وهو زوجها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تفارقه، وليس له عليها سبيل</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زوجة لمملوك قد ملكته بالميراث فأتت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له أن يطأني ؟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جامعك منذ صار عبدك وأنت طائعة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فعلتِ لرجمتك</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فى الملك الوقف الخاص، دون العام ودون الأملاك العامة كالمشترى من مال الزكاة، أو المحبوس على المسلمين ونحو ذلك؛ اقتصاراً على المورد اليقيني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إليه من أحد الزوجين فضولاً لا يتوقف عن الوطء قبل الإجازة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ناقلة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كاشفة، فلا يبعد لزوم ترك الوطء حتّى يتبيّن أحد الأمرين من الرد أو الإجازة ممّن وقع العقد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 البعض كملك الكلّ، كما دلّت عليه بعض الأخبار المتقدّمة </w:t>
      </w:r>
      <w:r>
        <w:rPr>
          <w:rStyle w:val="FootnoteAnchor"/>
          <w:rtl w:val="true"/>
        </w:rPr>
        <w:footnoteReference w:id="1776"/>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3372710_1280447820"/>
      <w:bookmarkStart w:id="815" w:name="_Toc301"/>
      <w:bookmarkEnd w:id="814"/>
      <w:r>
        <w:rPr>
          <w:rtl w:val="true"/>
        </w:rPr>
        <w:t>ثالثها</w:t>
      </w:r>
      <w:r>
        <w:rPr>
          <w:rtl w:val="true"/>
        </w:rPr>
        <w:t xml:space="preserve">: </w:t>
      </w:r>
      <w:r>
        <w:rPr>
          <w:rtl w:val="true"/>
        </w:rPr>
        <w:t>جواز تملك الرجل كلّ قريب وبعيد له بعلقة النسب وانعتاقه عليه بعد ملكه آناً مّا</w:t>
      </w:r>
      <w:bookmarkEnd w:id="81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يملك الرجل ومَنْ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الأنثى والخنثى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قريب وبعيد بعلقة النسب الصحيح والشبهة، ولا عبرة بعلقة الزنى؛ كتاباً </w:t>
      </w:r>
      <w:r>
        <w:rPr>
          <w:rStyle w:val="FootnoteAnchor"/>
          <w:rtl w:val="true"/>
        </w:rPr>
        <w:footnoteReference w:id="1777"/>
      </w:r>
      <w:r>
        <w:rPr>
          <w:rFonts w:ascii="Amiri" w:hAnsi="Amiri" w:eastAsia="Amiri" w:cs="Amiri"/>
          <w:color w:val="111111"/>
          <w:sz w:val="28"/>
          <w:sz w:val="28"/>
          <w:szCs w:val="28"/>
          <w:rtl w:val="true"/>
          <w:lang w:bidi="ar-SA"/>
        </w:rPr>
        <w:t xml:space="preserve">، وسنةً </w:t>
      </w:r>
      <w:r>
        <w:rPr>
          <w:rStyle w:val="FootnoteAnchor"/>
          <w:rtl w:val="true"/>
        </w:rPr>
        <w:footnoteReference w:id="1778"/>
      </w:r>
      <w:r>
        <w:rPr>
          <w:rFonts w:ascii="Amiri" w:hAnsi="Amiri" w:eastAsia="Amiri" w:cs="Amiri"/>
          <w:color w:val="111111"/>
          <w:sz w:val="28"/>
          <w:sz w:val="28"/>
          <w:szCs w:val="28"/>
          <w:rtl w:val="true"/>
          <w:lang w:bidi="ar-SA"/>
        </w:rPr>
        <w:t>، وللإجماع، والأخبار الخاصة</w:t>
      </w:r>
      <w:r>
        <w:rPr>
          <w:rStyle w:val="FootnoteAnchor"/>
          <w:rtl w:val="true"/>
        </w:rPr>
        <w:footnoteReference w:id="1779"/>
      </w:r>
      <w:r>
        <w:rPr>
          <w:rFonts w:ascii="Amiri" w:hAnsi="Amiri" w:eastAsia="Amiri" w:cs="Amiri"/>
          <w:color w:val="111111"/>
          <w:sz w:val="28"/>
          <w:sz w:val="28"/>
          <w:szCs w:val="28"/>
          <w:rtl w:val="true"/>
          <w:lang w:bidi="ar-SA"/>
        </w:rPr>
        <w:t>، إلا أنّه لا يستقر ملكه على أصوله، كالآباء وإن علوا، أو الأُمهات وإن علون، وفروعه كالأولاد وإن سفلوا، والمحارم كالعمة والخالة وإن علتا؛ لأنّهنّ من المحارم، والأخت وبنات الأخت وبنات الأخ</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ملك أحداً مما ذكرنا انعتق عليه بعد ملكه آناً ما من غير فرق بين الملك الاختياري أو القهري، مع احتمال انفساخه بمجرّد إجراء الصيغة الناقلة في الاختياري وبمجرد الملك القهري بحيث يقعان،دفعة إلا أنّه خلاف الظاهر؛ لأنّ الشراء سبب للملك لا للعتق، </w:t>
      </w:r>
    </w:p>
    <w:p>
      <w:pPr>
        <w:pStyle w:val="BookText"/>
        <w:rPr/>
      </w:pPr>
      <w:r>
        <w:rPr>
          <w:rFonts w:ascii="Amiri" w:hAnsi="Amiri" w:eastAsia="Amiri" w:cs="Amiri"/>
          <w:color w:val="111111"/>
          <w:sz w:val="28"/>
          <w:sz w:val="28"/>
          <w:szCs w:val="28"/>
          <w:rtl w:val="true"/>
          <w:lang w:bidi="ar-SA"/>
        </w:rPr>
        <w:t xml:space="preserve">والملك سبب للعتق في القهري والاختياري، فلا يتقدّم السبب على المسبب، والتزام تقدَّم السبب ذاتاً لا خارجاً لا حاجة إليه على أنّ في الأخبار ما يدل على التقدم،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ملك الرجل والديه أو أخته أو عمّته أو خالته أو بنت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أهل هذه الآية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عتقوا جميعاً</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والديه أو أُخته أو عمته أو خالته عتقوا عليه</w:t>
      </w:r>
      <w:r>
        <w:rPr>
          <w:rFonts w:eastAsia="Amiri" w:cs="Amiri" w:ascii="Amiri" w:hAnsi="Amiri"/>
          <w:color w:val="111111"/>
          <w:sz w:val="28"/>
          <w:szCs w:val="28"/>
          <w:rtl w:val="true"/>
          <w:lang w:bidi="ar-SA"/>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نفى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والديه ولا ولده ولا عمته ولا خالته</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والديه ولا أُخته ولا ابنة أخيه ولا ابنة أُخته ولا عمّته ولا خالته</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نفى الملك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وتملك الأنثى والخنثى كلّ قريب وبعيد إلا أنّه لا يستقر ملكها على العمودين من الآباء والأُمهات وإن علوا، وعلى الأولاد وأولادهم وإن نزلوا كلّ ذلك للإجماع بقسميه </w:t>
      </w:r>
      <w:r>
        <w:rPr>
          <w:rStyle w:val="FootnoteAnchor"/>
          <w:rtl w:val="true"/>
        </w:rPr>
        <w:footnoteReference w:id="1784"/>
      </w:r>
      <w:r>
        <w:rPr>
          <w:rFonts w:ascii="Amiri" w:hAnsi="Amiri" w:eastAsia="Amiri" w:cs="Amiri"/>
          <w:color w:val="111111"/>
          <w:sz w:val="28"/>
          <w:sz w:val="28"/>
          <w:szCs w:val="28"/>
          <w:rtl w:val="true"/>
          <w:lang w:bidi="ar-SA"/>
        </w:rPr>
        <w:t>، وللأخبار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فإلحاق البعض لبعض المحارم في المنع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الامرأة ما تملك من قرابتها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أحدٍ إلا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وأُمّها وابنها وبنتها وزوجها</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من الأخبار بخلاف ما قدمنا من عدم جواز تملك غير ما ذكرنا فهو 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الرضاع بالنسب ؟ لفتوى المشهور نقلاً </w:t>
      </w:r>
      <w:r>
        <w:rPr>
          <w:rStyle w:val="FootnoteAnchor"/>
          <w:rtl w:val="true"/>
        </w:rPr>
        <w:footnoteReference w:id="1786"/>
      </w:r>
      <w:r>
        <w:rPr>
          <w:rFonts w:ascii="Amiri" w:hAnsi="Amiri" w:eastAsia="Amiri" w:cs="Amiri"/>
          <w:color w:val="111111"/>
          <w:sz w:val="28"/>
          <w:sz w:val="28"/>
          <w:szCs w:val="28"/>
          <w:rtl w:val="true"/>
          <w:lang w:bidi="ar-SA"/>
        </w:rPr>
        <w:t xml:space="preserve">بل تحصيلاً، وللإجماع المنقول </w:t>
      </w:r>
      <w:r>
        <w:rPr>
          <w:rStyle w:val="FootnoteAnchor"/>
          <w:rtl w:val="true"/>
        </w:rPr>
        <w:footnoteReference w:id="1787"/>
      </w:r>
      <w:r>
        <w:rPr>
          <w:rFonts w:ascii="Amiri" w:hAnsi="Amiri" w:eastAsia="Amiri" w:cs="Amiri"/>
          <w:color w:val="111111"/>
          <w:sz w:val="28"/>
          <w:sz w:val="28"/>
          <w:szCs w:val="28"/>
          <w:rtl w:val="true"/>
          <w:lang w:bidi="ar-SA"/>
        </w:rPr>
        <w:t xml:space="preserve">،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ولا اختصاص لها بالنكاح بعد فهم الفقهاء لها الشمول في مثل هذا المقام، والتحريم هنا يلازمه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وللأخبار الخاصة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أُمّه من الرضاعة، ولا أُخته ولا عمّته ولا خالته، إذا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عتقن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الذكور ما خلا والداً أو ولداً، ولا من النساء ذات رحم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عن امرأة أرضعت ابن جاريتها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غلاماً مملوكاً لها حتّى فطمته هل لها أن تبيعه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ابنها من الرضاعة، حرم عليها بيعه وأكل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خامس </w:t>
      </w:r>
      <w:r>
        <w:rPr>
          <w:rStyle w:val="FootnoteAnchor"/>
          <w:rtl w:val="true"/>
        </w:rPr>
        <w:footnoteReference w:id="1793"/>
      </w:r>
      <w:r>
        <w:rPr>
          <w:rFonts w:ascii="Amiri" w:hAnsi="Amiri" w:eastAsia="Amiri" w:cs="Amiri"/>
          <w:color w:val="111111"/>
          <w:sz w:val="28"/>
          <w:sz w:val="28"/>
          <w:szCs w:val="28"/>
          <w:rtl w:val="true"/>
          <w:lang w:bidi="ar-SA"/>
        </w:rPr>
        <w:t>قريب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أُمّه من الرضاعة</w:t>
      </w:r>
      <w:r>
        <w:rPr>
          <w:rFonts w:eastAsia="Amiri" w:cs="Amiri" w:ascii="Amiri" w:hAnsi="Amiri"/>
          <w:color w:val="111111"/>
          <w:sz w:val="28"/>
          <w:szCs w:val="28"/>
          <w:rtl w:val="true"/>
          <w:lang w:bidi="ar-SA"/>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سابع وثامن وتاسع وعاشر انعتاق الولد الرضاعي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خصوص ذكر بعض الأفراد دون بعض يتم بالقول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يلحق مطلقاً ؟ كما ذهب إليه جمع </w:t>
      </w:r>
      <w:r>
        <w:rPr>
          <w:rStyle w:val="FootnoteAnchor"/>
          <w:rtl w:val="true"/>
        </w:rPr>
        <w:footnoteReference w:id="1796"/>
      </w:r>
      <w:r>
        <w:rPr>
          <w:rFonts w:ascii="Amiri" w:hAnsi="Amiri" w:eastAsia="Amiri" w:cs="Amiri"/>
          <w:color w:val="111111"/>
          <w:sz w:val="28"/>
          <w:sz w:val="28"/>
          <w:szCs w:val="28"/>
          <w:rtl w:val="true"/>
          <w:lang w:bidi="ar-SA"/>
        </w:rPr>
        <w:t>للأصل المنقوض بناقضه، 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من الرجل أباه أو أخاه فهو حر، إلا ما كان من قبل الرضاع</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عن مقاومة دليل المشهور، فهو يُحمل على التقيّة، أو العطف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الوصف بها، أو رضاع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ما علق بالرضاع يملك إلا أنّه لا يجوز بيعه إلا مع الضرورة، وهو آخر ما يباع في الدَّين؛ للصحيح في بيع الأُمّ الرضاعية،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أيضاً عن المقاومة، فليطرح أو يُحمل على رضاع غير محرم، أو على التقيّة</w:t>
      </w:r>
      <w:r>
        <w:rPr>
          <w:rFonts w:eastAsia="Amiri" w:cs="Amiri" w:ascii="Amiri" w:hAnsi="Amiri"/>
          <w:color w:val="111111"/>
          <w:sz w:val="28"/>
          <w:szCs w:val="28"/>
          <w:rtl w:val="true"/>
          <w:lang w:bidi="ar-SA"/>
        </w:rPr>
        <w:t xml:space="preserve">. </w:t>
      </w:r>
      <w:bookmarkStart w:id="816" w:name="pg19000_245643"/>
    </w:p>
    <w:p>
      <w:pPr>
        <w:pStyle w:val="Heading4"/>
        <w:numPr>
          <w:ilvl w:val="3"/>
          <w:numId w:val="1"/>
        </w:numPr>
        <w:rPr/>
      </w:pPr>
      <w:bookmarkStart w:id="817" w:name="__RefHeading___Toc13372712_1280447820"/>
      <w:bookmarkStart w:id="818" w:name="_Toc302"/>
      <w:bookmarkEnd w:id="816"/>
      <w:bookmarkEnd w:id="817"/>
      <w:r>
        <w:rPr>
          <w:rtl w:val="true"/>
        </w:rPr>
        <w:t>رابعها</w:t>
      </w:r>
      <w:r>
        <w:rPr>
          <w:rtl w:val="true"/>
        </w:rPr>
        <w:t xml:space="preserve">: </w:t>
      </w:r>
      <w:r>
        <w:rPr>
          <w:rtl w:val="true"/>
        </w:rPr>
        <w:t xml:space="preserve">في أنّ ما يؤخذ من مال الحربيّين </w:t>
      </w:r>
      <w:r>
        <w:rPr>
          <w:rtl w:val="true"/>
        </w:rPr>
        <w:t xml:space="preserve">- </w:t>
      </w:r>
      <w:r>
        <w:rPr>
          <w:rtl w:val="true"/>
        </w:rPr>
        <w:t>بغير إذن الإمام أو منصوبه فهو لآخذه وفيه الخمس</w:t>
      </w:r>
      <w:bookmarkEnd w:id="81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مال الحربيين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دراهم أو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منصوبه الخاص أو العام في زمن الحضور أو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بسرقةٍ أو خيانة أو خدع أو أسرٍ أو قهرٍ من غير جيش أو بجيش من غير 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لآخذه، وفيه الخمس؛ لشمول الغنيمة له، ولا يتفاوت بين كون الآخذ مؤمناً أم لا، حتّى لو كان كافراً حربياً؛ لما دلّ بإطلاقه على جواز أخذ مال المحاربين وسبيهم </w:t>
      </w:r>
      <w:r>
        <w:rPr>
          <w:rStyle w:val="FootnoteAnchor"/>
          <w:rtl w:val="true"/>
        </w:rPr>
        <w:footnoteReference w:id="1799"/>
      </w:r>
      <w:r>
        <w:rPr>
          <w:rFonts w:ascii="Amiri" w:hAnsi="Amiri" w:eastAsia="Amiri" w:cs="Amiri"/>
          <w:color w:val="111111"/>
          <w:sz w:val="28"/>
          <w:sz w:val="28"/>
          <w:szCs w:val="28"/>
          <w:rtl w:val="true"/>
          <w:lang w:bidi="ar-SA"/>
        </w:rPr>
        <w:t xml:space="preserve">، ولأنّه غير معتصم، فهو كالمال المباح يملك بالاستيلاء، وتملك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خاصةً بحيازة الغير مخالف للأصل وظواهر الأدلّة، وما أُخذ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وأمّا ما أُخذ بالقهر والغلبة بجيش أو سرية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للغانمين وغيرهم ولا 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 xml:space="preserve">المسلمين فيه نصيب؛ للإجماع المنقول </w:t>
      </w:r>
      <w:r>
        <w:rPr>
          <w:rStyle w:val="FootnoteAnchor"/>
          <w:rtl w:val="true"/>
        </w:rPr>
        <w:footnoteReference w:id="1801"/>
      </w:r>
      <w:r>
        <w:rPr>
          <w:rFonts w:ascii="Amiri" w:hAnsi="Amiri" w:eastAsia="Amiri" w:cs="Amiri"/>
          <w:color w:val="111111"/>
          <w:sz w:val="28"/>
          <w:sz w:val="28"/>
          <w:szCs w:val="28"/>
          <w:rtl w:val="true"/>
          <w:lang w:bidi="ar-SA"/>
        </w:rPr>
        <w:t xml:space="preserve">والشهرة المنقولة </w:t>
      </w:r>
      <w:r>
        <w:rPr>
          <w:rStyle w:val="FootnoteAnchor"/>
          <w:rtl w:val="true"/>
        </w:rPr>
        <w:footnoteReference w:id="1802"/>
      </w:r>
      <w:r>
        <w:rPr>
          <w:rFonts w:ascii="Amiri" w:hAnsi="Amiri" w:eastAsia="Amiri" w:cs="Amiri"/>
          <w:color w:val="111111"/>
          <w:sz w:val="28"/>
          <w:sz w:val="28"/>
          <w:szCs w:val="28"/>
          <w:rtl w:val="true"/>
          <w:lang w:bidi="ar-SA"/>
        </w:rPr>
        <w:t xml:space="preserve">، بل المحصّلة، والنصّ </w:t>
      </w:r>
      <w:r>
        <w:rPr>
          <w:rStyle w:val="FootnoteAnchor"/>
          <w:rtl w:val="true"/>
        </w:rPr>
        <w:footnoteReference w:id="1803"/>
      </w:r>
      <w:r>
        <w:rPr>
          <w:rFonts w:ascii="Amiri" w:hAnsi="Amiri" w:eastAsia="Amiri" w:cs="Amiri"/>
          <w:color w:val="111111"/>
          <w:sz w:val="28"/>
          <w:sz w:val="28"/>
          <w:szCs w:val="28"/>
          <w:rtl w:val="true"/>
          <w:lang w:bidi="ar-SA"/>
        </w:rPr>
        <w:t xml:space="preserve">المعتبر المجبور بما اشتهر إلا إذا لحقت إجازة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هو بحكمه له، فلا يبعد عوده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ومدّعي الأخذ بالإذن يُصدَّق بدعواه من غير يمين؛ عملاً بظاهر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حرمة التصرّف بمال الغير وحرمة الغصب والعدوان وأكل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الذي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حفظه والإيصاء به، فإن خيف عليه أُلقي في البحر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دفعه إلا لمن دلّت الإذن الفحوائية القطعية على جواز دفعه إليه، أو جاء به الدليل، كما جاء في جواز دفع حصّةٍ من الخمس إلى المحتاجين من بني هاشم </w:t>
      </w:r>
      <w:r>
        <w:rPr>
          <w:rStyle w:val="FootnoteAnchor"/>
          <w:rtl w:val="true"/>
        </w:rPr>
        <w:footnoteReference w:id="1804"/>
      </w:r>
      <w:r>
        <w:rPr>
          <w:rFonts w:ascii="Amiri" w:hAnsi="Amiri" w:eastAsia="Amiri" w:cs="Amiri"/>
          <w:color w:val="111111"/>
          <w:sz w:val="28"/>
          <w:sz w:val="28"/>
          <w:szCs w:val="28"/>
          <w:rtl w:val="true"/>
          <w:lang w:bidi="ar-SA"/>
        </w:rPr>
        <w:t xml:space="preserve">، وما جاء من تحليل المساكن والمتاجر والمناكح بالنسبة إلى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وحصّة غيره لولايته عليه </w:t>
      </w:r>
      <w:r>
        <w:rPr>
          <w:rStyle w:val="FootnoteAnchor"/>
          <w:rtl w:val="true"/>
        </w:rPr>
        <w:footnoteReference w:id="1805"/>
      </w:r>
      <w:r>
        <w:rPr>
          <w:rFonts w:ascii="Amiri" w:hAnsi="Amiri" w:eastAsia="Amiri" w:cs="Amiri"/>
          <w:color w:val="111111"/>
          <w:sz w:val="28"/>
          <w:sz w:val="28"/>
          <w:szCs w:val="28"/>
          <w:rtl w:val="true"/>
          <w:lang w:bidi="ar-SA"/>
        </w:rPr>
        <w:t>، وكذا قد جاءت عنهم الرخصة في حال الحضور وكفّ اليد وفي حال الغيبة للشيعة دون غيرهم ؛</w:t>
      </w:r>
      <w:r>
        <w:rPr>
          <w:rStyle w:val="FootnoteAnchor"/>
          <w:rtl w:val="true"/>
        </w:rPr>
        <w:footnoteReference w:id="1806"/>
      </w:r>
      <w:r>
        <w:rPr>
          <w:rFonts w:ascii="Amiri" w:hAnsi="Amiri" w:eastAsia="Amiri" w:cs="Amiri"/>
          <w:color w:val="111111"/>
          <w:sz w:val="28"/>
          <w:sz w:val="28"/>
          <w:szCs w:val="28"/>
          <w:rtl w:val="true"/>
          <w:lang w:bidi="ar-SA"/>
        </w:rPr>
        <w:t>قصراً على المورد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الاختصاص بالفرقة الاثني عشرية في حال الغيبة فيما كان كله لهم خاصة، أو كان لهم ولغيرهم من الغنائم المأخوذة في حال الغيبة بالقهر وغلبة الجنود والعساكر أن يتملكه الشيعة بالحيازة وقصد التملك إن كان هم الغانمين وبالأخذ من يد الغانمين بعقد هبة أو معاوضة، بل واستنقاذ من يد غيرهم لو كان الغانمون من غيرهم في وجه قوي، وأن يطأوا الموطوءات بتملك لهنّ بالاغتنام أو بعقد معاوضة أو بنكاح أو بتحليل لهنّ من المغتنم وإن لم يكن من الشيعة؛ جرياً له على مذهبه، أو بتحليل ممّن انتقل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حصول الرخصة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الثابتة بالإجماع بقسميه </w:t>
      </w:r>
      <w:r>
        <w:rPr>
          <w:rStyle w:val="FootnoteAnchor"/>
          <w:rtl w:val="true"/>
        </w:rPr>
        <w:footnoteReference w:id="1807"/>
      </w:r>
      <w:r>
        <w:rPr>
          <w:rFonts w:ascii="Amiri" w:hAnsi="Amiri" w:eastAsia="Amiri" w:cs="Amiri"/>
          <w:color w:val="111111"/>
          <w:sz w:val="28"/>
          <w:sz w:val="28"/>
          <w:szCs w:val="28"/>
          <w:rtl w:val="true"/>
          <w:lang w:bidi="ar-SA"/>
        </w:rPr>
        <w:t xml:space="preserve">في الجملة، وبالسيرة القطعية في كثير مما تقدم، وبالأخبار الخاصة الدالة على جملة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عدم القول بالفصل بينه وبين غيره يتمّ المطلوب، ولا يحتاج إلى البحث عن كون الحكم هل هو على القاعدة فيتولّى الغانم أو المتلقى عنه الإيجاب والقبول بعد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حصته أصالة وفي حصة غيره ولايةً، أو على غير القاعدة بحصول الملك والتحليل حقيقةً من غير عقد، أو بإجراء حكم المملوك على غير المالك تعبداً ؟</w:t>
      </w:r>
    </w:p>
    <w:p>
      <w:pPr>
        <w:pStyle w:val="BookText"/>
        <w:rPr/>
      </w:pPr>
      <w:r>
        <w:rPr>
          <w:rFonts w:ascii="Amiri" w:hAnsi="Amiri" w:eastAsia="Amiri" w:cs="Amiri"/>
          <w:color w:val="111111"/>
          <w:sz w:val="28"/>
          <w:sz w:val="28"/>
          <w:szCs w:val="28"/>
          <w:rtl w:val="true"/>
          <w:lang w:bidi="ar-SA"/>
        </w:rPr>
        <w:t xml:space="preserve">ومن الأخبار الدالة على جملة مما قدمنا رواية إبراهيم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الروميات،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اشترهن وبعهن</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زكريا بن آدم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سبي الديلم يسرق بعضهم من بعض ويغير المسلمون عليهم بلا إمام أيحلّ شراؤهم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أقروا لهم بالعبودية فلا بأس</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يشتري من أهل الشرك ابنته فيتخذها،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الروم يغيرون على الصقالبة والروم فيسرقون الجواري والغلمان ويبعثون بهم إلى بغداد،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بشرائهم</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 xml:space="preserve">. </w:t>
      </w:r>
      <w:bookmarkStart w:id="819" w:name="pg19000_245645"/>
    </w:p>
    <w:p>
      <w:pPr>
        <w:pStyle w:val="BookText"/>
        <w:rPr/>
      </w:pPr>
      <w:bookmarkEnd w:id="819"/>
      <w:r>
        <w:rPr>
          <w:rFonts w:ascii="Amiri" w:hAnsi="Amiri" w:eastAsia="Amiri" w:cs="Amiri"/>
          <w:color w:val="111111"/>
          <w:sz w:val="28"/>
          <w:sz w:val="28"/>
          <w:szCs w:val="28"/>
          <w:rtl w:val="true"/>
          <w:lang w:bidi="ar-SA"/>
        </w:rPr>
        <w:t xml:space="preserve">والروايات الدالة على تحليل ما هو لهم لشيعتهم </w:t>
      </w:r>
      <w:r>
        <w:rPr>
          <w:rStyle w:val="FootnoteAnchor"/>
          <w:rtl w:val="true"/>
        </w:rPr>
        <w:footnoteReference w:id="1812"/>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قهر مسلم أو غيره ذمّيّاً أو معتصماً فباعه لم يصح شراؤه مطلقاً، مع احتمال جوازه مع كفر القاهر والجواز في مذهبه أو مذهب المشهور أو مذهبهما؛ لأن المتيقن من الاعتصام ما يحصل ابتداء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استيهاب ثمنه وأخذه فيما لو تبايع الكافران الجائز في مذهبهما ذلك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قهر مسلم أو غيره حربيّاً، ملكه وصح بيعه، فإن كان ممن ينعتق عليه انعتق عليه ولا يجوز بيعه، ولو جاز بيعه في مذهبه ففي جواز شرائه منه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القاهر حربيّاً، قوي القول بجواز شرائه؛ لدوام القهر القاضي بدوام الملك المبطل للعتق؛ لأنّه لم يزل حربيّاً مقهوراً، وكلّ ما كان كذلك فهو مملوك؛ لعدم دخوله في حكم غيره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دوام القرابة المقتضية لرفع الملك بالقهر؛ لأنّ القرابة إنما ترفع الملك حيث لا يصاحبها مقتضي الملك ولو بعد فرضه معتقاً،وقد أُطلق في الأخبار عليه لفظ الشراء، كما جاء فيمن باع ابنته من أهل الشرك </w:t>
      </w:r>
      <w:r>
        <w:rPr>
          <w:rStyle w:val="FootnoteAnchor"/>
          <w:rtl w:val="true"/>
        </w:rPr>
        <w:footnoteReference w:id="1813"/>
      </w:r>
      <w:r>
        <w:rPr>
          <w:rFonts w:ascii="Amiri" w:hAnsi="Amiri" w:eastAsia="Amiri" w:cs="Amiri"/>
          <w:color w:val="111111"/>
          <w:sz w:val="28"/>
          <w:sz w:val="28"/>
          <w:szCs w:val="28"/>
          <w:rtl w:val="true"/>
          <w:lang w:bidi="ar-SA"/>
        </w:rPr>
        <w:t>، ولكن الأولى حمل الشراء على الاستنقاذ فيكون الملك بالاستيلاء على الحربي والسلطنة، فلا تجري عليه أحكام البيع حينئذٍ</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3372714_1280447820"/>
      <w:bookmarkStart w:id="821" w:name="_Toc303"/>
      <w:bookmarkEnd w:id="820"/>
      <w:r>
        <w:rPr>
          <w:rtl w:val="true"/>
        </w:rPr>
        <w:t>خامسها</w:t>
      </w:r>
      <w:r>
        <w:rPr>
          <w:rtl w:val="true"/>
        </w:rPr>
        <w:t xml:space="preserve">: </w:t>
      </w:r>
      <w:r>
        <w:rPr>
          <w:rtl w:val="true"/>
        </w:rPr>
        <w:t>جواز ابتیاع بعض الحيوان الحي بشرط الإشاعة</w:t>
      </w:r>
      <w:bookmarkEnd w:id="821"/>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ابتياع بعض الحيوان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يؤكل لحمه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الإشاعة المقصود منها الكسر، وعلم النسبة؛ للإجماع بقسميه </w:t>
      </w:r>
      <w:r>
        <w:rPr>
          <w:rStyle w:val="FootnoteAnchor"/>
          <w:rtl w:val="true"/>
        </w:rPr>
        <w:footnoteReference w:id="1814"/>
      </w:r>
      <w:r>
        <w:rPr>
          <w:rFonts w:ascii="Amiri" w:hAnsi="Amiri" w:eastAsia="Amiri" w:cs="Amiri"/>
          <w:color w:val="111111"/>
          <w:sz w:val="28"/>
          <w:sz w:val="28"/>
          <w:szCs w:val="28"/>
          <w:rtl w:val="true"/>
          <w:lang w:bidi="ar-SA"/>
        </w:rPr>
        <w:t xml:space="preserve">، ولعمومات الأدلّة </w:t>
      </w:r>
      <w:r>
        <w:rPr>
          <w:rStyle w:val="FootnoteAnchor"/>
          <w:rtl w:val="true"/>
        </w:rPr>
        <w:footnoteReference w:id="1815"/>
      </w:r>
      <w:r>
        <w:rPr>
          <w:rFonts w:ascii="Amiri" w:hAnsi="Amiri" w:eastAsia="Amiri" w:cs="Amiri"/>
          <w:color w:val="111111"/>
          <w:sz w:val="28"/>
          <w:sz w:val="28"/>
          <w:szCs w:val="28"/>
          <w:rtl w:val="true"/>
          <w:lang w:bidi="ar-SA"/>
        </w:rPr>
        <w:t>، وللسيرة القطعيّة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باع جزءاً منه معيّناً، أو باع جزءاً مشاعاً بقصد الكلّي الحاصل في الجملة، كما إذا منه يعلم باشتماله عليه، أو باع كلّيّاً مشاعاً غير معلوم النسبة كما إذا باعه قسطاً أو نصيباً أو شيئاً، أو باع كسراً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كنصفه وثلثه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الكلّيّة لا الإشاعة، بطل في باعه صاعاً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للإجماع بقسميه </w:t>
      </w:r>
      <w:r>
        <w:rPr>
          <w:rStyle w:val="FootnoteAnchor"/>
          <w:rtl w:val="true"/>
        </w:rPr>
        <w:footnoteReference w:id="1816"/>
      </w:r>
      <w:r>
        <w:rPr>
          <w:rFonts w:ascii="Amiri" w:hAnsi="Amiri" w:eastAsia="Amiri" w:cs="Amiri"/>
          <w:color w:val="111111"/>
          <w:sz w:val="28"/>
          <w:sz w:val="28"/>
          <w:szCs w:val="28"/>
          <w:rtl w:val="true"/>
          <w:lang w:bidi="ar-SA"/>
        </w:rPr>
        <w:t>، وللغرر والجهالة وتعذر التسليم في الأبعاض لاشتباه موضع القطع فيها، ولحصول السفاهة فيما لا يراد ذبحه، وكذا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والرابع فإنّه وإن أمكن لهما وجه صحةٍ، إلا أنّ ظاهر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خصوا الجواز بالإشاعة مع علم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مع أنّهما في مثل الحيوان لا يخلوان من الغرر سيّما فيما لم يرد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الحيوان المذبوح فلا يجوز بيع معين منه؛ لمكان الغرر، والإجماع المنقول </w:t>
      </w:r>
      <w:r>
        <w:rPr>
          <w:rStyle w:val="FootnoteAnchor"/>
          <w:rtl w:val="true"/>
        </w:rPr>
        <w:footnoteReference w:id="1817"/>
      </w:r>
      <w:r>
        <w:rPr>
          <w:rFonts w:ascii="Amiri" w:hAnsi="Amiri" w:eastAsia="Amiri" w:cs="Amiri"/>
          <w:color w:val="111111"/>
          <w:sz w:val="28"/>
          <w:sz w:val="28"/>
          <w:szCs w:val="28"/>
          <w:rtl w:val="true"/>
          <w:lang w:bidi="ar-SA"/>
        </w:rPr>
        <w:t>، وظاهر فتوى الأصحاب، وكذا كسراً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والكسر المعلوم النسبة مع معرفة وزنه إن قلنا باشتراط الوزن فيه، أو بدونها إن لم نقل، أو بيع كلّي منه يعلم باشتماله عليه، أو بيع كسر منه على جهة الكلية فلا أرى وجهاً للمنع منه، إلا أن ينعقد إجماع على المنع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الحيوان واستثنى الرأس أو الجلد أو هما معاً أو غيرهما من الأجزاء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بحرف الاستثناء أو بلفظ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بطلان البيع لمكان الغرر والجهالة؛ إذ لا فرق بين بيع الرأس وبين بيع الكلّ واستثنائه إلا بمجرد الصورة على أنّه لا يخلو من شبهة تعدّر التسليم فيما لم يكن مذبوحاً أو يراد ذبحه، ولتأديته إلى النزاع والخصومة فيما إذا أراد البائع ذبحه وأراد المشتري بقاءه، أو العكس كما في بعض الموارد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يكون شريكاً للمشتري بنسبة القيمة فيما إذا استثنى الرأس والجلد </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يقوم الحيوان كلّه ويقوّماهما وينظر إلى نسبة القيمتين فيكون شريكاً بقدر تلك النسبة، أو بأن يقوم الحيوان واجد الرأس والجلد ومسلوبهما وينظر لنسبة التفاوت فيكون شريكاً بتلك النسبة؛ استناداً إلى أن تعذر العين يوجب الشركة بحسب القيمة؛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أمرتكم بأمرٍ فأتوا منه ما </w:t>
      </w:r>
    </w:p>
    <w:p>
      <w:pPr>
        <w:pStyle w:val="BookText"/>
        <w:rPr/>
      </w:pPr>
      <w:r>
        <w:rPr>
          <w:rFonts w:ascii="IRNazanin" w:hAnsi="IRNazanin" w:eastAsia="IRNazanin"/>
          <w:color w:val="111111"/>
          <w:sz w:val="28"/>
          <w:sz w:val="28"/>
          <w:szCs w:val="28"/>
          <w:rtl w:val="true"/>
          <w:lang w:bidi="fa-IR"/>
        </w:rPr>
        <w:t>استطعتم</w:t>
      </w:r>
      <w:r>
        <w:rPr>
          <w:rFonts w:eastAsia="IRNazanin" w:cs="IRNazanin"/>
          <w:color w:val="111111"/>
          <w:sz w:val="28"/>
          <w:szCs w:val="28"/>
          <w:rtl w:val="true"/>
          <w:lang w:bidi="fa-IR"/>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وإلى الروايتين الدالّتين على أنّ البائع يكون شريكاً على قدر الرأس والجلد فيمن باع بعيراً واستثنى الرأس والجلد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الروايتين ضعف سنداً بل ودلالةً؛ لاحتمال إرادة استحقاق عينهما أو قيمتهما، ومع ذلك فهما مخالفان لفتوى المشهور وأُصول المذهب والقواعد الجارية بين فقهاء الإمامية، ومنافيان لما دلّ على تبعية العقود للقصود </w:t>
      </w:r>
      <w:r>
        <w:rPr>
          <w:rStyle w:val="FootnoteAnchor"/>
          <w:rtl w:val="true"/>
        </w:rPr>
        <w:footnoteReference w:id="1823"/>
      </w:r>
      <w:r>
        <w:rPr>
          <w:rFonts w:ascii="Amiri" w:hAnsi="Amiri" w:eastAsia="Amiri" w:cs="Amiri"/>
          <w:color w:val="111111"/>
          <w:sz w:val="28"/>
          <w:sz w:val="28"/>
          <w:szCs w:val="28"/>
          <w:rtl w:val="true"/>
          <w:lang w:bidi="ar-SA"/>
        </w:rPr>
        <w:t xml:space="preserve">، وعلى المنع من التجارة من غير تراض وأكل المال بالباطل </w:t>
      </w:r>
      <w:r>
        <w:rPr>
          <w:rStyle w:val="FootnoteAnchor"/>
          <w:rtl w:val="true"/>
        </w:rPr>
        <w:footnoteReference w:id="1824"/>
      </w:r>
      <w:r>
        <w:rPr>
          <w:rFonts w:ascii="Amiri" w:hAnsi="Amiri" w:eastAsia="Amiri" w:cs="Amiri"/>
          <w:color w:val="111111"/>
          <w:sz w:val="28"/>
          <w:sz w:val="28"/>
          <w:szCs w:val="28"/>
          <w:rtl w:val="true"/>
          <w:lang w:bidi="ar-SA"/>
        </w:rPr>
        <w:t xml:space="preserve">، ولا بدّ من اطراحهما أو تأويلهما بما ذكرنا، ولو أخذنا بهما لاقتصرنا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لمخالفتهما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البعير، وخصوص استثناء البائع، وخصوص استثنائهما تامين، وخصوص وقوع الاستثناء قبل الذبح كما يظهر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يملك نفس الرأس والجلد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w:t>
      </w:r>
      <w:r>
        <w:rPr>
          <w:rStyle w:val="FootnoteAnchor"/>
          <w:rtl w:val="true"/>
        </w:rPr>
        <w:footnoteReference w:id="1826"/>
      </w:r>
      <w:r>
        <w:rPr>
          <w:rFonts w:ascii="IRNazanin" w:hAnsi="IRNazanin" w:eastAsia="IRNazanin"/>
          <w:color w:val="111111"/>
          <w:sz w:val="28"/>
          <w:sz w:val="28"/>
          <w:szCs w:val="28"/>
          <w:rtl w:val="true"/>
          <w:lang w:bidi="fa-IR"/>
        </w:rPr>
        <w:t xml:space="preserve">لجمع من أصحابنا </w:t>
      </w:r>
      <w:r>
        <w:rPr>
          <w:rStyle w:val="FootnoteAnchor"/>
          <w:rtl w:val="true"/>
        </w:rPr>
        <w:footnoteReference w:id="1827"/>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1828"/>
      </w:r>
      <w:r>
        <w:rPr>
          <w:rFonts w:ascii="Amiri" w:hAnsi="Amiri" w:eastAsia="Amiri" w:cs="Amiri"/>
          <w:color w:val="111111"/>
          <w:sz w:val="28"/>
          <w:sz w:val="28"/>
          <w:szCs w:val="28"/>
          <w:rtl w:val="true"/>
          <w:lang w:bidi="ar-SA"/>
        </w:rPr>
        <w:t xml:space="preserve">لعموم أدلّة صحّة العقود </w:t>
      </w:r>
      <w:r>
        <w:rPr>
          <w:rStyle w:val="FootnoteAnchor"/>
          <w:rtl w:val="true"/>
        </w:rPr>
        <w:footnoteReference w:id="1829"/>
      </w:r>
      <w:r>
        <w:rPr>
          <w:rFonts w:ascii="Amiri" w:hAnsi="Amiri" w:eastAsia="Amiri" w:cs="Amiri"/>
          <w:color w:val="111111"/>
          <w:sz w:val="28"/>
          <w:sz w:val="28"/>
          <w:szCs w:val="28"/>
          <w:rtl w:val="true"/>
          <w:lang w:bidi="ar-SA"/>
        </w:rPr>
        <w:t>جنساً ونوعاً، ولاندفاع الغرر بتميّز المستثنى ومعرفة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اندفاع الغرر عرفاً، ولو اندفع لصح تعلّق البيع بهما؛ إذ الفرق بين بيعهما واستثنائهما من المبيع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بالصحّة في المذبوح؛ لاندفاع الغرر بذبحه عرفاً، دون الحيّ؛ للزوم الغر الناشئ من وجود الحياة الباعثة على ملاحظة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مرّ من عدم المحيص عن الغرر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المذبوح والضرب بالنسبة في غيره مع عدم اشتراط الذبح، ومع اشتراطه فإن وقع فلا بحث وإلا تخيّر بين الفسخ والقيمة</w:t>
      </w:r>
      <w:r>
        <w:rPr>
          <w:rFonts w:eastAsia="Amiri" w:cs="Amiri" w:ascii="Amiri" w:hAnsi="Amiri"/>
          <w:color w:val="111111"/>
          <w:sz w:val="28"/>
          <w:szCs w:val="28"/>
          <w:rtl w:val="true"/>
          <w:lang w:bidi="ar-SA"/>
        </w:rPr>
        <w:t xml:space="preserve">. </w:t>
      </w:r>
      <w:bookmarkStart w:id="822" w:name="pg19000_245648"/>
    </w:p>
    <w:p>
      <w:pPr>
        <w:pStyle w:val="BookText"/>
        <w:rPr/>
      </w:pPr>
      <w:bookmarkEnd w:id="822"/>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مع أنّه لا يخلو من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بجواز العمل بالروايتين في خصوص الجلد؛ لاختلافه دقةٌ وغلظاً، فتعلق الاستثناء به موجب للغرر، فيتعيّن الحمل على إرادة القيمة والضرب بالنسبة دون غيره من الرأس؛ لمعرفة حدودها فيصح استثناء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الوجوه المتخيلة تخصيص الغرر بالرأس؛ لجهالة حده، بخلاف الجلد، فيصح استثناء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مدلول الروايتين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المنع بالمذبوح؛ لدخوله تحت الموزون فيلزم فيه الغرر، ووزن الرأس والجلد معه لا يرفع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المنع بالمسلوخ فقط مع بقاء الرأس مطلقاً، ومع عدمه بشرط عدم الوزن؛ لدخوله تحت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المنع على 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منظور فيه، ويظهر ضعفه مما تقدّم</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3372716_1280447820"/>
      <w:bookmarkStart w:id="824" w:name="_Toc304"/>
      <w:bookmarkEnd w:id="823"/>
      <w:r>
        <w:rPr>
          <w:rtl w:val="true"/>
        </w:rPr>
        <w:t>سادسها</w:t>
      </w:r>
      <w:r>
        <w:rPr>
          <w:rtl w:val="true"/>
        </w:rPr>
        <w:t xml:space="preserve">: </w:t>
      </w:r>
      <w:r>
        <w:rPr>
          <w:rtl w:val="true"/>
        </w:rPr>
        <w:t>حكم ما لو اشترك شخصان في شراء حيوان مع شرط وشرط أحدهما الرأس والجلد دون الآخر</w:t>
      </w:r>
      <w:bookmarkEnd w:id="82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شخصان في شراء حيوان وشرط أحدهما الرأس والجلد دون الآخر، فالاشتراط إما أن يكون على البائع فيرجع إلى شراء أحدهما النصف مستثنى منه نصفهما، وشراء الآخر النصف مع نصفهما الآخر فيرجع إلى شبه شراء الكلّ مع استثنائهما، وإما أن يكون شراء الكلّ لأحدهما ثمّ باع النصف الآخر للآخر مستثنى منه الرأس والجلد، فيكون من قبيل استثناء الكلّ منهما في بيع الكلّ، وإما أن يكون كذلك ولكن يشترطهما للمشتري، فيكون من بيع الأعضاء؛ لأنّه باعه النصف المشتمل على تمام الرأس والجلد بأن يكون مالكاً لهما، وإما أن يكون قد اشترى أحدهما الكلّ واشترى الآخر منه الرأس والجلد، أو اشترى أحدهما الكل غير الرأس والجلد والآخر الرأس والجلد فقط حتّى يكون داخلاً في مدلول الرواية ويكون من بيع الأعضاء والاستثناء</w:t>
      </w:r>
      <w:r>
        <w:rPr>
          <w:rFonts w:eastAsia="Amiri" w:cs="Amiri" w:ascii="Amiri" w:hAnsi="Amiri"/>
          <w:color w:val="111111"/>
          <w:sz w:val="28"/>
          <w:szCs w:val="28"/>
          <w:rtl w:val="true"/>
          <w:lang w:bidi="ar-SA"/>
        </w:rPr>
        <w:t xml:space="preserve">. </w:t>
      </w:r>
      <w:bookmarkStart w:id="825" w:name="pg19000_245649"/>
    </w:p>
    <w:p>
      <w:pPr>
        <w:pStyle w:val="BookText"/>
        <w:rPr/>
      </w:pPr>
      <w:bookmarkEnd w:id="825"/>
      <w:r>
        <w:rPr>
          <w:rFonts w:ascii="Amiri" w:hAnsi="Amiri" w:eastAsia="Amiri" w:cs="Amiri"/>
          <w:color w:val="111111"/>
          <w:sz w:val="28"/>
          <w:sz w:val="28"/>
          <w:szCs w:val="28"/>
          <w:rtl w:val="true"/>
          <w:lang w:bidi="ar-SA"/>
        </w:rPr>
        <w:t>وعلى كلّ حال فالشرط فاسد؛ لمكان الجهالة، فيفسد العقد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بتنزيل هذا الشرط على الإشاعة، فيكون له من الحيوان بقدر ماله بالإضافة أو ماله من قيمة مشروطة منسوبة إلى قيمته </w:t>
      </w:r>
      <w:r>
        <w:rPr>
          <w:rStyle w:val="FootnoteAnchor"/>
          <w:rtl w:val="true"/>
        </w:rPr>
        <w:footnoteReference w:id="1831"/>
      </w:r>
      <w:r>
        <w:rPr>
          <w:rFonts w:ascii="Amiri" w:hAnsi="Amiri" w:eastAsia="Amiri" w:cs="Amiri"/>
          <w:color w:val="111111"/>
          <w:sz w:val="28"/>
          <w:sz w:val="28"/>
          <w:szCs w:val="28"/>
          <w:rtl w:val="true"/>
          <w:lang w:bidi="ar-SA"/>
        </w:rPr>
        <w:t>؛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بعيراً مريضاً يباع فاشتراه بعشرة دراهم، فجاء واشترك فيه رجل آخر بدرهمين بالرأس والجلد، فبرئ البعير وبلغ ثمانية دنانير،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الدرهمين خمس ما بلغ،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والجلد، فليس له ذلك، هذا الضرار وقد أعطي حقه إذا أُعطي الخمس</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لضعف دلالة الرواية، ومخالفتها الأصول والقواعد الشرعيَّة وإلغاء ظاهر العقد وعدم تبعية العقد للقصد، وحصول الضرر التام على أحد المتعاقدين، مع احتمال أن يراد منها الاشتراك بنسبة الدرهمين ثمّ طلب منه الرأس والجلد، أو إنّما اشترك لأجل الرأس والجلد معلاً لا مشترطاً،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أُعطي حقه إذا أُعطي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يرشد إلى ذلك، أو أنّه قد سبق الوعد بإعطائه، فمطالبته من جهته لا من جهة الاستحقاق، أو أن إعطاء الخمس له لتطيب نفسه فيهون أمر النزاع والشقاق، وحينئذٍ فطرح الرواية أو تنزيلها على أحد الاحتمالات المتقدّمة أولى من الأخذ بها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أخذنا بها على ذلك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العمل بها للأصحاب </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الجمود على ما فيها، ولا يجوز التعدّي عنه إلى غيره من الحيوان، أو غيرهما من الأجزاء، أو غير الشريكين من الشركاء، أو غير دفع الدرهمين من النقود، إلى غير ذلك؛ إلا ما علم فيه تنقيح المناط أو إلغاء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تخصيص الحيوان فيها بما يراد ذبحه كما هو الظاهر دون غيره</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3372718_1280447820"/>
      <w:bookmarkStart w:id="827" w:name="_Toc305"/>
      <w:bookmarkEnd w:id="826"/>
      <w:r>
        <w:rPr>
          <w:rtl w:val="true"/>
        </w:rPr>
        <w:t>سابعها</w:t>
      </w:r>
      <w:r>
        <w:rPr>
          <w:rtl w:val="true"/>
        </w:rPr>
        <w:t xml:space="preserve">: </w:t>
      </w:r>
      <w:r>
        <w:rPr>
          <w:rtl w:val="true"/>
        </w:rPr>
        <w:t xml:space="preserve">حكم ما لو قال شخص لآخر </w:t>
      </w:r>
      <w:r>
        <w:rPr>
          <w:rtl w:val="true"/>
        </w:rPr>
        <w:t xml:space="preserve">: </w:t>
      </w:r>
      <w:r>
        <w:rPr>
          <w:rtl w:val="true"/>
        </w:rPr>
        <w:t>اشتر حيواناً أو هذا الحيوان بشركتي معك فاشتراه لهما</w:t>
      </w:r>
      <w:bookmarkEnd w:id="82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أو هذا الحيوان بشركتي معك، فاشتراه لهما صح الشراء؛ لأنّ الأمر بالشراء توكيل فإن صرّح بمقدار الشركة اتبع تصريحه، وإلا فظاهر </w:t>
      </w:r>
    </w:p>
    <w:p>
      <w:pPr>
        <w:pStyle w:val="BookText"/>
        <w:rPr/>
      </w:pPr>
      <w:r>
        <w:rPr>
          <w:rFonts w:ascii="Amiri" w:hAnsi="Amiri" w:eastAsia="Amiri" w:cs="Amiri"/>
          <w:color w:val="111111"/>
          <w:sz w:val="28"/>
          <w:sz w:val="28"/>
          <w:szCs w:val="28"/>
          <w:rtl w:val="true"/>
          <w:lang w:bidi="ar-SA"/>
        </w:rPr>
        <w:t>الأمر والشراء المناصفة، فإن نقد المأمور الثمن عنه بإذنه التزم بوفائه؛ لصيرورته ديناً عليه، ولو لم يكن بإذنه كان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قبض الحيوان بإذنه كان ضمانه عليهما لو تلف بعد القبض، ولو لم يكن بإذنه لم يضمن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أمره على أن يكون الربح لهما ولا خسران عليه، فإن كان بعنوان الوعد فلا بأس ولا التزام، وإن كان بعنوان الشرط في الوكالة أو في بيعه عند شرائه من صاحبه بطل الشرط، وفاقاً لجمع من أصحابنا </w:t>
      </w:r>
      <w:r>
        <w:rPr>
          <w:rStyle w:val="FootnoteAnchor"/>
          <w:rtl w:val="true"/>
        </w:rPr>
        <w:footnoteReference w:id="1834"/>
      </w:r>
      <w:r>
        <w:rPr>
          <w:rFonts w:ascii="Amiri" w:hAnsi="Amiri" w:eastAsia="Amiri" w:cs="Amiri"/>
          <w:color w:val="111111"/>
          <w:sz w:val="28"/>
          <w:sz w:val="28"/>
          <w:szCs w:val="28"/>
          <w:rtl w:val="true"/>
          <w:lang w:bidi="ar-SA"/>
        </w:rPr>
        <w:t xml:space="preserve">، لمخالفته للقواعد الشرعيَّة المقررة في الشركة، وللمذهب، أو أُصول المذهب كما قيل </w:t>
      </w:r>
      <w:r>
        <w:rPr>
          <w:rStyle w:val="FootnoteAnchor"/>
          <w:rtl w:val="true"/>
        </w:rPr>
        <w:footnoteReference w:id="1835"/>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1836"/>
      </w:r>
      <w:r>
        <w:rPr>
          <w:rFonts w:ascii="IRNazanin" w:hAnsi="IRNazanin" w:eastAsia="IRNazanin"/>
          <w:color w:val="111111"/>
          <w:sz w:val="28"/>
          <w:sz w:val="28"/>
          <w:szCs w:val="28"/>
          <w:rtl w:val="true"/>
          <w:lang w:bidi="fa-IR"/>
        </w:rPr>
        <w:t xml:space="preserve">، والأخبار </w:t>
      </w:r>
      <w:r>
        <w:rPr>
          <w:rStyle w:val="FootnoteAnchor"/>
          <w:rtl w:val="true"/>
        </w:rPr>
        <w:footnoteReference w:id="1837"/>
      </w:r>
      <w:r>
        <w:rPr>
          <w:rFonts w:ascii="Amiri" w:hAnsi="Amiri" w:eastAsia="Amiri" w:cs="Amiri"/>
          <w:color w:val="111111"/>
          <w:sz w:val="28"/>
          <w:sz w:val="28"/>
          <w:szCs w:val="28"/>
          <w:rtl w:val="true"/>
          <w:lang w:bidi="ar-SA"/>
        </w:rPr>
        <w:t>المعتبرة في باب الشركة القاضية باستواء الشريكين فى رأس المال ربحاً وخسراناً؛ لجعلها الخسران على رؤوس الأموال ومتى بطل الشرط بطل العقد المشتمل عليه، ويضعف القول بصحة العقد دون الشرط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بصحة الشرط </w:t>
      </w:r>
      <w:r>
        <w:rPr>
          <w:rStyle w:val="FootnoteAnchor"/>
          <w:rtl w:val="true"/>
        </w:rPr>
        <w:footnoteReference w:id="1838"/>
      </w:r>
      <w:r>
        <w:rPr>
          <w:rFonts w:ascii="Amiri" w:hAnsi="Amiri" w:eastAsia="Amiri" w:cs="Amiri"/>
          <w:color w:val="111111"/>
          <w:sz w:val="28"/>
          <w:sz w:val="28"/>
          <w:szCs w:val="28"/>
          <w:rtl w:val="true"/>
          <w:lang w:bidi="ar-SA"/>
        </w:rPr>
        <w:t xml:space="preserve">؛ لعموم أدلة الشروط </w:t>
      </w:r>
      <w:r>
        <w:rPr>
          <w:rStyle w:val="FootnoteAnchor"/>
          <w:rtl w:val="true"/>
        </w:rPr>
        <w:footnoteReference w:id="1839"/>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840"/>
      </w:r>
      <w:r>
        <w:rPr>
          <w:rFonts w:ascii="Amiri" w:hAnsi="Amiri" w:eastAsia="Amiri" w:cs="Amiri"/>
          <w:color w:val="111111"/>
          <w:sz w:val="28"/>
          <w:sz w:val="28"/>
          <w:szCs w:val="28"/>
          <w:rtl w:val="true"/>
          <w:lang w:bidi="ar-SA"/>
        </w:rPr>
        <w:t xml:space="preserve">، ولدخوله تحت التجارة عن تراض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شارك رجل في جارية له وشرط للشريك الربح دون الخسارة جاز إذا طابت نفس صاحب الجارية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شارك رجلاً في جارية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ربحت فلك وإن وضعت فليس عليك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كانت الجارية للقائل</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bookmarkStart w:id="828" w:name="pg19000_245651"/>
    </w:p>
    <w:p>
      <w:pPr>
        <w:pStyle w:val="BookText"/>
        <w:rPr/>
      </w:pPr>
      <w:bookmarkEnd w:id="828"/>
      <w:r>
        <w:rPr>
          <w:rFonts w:ascii="Amiri" w:hAnsi="Amiri" w:eastAsia="Amiri" w:cs="Amiri"/>
          <w:color w:val="111111"/>
          <w:sz w:val="28"/>
          <w:sz w:val="28"/>
          <w:szCs w:val="28"/>
          <w:rtl w:val="true"/>
          <w:lang w:bidi="ar-SA"/>
        </w:rPr>
        <w:t>ونمنع شمول عموم كون الخسارة على رأس المال لمفروض المسألة المشترط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لقوّة تلك القواعد المقرّرة، وضعف أدلّة الشروط عن مقاومتها، ومعارضة الإجماع المنقول بمثله، وإمكان حمل الروايتين على الاستحباب بعد ظهور الخسران من باب الإحسان</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3372720_1280447820"/>
      <w:bookmarkStart w:id="830" w:name="_Toc306"/>
      <w:bookmarkEnd w:id="829"/>
      <w:r>
        <w:rPr>
          <w:rtl w:val="true"/>
        </w:rPr>
        <w:t>ثامنها</w:t>
      </w:r>
      <w:r>
        <w:rPr>
          <w:rtl w:val="true"/>
        </w:rPr>
        <w:t xml:space="preserve">: </w:t>
      </w:r>
      <w:r>
        <w:rPr>
          <w:rtl w:val="true"/>
        </w:rPr>
        <w:t>جواز النظر إلى وجه المملوكة ومحاسنها إذا أراد شراءها من غير تلذذ ولا ريبة</w:t>
      </w:r>
      <w:bookmarkEnd w:id="83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إلى وجه المملوكة ومحاسنها إذا أراد شراءها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تلذذ ولا ريبة لمكان الضرورة، وللإجماع المنقول </w:t>
      </w:r>
      <w:r>
        <w:rPr>
          <w:rStyle w:val="FootnoteAnchor"/>
          <w:rtl w:val="true"/>
        </w:rPr>
        <w:footnoteReference w:id="1844"/>
      </w:r>
      <w:r>
        <w:rPr>
          <w:rFonts w:ascii="IRNazanin" w:hAnsi="IRNazanin" w:eastAsia="IRNazanin"/>
          <w:color w:val="111111"/>
          <w:sz w:val="28"/>
          <w:sz w:val="28"/>
          <w:szCs w:val="28"/>
          <w:rtl w:val="true"/>
          <w:lang w:bidi="fa-IR"/>
        </w:rPr>
        <w:t xml:space="preserve">، وللأخبار </w:t>
      </w:r>
      <w:r>
        <w:rPr>
          <w:rStyle w:val="FootnoteAnchor"/>
          <w:rtl w:val="true"/>
        </w:rPr>
        <w:footnoteReference w:id="1845"/>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النظر إلى جميع الجسد ما عدا العورة، وفي جواز التوكيل فيه إشكال،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تغيير اسم المملوك بعد شرائه أو انتقاله إليه مطلقاً، وأن يُطعمه شيئاً حلواً، وأن يتصدق عنه بأربعة دراهم،شرعيّة، ويكره أن يريه ثمنه في الميزان بل مطلقاً، كلّ ذلك للنصوص </w:t>
      </w:r>
      <w:r>
        <w:rPr>
          <w:rStyle w:val="FootnoteAnchor"/>
          <w:rtl w:val="true"/>
        </w:rPr>
        <w:footnoteReference w:id="1846"/>
      </w:r>
      <w:r>
        <w:rPr>
          <w:rFonts w:ascii="IRNazanin" w:hAnsi="IRNazanin" w:eastAsia="IRNazanin"/>
          <w:color w:val="111111"/>
          <w:sz w:val="28"/>
          <w:sz w:val="28"/>
          <w:szCs w:val="28"/>
          <w:rtl w:val="true"/>
          <w:lang w:bidi="fa-IR"/>
        </w:rPr>
        <w:t>والفتاوى</w:t>
      </w:r>
      <w:r>
        <w:rPr>
          <w:rFonts w:eastAsia="IRNazanin" w:cs="IRNazanin"/>
          <w:color w:val="111111"/>
          <w:sz w:val="28"/>
          <w:szCs w:val="28"/>
          <w:rtl w:val="true"/>
          <w:lang w:bidi="fa-IR"/>
        </w:rPr>
        <w:t>.</w:t>
      </w:r>
    </w:p>
    <w:p>
      <w:pPr>
        <w:pStyle w:val="Heading4"/>
        <w:numPr>
          <w:ilvl w:val="3"/>
          <w:numId w:val="1"/>
        </w:numPr>
        <w:rPr/>
      </w:pPr>
      <w:bookmarkStart w:id="831" w:name="__RefHeading___Toc13372722_1280447820"/>
      <w:bookmarkStart w:id="832" w:name="_Toc307"/>
      <w:bookmarkEnd w:id="831"/>
      <w:r>
        <w:rPr>
          <w:rtl w:val="true"/>
        </w:rPr>
        <w:t>تاسعها</w:t>
      </w:r>
      <w:r>
        <w:rPr>
          <w:rtl w:val="true"/>
        </w:rPr>
        <w:t xml:space="preserve">: </w:t>
      </w:r>
      <w:r>
        <w:rPr>
          <w:rtl w:val="true"/>
        </w:rPr>
        <w:t>في أنّ العبد بجميع أصنافه لا يملك شيئاً مطلقاً</w:t>
      </w:r>
      <w:bookmarkEnd w:id="83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بجميع أصنافه لا يملك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منفعةً مستقراً أو متزلزلاً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لفاضل ضريبة، أو أرش جنايةٍ، أو ما ملكه مولاه، أو ما ملكه أو كان وقفاً عليه حال الحرّية قبل الاسترقاق، أو ما جعل له من صدقة أو نذر أو زكاة أو غير ذلك، كلّ ذلك للشهرة المحصلة والمنقولة </w:t>
      </w:r>
      <w:r>
        <w:rPr>
          <w:rStyle w:val="FootnoteAnchor"/>
          <w:rtl w:val="true"/>
        </w:rPr>
        <w:footnoteReference w:id="1847"/>
      </w:r>
      <w:r>
        <w:rPr>
          <w:rFonts w:ascii="IRNazanin" w:hAnsi="IRNazanin" w:eastAsia="IRNazanin"/>
          <w:color w:val="111111"/>
          <w:sz w:val="28"/>
          <w:sz w:val="28"/>
          <w:szCs w:val="28"/>
          <w:rtl w:val="true"/>
          <w:lang w:bidi="fa-IR"/>
        </w:rPr>
        <w:t xml:space="preserve">، وللإجماع المنقول على لسان الفحول </w:t>
      </w:r>
      <w:r>
        <w:rPr>
          <w:rStyle w:val="FootnoteAnchor"/>
          <w:rtl w:val="true"/>
        </w:rPr>
        <w:footnoteReference w:id="1848"/>
      </w:r>
      <w:r>
        <w:rPr>
          <w:rFonts w:ascii="Amiri" w:hAnsi="Amiri" w:eastAsia="Amiri" w:cs="Amiri"/>
          <w:color w:val="111111"/>
          <w:sz w:val="28"/>
          <w:sz w:val="28"/>
          <w:szCs w:val="28"/>
          <w:rtl w:val="true"/>
          <w:lang w:bidi="ar-SA"/>
        </w:rPr>
        <w:t>صريحاً أو ضمناً،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وللأصل بمعنى الاستصحاب وبمعنى أصالة العدم، ولأنّه ليس كسائر المملوكات من الحيوانات فيفتقر ملكه إلى دليل، وما دلّ على ثبوت الأملاك للمالكين </w:t>
      </w:r>
      <w:r>
        <w:rPr>
          <w:rStyle w:val="FootnoteAnchor"/>
          <w:rtl w:val="true"/>
        </w:rPr>
        <w:footnoteReference w:id="1849"/>
      </w:r>
      <w:r>
        <w:rPr>
          <w:rFonts w:ascii="Amiri" w:hAnsi="Amiri" w:eastAsia="Amiri" w:cs="Amiri"/>
          <w:color w:val="111111"/>
          <w:sz w:val="28"/>
          <w:sz w:val="28"/>
          <w:szCs w:val="28"/>
          <w:rtl w:val="true"/>
          <w:lang w:bidi="ar-SA"/>
        </w:rPr>
        <w:t xml:space="preserve">منصرف إلى الأحرار، ولعدم معقولية ملك المملوك بعد أن تكون ذاته وصفاته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جملتها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 لغيره، ولانتفاء لوازم الملكية عنه فينتفي ملزومها، كجواز أخذ السيد ما في يده قهراً بالإجماع محصلاً ومنقولاً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ومنعه من التصرف فيه من غير إذن السيد إجماعاً،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وعدم بقاء ما في يده له مع بيعه أو إعتاقه إجماعاً، وعدم ضمانه لمتلفاته بماله إلا بعد عتقه، وتعلّق جناياته برقبته أو بكسبه، وعدم استحقاقه للإرث إلا بعد عتقه، وعدم جواز الوصية له أو الوقف عليه، وجواز تصرف المولى بأمواله،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ولتعلّق أحكام به يستفاد من مجموعها عدم الملك، فتكون كالخاصة المركبة، كعدم مشروعية الزكاة في ماله مع مشروعيتها في مال الطفل، وعدم تعلّق الزكاة والخمس والحجّ بماله، وكذا الكفارات والنفقات، وعدم إجراء حكم الأمانات والولايات والوكالات عليه، وكاستبعاد تملك المولى فوائد بدنه ونمائه كالحمل واللبن وأعواض الجناية عليه وعوض بضعه، ولا يتملك ما خرج عنه واجتماع المالكين على مملوك واحد محال، ولزوم تأدية القول بالملك إلى تملك كلّ من العبدين صاحبه، وهو إما بعيد أو محال،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الظاهر في عموم العبد لوصفه بالمملوكية الظاهر في العليّة، وفي عموم القدرة والشيء الشاملين للملك والتمليك، على أنّ الظاهر إرادة الكشف في صفة عدم القدرة كظهورها منه في صفة المملوكية، ولأنّ قصد التقييد لم يبق للمملوكية خصوصية، على أن الاقتضاء الذاتي أدخل في ضرب المثل وأوفق بإرادة البرهان على عدم القدرة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مِنْ مَا مَلَكَتْ أَيْمَانُكُمْ مِنْ شُرَكَاءَ فِي مَا رَزَقْنَاكُمْ</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فإنّه ليس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خصصناكم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يبقى للمملوك خصوصية، بل المراد الرزق العام فيفيد المطلوب، على أنّ فيها إشارة إلى الامتناع العقلي في تملك المماليك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وللصحيح في المملوك ما دام 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وماله لأهله</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له إنّ ماله لمواليه</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وتنزيل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لأدنى ملابسة أولى من صرف اللام عن حقيقتها المفيدة للملك والاختصاص إما لكون الإضافة بذلك النحو حقيقة، أو لكونها أقرب المجازات، أو لأنّ التجوّز باللام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باستعمالها في حقيقتها ومجازها؛ لأنّها بالنسبة إلى العبد حقيقة، وارتكاب عموم المجاز مجاز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الوارد في الوصية للمكاتب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تجوز له الوصية بحساب ما أُعتق منه</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دلّ على أن ما في يد العبد لمالكه إذا،باعه إلا إذا اشترطه المشتري فإنّه يكون له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دلّ على عدم ميراثه إلا بحساب ما أُعتق منه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ورد من جواز أن يأخذ المولى ممّا وهبه لأم ولده من دون طيب نفس منها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دلّ على أن وصيّة المولى لمملوكه بثلث ماله أنّه يعتق بحسابه </w:t>
      </w:r>
      <w:r>
        <w:rPr>
          <w:rStyle w:val="FootnoteAnchor"/>
          <w:rtl w:val="true"/>
        </w:rPr>
        <w:footnoteReference w:id="1858"/>
      </w:r>
      <w:r>
        <w:rPr>
          <w:rFonts w:ascii="Amiri" w:hAnsi="Amiri" w:eastAsia="Amiri" w:cs="Amiri"/>
          <w:color w:val="111111"/>
          <w:sz w:val="28"/>
          <w:sz w:val="28"/>
          <w:szCs w:val="28"/>
          <w:rtl w:val="true"/>
          <w:lang w:bidi="ar-SA"/>
        </w:rPr>
        <w:t>، وهو ظاهر في عدم إعطائه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1859"/>
      </w:r>
      <w:r>
        <w:rPr>
          <w:rFonts w:ascii="Amiri" w:hAnsi="Amiri" w:eastAsia="Amiri" w:cs="Amiri"/>
          <w:color w:val="111111"/>
          <w:sz w:val="28"/>
          <w:sz w:val="28"/>
          <w:szCs w:val="28"/>
          <w:rtl w:val="true"/>
          <w:lang w:bidi="ar-SA"/>
        </w:rPr>
        <w:t>إلى أنّ العبد يملك مطلقاً؛ استناداً للعمومات في باب المملكات من التقاط واصطياد وحيازة وقبول هبة وكلّ سببٍ شرعي اختياري أو قهري إلا ما خرج بالدليل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منع انصراف العموم للعبد، ولو سُلّم من حيثية إنّ العام لا ينصرف إلى فرد دون آخر فهو مخصوص بالعبد؛ لما ذكرنا من قوّة المخصص وضعف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فإنّ الغنى عبارة عن ملك 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الغنى يتحقق بالعيلولة ووجوب الإنفاق من آخر عليه، أو يراد الغنى بالإعتاق ثم الارتزاق، أو يراد من الغنى الكفاية كما هو 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أعتق عبداً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ملكك لي ولك </w:t>
      </w:r>
      <w:r>
        <w:rPr>
          <w:rStyle w:val="FootnoteAnchor"/>
          <w:rtl w:val="true"/>
        </w:rPr>
        <w:footnoteReference w:id="1861"/>
      </w:r>
      <w:r>
        <w:rPr>
          <w:rFonts w:ascii="Amiri" w:hAnsi="Amiri" w:eastAsia="Amiri" w:cs="Amiri"/>
          <w:color w:val="111111"/>
          <w:sz w:val="28"/>
          <w:sz w:val="28"/>
          <w:szCs w:val="28"/>
          <w:rtl w:val="true"/>
          <w:lang w:bidi="ar-SA"/>
        </w:rPr>
        <w:t>وقد تركته لك</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سنداً وكونه مفيداً للملك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الاختصاص بقرينة سياق الأخبار الأُخر وفتوى من تقدَّم وتأخر أولى من حمل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الاختصاص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 إباحة النكاح والتحليل له يستلزم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البضع من المملوكات، بل هو سلطان آخر قضی به ذو السلطان، وقد جعلوا لاستباحة البضع سببين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والعقد، فأحدهما غير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المملوكه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ولي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يبدأ بالحرية قبل المال،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مالك وأنت حرٌّ</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يوافق القواعد الشرعيَّة، ومعارض بالمعتبرة الدالة على كون مال المُعتق للمالك إذا كان جاهلاً به مطلقاً ولو لم يستثن </w:t>
      </w:r>
      <w:r>
        <w:rPr>
          <w:rStyle w:val="FootnoteAnchor"/>
          <w:rtl w:val="true"/>
        </w:rPr>
        <w:footnoteReference w:id="1864"/>
      </w:r>
      <w:r>
        <w:rPr>
          <w:rFonts w:ascii="Amiri" w:hAnsi="Amiri" w:eastAsia="Amiri" w:cs="Amiri"/>
          <w:color w:val="111111"/>
          <w:sz w:val="28"/>
          <w:sz w:val="28"/>
          <w:szCs w:val="28"/>
          <w:rtl w:val="true"/>
          <w:lang w:bidi="ar-SA"/>
        </w:rPr>
        <w:t>، ولا يدلّ أيضاً إلا على الملك في الجملة، فطرحه أو حمله على التقيّة أولى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جمع آخر من أصحابنا </w:t>
      </w:r>
      <w:r>
        <w:rPr>
          <w:rStyle w:val="FootnoteAnchor"/>
          <w:rtl w:val="true"/>
        </w:rPr>
        <w:footnoteReference w:id="1865"/>
      </w:r>
      <w:r>
        <w:rPr>
          <w:rFonts w:ascii="Amiri" w:hAnsi="Amiri" w:eastAsia="Amiri" w:cs="Amiri"/>
          <w:color w:val="111111"/>
          <w:sz w:val="28"/>
          <w:sz w:val="28"/>
          <w:szCs w:val="28"/>
          <w:rtl w:val="true"/>
          <w:lang w:bidi="ar-SA"/>
        </w:rPr>
        <w:t>إلى ملكه لفاضل الضريبة، وهو فاضل الخراج الذي يضربه عليه المالك؛ استناداً إلى أن المولى لا يستحق على العبد إلا ما فرضه عليه إجماعاً، فلو لم يملك العبد الفاضل لبقي بلا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ضعف؛ لعدم منافاة ملك المولى للفاضل والتحجّر عليه بالتصرف فيه بعد تمام الأداء أو بعد تأدية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الصحيح الدال على أنّ ما اكتسب بعد الفريضة له، وأن له أن يتصدق وأن يعتق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لتضمنه ما لا يقول به أصحابنا من جواز تصرف العبد بماله، وحمله على الواقع بإذن المولى خلاف الظاهر، فلا يقاوم أدلّة المنع مطلقاً كي تقبل لتقيدها؛ لأنّ حمل العام على الخاص مشروط بالمقاومة، وليس،فليس، فلا بد من طرحه أو حمله على التقيّة أو على جواز التصرف بالإذن الفحوائيّة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w:t>
      </w:r>
      <w:r>
        <w:rPr>
          <w:rStyle w:val="FootnoteAnchor"/>
          <w:rtl w:val="true"/>
        </w:rPr>
        <w:footnoteReference w:id="1867"/>
      </w:r>
      <w:r>
        <w:rPr>
          <w:rFonts w:ascii="Amiri" w:hAnsi="Amiri" w:eastAsia="Amiri" w:cs="Amiri"/>
          <w:color w:val="111111"/>
          <w:sz w:val="28"/>
          <w:sz w:val="28"/>
          <w:szCs w:val="28"/>
          <w:rtl w:val="true"/>
          <w:lang w:bidi="ar-SA"/>
        </w:rPr>
        <w:t>إلى ملكه لأرش الجناية؛ استناداً إلى أن المولى لا يملك إلا الانتفاع به، وأمّا نفسه فهى ملكه؛ لتعلق التكاليف به، فأرشها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مخالف للإجماع والكتاب </w:t>
      </w:r>
      <w:r>
        <w:rPr>
          <w:rStyle w:val="FootnoteAnchor"/>
          <w:rtl w:val="true"/>
        </w:rPr>
        <w:footnoteReference w:id="1868"/>
      </w:r>
      <w:r>
        <w:rPr>
          <w:rFonts w:ascii="Amiri" w:hAnsi="Amiri" w:eastAsia="Amiri" w:cs="Amiri"/>
          <w:color w:val="111111"/>
          <w:sz w:val="28"/>
          <w:sz w:val="28"/>
          <w:szCs w:val="28"/>
          <w:rtl w:val="true"/>
          <w:lang w:bidi="ar-SA"/>
        </w:rPr>
        <w:t xml:space="preserve">والسنّة </w:t>
      </w:r>
      <w:r>
        <w:rPr>
          <w:rStyle w:val="FootnoteAnchor"/>
          <w:rtl w:val="true"/>
        </w:rPr>
        <w:footnoteReference w:id="1869"/>
      </w:r>
      <w:r>
        <w:rPr>
          <w:rFonts w:ascii="Amiri" w:hAnsi="Amiri" w:eastAsia="Amiri" w:cs="Amiri"/>
          <w:color w:val="111111"/>
          <w:sz w:val="28"/>
          <w:sz w:val="28"/>
          <w:szCs w:val="28"/>
          <w:rtl w:val="true"/>
          <w:lang w:bidi="ar-SA"/>
        </w:rPr>
        <w:t>، من أنّ العبد مملوك كسائر المملوكات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روي من أنّ العبد إذا ضربه المولى ثمّ استحلّه بألف درهم لا يجوز للمولى أخذها، وزكاتها على العبد، ولا يعطى من الزكاة شيئاً </w:t>
      </w:r>
      <w:r>
        <w:rPr>
          <w:rStyle w:val="FootnoteAnchor"/>
          <w:rtl w:val="true"/>
        </w:rPr>
        <w:footnoteReference w:id="1870"/>
      </w:r>
      <w:r>
        <w:rPr>
          <w:rFonts w:ascii="Amiri" w:hAnsi="Amiri" w:eastAsia="Amiri" w:cs="Amiri"/>
          <w:color w:val="111111"/>
          <w:sz w:val="28"/>
          <w:sz w:val="28"/>
          <w:szCs w:val="28"/>
          <w:rtl w:val="true"/>
          <w:lang w:bidi="ar-SA"/>
        </w:rPr>
        <w:t>، فإذا مَلَك عوض ضرب المولى ملك عوض ضرب غيره بالأولى، وكذا إذا مَلَك عوض الضرب مَلَك عوض ما هو أقوى منه من الجنايات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اشتمالها على ما لا يقول به أحد من منع المولى من التصرف بمال العبد وثبوت الزكاة في ماله، فلتُطرح أو تُحمل على التقيّة بقرينة ثبوت الزكاة في ماله، أو تحمل على الندب والتنزه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الأقوال المعروفة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 بملكه لما ملكه مولاه أو أذن له في ملكه؛ استناداً إلى أن العبد له ذمة وله قابلية للضمان، ولتعلّق الخطابات، ولا مانع من ملكه سوى منع المولى، فإذا ملكه أو أذن له في الملك ارتفع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المانع من تمليكه منع المولى بل المانع كونه مملوكاً، وهو من الموانع الذاتية له كما ذكرناه من الأدلّة، والفرق بين كونه له ذمّة فيملك عليه وتتعلّق به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له قابلية الملك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رواية تمليك السيّد له ما قابل ضربه له </w:t>
      </w:r>
      <w:r>
        <w:rPr>
          <w:rStyle w:val="FootnoteAnchor"/>
          <w:rtl w:val="true"/>
        </w:rPr>
        <w:footnoteReference w:id="1871"/>
      </w:r>
      <w:r>
        <w:rPr>
          <w:rFonts w:ascii="Amiri" w:hAnsi="Amiri" w:eastAsia="Amiri" w:cs="Amiri"/>
          <w:color w:val="111111"/>
          <w:sz w:val="28"/>
          <w:sz w:val="28"/>
          <w:szCs w:val="28"/>
          <w:rtl w:val="true"/>
          <w:lang w:bidi="ar-SA"/>
        </w:rPr>
        <w:t>، وفيه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بملكه ملكاً غير تام؛ للجمع بين ما دلّ على ملكه وما دلّ على عدمه بحمل الأوّل على المتزلزل والثاني على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فرع المقاومة وليس فليس على أنّه رجوع للقول بالملكية، لأن القائلين بها يقولون بتزلزلها بالنسبة إليه وإنّ أمرها إلى السيد إبقاء وفسخاً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التصرف خاصةً دون العين؛ استناداً للإجماع على جواز تصرف العبد بإذن المولى، وهو معنى الملكيّة، وإلى جواز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الإجماع والأخبار هو إباحة التصرف لا ملكيته، وأن للنكاح حكماً آخر غير أحكام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تترتب على القول بالملكيّة وعدمها ثمرات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بيد العبد المسلم عبد مسلم وكان مولى الأوّل كافراً، بيع عليه على جميع الأقوال؛ للزوم بيع الأوّل وعدم جواز تملك الثاني، ولو انعكس الحال، بيع على القول بملكية العبد وللمولى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العبد جاريته، حدّ على القول بعدم الملك، وعُزّر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 للمولى وطء جارية العبد إلا بتملكها على القول بملكه، وعلى القول بعدمه يحلّ ذلك، واحتمال أنّ نفس الوطء مملك للمولى فيحلّ مخالف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كلّ من السيدين عبده لعبد الآخر بطلت الهبة إن كان دفعةً، وصح السابق إن سبقت هبة أحدهما أو شك وكان أحدهما معلوم التأريخ؛ لامتناع تملك العبد سيّده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الاستطاعة والزكاة ونحوهما من الحقوق عن السيد على القول بملكية العبد، وعدم السقوط على القول الآخر</w:t>
      </w:r>
      <w:r>
        <w:rPr>
          <w:rFonts w:eastAsia="Amiri" w:cs="Amiri" w:ascii="Amiri" w:hAnsi="Amiri"/>
          <w:color w:val="111111"/>
          <w:sz w:val="28"/>
          <w:szCs w:val="28"/>
          <w:rtl w:val="true"/>
          <w:lang w:bidi="ar-SA"/>
        </w:rPr>
        <w:t xml:space="preserve">. </w:t>
      </w:r>
      <w:bookmarkStart w:id="833" w:name="pg19000_245657"/>
    </w:p>
    <w:p>
      <w:pPr>
        <w:pStyle w:val="BookText"/>
        <w:rPr/>
      </w:pPr>
      <w:bookmarkEnd w:id="833"/>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ثمرات الإحلال والإحرام فيما لو كان السيد مُحرِماً والعبد مُحِلّاً أو بالعكس في الصيد وشبهه ممّا يزول الملك عنه بالإحرام، إلى غير ذلك</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3372724_1280447820"/>
      <w:bookmarkStart w:id="835" w:name="_Toc308"/>
      <w:bookmarkEnd w:id="834"/>
      <w:r>
        <w:rPr>
          <w:rtl w:val="true"/>
        </w:rPr>
        <w:t>عاشرها</w:t>
      </w:r>
      <w:r>
        <w:rPr>
          <w:rtl w:val="true"/>
        </w:rPr>
        <w:t xml:space="preserve">: </w:t>
      </w:r>
      <w:r>
        <w:rPr>
          <w:rtl w:val="true"/>
        </w:rPr>
        <w:t>في أنّه لو باع العبد مالكه أو نقله مطلقاً وكان بيده مال كان المال للبائع إلا أن يشترطه المشتري</w:t>
      </w:r>
      <w:bookmarkEnd w:id="835"/>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العبد مالكه أو نقله مطلقاً وكان بيده مال، كان المال للبائع، إلا أن يشترطه المشتري، أو تقوم قرينة على تبعيته له في عقد البيع، ولا يتفاوت الحال في ذلك بين القول بملكية العبد وبين عدمه، وهذا من الشواهد على عدم تملكه، ولا بين علم البائع بالمال وجهله به في كونه له مع عدم شرط المشتري، كلّ ذلك للإجماع على عدم تملك العبد له، وللأخبار </w:t>
      </w:r>
      <w:r>
        <w:rPr>
          <w:rStyle w:val="FootnoteAnchor"/>
          <w:rtl w:val="true"/>
        </w:rPr>
        <w:footnoteReference w:id="1872"/>
      </w:r>
      <w:r>
        <w:rPr>
          <w:rFonts w:ascii="Amiri" w:hAnsi="Amiri" w:eastAsia="Amiri" w:cs="Amiri"/>
          <w:color w:val="111111"/>
          <w:sz w:val="28"/>
          <w:sz w:val="28"/>
          <w:szCs w:val="28"/>
          <w:rtl w:val="true"/>
          <w:lang w:bidi="ar-SA"/>
        </w:rPr>
        <w:t>الدالة على ذلك، ولفتوى المشهور بكونه للبائع مع عدم شرط المشتري من غير فرق بين الجاهل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ومنها الصحيح فيمن باع مملوكاً فوجد له 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للبائع لأنّه إنما باع نفسه، إلا أن يكون شرط عليه أن ما كان له من مال أو متاع فهو له</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بالمشترط هو المشتري دون العبد؛ بقرينة الخبرين الآخرين الدالين على أنّه للبائع إلا أن يشترطه المشتري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للبائع مع جهله به وللمشتري مع علمه </w:t>
      </w:r>
      <w:r>
        <w:rPr>
          <w:rStyle w:val="FootnoteAnchor"/>
          <w:rtl w:val="true"/>
        </w:rPr>
        <w:footnoteReference w:id="1875"/>
      </w:r>
      <w:r>
        <w:rPr>
          <w:rFonts w:ascii="Amiri" w:hAnsi="Amiri" w:eastAsia="Amiri" w:cs="Amiri"/>
          <w:color w:val="111111"/>
          <w:sz w:val="28"/>
          <w:sz w:val="28"/>
          <w:szCs w:val="28"/>
          <w:rtl w:val="true"/>
          <w:lang w:bidi="ar-SA"/>
        </w:rPr>
        <w:t>استناداً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يشتري المملوك وله 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علم البائع أنّ له مالاً فهو للمشتري، وإن لم يكن له علم فهو للبائع</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أنّه ضعيف لا يقاوم ما تقدّم؛ لاعتضاد الأوّل بفتوى المشهور وعملهم، وبكثرة العدد وبالأصل والاستصحاب من غير معارض من قرينةٍ خارجة أو داخلة تقضي بانتقاله عن البائع، فلا يصلح لتقييد الأخبار المتقدّمة، فلا بدّ إما من طرحه، أو تنزيله على حصول الشرط من المشتري، أو قضاء العادة</w:t>
      </w:r>
      <w:r>
        <w:rPr>
          <w:rFonts w:eastAsia="Amiri" w:cs="Amiri" w:ascii="Amiri" w:hAnsi="Amiri"/>
          <w:color w:val="111111"/>
          <w:sz w:val="28"/>
          <w:szCs w:val="28"/>
          <w:rtl w:val="true"/>
          <w:lang w:bidi="ar-SA"/>
        </w:rPr>
        <w:t xml:space="preserve">. </w:t>
      </w:r>
      <w:bookmarkStart w:id="836" w:name="pg19000_245658"/>
    </w:p>
    <w:p>
      <w:pPr>
        <w:pStyle w:val="BookText"/>
        <w:rPr/>
      </w:pPr>
      <w:bookmarkEnd w:id="836"/>
      <w:r>
        <w:rPr>
          <w:rFonts w:ascii="Amiri" w:hAnsi="Amiri" w:eastAsia="Amiri" w:cs="Amiri"/>
          <w:color w:val="111111"/>
          <w:sz w:val="28"/>
          <w:sz w:val="28"/>
          <w:szCs w:val="28"/>
          <w:rtl w:val="true"/>
          <w:lang w:bidi="ar-SA"/>
        </w:rPr>
        <w:t xml:space="preserve">ثمّ إنّه مع انتقال مال العبد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ببيعه معه صريحاً أو ببيعه تبعاً أو باشتراط أنّه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أنّه إذا كان ربويّاً وكان الثمن كذلك وكانا جنساً واحداً أن يزيد الثمن عليه مقابلة العبد، أو يضم إليه ضميمة، أو يضم إلى كلّ منهما ضميمة، أو يكون مما يغتفر في حقه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قبض ما قابله إن كانا من النقدين في المجلس، وأن لا يدخلهما الأجل وأن لا يبيع بالمجانس مع الجهل بالقدر،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الشرط فيما لو اشترط مال العبد لا يدخله الربا؛ لأنّه ليس من أحد العوضين فلا بأس بأن يقابله مثله ويزيد العبد عليه، لا وجه له؛ لمخالفته ظواهر الفتاوى والنصوص </w:t>
      </w:r>
      <w:r>
        <w:rPr>
          <w:rStyle w:val="FootnoteAnchor"/>
          <w:rtl w:val="true"/>
        </w:rPr>
        <w:footnoteReference w:id="1877"/>
      </w:r>
      <w:r>
        <w:rPr>
          <w:rFonts w:ascii="Amiri" w:hAnsi="Amiri" w:eastAsia="Amiri" w:cs="Amiri"/>
          <w:color w:val="111111"/>
          <w:sz w:val="28"/>
          <w:sz w:val="28"/>
          <w:szCs w:val="28"/>
          <w:rtl w:val="true"/>
          <w:lang w:bidi="ar-SA"/>
        </w:rPr>
        <w:t>الدالة على عموم الربا لكلّ معاوضةٍ ولكلّ ما يتعلّق بها أصالة أو تبعاً شرطاً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باغتفار الجهالة فيما لو وقع شرطاً فيه في الجملة إذا لم تكن مؤدية إلى الغرر الذي لا يتحمّل؛ لعموم دليل الشروط </w:t>
      </w:r>
      <w:r>
        <w:rPr>
          <w:rStyle w:val="FootnoteAnchor"/>
          <w:rtl w:val="true"/>
        </w:rPr>
        <w:footnoteReference w:id="1878"/>
      </w:r>
      <w:r>
        <w:rPr>
          <w:rFonts w:ascii="Amiri" w:hAnsi="Amiri" w:eastAsia="Amiri" w:cs="Amiri"/>
          <w:color w:val="111111"/>
          <w:sz w:val="28"/>
          <w:sz w:val="28"/>
          <w:szCs w:val="28"/>
          <w:rtl w:val="true"/>
          <w:lang w:bidi="ar-SA"/>
        </w:rPr>
        <w:t>، ولأنّه قد يغتفر في التوابع ما لا يغتفر في المتبوعات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عيب في العبد أو ماله فله ردّ الكلّ أو إمساكه، وليس له التفريق بين العبد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المستجد بعد العقد قبل القبض المملك للبائع والمستجد في زمن العقد الفضولي مع الإجازة مبني على كشفها أو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بالعبد المنتقل العبد المعتق؛ فإنّ ماله لسيّده؛ للأصل والنصوص والفتاوى، سواء كان الانعتاق قهريّاً أو اختيارياً</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3372726_1280447820"/>
      <w:bookmarkStart w:id="838" w:name="_Toc309"/>
      <w:bookmarkEnd w:id="837"/>
      <w:r>
        <w:rPr>
          <w:rtl w:val="true"/>
        </w:rPr>
        <w:t>حادي عشرها</w:t>
      </w:r>
      <w:r>
        <w:rPr>
          <w:rtl w:val="true"/>
        </w:rPr>
        <w:t xml:space="preserve">: </w:t>
      </w:r>
      <w:r>
        <w:rPr>
          <w:rtl w:val="true"/>
        </w:rPr>
        <w:t>عدم صحة جعالة العبد لو جعل لغيره جغلاً على شرائه</w:t>
      </w:r>
      <w:bookmarkEnd w:id="838"/>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العبد لغيره جُعْلاً على شرائه له لم تصحّ جعالته حتّى على القول بملكيته؛ لعدم جواز شغل ذمّته بالسبب الاختياري، إلا أن يأذن له المولى فيلتزم المولى بما أذن به على الأظهر، ولأنّه لا يقدر على شيء فلا يملك العمل في ذمة المجعول له فلا يملك عليه مال الجعالة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المأمور مغروراً في غير هذا المقام لاشتغلت ذمته قهراً بأجرة المثل فيتبع بها بعد العتق</w:t>
      </w:r>
      <w:r>
        <w:rPr>
          <w:rFonts w:eastAsia="Amiri" w:cs="Amiri" w:ascii="Amiri" w:hAnsi="Amiri"/>
          <w:color w:val="111111"/>
          <w:sz w:val="28"/>
          <w:szCs w:val="28"/>
          <w:rtl w:val="true"/>
          <w:lang w:bidi="ar-SA"/>
        </w:rPr>
        <w:t xml:space="preserve">. </w:t>
      </w:r>
      <w:bookmarkStart w:id="839" w:name="pg19000_245659"/>
    </w:p>
    <w:p>
      <w:pPr>
        <w:pStyle w:val="BookText"/>
        <w:rPr/>
      </w:pPr>
      <w:bookmarkEnd w:id="839"/>
      <w:r>
        <w:rPr>
          <w:rFonts w:ascii="Amiri" w:hAnsi="Amiri" w:eastAsia="Amiri" w:cs="Amiri"/>
          <w:color w:val="111111"/>
          <w:sz w:val="28"/>
          <w:sz w:val="28"/>
          <w:szCs w:val="28"/>
          <w:rtl w:val="true"/>
          <w:lang w:bidi="ar-SA"/>
        </w:rPr>
        <w:t>ولو جعل لمولاه جغلاً على بيعه فعدم صحّة الجعالة ها هنا أولى؛ لأنّ صاحب المال لا يكون له على ماله مال ولأنّه يلزم على القول بالصحّة على كلا التقديرين إما اشتغال ذمته بالعوض بعد العتق فتكون معاملة سفهيّة، أو اشتغال ذمته قبل انتقاله فيلزم ملك المال عليه قبل العمل، أو بعد انتقاله فيلزم الاستحقاق عليه بعد ذهاب ماله؛ لأنّ ما في يده إما يعود للبائع أو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العبد للمولى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أعتقني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لازماً، ولا يستحق المولى عليه شيئاً لا قبل عتقه ولا بعده، أما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إمكان ملك كلّ منهما على الآخر مالاً، والكتابة لها حكم آخر جاء به الدليل </w:t>
      </w:r>
      <w:r>
        <w:rPr>
          <w:rStyle w:val="FootnoteAnchor"/>
          <w:rtl w:val="true"/>
        </w:rPr>
        <w:footnoteReference w:id="1879"/>
      </w:r>
      <w:r>
        <w:rPr>
          <w:rFonts w:ascii="Amiri" w:hAnsi="Amiri" w:eastAsia="Amiri" w:cs="Amiri"/>
          <w:color w:val="111111"/>
          <w:sz w:val="28"/>
          <w:sz w:val="28"/>
          <w:szCs w:val="28"/>
          <w:rtl w:val="true"/>
          <w:lang w:bidi="ar-SA"/>
        </w:rPr>
        <w:t>، وأما بعده فإنّه وإن أمكن إلا أنّه موقوف على صحّة العقد قبله، وهي موقوفة على قابليته لشغل الذمة اختياراً، وهي موقوفة على عتقه، فيبطل الاستحقاق</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3372728_1280447820"/>
      <w:bookmarkStart w:id="841" w:name="_Toc310"/>
      <w:bookmarkEnd w:id="840"/>
      <w:r>
        <w:rPr>
          <w:rtl w:val="true"/>
        </w:rPr>
        <w:t>ثاني عشرها</w:t>
      </w:r>
      <w:r>
        <w:rPr>
          <w:rtl w:val="true"/>
        </w:rPr>
        <w:t xml:space="preserve">: </w:t>
      </w:r>
      <w:r>
        <w:rPr>
          <w:rtl w:val="true"/>
        </w:rPr>
        <w:t>حكم ما إذا تجدّد في الحيوان عيب بعد العقد وقبل القبض</w:t>
      </w:r>
      <w:bookmarkEnd w:id="841"/>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تجدد في الحيوان عيب بعد العقد وقبل القبض ولم يكن ساقطاً حكمه بأحد مسقطات العيوب كان للمنقول إليه الخيار بين الفسخ وإرجاع ثمنه؛ لانفساخ العقد بتلف الجميع فينفسخ بتلف البعض بعض المعقود عليه فتتبعض الصفقة فيثبت له خيار الفسخ، وبين إمساكه مجاناً فيبرأ الناقل بمجرد اختيار المجانية من غرامة الأرش، أو يفتقر إلى الإبراء، وجهان، والأقرب للقواعد الأخير؛ وبين الإمساك بالأرش، وهو أن يسترجع من الثمن بنسبة ما بين قيمة الصحيح والمعيب وقت حدوث العيب، لأنّه زمن الانتقال إلى العوض، ولا يسترجع نفس التفاوت ما بين القيمتين؛ لأنّه ربما جمع بين العوض والمعوض، إلا إذا كان العيب من جهة البائع أو الأجنبي فيضمنان نفس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تفاوت القيمتين حين العقد، أو حين الإقباض، أو حين التقويم، أو الأعلى منهما، أو الأعلى مما بينهما بعيد كلّ البعد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ثبوت الأرش فتوى المشهور نقلاً </w:t>
      </w:r>
      <w:r>
        <w:rPr>
          <w:rStyle w:val="FootnoteAnchor"/>
          <w:rtl w:val="true"/>
        </w:rPr>
        <w:footnoteReference w:id="1880"/>
      </w:r>
      <w:r>
        <w:rPr>
          <w:rFonts w:ascii="Amiri" w:hAnsi="Amiri" w:eastAsia="Amiri" w:cs="Amiri"/>
          <w:color w:val="111111"/>
          <w:sz w:val="28"/>
          <w:sz w:val="28"/>
          <w:szCs w:val="28"/>
          <w:rtl w:val="true"/>
          <w:lang w:bidi="ar-SA"/>
        </w:rPr>
        <w:t xml:space="preserve">وتحصيلاً، وكونه جزء فائتٍ من جملة مضمونة فيكون مضموناً فيلزم إرجاع ما قابله، وأنّ الالتزام بفسخ الجميع أو قبوله مجاناً من </w:t>
      </w:r>
    </w:p>
    <w:p>
      <w:pPr>
        <w:pStyle w:val="BookText"/>
        <w:rPr/>
      </w:pPr>
      <w:r>
        <w:rPr>
          <w:rFonts w:ascii="Amiri" w:hAnsi="Amiri" w:eastAsia="Amiri" w:cs="Amiri"/>
          <w:color w:val="111111"/>
          <w:sz w:val="28"/>
          <w:sz w:val="28"/>
          <w:szCs w:val="28"/>
          <w:rtl w:val="true"/>
          <w:lang w:bidi="ar-SA"/>
        </w:rPr>
        <w:t xml:space="preserve">الضرار المنفي </w:t>
      </w:r>
      <w:r>
        <w:rPr>
          <w:rStyle w:val="FootnoteAnchor"/>
          <w:rtl w:val="true"/>
        </w:rPr>
        <w:footnoteReference w:id="1881"/>
      </w:r>
      <w:r>
        <w:rPr>
          <w:rFonts w:ascii="Amiri" w:hAnsi="Amiri" w:eastAsia="Amiri" w:cs="Amiri"/>
          <w:color w:val="111111"/>
          <w:sz w:val="28"/>
          <w:sz w:val="28"/>
          <w:szCs w:val="28"/>
          <w:rtl w:val="true"/>
          <w:lang w:bidi="ar-SA"/>
        </w:rPr>
        <w:t>، وأنّ استحقاق الأرش في العيب السابق أو المقارن بسبب المضمونية جارٍ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ما يرشد إليه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فالاستناد للأصل في نفي الأرش، وللإجماع المنقول </w:t>
      </w:r>
      <w:r>
        <w:rPr>
          <w:rStyle w:val="FootnoteAnchor"/>
          <w:rtl w:val="true"/>
        </w:rPr>
        <w:footnoteReference w:id="1883"/>
      </w:r>
      <w:r>
        <w:rPr>
          <w:rFonts w:ascii="Amiri" w:hAnsi="Amiri" w:eastAsia="Amiri" w:cs="Amiri"/>
          <w:color w:val="111111"/>
          <w:sz w:val="28"/>
          <w:sz w:val="28"/>
          <w:szCs w:val="28"/>
          <w:rtl w:val="true"/>
          <w:lang w:bidi="ar-SA"/>
        </w:rPr>
        <w:t>بعد ما ذكرنا ضعيف لا يقاوم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خيار للبائع في الفسخ لو طولب بالأرش، خلافاً لمن زعم ذلك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يسقط خيار العيب الحادث قبل حدوثه على الأظهر، إلا مع اشتراطه في العقد فالأظهر السقوط، ويسقط بعد حدوثه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حدوث العيب قبل القبض أو بعده ولم يعلم التأريخ أو علم تأريخ القبض فلا خيار، ولو علم تأريخ العيب فلا يبعد الحكم بتأخير القبض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العيب بعد تحققه لم يزل حكم الخيار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تلف الحيوان جملةً قبل القبض انفسخ البيع وردّ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Style w:val="FootnoteAnchor"/>
          <w:rtl w:val="true"/>
        </w:rPr>
        <w:footnoteReference w:id="1885"/>
      </w:r>
      <w:r>
        <w:rPr>
          <w:rFonts w:ascii="Amiri" w:hAnsi="Amiri" w:eastAsia="Amiri" w:cs="Amiri"/>
          <w:color w:val="111111"/>
          <w:sz w:val="28"/>
          <w:sz w:val="28"/>
          <w:szCs w:val="28"/>
          <w:rtl w:val="true"/>
          <w:lang w:bidi="ar-SA"/>
        </w:rPr>
        <w:t xml:space="preserve">وللإجماع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التلف بآفةٍ سماوية، وإلا تخيّر المشتري بين الفسخ والرجوع بالثمن وبين الإمضاء والرجوع على المتلف بالقيمة، سواء كان المتلف البائع أو أجنبياً وإن كان المتلف المشتري، كان ضمانه عليه بمنزلة القبض، وإن تشارك الجميع في الإتلاف أو الاثنان منهم أو الثلاث فلكل حكمه بنسبة الإتلاف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الحيوان في الثلاثة أو غيرها بعد القبض وكان الخيار فيها للبائع أو الأجنبي أو لهما مع مشاركة المشتري وبدونها، فالضمان على المشتري للأصل، وظواهر الأخبار الموافقة للمشهور بل المجمع عليه، وفي إلحاق المؤامرة بالخيار وجه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الخيار مختصاً بالمشتري أصالةً كخيار الحيوان، أو عارضاً كخيار الشرط، فالضمان على البائع ما لم يحدث المشتري فيه حدثاً يقضي بضمانه عليه، أو يسقط خياره بأحد </w:t>
      </w:r>
    </w:p>
    <w:p>
      <w:pPr>
        <w:pStyle w:val="BookText"/>
        <w:rPr/>
      </w:pPr>
      <w:r>
        <w:rPr>
          <w:rFonts w:ascii="Amiri" w:hAnsi="Amiri" w:eastAsia="Amiri" w:cs="Amiri"/>
          <w:color w:val="111111"/>
          <w:sz w:val="28"/>
          <w:sz w:val="28"/>
          <w:szCs w:val="28"/>
          <w:rtl w:val="true"/>
          <w:lang w:bidi="ar-SA"/>
        </w:rPr>
        <w:t>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وظواهر الأخبار، واختصاصها ببعض الموارد لا يمنع التعدي إلى غيرها؛ لعدم القول بالفصل، ولإلغاء الخصوصية، وللعلة المستفادة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التلف بآفة سماوية، وإن كان من المشتري فضمانه عليه، وإن كان من البائع أو الأجنبي، فله الخيار بين الفسخ والإمضاء ومطالبة المتلف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أصل الخيار أو في التلف أو في وقته مع جهل التاريخ أو مع العلم بوقت انقضاء الخيار، فالقول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اشتراك الخيار وعدمه أو في سقوطه أو في حصول أسباب تقضي بضمانه على المنقول إليه، فالقول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 سبب التلف في الخيار المختص، فالظاهر أنّه كالتلف، وتعذر تحصيله، وامتناع الوصول إليه عادة وامتناع تملكه شرعاً لاستحالته إلى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والعيب الحادث في زمن الخيار المختصّ مضمون على مَنْ لم يكن له خيار، فيثبت فيه الخيار بين الردّ والإمضاء مع الأرش على الأظهر ما لم يكن من جهة المختص به؛ لاقتضاء ضمان الجملة ضمان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العيب من المشتري سقط خياره المختص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التفاوت بين الخيار الأصلي كخيار الحيوان، والعارضي كالغبن، وبين الحاصل وقت العقد، وبين الحادث بعده قبل القبض ولكن على إشكال فيما عدا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مضموناً على مَنْ لا خيار له لم يكن مسقطاً للخيار الأوّل وكان مثبتاً لخيارٍ جديد، ولا بأس باجتماع خيارين مع تعدد سببهما، فلا يسقط الخيار الثاني بسقوط الأوّل ولا بانتهاء مدته، ولا يسقط الأوّل بسقوط الثاني، إلا أن يكون الخيار الأوّل من جهة العيب فإنّه يسقط الردّ بهما، ولكن لا يسقط أرشهما، فله أخذ أرش الأوّل قطعاً، وكذا أخذ أرش الثاني على الأظهر؛ لضمان الجملة على مَنْ ليس له خيار، وقاعدة ضمان العيب تقتضيه، ويؤخذ ممّن لا خيار له إن كان العيب منه أو من السماء، ومخيّراً بينه وبين الأجنبي إن كان العيب من الأجنبي</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رجع على البائع، كان له الرجوع على الأجنبي، إلا أنّه مع الرجوع على الأجنبي له تفاوت ما بين قيمتي كونه صحيحاً ومعيباً، ومع الرجوع على البائع له من الثمن بنسبة ذلك التفاوت</w:t>
      </w:r>
      <w:r>
        <w:rPr>
          <w:rFonts w:eastAsia="Amiri" w:cs="Amiri" w:ascii="Amiri" w:hAnsi="Amiri"/>
          <w:color w:val="111111"/>
          <w:sz w:val="28"/>
          <w:szCs w:val="28"/>
          <w:rtl w:val="true"/>
          <w:lang w:bidi="ar-SA"/>
        </w:rPr>
        <w:t xml:space="preserve">. </w:t>
      </w:r>
      <w:bookmarkStart w:id="842" w:name="pg19000_245662"/>
    </w:p>
    <w:p>
      <w:pPr>
        <w:pStyle w:val="BookText"/>
        <w:rPr/>
      </w:pPr>
      <w:bookmarkEnd w:id="842"/>
      <w:r>
        <w:rPr>
          <w:rFonts w:ascii="Amiri" w:hAnsi="Amiri" w:eastAsia="Amiri" w:cs="Amiri"/>
          <w:color w:val="111111"/>
          <w:sz w:val="28"/>
          <w:sz w:val="28"/>
          <w:szCs w:val="28"/>
          <w:rtl w:val="true"/>
          <w:lang w:bidi="ar-SA"/>
        </w:rPr>
        <w:t>ثم إن البائع يرجع على الأجنبي بأقل الأمرين مما أخذ منه ومن تفاوت قيمتي الصحيح والمعيب، فلو نقص ما على الأجنبي عمّا دفعه البائع لم يكن له مطالبة الأجنبي بشيء، ولو زاد كانت الزيادة للمنقول إليه ولو كان العيب لا يوجب نقصاً فلا أرش، ولو أوجب زيادةً كانت الزيادة للمنقول إليه، وليس له إلا خيار الردّ إن لم يكن الخيار الأوّل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 حدوث العيب في زمن الخيار المختص أو بعده، فالأصل تأخره، والأصل اللزوم إلا مع علم التأريخ في حدوث العيب، والشك في انقضاء الخيار ودفع الأرش من الناقل لا يزيل خيار الردّ من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 العيب بعد انقضاء زمن الخيار المختص، لم يجز الرد به، ولا أرش له، ويسقط الرد للعيب السابق للزوم الضرر على الناقل بردّه إليه معيباً، ولظاهر الاتفاق، ولا يسقط الأرش للعيب السابق؛ لعدم طروء ما يزيله</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3372730_1280447820"/>
      <w:bookmarkStart w:id="844" w:name="_Toc311"/>
      <w:bookmarkEnd w:id="843"/>
      <w:r>
        <w:rPr>
          <w:rtl w:val="true"/>
        </w:rPr>
        <w:t>ثالث عشرها</w:t>
      </w:r>
      <w:r>
        <w:rPr>
          <w:rtl w:val="true"/>
        </w:rPr>
        <w:t xml:space="preserve">: </w:t>
      </w:r>
      <w:r>
        <w:rPr>
          <w:rtl w:val="true"/>
        </w:rPr>
        <w:t>حمل الحيوان للبائع مع اشتراطه</w:t>
      </w:r>
      <w:bookmarkEnd w:id="844"/>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الحيوان للبائع مع اشتراطه؛ للإجماع وعموم الأدلّة، وخيال أنّه كاستثناء الجزء في بيع الحيوان ظاهر البطلان، وكذا مع الإطلاق؛ لفتوى المشهور، وظاهر الإجماع المنقول </w:t>
      </w:r>
      <w:r>
        <w:rPr>
          <w:rStyle w:val="FootnoteAnchor"/>
          <w:rtl w:val="true"/>
        </w:rPr>
        <w:footnoteReference w:id="1886"/>
      </w:r>
      <w:r>
        <w:rPr>
          <w:rFonts w:ascii="Amiri" w:hAnsi="Amiri" w:eastAsia="Amiri" w:cs="Amiri"/>
          <w:color w:val="111111"/>
          <w:sz w:val="28"/>
          <w:sz w:val="28"/>
          <w:szCs w:val="28"/>
          <w:rtl w:val="true"/>
          <w:lang w:bidi="ar-SA"/>
        </w:rPr>
        <w:t>، وعمومات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الجزئية فينتقل بنقل الحامل؛ تردّه المغايرة العرفية والعقلية، وتغايرهما في الأحكام الشرعيَّة وعدم دخوله في بيع الحامل ولا في لفظها بجميع أنواع الدلالات الوضعية إلا أن تقوم قرينة على دخوله كحمل صغار الحيوان، أو يصرح بدخوله في البيع فيدخل حينئذٍ تبعاً ولا تضرّ فيه الجهالة لمكان السيرة بل والإجماع، حتّى لو قلنا باشتراط العلم في توابع المبيع في غير الحمل، أو يشترطه المشتري فإنّه يدخل في بيع الحامل لمكان الشرط، ويغتفر فيه الجهالة كما قدمناه أيضاً؛ للسيرة القطعية وإن قلنا باشتراط العلم في شرائط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بيع منفرداً، اشترط فيه العلم، وكذا لو كان المقصود بالبيع هو والحامل تبعاً في وجه قويّ، فإن لم يمكن العلم فلا يبعد المصير إلى الصلح مع احتمال جواز بيعه مطلقاً ولو كان مجهولاً؛ لعدم إمكان استعلامه واغتفار أهل العرف الغرر فيه لوضعه على ذلك</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الفرق بين دخوله في البيع وبين اشتراطه في البيع في ظهور العدم، فإنّ له الخيار </w:t>
      </w:r>
      <w:bookmarkStart w:id="845" w:name="pg19000_245663"/>
    </w:p>
    <w:p>
      <w:pPr>
        <w:pStyle w:val="BookText"/>
        <w:rPr/>
      </w:pPr>
      <w:bookmarkEnd w:id="845"/>
      <w:r>
        <w:rPr>
          <w:rFonts w:ascii="Amiri" w:hAnsi="Amiri" w:eastAsia="Amiri" w:cs="Amiri"/>
          <w:color w:val="111111"/>
          <w:sz w:val="28"/>
          <w:sz w:val="28"/>
          <w:szCs w:val="28"/>
          <w:rtl w:val="true"/>
          <w:lang w:bidi="ar-SA"/>
        </w:rPr>
        <w:t>في الأوّل بين الفسخ وبين الإمضاء مع استرداد ما قابل الحمل من الثمن، وله الخيار في الثاني أيضاً إلا أن الإمضاء يكون مجاناً، وكذا في انكشاف موته، ولو شك في زمن موته بعد الإقباض فالأصل تأخر موته، والأصل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زمن حدوث الحمل، كان للمشتري، إلا أن يعلم تأريخ الحمل ويشكّ في تأريخ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 بين العقد والإجازة كان للناقل على النقل، وللمنقول إليه على الكشف، ولو حدث بعد العقد قبل الملك فهو للناقل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الحمل بالعلقة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تحققه بالنطفة مع العلم بكونها مبدأ حيوان إشكال، ولا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سقط الحمل قبل قبضه أو في الثلاثة من غير فعل المشتري، كان مضموناً على البائع، فله الفسخ، وله الإمضاء فيرد من الثمن بنسبة تفاوت قيمتي كونها حاملاً ومجهضاً، ويراعى التقويم حين العقد، مع احتمال ملاحظة نفس الحمل لا صفة الحاملية، فيسترد من الثمن بنسبة قيمته إلى قيمتهما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عليه جناية أعابته أخذ منه أرش يوم الجناية مع اختيار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دخول الحمل هل هو على وجه الشرطيّة أو الشطرية،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الحامل دون الحمل بحسب القصد أو جعل لأحدهما خيار دون الآخر، كان لكل منهما حكمه</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3372732_1280447820"/>
      <w:bookmarkStart w:id="847" w:name="_Toc312"/>
      <w:bookmarkEnd w:id="846"/>
      <w:r>
        <w:rPr>
          <w:rtl w:val="true"/>
        </w:rPr>
        <w:t>رابع عشرها</w:t>
      </w:r>
      <w:r>
        <w:rPr>
          <w:rtl w:val="true"/>
        </w:rPr>
        <w:t xml:space="preserve">: </w:t>
      </w:r>
      <w:r>
        <w:rPr>
          <w:rtl w:val="true"/>
        </w:rPr>
        <w:t>حرمة بيع الأمة الموطوءة قبل استبرائها بحيضة تامة</w:t>
      </w:r>
      <w:bookmarkEnd w:id="847"/>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الأمة الموطوءة للمالك بعد بلوغه قبلاً مع الإنزال إذا كانت بالغةً وغير حاملةٍ قبل استبرائها بحيضة تامة إن كانت ممن تحيض، أو بخمسة وأربعين يوماً تامة مع خروج الليلتين الأولى والأخيرة إن لم تنكسر الأيام، ومع دخولهما لو انكسرت واحتسبت الأيام ملفّقةً، وكذا يحرم وطؤها على المشتري إذا لم يعلم باستبراء البائع، سواء علم بوطئه لها أم لم يعلم كلّ ذلك للإجماعات المنقولة </w:t>
      </w:r>
      <w:r>
        <w:rPr>
          <w:rStyle w:val="FootnoteAnchor"/>
          <w:rtl w:val="true"/>
        </w:rPr>
        <w:footnoteReference w:id="1887"/>
      </w:r>
      <w:r>
        <w:rPr>
          <w:rFonts w:ascii="Amiri" w:hAnsi="Amiri" w:eastAsia="Amiri" w:cs="Amiri"/>
          <w:color w:val="111111"/>
          <w:sz w:val="28"/>
          <w:sz w:val="28"/>
          <w:szCs w:val="28"/>
          <w:rtl w:val="true"/>
          <w:lang w:bidi="ar-SA"/>
        </w:rPr>
        <w:t xml:space="preserve">بل المحصلة والأخبار </w:t>
      </w:r>
      <w:r>
        <w:rPr>
          <w:rStyle w:val="FootnoteAnchor"/>
          <w:rtl w:val="true"/>
        </w:rPr>
        <w:footnoteReference w:id="1888"/>
      </w:r>
      <w:r>
        <w:rPr>
          <w:rFonts w:ascii="Amiri" w:hAnsi="Amiri" w:eastAsia="Amiri" w:cs="Amiri"/>
          <w:color w:val="111111"/>
          <w:sz w:val="28"/>
          <w:sz w:val="28"/>
          <w:szCs w:val="28"/>
          <w:rtl w:val="true"/>
          <w:lang w:bidi="ar-SA"/>
        </w:rPr>
        <w:t>المستفيضة المتكثّرة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التحريم هل يقضي بفساد البيع؛ لإشعار التحريم في المعاملات بالفساد، أو لا يقضي؛ لأنّه ليس من المحرمات الأصلية، بل إنما جاء لمكان الأمر بالاستبراء وهو ضده والأمر بالشيء نهي عن ضدّه والنهي التبعي لا يقضي بالفساد، على أنّه قد يمنع اقتضاء الأمر بالشيء النهي عن الضدّ؛ لمنع توقف المأمور به على ترك ضده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يختص التحريم بالبيع ؟ كما اختاره الحلّي </w:t>
      </w:r>
      <w:r>
        <w:rPr>
          <w:rStyle w:val="FootnoteAnchor"/>
          <w:rtl w:val="true"/>
        </w:rPr>
        <w:footnoteReference w:id="1889"/>
      </w:r>
      <w:r>
        <w:rPr>
          <w:rFonts w:ascii="Amiri" w:hAnsi="Amiri" w:eastAsia="Amiri" w:cs="Amiri"/>
          <w:color w:val="111111"/>
          <w:sz w:val="28"/>
          <w:sz w:val="28"/>
          <w:szCs w:val="28"/>
          <w:rtl w:val="true"/>
          <w:lang w:bidi="ar-SA"/>
        </w:rPr>
        <w:t xml:space="preserve">استناداً للأصل، وظهور الأخبار في البيع، وشكاً في سريان الحكمة المدعاة؛ لعدم كونها منصوصةً أو لا يختص ؟ للأمر باستبراء السبايا بحيضة في الأخبار </w:t>
      </w:r>
      <w:r>
        <w:rPr>
          <w:rStyle w:val="FootnoteAnchor"/>
          <w:rtl w:val="true"/>
        </w:rPr>
        <w:footnoteReference w:id="1890"/>
      </w:r>
      <w:r>
        <w:rPr>
          <w:rFonts w:ascii="Amiri" w:hAnsi="Amiri" w:eastAsia="Amiri" w:cs="Amiri"/>
          <w:color w:val="111111"/>
          <w:sz w:val="28"/>
          <w:sz w:val="28"/>
          <w:szCs w:val="28"/>
          <w:rtl w:val="true"/>
          <w:lang w:bidi="ar-SA"/>
        </w:rPr>
        <w:t>المعتبرة المنجبرة، ولا قائل بالفرق ممن يعتد به، ولظاهر جملةٍ من الأخبار المعتبرة المؤذنة بكون الاستبراء لمخافة الحمل المؤدي لاختلاط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فيمن ابتاع جارية لم تطمث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صغيرة لا يتخوّف عليها الحبل </w:t>
      </w:r>
      <w:r>
        <w:rPr>
          <w:rStyle w:val="FootnoteAnchor"/>
          <w:rtl w:val="true"/>
        </w:rPr>
        <w:footnoteReference w:id="1891"/>
      </w:r>
      <w:r>
        <w:rPr>
          <w:rFonts w:ascii="Amiri" w:hAnsi="Amiri" w:eastAsia="Amiri" w:cs="Amiri"/>
          <w:color w:val="111111"/>
          <w:sz w:val="28"/>
          <w:sz w:val="28"/>
          <w:szCs w:val="28"/>
          <w:rtl w:val="true"/>
          <w:lang w:bidi="ar-SA"/>
        </w:rPr>
        <w:t>فليس عليها عدة، وليطأها إن شاء</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الجارية التي لا يخاف عليها الحبل،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ولظهور تنقيح المناط القطعي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الناقل الجائز أو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الفضولي يدور التحريم مدار الإجازة إن كانت ناقلةً، وإن كانت كاشفةً فإن أجاز بعد الاستبراء فلا شيء عليه ولا على الفضولي، وإن أجاز قبله فعل حراماً بالإجازة، مع احتمال عدم الحرمة، كاحتمال الحرمة في مبدأ العقد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وطء غير البالغ كوطء غير البالغة لا اعتبار به؛ للأصل، وللعلة المفهومة من الأخبار وهو خوف الحمل، وللإجماع بقسميه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وطء اليائسة لا اعتبار به؛ لما قدّمنا وللخبر المعتبر في الجارية المشتراة،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قعدت عن المحيض أو لم تحض فلا عدة لها</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وطء الدبر كوطء القُبُل موجب للاستبراء على البائع والمشتري؛ لشمول لفظ الوطء له في الأخبار </w:t>
      </w:r>
      <w:r>
        <w:rPr>
          <w:rStyle w:val="FootnoteAnchor"/>
          <w:rtl w:val="true"/>
        </w:rPr>
        <w:footnoteReference w:id="1896"/>
      </w:r>
      <w:r>
        <w:rPr>
          <w:rFonts w:ascii="Amiri" w:hAnsi="Amiri" w:eastAsia="Amiri" w:cs="Amiri"/>
          <w:color w:val="111111"/>
          <w:sz w:val="28"/>
          <w:sz w:val="28"/>
          <w:szCs w:val="28"/>
          <w:rtl w:val="true"/>
          <w:lang w:bidi="ar-SA"/>
        </w:rPr>
        <w:t xml:space="preserve">المانعة للمشتري عن وطء المشتراة، وشمول لفظ المس له في الأخبار </w:t>
      </w:r>
      <w:r>
        <w:rPr>
          <w:rStyle w:val="FootnoteAnchor"/>
          <w:rtl w:val="true"/>
        </w:rPr>
        <w:footnoteReference w:id="1897"/>
      </w:r>
      <w:r>
        <w:rPr>
          <w:rFonts w:ascii="Amiri" w:hAnsi="Amiri" w:eastAsia="Amiri" w:cs="Amiri"/>
          <w:color w:val="111111"/>
          <w:sz w:val="28"/>
          <w:sz w:val="28"/>
          <w:szCs w:val="28"/>
          <w:rtl w:val="true"/>
          <w:lang w:bidi="ar-SA"/>
        </w:rPr>
        <w:t xml:space="preserve">الناهية عن مسها كذلك، وشمول الأخبار </w:t>
      </w:r>
      <w:r>
        <w:rPr>
          <w:rStyle w:val="FootnoteAnchor"/>
          <w:rtl w:val="true"/>
        </w:rPr>
        <w:footnoteReference w:id="1898"/>
      </w:r>
      <w:r>
        <w:rPr>
          <w:rFonts w:ascii="Amiri" w:hAnsi="Amiri" w:eastAsia="Amiri" w:cs="Amiri"/>
          <w:color w:val="111111"/>
          <w:sz w:val="28"/>
          <w:sz w:val="28"/>
          <w:szCs w:val="28"/>
          <w:rtl w:val="true"/>
          <w:lang w:bidi="ar-SA"/>
        </w:rPr>
        <w:t>المانعة عن وطء المشتري للأمة إذا لم يعلم أنّ البائع لم يطأها أو لم يمسها إذ لم يخبره للوطء في الدُّبُر، ولشمول علة المنع له من حيث احتمال سبق المني إلى جهة القُبُل فيتحقق الحمل، فلا يجوز حينئذٍ للبائع بيع الموطوءة دبراً قبل الاستبراء، ولا يجوز للمشتري أن يطأ دبراً قبل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وجوب استبراء البائع للموطوءة دبراً </w:t>
      </w:r>
      <w:r>
        <w:rPr>
          <w:rStyle w:val="FootnoteAnchor"/>
          <w:rtl w:val="true"/>
        </w:rPr>
        <w:footnoteReference w:id="1899"/>
      </w:r>
      <w:r>
        <w:rPr>
          <w:rFonts w:ascii="Amiri" w:hAnsi="Amiri" w:eastAsia="Amiri" w:cs="Amiri"/>
          <w:color w:val="111111"/>
          <w:sz w:val="28"/>
          <w:sz w:val="28"/>
          <w:szCs w:val="28"/>
          <w:rtl w:val="true"/>
          <w:lang w:bidi="ar-SA"/>
        </w:rPr>
        <w:t>للأصل، وانصراف الأدلّة الناهية للوطء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يظهر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الوطء مع الإنزال وبدونه حرام على المشتري، وأما الوطء بدون إنزال على جهة القطع فهل يؤثر حرمة؛ لإطلاق الأخبار بالوطء والمسّ </w:t>
      </w:r>
      <w:r>
        <w:rPr>
          <w:rStyle w:val="FootnoteAnchor"/>
          <w:rtl w:val="true"/>
        </w:rPr>
        <w:footnoteReference w:id="1900"/>
      </w:r>
      <w:r>
        <w:rPr>
          <w:rFonts w:ascii="Amiri" w:hAnsi="Amiri" w:eastAsia="Amiri" w:cs="Amiri"/>
          <w:color w:val="111111"/>
          <w:sz w:val="28"/>
          <w:sz w:val="28"/>
          <w:szCs w:val="28"/>
          <w:rtl w:val="true"/>
          <w:lang w:bidi="ar-SA"/>
        </w:rPr>
        <w:t>، أو لا يؤثر؛ لعدم شمول العلة المفهومة من الأخبار له ؟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المقطوع بعدم وطئها للمالك لكبر أو مرض أو عننٍ أو جب أو صغر أو مسح لا يجب استبراؤها لا على البائع ولا على المشتري للأصل، وعدم انصراف الأخبار المانعة للبائع عن البيع والمشتري عن الوطء لذلك، واحتمال وطء الوليّ في جارية الصغير لا عبرة به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فَعَل البائع حراماً فباع قبل الاستبراء وجب تسليمها للبائع؛ لوجوب دفع المال إلى أهله، وحرمة التصرّف بمال الغير، والناس مسلّطون على أموالهم، فاحتمال وجوب إبقائها عنده أو وضعها على يد عدل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يلحق بالوطء سائر الاستمتاعات بالنسبة إلى وجوب الاستبراء على البائع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تلحق به بالنسبة إلى المشتري ؟ للموثق فيمن يشتري الجارية وهي حبلى أيطأها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الفرج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أو لا تلحق به ؟ للأصل، وفتوى المشهور، ومفهوم العلة، والخبر يحلّ للمشتري ملامستها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يقرب فرجها</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أن يأتيها فيما دون فرجها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بالتفخيذ لها حتى يستبرئها</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كفاية الحيضة الواحدة في الاستبراء للبائع والمشتري، ومثله النفاس؛ لأنّه حيض في المعنى، فما دلّ على اعتبار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w:t>
      </w:r>
      <w:r>
        <w:rPr>
          <w:rStyle w:val="FootnoteAnchor"/>
          <w:rtl w:val="true"/>
        </w:rPr>
        <w:footnoteReference w:id="1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أو 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يشترط تمام الحيضة أو يكفي التلبس بها ؟ والظاهر عدم كفاية التلبس بالنسبة إلى البائع؛ لإطلاق الأخبار الآمرة باستبرائها حيضة </w:t>
      </w:r>
      <w:r>
        <w:rPr>
          <w:rStyle w:val="FootnoteAnchor"/>
          <w:rtl w:val="true"/>
        </w:rPr>
        <w:footnoteReference w:id="1906"/>
      </w:r>
      <w:r>
        <w:rPr>
          <w:rFonts w:ascii="Amiri" w:hAnsi="Amiri" w:eastAsia="Amiri" w:cs="Amiri"/>
          <w:color w:val="111111"/>
          <w:sz w:val="28"/>
          <w:sz w:val="28"/>
          <w:szCs w:val="28"/>
          <w:rtl w:val="true"/>
          <w:lang w:bidi="ar-SA"/>
        </w:rPr>
        <w:t xml:space="preserve">، وكفايته بالنسبة إلى المشتري لو وقع البيع في الأثناء؛ للإجماع المنقول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فيمن اشترى جارية وهي 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فليمسها</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اشترى جاريةً وهي طامث أيستبرئ رحمها بحيضة أُخرى أم تكفيه هذه الحيضة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تكفيه هذه الحيضة</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 البيع في حال الطهر فلا بد من الإتمام؛ أخذاً بإطلاق الأخبار والاستصحاب، مع احتمال الاكتفاء بالتلبس، ولكنّه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الخمسة والأربعين يوماً لمن لا تحيض وهي في سنّ مَنْ تحيض، دلّ عليها فتوى المشهور، والإجماع المنقول </w:t>
      </w:r>
      <w:r>
        <w:rPr>
          <w:rStyle w:val="FootnoteAnchor"/>
          <w:rtl w:val="true"/>
        </w:rPr>
        <w:footnoteReference w:id="1910"/>
      </w:r>
      <w:r>
        <w:rPr>
          <w:rFonts w:ascii="IRNazanin" w:hAnsi="IRNazanin" w:eastAsia="IRNazanin"/>
          <w:color w:val="111111"/>
          <w:sz w:val="28"/>
          <w:sz w:val="28"/>
          <w:szCs w:val="28"/>
          <w:rtl w:val="true"/>
          <w:lang w:bidi="fa-IR"/>
        </w:rPr>
        <w:t xml:space="preserve">، والخبر المعتبر </w:t>
      </w:r>
      <w:r>
        <w:rPr>
          <w:rStyle w:val="FootnoteAnchor"/>
          <w:rtl w:val="true"/>
        </w:rPr>
        <w:footnoteReference w:id="1911"/>
      </w:r>
      <w:r>
        <w:rPr>
          <w:rFonts w:ascii="Amiri" w:hAnsi="Amiri" w:eastAsia="Amiri" w:cs="Amiri"/>
          <w:color w:val="111111"/>
          <w:sz w:val="28"/>
          <w:sz w:val="28"/>
          <w:szCs w:val="28"/>
          <w:rtl w:val="true"/>
          <w:lang w:bidi="ar-SA"/>
        </w:rPr>
        <w:t xml:space="preserve">، وأصالة البراءة من الزائد، وفي جملة من الأخبار خمس وأربعون ليلة </w:t>
      </w:r>
      <w:r>
        <w:rPr>
          <w:rStyle w:val="FootnoteAnchor"/>
          <w:rtl w:val="true"/>
        </w:rPr>
        <w:footnoteReference w:id="1912"/>
      </w:r>
      <w:r>
        <w:rPr>
          <w:rFonts w:ascii="Amiri" w:hAnsi="Amiri" w:eastAsia="Amiri" w:cs="Amiri"/>
          <w:color w:val="111111"/>
          <w:sz w:val="28"/>
          <w:sz w:val="28"/>
          <w:szCs w:val="28"/>
          <w:rtl w:val="true"/>
          <w:lang w:bidi="ar-SA"/>
        </w:rPr>
        <w:t>، وهو كناية عن إرادة الأيام، كما يعبّر عنه في العرف غالباً بقرينة فهم الأصحاب، والخبر المعتبر في الباب، أو محمول على الأيام المنكسرة،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التخيير بين الليالي والأيام فيؤخذ بالسابق منهما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منه ما ذهب إليه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قدر الاستبراء ثلاثة أشهر </w:t>
      </w:r>
      <w:r>
        <w:rPr>
          <w:rStyle w:val="FootnoteAnchor"/>
          <w:rtl w:val="true"/>
        </w:rPr>
        <w:footnoteReference w:id="1913"/>
      </w:r>
      <w:r>
        <w:rPr>
          <w:rFonts w:ascii="Amiri" w:hAnsi="Amiri" w:eastAsia="Amiri" w:cs="Amiri"/>
          <w:color w:val="111111"/>
          <w:sz w:val="28"/>
          <w:sz w:val="28"/>
          <w:szCs w:val="28"/>
          <w:rtl w:val="true"/>
          <w:lang w:bidi="ar-SA"/>
        </w:rPr>
        <w:t>قياساً على المطلقة فيمن لا تحيض وهي في سنّ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قياس ممنوع لا دليل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أنّ المشتري يجب عليه استبراء الأمة مع احتمال وطء المالك لها فضلاً عن قطعه، أو مع قطعه بوطء غيره لها وطاً محترماً بتحليل أو عقد أو شبهه، فلو قطع بعدم وطء المالك لم يجب عليه الاستبراء تعبداً ولو احتمل وطء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احتمال وطء غيره احتمالاً ظاهراً، كما إذا كانت محلّلةً لغيره ولم يعلم أنّه قد وطأها المحلل له ولكنه احتمال ظاهر، أو كان احتمال وطء المالك احتمالاً بعيداً كما إذا كانت محلّلة للغير وشكّ في وطء الغير لها واحتمل وطء المالك لشبهة أو نسيان، فإنّه لا يبعد وجوب الاستبراء؛ لإطلاق الأخبار </w:t>
      </w:r>
      <w:r>
        <w:rPr>
          <w:rStyle w:val="FootnoteAnchor"/>
          <w:rtl w:val="true"/>
        </w:rPr>
        <w:footnoteReference w:id="1914"/>
      </w:r>
      <w:r>
        <w:rPr>
          <w:rFonts w:ascii="IRNazanin" w:hAnsi="IRNazanin" w:eastAsia="IRNazanin"/>
          <w:color w:val="111111"/>
          <w:sz w:val="28"/>
          <w:sz w:val="28"/>
          <w:szCs w:val="28"/>
          <w:rtl w:val="true"/>
          <w:lang w:bidi="fa-IR"/>
        </w:rPr>
        <w:t>، وحصول خوف اختلاط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علم بوطء المالك لها على جهة التحريم لكونها محلّلةً للغير، ويعلم بعدم وطء الغير لها أو احتمل وطأه المحرّم، ففي وجوب الاستبراء حينئذٍ إشكال، والأحوط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المالكون دفعةً، فالمدار على العلم بعدم وطء كلّ واحدٍ منهم ولو شبهةً بل ولو حراماً على إشكال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تعاقبوا وعلم بعدم وطء الأخير، كأن اشترى وباع في المجلس أو اشترى غائبةً </w:t>
      </w:r>
    </w:p>
    <w:p>
      <w:pPr>
        <w:pStyle w:val="BookText"/>
        <w:rPr/>
      </w:pPr>
      <w:r>
        <w:rPr>
          <w:rFonts w:ascii="Amiri" w:hAnsi="Amiri" w:eastAsia="Amiri" w:cs="Amiri"/>
          <w:color w:val="111111"/>
          <w:sz w:val="28"/>
          <w:sz w:val="28"/>
          <w:szCs w:val="28"/>
          <w:rtl w:val="true"/>
          <w:lang w:bidi="ar-SA"/>
        </w:rPr>
        <w:t xml:space="preserve">فباعها، فهل هو كافٍ في سقوط الاستبراء، أو لا بد من العلم بعدم وطء كلّ واحدٍ منهم بعد حيضها ؟ وجهان، والأحوط بل الأظهر الأخير؛ لمكان التعليل في الأخبار </w:t>
      </w:r>
      <w:r>
        <w:rPr>
          <w:rStyle w:val="FootnoteAnchor"/>
          <w:rtl w:val="true"/>
        </w:rPr>
        <w:footnoteReference w:id="1915"/>
      </w:r>
      <w:r>
        <w:rPr>
          <w:rFonts w:ascii="Amiri" w:hAnsi="Amiri" w:eastAsia="Amiri" w:cs="Amiri"/>
          <w:color w:val="111111"/>
          <w:sz w:val="28"/>
          <w:sz w:val="28"/>
          <w:szCs w:val="28"/>
          <w:rtl w:val="true"/>
          <w:lang w:bidi="ar-SA"/>
        </w:rPr>
        <w:t>، وعدم ظهور التعبد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يسقط عنه الاستبراء فيما لو كان البائع امرأة مع عدم القطع بسبق وطء محرّم لها؛ لإطلاق الفتوى والنصّ، ففي الصحيح عن الأمة تكون لامرأة فتبيعها،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يطأها من غير أن يستبرئها</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وكذا غيره من الأخبار</w:t>
      </w:r>
      <w:r>
        <w:rPr>
          <w:rStyle w:val="FootnoteAnchor"/>
          <w:rtl w:val="true"/>
        </w:rPr>
        <w:footnoteReference w:id="1917"/>
      </w:r>
      <w:r>
        <w:rPr>
          <w:rFonts w:ascii="Amiri" w:hAnsi="Amiri" w:eastAsia="Amiri" w:cs="Amiri"/>
          <w:color w:val="111111"/>
          <w:sz w:val="28"/>
          <w:sz w:val="28"/>
          <w:szCs w:val="28"/>
          <w:rtl w:val="true"/>
          <w:lang w:bidi="ar-SA"/>
        </w:rPr>
        <w:t xml:space="preserve">، ولا يتوقف جواز الوطء على إخبارها بعدم وطء محرّم لها، ولا يلزم سؤالها؛ لإطلاق الأخبار، فلو لم يسألها أو سألها ولم تجبه فلا بأس، إلا أنّ بالسؤال والوطء بعد الإخبار، كما يشعر به حكاية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يظهر من بعض الروايات أنّه سألها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يسقط الاستبراء عن المشتري بشهادة عدلين؛ لعموم دليل حجيتها، وبإخبار المالك إذا كان عدلاً؛ لفتوى المشهور بقبول خبر العدل ها هنا ولو كان واحداً، ولظاهر الإجماع المنقول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المعتبرة فيمن يشتري الجارية فيخبره سيدها بعدم وطئها،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وثق به فلا بأس</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ائتمنته فمسّها</w:t>
      </w:r>
      <w:r>
        <w:rPr>
          <w:rFonts w:eastAsia="Amiri" w:cs="Amiri" w:ascii="Amiri" w:hAnsi="Amiri"/>
          <w:color w:val="111111"/>
          <w:sz w:val="28"/>
          <w:szCs w:val="28"/>
          <w:rtl w:val="true"/>
          <w:lang w:bidi="ar-SA"/>
        </w:rPr>
        <w:t xml:space="preserve">» </w:t>
      </w:r>
      <w:r>
        <w:rPr>
          <w:rStyle w:val="FootnoteAnchor"/>
          <w:rtl w:val="true"/>
        </w:rPr>
        <w:footnoteReference w:id="1921"/>
      </w:r>
      <w:r>
        <w:rPr>
          <w:rFonts w:ascii="Amiri" w:hAnsi="Amiri" w:eastAsia="Amiri" w:cs="Amiri"/>
          <w:color w:val="111111"/>
          <w:sz w:val="28"/>
          <w:sz w:val="28"/>
          <w:szCs w:val="28"/>
          <w:rtl w:val="true"/>
          <w:lang w:bidi="ar-SA"/>
        </w:rPr>
        <w:t xml:space="preserve">وفي بعضها قيد الأمانة والصدق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ضعف قول مَنْ ذهب إلى لزوم الاستبراء ها هنا أيضاً </w:t>
      </w:r>
      <w:r>
        <w:rPr>
          <w:rStyle w:val="FootnoteAnchor"/>
          <w:rtl w:val="true"/>
        </w:rPr>
        <w:footnoteReference w:id="1923"/>
      </w:r>
      <w:r>
        <w:rPr>
          <w:rFonts w:ascii="IRNazanin" w:hAnsi="IRNazanin" w:eastAsia="IRNazanin"/>
          <w:color w:val="111111"/>
          <w:sz w:val="28"/>
          <w:sz w:val="28"/>
          <w:szCs w:val="28"/>
          <w:rtl w:val="true"/>
          <w:lang w:bidi="fa-IR"/>
        </w:rPr>
        <w:t xml:space="preserve">لإطلاق الأخبار بوجوبه </w:t>
      </w:r>
      <w:r>
        <w:rPr>
          <w:rStyle w:val="FootnoteAnchor"/>
          <w:rtl w:val="true"/>
        </w:rPr>
        <w:footnoteReference w:id="1924"/>
      </w:r>
      <w:r>
        <w:rPr>
          <w:rFonts w:ascii="Amiri" w:hAnsi="Amiri" w:eastAsia="Amiri" w:cs="Amiri"/>
          <w:color w:val="111111"/>
          <w:sz w:val="28"/>
          <w:sz w:val="28"/>
          <w:szCs w:val="28"/>
          <w:rtl w:val="true"/>
          <w:lang w:bidi="ar-SA"/>
        </w:rPr>
        <w:t>، وللأمر به في بعض الأخبار ولو مع 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الخبر أشتري الجارية من الرجل المأمون، فيخبرني أنّه لم يمسها مذ طمثت،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بجائز أن تأتيها حتّى تستبرئها بحيضة</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يشتري الجارية من الرجل المسلم يزعم أنّه قد استبرأها،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استبرئها بحيضتين</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اشترى جارية ولم يكن صاحبها يطؤها أيستبرئ رحمها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لضعف سند الأوَّل، واشتمال الأخيرين على ما أُجمع على خلافه، وعدم التصريح بأمانة المُخبر في الثاني، وعدم التصريح بالإخبار في الثالث، فليطرح الجميع، أو يُحمل على الندب كما يشعر به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الموثوق به المأمون في صدقه بإخبار العدل كما يظهر من الأخبار وإطلاق الفتاوى، أو لا بد من العدالة؛ قصراً للحكم على مورد اليقين من الجواز، ولانصراف الأمانة والوثاقة إليها في الأخبار </w:t>
      </w:r>
      <w:r>
        <w:rPr>
          <w:rStyle w:val="FootnoteAnchor"/>
          <w:rtl w:val="true"/>
        </w:rPr>
        <w:footnoteReference w:id="1928"/>
      </w:r>
      <w:r>
        <w:rPr>
          <w:rFonts w:ascii="Amiri" w:hAnsi="Amiri" w:eastAsia="Amiri" w:cs="Amiri"/>
          <w:color w:val="111111"/>
          <w:sz w:val="28"/>
          <w:sz w:val="28"/>
          <w:szCs w:val="28"/>
          <w:rtl w:val="true"/>
          <w:lang w:bidi="ar-SA"/>
        </w:rPr>
        <w:t>؟ وفي الأوّل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العدل مقبول وإن لم يكن مالكاً؛ لعموم دليل حجيته، ولأنّه أبعد عن التهمة من المالك، ولإشعار أخبار قبول قول المالك المأمون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الثقتان فالترجيح لقول المالك، مع احتمال ترجيح قول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عدل ففسق قبل الوطء لم يلتفت إلى فسقه، ولو كانت الأمة ثقةً فالأقوى قبول قولها، والأحوط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لو عصى ووطئ قبل الاستبراء فالظاهر عدم سقوط لزوم الاستبراء ذلك، كما إذا وطئ نسياناً وغفلةً، مع احتمال السقوط؛ لفوات محلّ تدارك الحكمة التي لأجلها يشرع الاستبراء</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الوطء الممنوع منه هو ما يُسمّى وطأ ولو بدون إدخال الحشفة إذا صاحب الإنزال، وإن لم يصاحبه فكذلك ولكن على إشكال؛ لانصراف الوطء غالباً إلى الموجب للغسل</w:t>
      </w:r>
      <w:r>
        <w:rPr>
          <w:rFonts w:eastAsia="Amiri" w:cs="Amiri" w:ascii="Amiri" w:hAnsi="Amiri"/>
          <w:color w:val="111111"/>
          <w:sz w:val="28"/>
          <w:szCs w:val="28"/>
          <w:rtl w:val="true"/>
          <w:lang w:bidi="ar-SA"/>
        </w:rPr>
        <w:t xml:space="preserve">. </w:t>
      </w:r>
      <w:bookmarkStart w:id="848" w:name="pg19000_245670"/>
    </w:p>
    <w:p>
      <w:pPr>
        <w:pStyle w:val="BookText"/>
        <w:rPr/>
      </w:pPr>
      <w:bookmarkEnd w:id="84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بيع الأمة على امرأة أو مَنْ كان بحكمها ثمّ شراؤها للاحتيال في جواز الوطء بعد الشراء؛ لظهور الأخبار المعللة بخوف الحبل </w:t>
      </w:r>
      <w:r>
        <w:rPr>
          <w:rStyle w:val="FootnoteAnchor"/>
          <w:rtl w:val="true"/>
        </w:rPr>
        <w:footnoteReference w:id="1929"/>
      </w:r>
      <w:r>
        <w:rPr>
          <w:rFonts w:ascii="Amiri" w:hAnsi="Amiri" w:eastAsia="Amiri" w:cs="Amiri"/>
          <w:color w:val="111111"/>
          <w:sz w:val="28"/>
          <w:sz w:val="28"/>
          <w:szCs w:val="28"/>
          <w:rtl w:val="true"/>
          <w:lang w:bidi="ar-SA"/>
        </w:rPr>
        <w:t>بمنعه، وليس الحكم من التعبديات الصرفة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3372734_1280447820"/>
      <w:bookmarkStart w:id="850" w:name="_Toc313"/>
      <w:bookmarkEnd w:id="849"/>
      <w:r>
        <w:rPr>
          <w:rtl w:val="true"/>
        </w:rPr>
        <w:t>خامس عشرها</w:t>
      </w:r>
      <w:r>
        <w:rPr>
          <w:rtl w:val="true"/>
        </w:rPr>
        <w:t xml:space="preserve">: </w:t>
      </w:r>
      <w:r>
        <w:rPr>
          <w:rtl w:val="true"/>
        </w:rPr>
        <w:t>حرمة وطء الأمة الحامل من غيره</w:t>
      </w:r>
      <w:bookmarkEnd w:id="850"/>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وطء الأمة الحامل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يُسمّى وطاً مع الإنزال، وبإدخال الحشفة مع عدمه ولكن على إشكال ؛ لانصراف الوطء غالباً للموجب للغسل، كما أن الإنزال من غير إدخال لا يخلو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الوطء قبل مضي الأربعة أشهر من حال الحمل، إمّا هلالية تامة إن انعقد الحمل في مبدئها، وإمّا هلاليين تامين وهلالي منكسر، أو هلاليين تامين وعددي منكسر، أو الكلّ عددية إن انعقد الحمل في أثناء الشهر، ويلفّق اليوم المنكسر من اليوم الأخير أو يسقط احتسابه أو يحتسب يوماً تاماً أو يفرّق بين قلة الانكسار فالثاني وكثرته فالأوَّل، وجوه، أوجهها الوسط في الانكسار الأوَّل، والأوّل في الانكسار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الإجماع المحكي </w:t>
      </w:r>
      <w:r>
        <w:rPr>
          <w:rStyle w:val="FootnoteAnchor"/>
          <w:rtl w:val="true"/>
        </w:rPr>
        <w:footnoteReference w:id="1930"/>
      </w:r>
      <w:r>
        <w:rPr>
          <w:rFonts w:ascii="IRNazanin" w:hAnsi="IRNazanin" w:eastAsia="IRNazanin"/>
          <w:color w:val="111111"/>
          <w:sz w:val="28"/>
          <w:sz w:val="28"/>
          <w:szCs w:val="28"/>
          <w:rtl w:val="true"/>
          <w:lang w:bidi="fa-IR"/>
        </w:rPr>
        <w:t xml:space="preserve">، والأخبار </w:t>
      </w:r>
      <w:r>
        <w:rPr>
          <w:rStyle w:val="FootnoteAnchor"/>
          <w:rtl w:val="true"/>
        </w:rPr>
        <w:footnoteReference w:id="1931"/>
      </w:r>
      <w:r>
        <w:rPr>
          <w:rFonts w:ascii="Amiri" w:hAnsi="Amiri" w:eastAsia="Amiri" w:cs="Amiri"/>
          <w:color w:val="111111"/>
          <w:sz w:val="28"/>
          <w:sz w:val="28"/>
          <w:szCs w:val="28"/>
          <w:rtl w:val="true"/>
          <w:lang w:bidi="ar-SA"/>
        </w:rPr>
        <w:t xml:space="preserve">العامة الشاملة لما دون الأربعة ولما فوق الأربعة المستفيضة القريبة من التواتر، بل ربما ادعي تواترها المعتضدة بالكتاب </w:t>
      </w:r>
      <w:r>
        <w:rPr>
          <w:rStyle w:val="FootnoteAnchor"/>
          <w:rtl w:val="true"/>
        </w:rPr>
        <w:footnoteReference w:id="1932"/>
      </w:r>
      <w:r>
        <w:rPr>
          <w:rFonts w:ascii="Amiri" w:hAnsi="Amiri" w:eastAsia="Amiri" w:cs="Amiri"/>
          <w:color w:val="111111"/>
          <w:sz w:val="28"/>
          <w:sz w:val="28"/>
          <w:szCs w:val="28"/>
          <w:rtl w:val="true"/>
          <w:lang w:bidi="ar-SA"/>
        </w:rPr>
        <w:t xml:space="preserve">وبالاحتياط في الفروج وبكونه من الباطل إذا اعتبر ميزان الحقّ والباطل، وبتأديته لاختلاط الأنساب، لأنّ التغذّي بالنطفة له مدخلية بالنسب، كما تومئ إلى ذلك الأخبار </w:t>
      </w:r>
      <w:r>
        <w:rPr>
          <w:rStyle w:val="FootnoteAnchor"/>
          <w:rtl w:val="true"/>
        </w:rPr>
        <w:footnoteReference w:id="1933"/>
      </w:r>
      <w:r>
        <w:rPr>
          <w:rFonts w:ascii="Amiri" w:hAnsi="Amiri" w:eastAsia="Amiri" w:cs="Amiri"/>
          <w:color w:val="111111"/>
          <w:sz w:val="28"/>
          <w:sz w:val="28"/>
          <w:szCs w:val="28"/>
          <w:rtl w:val="true"/>
          <w:lang w:bidi="ar-SA"/>
        </w:rPr>
        <w:t xml:space="preserve">من الأمر له بعزل نصيب من الميراث والأمر بعتقه والنهي عن بيعه وبتأديته إلى ذهاب حق صاحب الحمل لاشتغال الرحم بحقه في تلك المدة، وبالاستصحاب للحرمة السابقة، وبفتوى المشهور نقلاً </w:t>
      </w:r>
      <w:r>
        <w:rPr>
          <w:rStyle w:val="FootnoteAnchor"/>
          <w:rtl w:val="true"/>
        </w:rPr>
        <w:footnoteReference w:id="1934"/>
      </w:r>
      <w:r>
        <w:rPr>
          <w:rFonts w:ascii="Amiri" w:hAnsi="Amiri" w:eastAsia="Amiri" w:cs="Amiri"/>
          <w:color w:val="111111"/>
          <w:sz w:val="28"/>
          <w:sz w:val="28"/>
          <w:szCs w:val="28"/>
          <w:rtl w:val="true"/>
          <w:lang w:bidi="ar-SA"/>
        </w:rPr>
        <w:t>بل تحصيلاً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الأخبار الصحيح في الأمة الحبلى يشتريها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أحلتها آية وحرمتها </w:t>
      </w:r>
    </w:p>
    <w:p>
      <w:pPr>
        <w:pStyle w:val="BookText"/>
        <w:rPr/>
      </w:pPr>
      <w:r>
        <w:rPr>
          <w:rFonts w:ascii="Amiri" w:hAnsi="Amiri" w:eastAsia="Amiri" w:cs="Amiri"/>
          <w:color w:val="111111"/>
          <w:sz w:val="28"/>
          <w:sz w:val="28"/>
          <w:szCs w:val="28"/>
          <w:rtl w:val="true"/>
          <w:lang w:bidi="ar-SA"/>
        </w:rPr>
        <w:t>آية، فأنا أنهى عنها نفسي وولدي</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والنهي حقيقة في التحريم، وتخصيصه نفسه وولده إنّما كان للتقيّة لا للكراهة؛ لأن الترجيح في جانب الحرمة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وهي حامل، ما يحلّ منها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يشتريها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حبلى أيطؤها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الحبلى يشتريها الرجل فيصيب منها دون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منها في ذلك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 تغرّه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لا يحلّ نكاحهنّ، وعدّ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أمتك وهي حبلى من غيرك</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اشترى حبلى فوطئها،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الدالة بإطلاقها على المنع مطلقاً، فيدخل فيها ما دون الأربعة أشهر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حبلى فما لي منها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ما دون الفرج إلى أن تبلغ في حبلها أربعة أشهر وعشرة أيام</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خصوص هذا الصحيح يتجه القول بالحرمة إلى مدة عشرة أيام زيادةً على الأربعة أشهر أيضاً، وتدخل الليالي المتوسطة بها وتخرج الأخيرة، والمنكسر يلفّق على ما هو أظهر، ويحتمل إسقاطه، ويحتمل احتسابه يوماً تاماً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يتجه القول بحرمة الوطء قبلاً ودبراً؛ لإطلاق لفظ الفرج عليهما، وإطلاق لفظ الوطء على وطئه، إلا أنّ ظاهر المشهور وأصالة البراءة وظهور القُبل من إطلاق لفظ الوطء والفرج وإشعار علة المنع من خوف اختلاط الأنساب وتضييع حق صاحب الحمل مما يوجب اختصاص الحكم بالقُبُل فالقول باختصاصه به أقوى وإن كان الأوّل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يتجه الحكم بالتحريم مطلقاً إلى حين الوضع ولو كانا توأمين إلى حين وضعهما؛</w:t>
      </w:r>
    </w:p>
    <w:p>
      <w:pPr>
        <w:pStyle w:val="BookText"/>
        <w:rPr/>
      </w:pPr>
      <w:r>
        <w:rPr>
          <w:rFonts w:ascii="Amiri" w:hAnsi="Amiri" w:eastAsia="Amiri" w:cs="Amiri"/>
          <w:color w:val="111111"/>
          <w:sz w:val="28"/>
          <w:sz w:val="28"/>
          <w:szCs w:val="28"/>
          <w:rtl w:val="true"/>
          <w:lang w:bidi="ar-SA"/>
        </w:rPr>
        <w:t xml:space="preserve">أخذاً بإطلاق تلك الأخبار وشمولها جميع الأزمنة إلى حين الوضع، المنجبرة بالكتاب </w:t>
      </w:r>
      <w:r>
        <w:rPr>
          <w:rStyle w:val="FootnoteAnchor"/>
          <w:rtl w:val="true"/>
        </w:rPr>
        <w:footnoteReference w:id="1943"/>
      </w:r>
      <w:r>
        <w:rPr>
          <w:rFonts w:ascii="Amiri" w:hAnsi="Amiri" w:eastAsia="Amiri" w:cs="Amiri"/>
          <w:color w:val="111111"/>
          <w:sz w:val="28"/>
          <w:sz w:val="28"/>
          <w:szCs w:val="28"/>
          <w:rtl w:val="true"/>
          <w:lang w:bidi="ar-SA"/>
        </w:rPr>
        <w:t>والاحتياط والاعتبار، وخصوص الأخبار المصرحة بالحرمة إلى حين الوضع،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الوليدة يشتريها الرجل وهي حبلى،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1944"/>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وطء الحبالي حتّى يضعن</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فليس للصحيح قابلية لتقييد أدلة التحريم؛ لأنّ الجمع فرع المقاومة، وحينئذٍ فالقول بالجواز مطلقاً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والاستناد إلى الإجماع المنقول على الجواز </w:t>
      </w:r>
      <w:r>
        <w:rPr>
          <w:rStyle w:val="FootnoteAnchor"/>
          <w:rtl w:val="true"/>
        </w:rPr>
        <w:footnoteReference w:id="1946"/>
      </w:r>
      <w:r>
        <w:rPr>
          <w:rFonts w:ascii="Amiri" w:hAnsi="Amiri" w:eastAsia="Amiri" w:cs="Amiri"/>
          <w:color w:val="111111"/>
          <w:sz w:val="28"/>
          <w:sz w:val="28"/>
          <w:szCs w:val="28"/>
          <w:rtl w:val="true"/>
          <w:lang w:bidi="ar-SA"/>
        </w:rPr>
        <w:t>معارض بإجماع آخر، وموهون بمصير الأكثر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الآية الدالة على جواز نكاح ملك اليمين </w:t>
      </w:r>
      <w:r>
        <w:rPr>
          <w:rStyle w:val="FootnoteAnchor"/>
          <w:rtl w:val="true"/>
        </w:rPr>
        <w:footnoteReference w:id="1947"/>
      </w:r>
      <w:r>
        <w:rPr>
          <w:rFonts w:ascii="Amiri" w:hAnsi="Amiri" w:eastAsia="Amiri" w:cs="Amiri"/>
          <w:color w:val="111111"/>
          <w:sz w:val="28"/>
          <w:sz w:val="28"/>
          <w:szCs w:val="28"/>
          <w:rtl w:val="true"/>
          <w:lang w:bidi="ar-SA"/>
        </w:rPr>
        <w:t>، وهو معارض بما هو أقوى منها، وهي آية أُولات الأحمال</w:t>
      </w:r>
      <w:r>
        <w:rPr>
          <w:rStyle w:val="FootnoteAnchor"/>
          <w:rtl w:val="true"/>
        </w:rPr>
        <w:footnoteReference w:id="1948"/>
      </w:r>
      <w:r>
        <w:rPr>
          <w:rFonts w:ascii="Amiri" w:hAnsi="Amiri" w:eastAsia="Amiri" w:cs="Amiri"/>
          <w:color w:val="111111"/>
          <w:sz w:val="28"/>
          <w:sz w:val="28"/>
          <w:szCs w:val="28"/>
          <w:rtl w:val="true"/>
          <w:lang w:bidi="ar-SA"/>
        </w:rPr>
        <w:t>لكون الأولى بمنزلة القاعدة الدالة على جواز تصرف الإنسان بماله، بخلاف الثانية فإنها بمنزلة 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للرجل المسلم أن يأتي الجارية حبلى قد حبلت من غيره حتّى يأتيه فيخبره</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وهو معارض بما هو أقوى منه، ومع ذلك فهو ضعيف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بالتحريم فيه إلى الأربعة أشهر، أو إلى الأربعة أشهر وعشرة، أو الكراهة فيما فوقه إلى حين الوضع؛ استناداً في التحريم إلى ما دلّ عليه عموماً وخصوصاً كما ذكرنا، وفي الجواز إلى الأصول والعمومات المجوّزة، والروايات المتقدّمة المقيدة لعمومات المنع بالأربعة أشهر وعشرة فما دونها، وفي الكراهة إلى التخلّص من شبهة التحريم نصاً وفتوى</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لعدم قابلية الصحيح لتقييد تلك الأدلّة، ولظهوره في التقيّة حيث إنّ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المنع من الوطء إلى الوضع من أفعال اليهود</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 ولعدم ذكر التقييد بالأربعة أشهر وعشرة في رواية الكافي</w:t>
      </w:r>
      <w:r>
        <w:rPr>
          <w:rStyle w:val="FootnoteAnchor"/>
          <w:rtl w:val="true"/>
        </w:rPr>
        <w:footnoteReference w:id="1951"/>
      </w:r>
      <w:r>
        <w:rPr>
          <w:rFonts w:ascii="Amiri" w:hAnsi="Amiri" w:eastAsia="Amiri" w:cs="Amiri"/>
          <w:color w:val="111111"/>
          <w:sz w:val="28"/>
          <w:sz w:val="28"/>
          <w:szCs w:val="28"/>
          <w:rtl w:val="true"/>
          <w:lang w:bidi="ar-SA"/>
        </w:rPr>
        <w:t>، ولأنّ ظهور الحمل إنّما يحصل غالباً بالأربعة أشهر، فيكون في الحقيقة معارضاً لروايات المنع لا مقيداً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بالتحريم إلى حين الوضع في الحامل من الحلال ولو لشبهة أو كان مجهولاً، والجواز لو كان الحمل من زنى مع الكراهة وبدونها، أو القول بإلحاق المجهول بالزني، أو القول بالتحريم إلى الوضع في غير الزنى وبالتحريم إلى الأشهر في الزنى، أو القول بالتحريم إلى الأشهر في الحلال والجواز مطلقاً في الزنى، كلّ ذلك للجمع بين الأخبار مهما أمكن، ولما دلّ على أن الزاني لا حرمة لمائه، وأنّ الشارع قد ألغى اعتباره في العدد والاستبراء</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ضعفه أنّ الأخبار على كثرتها خالية عن التعرّض للزنى والتفصيل بينه وبين غيره، مع أن المقام مقام بيان؛ لكثرة وقوع الزنى في الجواري، وأن ما دلّ على أن الزاني لا حرمة لمائه غير صالح لتقييد الأدلّة المتقدّمة؛ لضعفه وقوتها، وأن الحكم بعدم العدة لماء الزاني قد يناقش فيه وإن كان مشهوراً بين الفقهاء؛ لورود عدة من الأخبار بالأمر من الاعتداد،عموماً،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فقد وجبت العدة</w:t>
      </w:r>
      <w:r>
        <w:rPr>
          <w:rFonts w:eastAsia="Amiri" w:cs="Amiri" w:ascii="Amiri" w:hAnsi="Amiri"/>
          <w:color w:val="111111"/>
          <w:sz w:val="28"/>
          <w:szCs w:val="28"/>
          <w:rtl w:val="true"/>
          <w:lang w:bidi="ar-SA"/>
        </w:rPr>
        <w:t xml:space="preserve">» </w:t>
      </w:r>
      <w:r>
        <w:rPr>
          <w:rStyle w:val="FootnoteAnchor"/>
          <w:rtl w:val="true"/>
        </w:rPr>
        <w:footnoteReference w:id="1954"/>
      </w:r>
      <w:r>
        <w:rPr>
          <w:rFonts w:ascii="Amiri" w:hAnsi="Amiri" w:eastAsia="Amiri" w:cs="Amiri"/>
          <w:color w:val="111111"/>
          <w:sz w:val="28"/>
          <w:sz w:val="28"/>
          <w:szCs w:val="28"/>
          <w:rtl w:val="true"/>
          <w:lang w:bidi="ar-SA"/>
        </w:rPr>
        <w:t>وبعضها خصوصاً، ففي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يستبرئها من نطفته ونطفة غيره</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هو اجتنبها حتّى تنقضي عدتها باستبراء رحمها من ماء الفجور</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النزاع مختص فيما كان الحمل سابقاً على الملك، وأما لو كان لاحقاً، فإن كان عن حلال فالظاهر تحريمه مطلقاً؛ لمكان لزوم الاستبراء والاعتداد، وإن كان زني فالظاهر جوازه مطلقاً؛ لعدم احترام مائه من غير معارض وما قدمنا خاص في المقدم على</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ولأن الحرام لا يحرم الحلال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مجهولاً، ففي تحريمه ؛ لحمل فعل المسلم على الصحّة، ولإطلاق الآية بأولات الأحمال </w:t>
      </w:r>
      <w:r>
        <w:rPr>
          <w:rStyle w:val="FootnoteAnchor"/>
          <w:rtl w:val="true"/>
        </w:rPr>
        <w:footnoteReference w:id="1957"/>
      </w:r>
      <w:r>
        <w:rPr>
          <w:rFonts w:ascii="Amiri" w:hAnsi="Amiri" w:eastAsia="Amiri" w:cs="Amiri"/>
          <w:color w:val="111111"/>
          <w:sz w:val="28"/>
          <w:sz w:val="28"/>
          <w:szCs w:val="28"/>
          <w:rtl w:val="true"/>
          <w:lang w:bidi="ar-SA"/>
        </w:rPr>
        <w:t xml:space="preserve">، أو عدم تحريمه للأصل، وإطلاق الآيات الدالة على جواز التصرف بالملك </w:t>
      </w:r>
      <w:r>
        <w:rPr>
          <w:rStyle w:val="FootnoteAnchor"/>
          <w:rtl w:val="true"/>
        </w:rPr>
        <w:footnoteReference w:id="1958"/>
      </w:r>
      <w:r>
        <w:rPr>
          <w:rFonts w:ascii="IRNazanin" w:hAnsi="IRNazanin" w:eastAsia="IRNazanin"/>
          <w:color w:val="111111"/>
          <w:sz w:val="28"/>
          <w:sz w:val="28"/>
          <w:szCs w:val="28"/>
          <w:rtl w:val="true"/>
          <w:lang w:bidi="fa-IR"/>
        </w:rPr>
        <w:t>مطلقاً، وجهان، والأوّل أظهر وأحوط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وطئ الحامل في محلّ الجواز أو فَعَل حراماً، استحب له العزل عنها؛ لفتوى المشهور، وإشعار الأخبار </w:t>
      </w:r>
      <w:r>
        <w:rPr>
          <w:rStyle w:val="FootnoteAnchor"/>
          <w:rtl w:val="true"/>
        </w:rPr>
        <w:footnoteReference w:id="195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وأوجبه بعضهم قبل مضي أربعة أشهر مدعياً عليه الإجماع، وهو أحوط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يعزل كره له بيع ولدها؛ لتشبته بالحُريّة، وعلّته البنوة، كما تشعر به الأخبار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وحرمه بعضهم حيث يكون الوطء قبل أربعة أشهر، ونقل فيه الإجماع</w:t>
      </w:r>
      <w:r>
        <w:rPr>
          <w:rStyle w:val="FootnoteAnchor"/>
          <w:rtl w:val="true"/>
        </w:rPr>
        <w:footnoteReference w:id="1962"/>
      </w:r>
      <w:r>
        <w:rPr>
          <w:rFonts w:ascii="Amiri" w:hAnsi="Amiri" w:eastAsia="Amiri" w:cs="Amiri"/>
          <w:color w:val="111111"/>
          <w:sz w:val="28"/>
          <w:sz w:val="28"/>
          <w:szCs w:val="28"/>
          <w:rtl w:val="true"/>
          <w:lang w:bidi="ar-SA"/>
        </w:rPr>
        <w:t xml:space="preserve">، وبعضهم مع إضافة العشرة أيام </w:t>
      </w:r>
      <w:r>
        <w:rPr>
          <w:rStyle w:val="FootnoteAnchor"/>
          <w:rtl w:val="true"/>
        </w:rPr>
        <w:footnoteReference w:id="1963"/>
      </w:r>
      <w:r>
        <w:rPr>
          <w:rFonts w:ascii="IRNazanin" w:hAnsi="IRNazanin" w:eastAsia="IRNazanin"/>
          <w:color w:val="111111"/>
          <w:sz w:val="28"/>
          <w:sz w:val="28"/>
          <w:szCs w:val="28"/>
          <w:rtl w:val="true"/>
          <w:lang w:bidi="fa-IR"/>
        </w:rPr>
        <w:t xml:space="preserve">، وحرمه بعضهم مطلقاً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يعزل له من ميراثه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وأوجبه بعضهم بما كان الوطء قبل أربعة أشهر ناقلاً عليه الإجماع </w:t>
      </w:r>
      <w:r>
        <w:rPr>
          <w:rStyle w:val="FootnoteAnchor"/>
          <w:rtl w:val="true"/>
        </w:rPr>
        <w:footnoteReference w:id="1965"/>
      </w:r>
      <w:r>
        <w:rPr>
          <w:rFonts w:ascii="Amiri" w:hAnsi="Amiri" w:eastAsia="Amiri" w:cs="Amiri"/>
          <w:color w:val="111111"/>
          <w:sz w:val="28"/>
          <w:sz w:val="28"/>
          <w:szCs w:val="28"/>
          <w:rtl w:val="true"/>
          <w:lang w:bidi="ar-SA"/>
        </w:rPr>
        <w:t xml:space="preserve">، وبعضهم بذلك مع زيادة العشرة أيام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للقسط حد في النصّ والفتوى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فيها ما يدلّ على كثرته في الجملة؛ لأنّ في بعضها اعتبار الوصية بما يعيش به </w:t>
      </w:r>
      <w:r>
        <w:rPr>
          <w:rStyle w:val="FootnoteAnchor"/>
          <w:rtl w:val="true"/>
        </w:rPr>
        <w:footnoteReference w:id="1967"/>
      </w:r>
      <w:r>
        <w:rPr>
          <w:rFonts w:ascii="Amiri" w:hAnsi="Amiri" w:eastAsia="Amiri" w:cs="Amiri"/>
          <w:color w:val="111111"/>
          <w:sz w:val="28"/>
          <w:sz w:val="28"/>
          <w:szCs w:val="28"/>
          <w:rtl w:val="true"/>
          <w:lang w:bidi="ar-SA"/>
        </w:rPr>
        <w:t>، والأولى جعله نصيب ولد</w:t>
      </w:r>
      <w:r>
        <w:rPr>
          <w:rFonts w:eastAsia="Amiri" w:cs="Amiri" w:ascii="Amiri" w:hAnsi="Amiri"/>
          <w:color w:val="111111"/>
          <w:sz w:val="28"/>
          <w:szCs w:val="28"/>
          <w:rtl w:val="true"/>
          <w:lang w:bidi="ar-SA"/>
        </w:rPr>
        <w:t xml:space="preserve">. </w:t>
      </w:r>
      <w:bookmarkStart w:id="851" w:name="pg19000_245675"/>
    </w:p>
    <w:p>
      <w:pPr>
        <w:pStyle w:val="BookText"/>
        <w:rPr/>
      </w:pPr>
      <w:bookmarkEnd w:id="851"/>
      <w:r>
        <w:rPr>
          <w:rFonts w:ascii="IRNazanin" w:hAnsi="IRNazanin" w:eastAsia="IRNazanin"/>
          <w:color w:val="111111"/>
          <w:sz w:val="28"/>
          <w:sz w:val="28"/>
          <w:szCs w:val="28"/>
          <w:rtl w:val="true"/>
          <w:lang w:bidi="fa-IR"/>
        </w:rPr>
        <w:t xml:space="preserve">وأوجب بعضهم </w:t>
      </w:r>
      <w:r>
        <w:rPr>
          <w:rStyle w:val="FootnoteAnchor"/>
          <w:rtl w:val="true"/>
        </w:rPr>
        <w:footnoteReference w:id="1968"/>
      </w:r>
      <w:r>
        <w:rPr>
          <w:rFonts w:ascii="Amiri" w:hAnsi="Amiri" w:eastAsia="Amiri" w:cs="Amiri"/>
          <w:color w:val="111111"/>
          <w:sz w:val="28"/>
          <w:sz w:val="28"/>
          <w:szCs w:val="28"/>
          <w:rtl w:val="true"/>
          <w:lang w:bidi="ar-SA"/>
        </w:rPr>
        <w:t>عتقه فيما لو كان الوطء متقدماً على الأربعة أشهر وعشرة أيام 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شهرة القول بالندب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محصلة ومنقولة </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ومنقول الإجماع والأصول والقواعد القاضية بالجواز لكان القول بالوجوب متجهاً للأمر بعدم بيع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وعتقه، وجعل شيء له من ماله يعيش به في الأخبار </w:t>
      </w:r>
      <w:r>
        <w:rPr>
          <w:rStyle w:val="FootnoteAnchor"/>
          <w:rtl w:val="true"/>
        </w:rPr>
        <w:footnoteReference w:id="1970"/>
      </w:r>
      <w:r>
        <w:rPr>
          <w:rFonts w:ascii="IRNazanin" w:hAnsi="IRNazanin" w:eastAsia="IRNazanin"/>
          <w:color w:val="111111"/>
          <w:sz w:val="28"/>
          <w:sz w:val="28"/>
          <w:szCs w:val="28"/>
          <w:rtl w:val="true"/>
          <w:lang w:bidi="fa-IR"/>
        </w:rPr>
        <w:t>، ومنقول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للواطئ وأرحامه الإنفاق عليه والقيام بحقوقه ومعاملة الواطئ له معاملة الأب، وأولاده معاملة الإخوة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الإنزال أو العزل، انتفت الأحكام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والقسط يخرج من الثلث بعد المنجزات والحقوق الواجبات ولو تأخر على إشكال</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3372736_1280447820"/>
      <w:bookmarkStart w:id="853" w:name="_Toc314"/>
      <w:bookmarkEnd w:id="852"/>
      <w:r>
        <w:rPr>
          <w:rtl w:val="true"/>
        </w:rPr>
        <w:t>سادس عشرها</w:t>
      </w:r>
      <w:r>
        <w:rPr>
          <w:rtl w:val="true"/>
        </w:rPr>
        <w:t xml:space="preserve">: </w:t>
      </w:r>
      <w:r>
        <w:rPr>
          <w:rtl w:val="true"/>
        </w:rPr>
        <w:t>كراهة التفرقة بين الأطفال وأُمهاتهم النسبية</w:t>
      </w:r>
      <w:bookmarkEnd w:id="853"/>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التفرقة بين الأطفال وأُمهاتهم النسبية تفرقة حسية في مكانين متباعدين عرفاً، أو نقليّة إذا كانت مقدمةً للتفرقة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الأُمّ الرضاعيّة بالنسبية، وإلحاق باقي المحارم بالأم مع تحقق العلقة، بل غير المحارم من المربية وجه يقتضيه التعليل، ومع خوف الضرر والتلف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محبّة التفرقة منهما أو عدم المبالاة من كلّ منهما بفرقته عن الآخر يرتفع حكم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الكراهة الاستغناء عنهنّ</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أنّه هل هو بلوغ سبع سنين تحقيق في تقريب، أو أن يستغني عن الرضاع، أو التفصيل بين الأنثى فالأول ويلحق بها الخنثى، أو الذكر فالثاني، أو أن يتمكن من الاستقلال في التعيش بنفسه بحيث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محتاج وإنه استغنى عنها ؟ كما نُسب </w:t>
      </w:r>
      <w:r>
        <w:rPr>
          <w:rStyle w:val="FootnoteAnchor"/>
          <w:rtl w:val="true"/>
        </w:rPr>
        <w:footnoteReference w:id="1972"/>
      </w:r>
      <w:r>
        <w:rPr>
          <w:rFonts w:ascii="IRNazanin" w:hAnsi="IRNazanin" w:eastAsia="IRNazanin"/>
          <w:color w:val="111111"/>
          <w:sz w:val="28"/>
          <w:sz w:val="28"/>
          <w:szCs w:val="28"/>
          <w:rtl w:val="true"/>
          <w:lang w:bidi="fa-IR"/>
        </w:rPr>
        <w:t xml:space="preserve">لظاهر </w:t>
      </w:r>
    </w:p>
    <w:p>
      <w:pPr>
        <w:pStyle w:val="BookText"/>
        <w:rPr/>
      </w:pPr>
      <w:r>
        <w:rPr>
          <w:rFonts w:ascii="Amiri" w:hAnsi="Amiri" w:eastAsia="Amiri" w:cs="Amiri"/>
          <w:color w:val="111111"/>
          <w:sz w:val="28"/>
          <w:sz w:val="28"/>
          <w:szCs w:val="28"/>
          <w:rtl w:val="true"/>
          <w:lang w:bidi="ar-SA"/>
        </w:rPr>
        <w:t>الأصحاب، وهو الأقوى؛ لعدم دليل خاص يدلّ على ما تقدَّم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بالحرمة </w:t>
      </w:r>
      <w:r>
        <w:rPr>
          <w:rStyle w:val="FootnoteAnchor"/>
          <w:rtl w:val="true"/>
        </w:rPr>
        <w:footnoteReference w:id="1973"/>
      </w:r>
      <w:r>
        <w:rPr>
          <w:rFonts w:ascii="Amiri" w:hAnsi="Amiri" w:eastAsia="Amiri" w:cs="Amiri"/>
          <w:color w:val="111111"/>
          <w:sz w:val="28"/>
          <w:sz w:val="28"/>
          <w:szCs w:val="28"/>
          <w:rtl w:val="true"/>
          <w:lang w:bidi="ar-SA"/>
        </w:rPr>
        <w:t xml:space="preserve">، ونُقل على ذلك الشهرة </w:t>
      </w:r>
      <w:r>
        <w:rPr>
          <w:rStyle w:val="FootnoteAnchor"/>
          <w:rtl w:val="true"/>
        </w:rPr>
        <w:footnoteReference w:id="1974"/>
      </w:r>
      <w:r>
        <w:rPr>
          <w:rFonts w:ascii="IRNazanin" w:hAnsi="IRNazanin" w:eastAsia="IRNazanin"/>
          <w:color w:val="111111"/>
          <w:sz w:val="28"/>
          <w:sz w:val="28"/>
          <w:szCs w:val="28"/>
          <w:rtl w:val="true"/>
          <w:lang w:bidi="fa-IR"/>
        </w:rPr>
        <w:t xml:space="preserve">والإجماع </w:t>
      </w:r>
      <w:r>
        <w:rPr>
          <w:rStyle w:val="FootnoteAnchor"/>
          <w:rtl w:val="true"/>
        </w:rPr>
        <w:footnoteReference w:id="1975"/>
      </w:r>
      <w:r>
        <w:rPr>
          <w:rFonts w:ascii="Amiri" w:hAnsi="Amiri" w:eastAsia="Amiri" w:cs="Amiri"/>
          <w:color w:val="111111"/>
          <w:sz w:val="28"/>
          <w:sz w:val="28"/>
          <w:szCs w:val="28"/>
          <w:rtl w:val="true"/>
          <w:lang w:bidi="ar-SA"/>
        </w:rPr>
        <w:t>، ويؤيّده حرمة الظلم وقساوة القلب وعدم المروءة، وأن 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الموثق عن أخوين مملوكين هل يفرّق بينهما، وبين الامرأة وولدها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حرام، إلا أن يريدوا ذلك</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والجارية وله أخ أو أخت أو أب أو أُمّ بمصر من الأمصار،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يخرجه إلى مصر آخر، ولا تشتره، وإن كان له أمّ فطابت نفسها ونفسه فاشتره إن شئت</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بيعوهما جميعاً أو أمسكوهما جميعاً</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الصغيرة يشتريها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قد استغنت عن أبويها فلا بأس</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بالتحريم قوي لولا الأصول والقواعد وفتوى المشهور نقلا </w:t>
      </w:r>
      <w:r>
        <w:rPr>
          <w:rStyle w:val="FootnoteAnchor"/>
          <w:rtl w:val="true"/>
        </w:rPr>
        <w:footnoteReference w:id="1980"/>
      </w:r>
      <w:r>
        <w:rPr>
          <w:rFonts w:ascii="Amiri" w:hAnsi="Amiri" w:eastAsia="Amiri" w:cs="Amiri"/>
          <w:color w:val="111111"/>
          <w:sz w:val="28"/>
          <w:sz w:val="28"/>
          <w:szCs w:val="28"/>
          <w:rtl w:val="true"/>
          <w:lang w:bidi="ar-SA"/>
        </w:rPr>
        <w:t xml:space="preserve">بل تحصيلاً والإجماع المنقول على الكراهة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 بالتحريم تعمّ الحرمة للبائع والمشتري، ولكن لا يفسد العقد بها؛ للأصل وفتوى الأصحاب</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Style w:val="FootnoteAnchor"/>
          <w:rtl w:val="true"/>
        </w:rPr>
        <w:footnoteReference w:id="1982"/>
      </w:r>
      <w:r>
        <w:rPr>
          <w:rFonts w:ascii="IRNazanin" w:hAnsi="IRNazanin" w:eastAsia="IRNazanin"/>
          <w:color w:val="111111"/>
          <w:sz w:val="28"/>
          <w:sz w:val="28"/>
          <w:szCs w:val="28"/>
          <w:rtl w:val="true"/>
          <w:lang w:bidi="fa-IR"/>
        </w:rPr>
        <w:t>محمول على الندب ورضى البائع</w:t>
      </w:r>
      <w:r>
        <w:rPr>
          <w:rFonts w:eastAsia="IRNazanin" w:cs="IRNazanin"/>
          <w:color w:val="111111"/>
          <w:sz w:val="28"/>
          <w:szCs w:val="28"/>
          <w:rtl w:val="true"/>
          <w:lang w:bidi="fa-IR"/>
        </w:rPr>
        <w:t xml:space="preserve">. </w:t>
      </w:r>
      <w:bookmarkStart w:id="854" w:name="pg19000_245677"/>
    </w:p>
    <w:p>
      <w:pPr>
        <w:pStyle w:val="BookText"/>
        <w:rPr/>
      </w:pPr>
      <w:bookmarkEnd w:id="854"/>
      <w:r>
        <w:rPr>
          <w:rFonts w:ascii="Amiri" w:hAnsi="Amiri" w:eastAsia="Amiri" w:cs="Amiri"/>
          <w:color w:val="111111"/>
          <w:sz w:val="28"/>
          <w:sz w:val="28"/>
          <w:szCs w:val="28"/>
          <w:rtl w:val="true"/>
          <w:lang w:bidi="ar-SA"/>
        </w:rPr>
        <w:t xml:space="preserve">وهل يختص حكم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مذكور في الأخبار؛ لمخالفة الحكم للأصل فيقتصر فيه على مورد اليقين، أو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احتاجت إليه الأطفال ولم تستغن عنه وتعلّق قلبها به ؟ وجهان، والأظهر الأخير لولا نقل بعضهم الإجماع على جواز تفرقة الأم الرضاعيّة ومَنْ تعلّق بالرضاع من غيرها، والإجماع على جواز تفرقة غير الأُمّ من الأرحام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حصلا في الملك متفرّقين لم يلزم جمعهما وإن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ضرر على الطفل بعدم التفرقة سقط حكم الكراهة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يسري الحكم لغير الإنسان من الحيوان وإن كانت الرحمة والرقة والبر من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بعضهم أنّه يحرم التفرقة قطعاً قبل شرب اللبأ في ضمن الثلاثة أيام؛ لأنّ تركه ممّا يؤدي للهلاك، فلا نزاع فيه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ممنوع، والتجارب تقضي بخلافه سيّما لو أُريد عموم ذلك لغير الإنسان</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3372738_1280447820"/>
      <w:bookmarkStart w:id="856" w:name="_Toc315"/>
      <w:bookmarkEnd w:id="855"/>
      <w:r>
        <w:rPr>
          <w:rtl w:val="true"/>
        </w:rPr>
        <w:t>سابع عشرها</w:t>
      </w:r>
      <w:r>
        <w:rPr>
          <w:rtl w:val="true"/>
        </w:rPr>
        <w:t xml:space="preserve">: </w:t>
      </w:r>
      <w:r>
        <w:rPr>
          <w:rtl w:val="true"/>
        </w:rPr>
        <w:t>حكم ما إذا ظهر استحقاق الأمة الموطوءة لغير الواطئ</w:t>
      </w:r>
      <w:bookmarkEnd w:id="856"/>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استحقاق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أو بحكم الحاكم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الموطوءة لغير الواطئ بإدخال الحشفة في قبل أو دبرٍ، عن علمٍ أو جهل، بنكاح أو تحليل أو ملك يمين ببيع أو غيره، أو شبهة؛ لفساد عقد أو غيره، مع علم الموطوءة وجهلها، ومع قدرتها على الامتناع وعدمه استردّها المستحق لها؛ للإجماع بقسميه </w:t>
      </w:r>
      <w:r>
        <w:rPr>
          <w:rStyle w:val="FootnoteAnchor"/>
          <w:rtl w:val="true"/>
        </w:rPr>
        <w:footnoteReference w:id="1985"/>
      </w:r>
      <w:r>
        <w:rPr>
          <w:rFonts w:ascii="Amiri" w:hAnsi="Amiri" w:eastAsia="Amiri" w:cs="Amiri"/>
          <w:color w:val="111111"/>
          <w:sz w:val="28"/>
          <w:sz w:val="28"/>
          <w:szCs w:val="28"/>
          <w:rtl w:val="true"/>
          <w:lang w:bidi="ar-SA"/>
        </w:rPr>
        <w:t>، وللأصول والقواعد، وللأخبار الخاصة ففي الصحيح في وليدة باعها ابن سيدها واستولدها الذي اشتراها،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أن يأخذ وليدته وابنها</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 xml:space="preserve">، ونحوه غيره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وغرم له الواطئ عُشر قيمتها إن كانت بكراً لم تطأها الرجال قبلاً أو دبراً وإن ذهبت عُذرتها بنزوةٍ أو غيرها على وجه، أو ما ذهبت منها الغشاوة على وجه آخر، ولا يبعد أنّ </w:t>
      </w:r>
    </w:p>
    <w:p>
      <w:pPr>
        <w:pStyle w:val="BookText"/>
        <w:rPr/>
      </w:pPr>
      <w:r>
        <w:rPr>
          <w:rFonts w:ascii="Amiri" w:hAnsi="Amiri" w:eastAsia="Amiri" w:cs="Amiri"/>
          <w:color w:val="111111"/>
          <w:sz w:val="28"/>
          <w:sz w:val="28"/>
          <w:szCs w:val="28"/>
          <w:rtl w:val="true"/>
          <w:lang w:bidi="ar-SA"/>
        </w:rPr>
        <w:t>المفهوم عرفاً هو الأخير، ونصف العُشْر إن كانت ثيبةً بأن وطأها الرجال قبلاً أو دبراً وإن بقيت عُذرتها على 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حين الوطء، لا حين التقويم، ولا الأعلى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تقوم موطوءةً فتدخل زيادة القيمة بالوطء لو زادت ونقصانها لو نقصت، أو غير موطوءة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تقويمها موطوءةً مع الزيادة، وغير موطوءة مع النقصان بالوطء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له أرش النقصان؛ لحصوله بوطئه ومباشرته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يدخل أرش البكارة في العُشْر؛ للأصل وظاهر الأدلّة الباقية، أو لا يدخل؛ لأصالة عدم التداخل ؟ وجهان، والثاني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يحتسب الوطء المتعدّد كالواحد مطلقاً، أو يحتسب متعدداً مطلقاً فلمالكها العشر في أوّل وطأة إذا كانت بكراً ثمّ له نصف العشر في كلّ وطأة، أو يحتسب واحداً مع اتحاد الوقت ومتعدّداً مع تعدّده عرفاً، أو يحتسب واحداً مع عدم تخلّل غرامة الواطئ ومتعدداً مع تخلّلها، أو يحتسب واحداً مع عدم اختلاف الوصف من البكارة والثيبوبة ومتعدداً مع اختلافه ؟ وجوه، أظهرها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مبعضةً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لمهر المثل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عالمةً مطاوعةً، فلمالكها ذلك؛ أخذاً بإطلاق الرواية </w:t>
      </w:r>
      <w:r>
        <w:rPr>
          <w:rStyle w:val="FootnoteAnchor"/>
          <w:rtl w:val="true"/>
        </w:rPr>
        <w:footnoteReference w:id="1988"/>
      </w:r>
      <w:r>
        <w:rPr>
          <w:rFonts w:ascii="Amiri" w:hAnsi="Amiri" w:eastAsia="Amiri" w:cs="Amiri"/>
          <w:color w:val="111111"/>
          <w:sz w:val="28"/>
          <w:sz w:val="28"/>
          <w:szCs w:val="28"/>
          <w:rtl w:val="true"/>
          <w:lang w:bidi="ar-SA"/>
        </w:rPr>
        <w:t>، ولأنّه حق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المهر كي يدخل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على أنّه لو كان مهراً شرعاً، أو كاشف عن أنّه مهر أمثالها لكان للمولى أخذه لانصراف المهر المنفي للحرّة؛ لمكان اللام المفيدة للاستحقاق، ومكان لفظ المهر؛ لأنّه من خصائص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الوطء وعدمه، فالقول قول النافي</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البكارة وعدمها، احتمل الوجهان؛ لأصالة البراءة من الغرامة الزائدة، وللاستصحاب، ولا يبعد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ثبوت العُشر ونصف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مهر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المقامات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المشهور والإجماع المنقول </w:t>
      </w:r>
      <w:r>
        <w:rPr>
          <w:rStyle w:val="FootnoteAnchor"/>
          <w:rtl w:val="true"/>
        </w:rPr>
        <w:footnoteReference w:id="1990"/>
      </w:r>
      <w:r>
        <w:rPr>
          <w:rFonts w:ascii="Amiri" w:hAnsi="Amiri" w:eastAsia="Amiri" w:cs="Amiri"/>
          <w:color w:val="111111"/>
          <w:sz w:val="28"/>
          <w:sz w:val="28"/>
          <w:szCs w:val="28"/>
          <w:rtl w:val="true"/>
          <w:lang w:bidi="ar-SA"/>
        </w:rPr>
        <w:t>، وللاستقراء الحاصل من ثبوته في المقامات المتعدّدة بالأخبار أو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قطعيته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ولتنقيح المناط بعد وروده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في الأمة المحلّلة لما دون الفرج فغلبته الشهوة فافتضها،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يغرم لصاحبها عُشر قيمتها إن كانت بكراً، وإن لم تكن بكراً فنصف عشر قيمتها</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في المدلّسة 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منه بولد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أولادها منه أحرار</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قطعيته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التعليل باستحلال الفرج إيماء لشمول الحكم لجميع ما تقدم، ومع ذلك فالقول بثبوت مهر الأمثال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إلحاق الموطوءة في الدبر بالموطوءة في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لغرامة العقر، وبالنسبة لثبوت الثيبوبة، وإدخال أرش البكارة في العقر، وتعيين أن البكارة ما هي، وتعميم الحكم للجاهلة والعالمة، وكيفية التقويم وغير ذلك مما قدمنا ممّا ليس فيه تصريح في الأخبار ولم ينعقد عليه إجماع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المالك على 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الواطئ مغروراً من قبل المالك بل من قِبَل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المنافع المستوفاة له والفائتة تحت يده، وقيم النماءات المتلفات بعد وضع يده عليها، فإن أحبلها فالولد له حُرٌّ إن لم يكن زانياً؛ لأصالة الحرية، ولأن الولد يتبع أشرف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عليها الأخبار </w:t>
      </w: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الزاني، فإنّه لا حرمة لمائه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دفع قيمة الولد يوم سقوطه حيّاً، بأن يقومه اثنان قيمة عادلة على ما هو عليه من </w:t>
      </w:r>
    </w:p>
    <w:p>
      <w:pPr>
        <w:pStyle w:val="BookText"/>
        <w:rPr/>
      </w:pPr>
      <w:r>
        <w:rPr>
          <w:rFonts w:ascii="Amiri" w:hAnsi="Amiri" w:eastAsia="Amiri" w:cs="Amiri"/>
          <w:color w:val="111111"/>
          <w:sz w:val="28"/>
          <w:sz w:val="28"/>
          <w:szCs w:val="28"/>
          <w:rtl w:val="true"/>
          <w:lang w:bidi="ar-SA"/>
        </w:rPr>
        <w:t xml:space="preserve">الصفات المزيدة للقيمة أو المنفعة لها، باقياً على رقيّته غير عائد إلى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اشتراط العدالة فيهما، وفي الاكتفاء بالعدل الواحد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قيمة الولد لمالك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اشتراط كونها من النقدين؛ لانصراف القيمة في الأخبار </w:t>
      </w:r>
      <w:r>
        <w:rPr>
          <w:rStyle w:val="FootnoteAnchor"/>
          <w:rtl w:val="true"/>
        </w:rPr>
        <w:footnoteReference w:id="1994"/>
      </w:r>
      <w:r>
        <w:rPr>
          <w:rFonts w:ascii="Amiri" w:hAnsi="Amiri" w:eastAsia="Amiri" w:cs="Amiri"/>
          <w:color w:val="111111"/>
          <w:sz w:val="28"/>
          <w:sz w:val="28"/>
          <w:szCs w:val="28"/>
          <w:rtl w:val="true"/>
          <w:lang w:bidi="ar-SA"/>
        </w:rPr>
        <w:t>والفتاوى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دفع القيمة مع الحياة الإجماع، والأخبار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كالموثّق فيمن اشترى جارية فأولدها ثم يجيء مستحق الجارية،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الجارية المستحق، ويدفع إليه المبتاع قيمة الولد ويرجع على مَنْ باعه بثمن الجارية وقيمة الولد</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في جاريةٍ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الجارية صاحبها ويأخذ الرجل ولده بقيمته</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جارية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 ولده ويدفع إليه الجارية، ويعوّضه من قيمة ما أصاب من لبنها وخدمتها</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برقية الولد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الولد ميتاً أو سقطاً لا حياة مستقرة فيه فليس على الواطئ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بعضهم تغريمه دية جنين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لعدم العثور على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تغريم المالك للواطئ المنافع وقيمة الولد أن لا يكون هو الغار والمدلس</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 الواطئ على الدافع بالثمن مع بقاء عينه عالماً أو جاهلاً، ولا يرجع مع تلفه إذا كان عالماً، بل يرجع مع الجهل بمثله أو قيمته، ويرجع مع جهله على الدافع بما غرم للمالك من قيمة منافع مستوفاة أم لا، وكذا قيمة نماءات وصل نفعها إليه أم لا؛ لإقدامه على صيرورتها له مجاناً، وبقيمة الولد، كما نُقل على خصوصها الإجماع </w:t>
      </w:r>
      <w:r>
        <w:rPr>
          <w:rStyle w:val="FootnoteAnchor"/>
          <w:rtl w:val="true"/>
        </w:rPr>
        <w:footnoteReference w:id="1999"/>
      </w:r>
      <w:r>
        <w:rPr>
          <w:rFonts w:ascii="Amiri" w:hAnsi="Amiri" w:eastAsia="Amiri" w:cs="Amiri"/>
          <w:color w:val="111111"/>
          <w:sz w:val="28"/>
          <w:sz w:val="28"/>
          <w:szCs w:val="28"/>
          <w:rtl w:val="true"/>
          <w:lang w:bidi="ar-SA"/>
        </w:rPr>
        <w:t xml:space="preserve">ونطقت بها الأخبار كما تقدم </w:t>
      </w:r>
      <w:r>
        <w:rPr>
          <w:rStyle w:val="FootnoteAnchor"/>
          <w:rtl w:val="true"/>
        </w:rPr>
        <w:footnoteReference w:id="2000"/>
      </w:r>
      <w:r>
        <w:rPr>
          <w:rFonts w:ascii="Amiri" w:hAnsi="Amiri" w:eastAsia="Amiri" w:cs="Amiri"/>
          <w:color w:val="111111"/>
          <w:sz w:val="28"/>
          <w:sz w:val="28"/>
          <w:szCs w:val="28"/>
          <w:rtl w:val="true"/>
          <w:lang w:bidi="ar-SA"/>
        </w:rPr>
        <w:t xml:space="preserve">، ويرجع بالعقر مطلقاً زاد على مهر المثل أو نقص عنه وإن حصل له في مقابله نفع؛ </w:t>
      </w:r>
      <w:bookmarkStart w:id="857" w:name="pg19000_245681"/>
    </w:p>
    <w:p>
      <w:pPr>
        <w:pStyle w:val="BookText"/>
        <w:rPr/>
      </w:pPr>
      <w:bookmarkEnd w:id="857"/>
      <w:r>
        <w:rPr>
          <w:rFonts w:ascii="Amiri" w:hAnsi="Amiri" w:eastAsia="Amiri" w:cs="Amiri"/>
          <w:color w:val="111111"/>
          <w:sz w:val="28"/>
          <w:sz w:val="28"/>
          <w:szCs w:val="28"/>
          <w:rtl w:val="true"/>
          <w:lang w:bidi="ar-SA"/>
        </w:rPr>
        <w:t xml:space="preserve">لما قدمنا من إقدامه عليه مجاناً، فهو مغرور من قبل البائع والمغرور يرجع على مَنْ غرّه، ولفحوى ما دلّ على الرجوع بقيمة الولد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13372740_1280447820"/>
      <w:bookmarkStart w:id="859" w:name="_Toc316"/>
      <w:bookmarkEnd w:id="858"/>
      <w:r>
        <w:rPr>
          <w:rtl w:val="true"/>
        </w:rPr>
        <w:t>ثامن عشرها</w:t>
      </w:r>
      <w:r>
        <w:rPr>
          <w:rtl w:val="true"/>
        </w:rPr>
        <w:t xml:space="preserve">: </w:t>
      </w:r>
      <w:r>
        <w:rPr>
          <w:rtl w:val="true"/>
        </w:rPr>
        <w:t>في أنّ كلّ مالٍ اشتري فظهر أنّه مسروق وجب على المشتري ردّه فوراً إلى أهله</w:t>
      </w:r>
      <w:bookmarkEnd w:id="859"/>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اشتري فظهر أنّه مسروق من معتصم المال وجب على المشتري رده فوراً مهما أمكن لأهله، لا إلى السارق؛ لأنّه تفريط به وعدوان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جهل أهله مطلقاً، تصدق به عنهم مع نيّة الضمان، أو أوصله الحاكم، والأولى له ذلك سيّما لو كان أهله كفّاراً، فإن التصدق عنهم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أهله في محصورين صالحهم صلحاً اختيارياً أو قهرياً بأمر الحاكم، أو 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علمهم بأعيانهم ولكن عجز عن الوصول إليهم بقي عنده أمانة، أو تصدق به، أو دفعه إلى الحاكم؛ لأنّه ولي مال الغائب،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في ذلك بين الجارية وغيرها، وبين كونها من أرض المسلمين أو من غيرهم، إلا أنّه قد ورد بخصوص الجارية المسروقة من أرض الصلح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غيرها ولو من أهلها، ولا من غير أهلها ولو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اشتراها ردّها على البائع إن كان حيّاً، واستعاد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أم لا بمقتضى إطلاق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البائع ولا وارث له سعت في ثمن رقبتها </w:t>
      </w:r>
      <w:r>
        <w:rPr>
          <w:rStyle w:val="FootnoteAnchor"/>
          <w:rtl w:val="true"/>
        </w:rPr>
        <w:footnoteReference w:id="2002"/>
      </w:r>
      <w:r>
        <w:rPr>
          <w:rFonts w:ascii="Amiri" w:hAnsi="Amiri" w:eastAsia="Amiri" w:cs="Amiri"/>
          <w:color w:val="111111"/>
          <w:sz w:val="28"/>
          <w:sz w:val="28"/>
          <w:szCs w:val="28"/>
          <w:rtl w:val="true"/>
          <w:lang w:bidi="ar-SA"/>
        </w:rPr>
        <w:t xml:space="preserve">، وأفتى بها الشيخ </w:t>
      </w:r>
      <w:r>
        <w:rPr>
          <w:rStyle w:val="FootnoteAnchor"/>
          <w:rtl w:val="true"/>
        </w:rPr>
        <w:footnoteReference w:id="2003"/>
      </w:r>
      <w:r>
        <w:rPr>
          <w:rFonts w:ascii="IRNazanin" w:hAnsi="IRNazanin" w:eastAsia="IRNazanin"/>
          <w:color w:val="111111"/>
          <w:sz w:val="28"/>
          <w:sz w:val="28"/>
          <w:szCs w:val="28"/>
          <w:rtl w:val="true"/>
          <w:lang w:bidi="fa-IR"/>
        </w:rPr>
        <w:t xml:space="preserve">وجمع من أصحابنا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مخالفة للقواعد من جهة الإرجاع للبائع، وهو ظلم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بأنّه ذويد و مخاطب بالرد فيرد إليه، مردود بأن يده إن لم تثبت كونها يد عدوان فلا يجوز الرد عليه، ولا الفسخ قهراً، وظاهر الرواية جوازه قهراً، على أنّه غير مفروض المسألة، وإن ثبت كونها يد عدوان فلا يجوز الردّ عليه، وكما أنّه مخاطب بالرد فكذلك المشتري مخاطب بالرد والجواب عليه امتثال خطابه لا خطاب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يحمل على أن الردّ عليه لمكان التقيّة،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أنّ استسعاءها ظلم أيضاً؛ لأنّ منافعها مملوكة للغير فلا يصح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بأن مال الحربي فيء للمسلمين، واحترامه بالصلح إنما كان عارضيّاً، فيجوز أن يجبر به ما كان احتراماً أصلياً، مردود بعدم الفرق بين الاحترامين، ومَنْ ظُلم لا يظلم، والظالم له غير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الحكم فيها بإرجاع الثمن من دون تفصيل بين العلم والجهل، وتلفه وعدمه، وهو لا نقول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الحكم فيها بالفرق بين موت البائع وعقبه وخلافه من دون فرق بين وارث لهم سواهم أو لا، وبقاء مال لهم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أنّها لا تخلو من ظهور في أنّ المشتري إذا لم يمكنه الرد على البائع وكان البائع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المشتري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ردّ، وتكون له عوض الثمن، على أنّها ليس فيها بيان حالها بعد الاستسعاء هل هو التحرير دفعةً أو التحرير شيئاً فشيئاً بتسليم شيءٍ فشيء ؟ وهل هو تحرير بنفسه أو بفعل الحاكم، أو أنّه يجري عليها بعد الاستسعاء حكم اللقطة أو تسلّم إلى الحاكم، أو غير ذلك ؟</w:t>
      </w:r>
    </w:p>
    <w:p>
      <w:pPr>
        <w:pStyle w:val="BookText"/>
        <w:rPr/>
      </w:pPr>
      <w:r>
        <w:rPr>
          <w:rFonts w:ascii="Amiri" w:hAnsi="Amiri" w:eastAsia="Amiri" w:cs="Amiri"/>
          <w:color w:val="111111"/>
          <w:sz w:val="28"/>
          <w:sz w:val="28"/>
          <w:szCs w:val="28"/>
          <w:rtl w:val="true"/>
          <w:lang w:bidi="ar-SA"/>
        </w:rPr>
        <w:t>وعلى كلّ حال فالرواية لا بد من اطراحها والرجوع إلى القواعد المحكمة، ولا يجوز الأخذ بها ولو مع الاقتصار على موضع مدلولها، إلا ما علم منه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رجع بها إلى القواعد كان للمشتري تسليمها للحاكم مع جهل صاحبها أو عدم إمكان الوصول إليه، وللحاكم التصدق بها مع نية الضمان من بيت المال أو مع عدمه أو مع نية الضمان عن دافعها في وجه، وله وضعها أمانة عنده أو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يمكن ردّها لأهلها، وإلا ردّها لأهلها، ومؤونة الرد على البائع أو المشتري، ومستقرّ على المشتري إذا لم يكن مغروراً، والنفقة على بيت المال إن قبضها لأهله، وعلى صاحبها من كسبها أو قرضاً عليه إن قبضها لصاحبها مع احتمال كونها على ذي العدوان إن قبضها لصاحبها أمانة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والمسروقة من أرض الحرب أو مما بين الحدين يتبع كلاً حكمه</w:t>
      </w:r>
      <w:r>
        <w:rPr>
          <w:rFonts w:eastAsia="Amiri" w:cs="Amiri" w:ascii="Amiri" w:hAnsi="Amiri"/>
          <w:color w:val="111111"/>
          <w:sz w:val="28"/>
          <w:szCs w:val="28"/>
          <w:rtl w:val="true"/>
          <w:lang w:bidi="ar-SA"/>
        </w:rPr>
        <w:t xml:space="preserve">. </w:t>
      </w:r>
      <w:bookmarkStart w:id="860" w:name="pg19000_245683"/>
    </w:p>
    <w:p>
      <w:pPr>
        <w:pStyle w:val="BookText"/>
        <w:rPr/>
      </w:pPr>
      <w:bookmarkEnd w:id="860"/>
      <w:r>
        <w:rPr>
          <w:rFonts w:ascii="Amiri" w:hAnsi="Amiri" w:eastAsia="Amiri" w:cs="Amiri"/>
          <w:color w:val="111111"/>
          <w:sz w:val="28"/>
          <w:sz w:val="28"/>
          <w:szCs w:val="28"/>
          <w:rtl w:val="true"/>
          <w:lang w:bidi="ar-SA"/>
        </w:rPr>
        <w:t>ولو اختلف البائع والمشتري في كونها مسروقةً من أرض الحرب أو الصلح، فالقول قول مدعي الصحّة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3372742_1280447820"/>
      <w:bookmarkStart w:id="862" w:name="_Toc317"/>
      <w:bookmarkEnd w:id="861"/>
      <w:r>
        <w:rPr>
          <w:rtl w:val="true"/>
        </w:rPr>
        <w:t>تاسع عشرها</w:t>
      </w:r>
      <w:r>
        <w:rPr>
          <w:rtl w:val="true"/>
        </w:rPr>
        <w:t xml:space="preserve">: </w:t>
      </w:r>
      <w:r>
        <w:rPr>
          <w:rtl w:val="true"/>
        </w:rPr>
        <w:t>عدم صحة بيع عبد من عبدين أو من عبيد</w:t>
      </w:r>
      <w:bookmarkEnd w:id="862"/>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عبد من عبدين أو من عبيد، وكذا غيره مما تساويا في الصفات والقيمة أو اختلفا لا على وجه الكلّيّة المنحصرة في تلك الأفراد المضمونة فيما بقي، ولا على وجه الكلية المشاعة فيها، ولا على وجه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الغرر عرفا في القيميات، ولظاهر فتوى المشهور، والإجماع المنقول </w:t>
      </w:r>
      <w:r>
        <w:rPr>
          <w:rStyle w:val="FootnoteAnchor"/>
          <w:rtl w:val="true"/>
        </w:rPr>
        <w:footnoteReference w:id="2005"/>
      </w:r>
      <w:r>
        <w:rPr>
          <w:rFonts w:ascii="Amiri" w:hAnsi="Amiri" w:eastAsia="Amiri" w:cs="Amiri"/>
          <w:color w:val="111111"/>
          <w:sz w:val="28"/>
          <w:sz w:val="28"/>
          <w:szCs w:val="28"/>
          <w:rtl w:val="true"/>
          <w:lang w:bidi="ar-SA"/>
        </w:rPr>
        <w:t>بل المحقق فيما لو أريد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جواز بيع عبد من عبدين معينين على وجه الكلية، وأنّه ادعى الإجماع على ذلك، واستدلّ بالرواية </w:t>
      </w:r>
      <w:r>
        <w:rPr>
          <w:rStyle w:val="FootnoteAnchor"/>
          <w:rtl w:val="true"/>
        </w:rPr>
        <w:footnoteReference w:id="2006"/>
      </w:r>
      <w:r>
        <w:rPr>
          <w:rFonts w:ascii="IRNazanin" w:hAnsi="IRNazanin" w:eastAsia="IRNazanin"/>
          <w:color w:val="111111"/>
          <w:sz w:val="28"/>
          <w:sz w:val="28"/>
          <w:szCs w:val="28"/>
          <w:rtl w:val="true"/>
          <w:lang w:bidi="fa-IR"/>
        </w:rPr>
        <w:t xml:space="preserve">،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2007"/>
      </w:r>
      <w:r>
        <w:rPr>
          <w:rFonts w:ascii="IRNazanin" w:hAnsi="IRNazanin" w:eastAsia="IRNazanin"/>
          <w:color w:val="111111"/>
          <w:sz w:val="28"/>
          <w:sz w:val="28"/>
          <w:szCs w:val="28"/>
          <w:rtl w:val="true"/>
          <w:lang w:bidi="fa-IR"/>
        </w:rPr>
        <w:t xml:space="preserve">و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ضعيف؛ لمعارضة الإجماع بمثله، وبفتوى الأصحاب على خلافه حتّى أنّه خالفه بنفسه في مقام آخر </w:t>
      </w:r>
      <w:r>
        <w:rPr>
          <w:rStyle w:val="FootnoteAnchor"/>
          <w:rtl w:val="true"/>
        </w:rPr>
        <w:footnoteReference w:id="2009"/>
      </w:r>
      <w:r>
        <w:rPr>
          <w:rFonts w:ascii="Amiri" w:hAnsi="Amiri" w:eastAsia="Amiri" w:cs="Amiri"/>
          <w:color w:val="111111"/>
          <w:sz w:val="28"/>
          <w:sz w:val="28"/>
          <w:szCs w:val="28"/>
          <w:rtl w:val="true"/>
          <w:lang w:bidi="ar-SA"/>
        </w:rPr>
        <w:t xml:space="preserve">، ولضعف الرواية؛ لأنّ الظاهر أنّها الآتية إن شاء اللّه تعالى، على أن موردها غير محلّ المسألة، ولضعف العموم أوّلاً، وتخصيصه بأدلة الغرراً </w:t>
      </w:r>
      <w:r>
        <w:rPr>
          <w:rStyle w:val="FootnoteAnchor"/>
          <w:rtl w:val="true"/>
        </w:rPr>
        <w:footnoteReference w:id="2010"/>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رجل رجلاً عبداً كلياً موصوفاً بالذمة فدفع إليه عبدين على أن يكون وفاؤه فيهما، لم يصح على الأظهر؛ لمكان الغرر، وشموله لجميع المعاوضات، سواء نوى بوفائه الأحد المبهم أو الكلّي المشاع أو المضمون، وصحة دفع الكلّي في المثليات وفاء لا تستلزم صحته في القيميات؛ لحصول الفرق بينهما عرفاً ولو تساوت القيميات في الصفات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دفع العبدين له ليتخيّر منهما واحداً مطابقاً لذلك الكلي، كانا في يد المدفوع إليه أمانةً مضمونة، كضمان المقبوض بالسوم، كما هو الأشهر؛ لعموم على اليد ما أخذت </w:t>
      </w:r>
      <w:r>
        <w:rPr>
          <w:rStyle w:val="FootnoteAnchor"/>
          <w:rtl w:val="true"/>
        </w:rPr>
        <w:footnoteReference w:id="2011"/>
      </w:r>
      <w:r>
        <w:rPr>
          <w:rFonts w:ascii="IRNazanin" w:hAnsi="IRNazanin" w:eastAsia="IRNazanin"/>
          <w:color w:val="111111"/>
          <w:sz w:val="28"/>
          <w:sz w:val="28"/>
          <w:szCs w:val="28"/>
          <w:rtl w:val="true"/>
          <w:lang w:bidi="fa-IR"/>
        </w:rPr>
        <w:t>ولإقدامه على أوّله إلى الضمان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والقول بعدم الضمان هنا وإن قلنا به في المقبوض بالسوم؛ لأن المقبوض بالسوم مبيع بالقوة أو مجازاً لما يؤول إليه، وصحيح المبيع و فاسده مضمون به، بخلافه هنا؛ لأنّ المقبوض به محض استيفاء حقّ، والبيع سابق عليه، مردود بأنّ المبيع هنا أمر كلّيّ، وكلّ فردٍ من المقبوض صالح لكونه فرداً له، والكلّي منصب على فرده، فالمقبوض حينئذٍ إما بيع بالقوة أو مجازاً لما يؤول إليه، بل هو أقوى من المقبوض بالسوم؛ لأنّ دفعهما له حصر لحقه فيهما، فيكون بمنزلة المبيع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فإن تلف أحدهما أو أبق وكان مطابقاً للكلّي وقع الاستيفاء قهراً؛ لمكان التهاتر، ورد الآخر، وإن لم يكن التالف مطابقاً وكان الباقي مطابقاً أخذ الباقي وضمن التالف، ولو كانا معاً مطابقين وقع التالف وفاءً قهراً وردّ الآخر، ولو كانا معاً غير مطابقين ضمن التالف ورد الباقي وطالب بحقه، إلا أن يرضى به مخالفاً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لزوم التهاتر القهري، فيبقى على خياره بين التالف والباقي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فما عن الطوسي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المشتري عبداً إذا دفع له البائع عبدين ليتخيّر أحدهما فأبق واحد منهما من يده من دون تفريط ردّ الذي عنده ويرتجع بنصف الثمن من البائع ويأخذ في الفحص عن الآبق، فإن وجده ردّ نصف الثمن وتخيّر بينهما، وإن لا يجده كان العبد الموجود بينهما نصفين </w:t>
      </w:r>
      <w:r>
        <w:rPr>
          <w:rStyle w:val="FootnoteAnchor"/>
          <w:rtl w:val="true"/>
        </w:rPr>
        <w:footnoteReference w:id="2012"/>
      </w:r>
      <w:r>
        <w:rPr>
          <w:rFonts w:ascii="Amiri" w:hAnsi="Amiri" w:eastAsia="Amiri" w:cs="Amiri"/>
          <w:color w:val="111111"/>
          <w:sz w:val="28"/>
          <w:sz w:val="28"/>
          <w:szCs w:val="28"/>
          <w:rtl w:val="true"/>
          <w:lang w:bidi="ar-SA"/>
        </w:rPr>
        <w:t xml:space="preserve">لرواية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لضعف الرواية سنداً، وشذوذها، ومخالفتها لأصول المذهب من لزوم ردّ الموجود بقول مطلق، ومن لزوم ردّ نصف الثمن مع أنّ البيع وقع صحيحاً، ومن عدم ضمان التالف، و من صيرورة الموجود بينهما نصفين إذا لم يحصل التالف مع إمكان كون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فله أخذه، وإمكان إبقاء الثمن إلى أن يأخذ المبيع المطابق؛ لعدم مطابقتهما، ومنع عدم ضمان التالف؛ لما قدمناه، وامتناع صيرورة الموجود نصفين لعدم إمكان تنزيل الدفع على الإشاعة كما قدمنا، فالأولى طرح الرواية والرجوع للقواعد دون تنزيلها على الوجوه التي لا نقول بها، أو البعيدة جدّاً</w:t>
      </w:r>
      <w:r>
        <w:rPr>
          <w:rFonts w:eastAsia="Amiri" w:cs="Amiri" w:ascii="Amiri" w:hAnsi="Amiri"/>
          <w:color w:val="111111"/>
          <w:sz w:val="28"/>
          <w:szCs w:val="28"/>
          <w:rtl w:val="true"/>
          <w:lang w:bidi="ar-SA"/>
        </w:rPr>
        <w:t xml:space="preserve">. </w:t>
      </w:r>
      <w:bookmarkStart w:id="863" w:name="pg19000_245685"/>
    </w:p>
    <w:p>
      <w:pPr>
        <w:pStyle w:val="Heading4"/>
        <w:numPr>
          <w:ilvl w:val="3"/>
          <w:numId w:val="1"/>
        </w:numPr>
        <w:rPr/>
      </w:pPr>
      <w:bookmarkStart w:id="864" w:name="__RefHeading___Toc13372744_1280447820"/>
      <w:bookmarkStart w:id="865" w:name="_Toc318"/>
      <w:bookmarkEnd w:id="863"/>
      <w:bookmarkEnd w:id="864"/>
      <w:r>
        <w:rPr>
          <w:rtl w:val="true"/>
        </w:rPr>
        <w:t>العشرون</w:t>
      </w:r>
      <w:r>
        <w:rPr>
          <w:rtl w:val="true"/>
        </w:rPr>
        <w:t xml:space="preserve">: </w:t>
      </w:r>
      <w:r>
        <w:rPr>
          <w:rtl w:val="true"/>
        </w:rPr>
        <w:t>حكم ما إذا وطئ أحد الشركاء في الأمةِ الأمةَ</w:t>
      </w:r>
      <w:bookmarkEnd w:id="865"/>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وطئ أحد الشركاء في الأمة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أو دبراً مع إدخال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حراماً إذا كان من دون إذن، وعُزّر لتقصيره بالسؤال إن كان من المقصرين، وسقط عنه الحد إن كان الوطء لشبهةٍ ؛ للإجماع، ولدرء الحدود بالشبهات، وإن كان مع انتفاء الشبهة سقط عنه الحد على قدر نصيبه وعلى قدر نصيب مَنْ لا يُحدّ بوطء ملكه كجارية الولد لو كان الولد شریکه؛ لأنّه بالنسبة إلى نصيب نفسه لا يصدق عليه الزنى ولا هتك الحرمة، ويصدق عليه معنى الشبهة في الجملة، ولأنّ الظاهر من استقراء الموارد تبعض الأحكام بتبعض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والعمدة في ذلك فتوى المشهور نقلاً </w:t>
      </w:r>
      <w:r>
        <w:rPr>
          <w:rStyle w:val="FootnoteAnchor"/>
          <w:rtl w:val="true"/>
        </w:rPr>
        <w:footnoteReference w:id="2014"/>
      </w:r>
      <w:r>
        <w:rPr>
          <w:rFonts w:ascii="Amiri" w:hAnsi="Amiri" w:eastAsia="Amiri" w:cs="Amiri"/>
          <w:color w:val="111111"/>
          <w:sz w:val="28"/>
          <w:sz w:val="28"/>
          <w:szCs w:val="28"/>
          <w:rtl w:val="true"/>
          <w:lang w:bidi="ar-SA"/>
        </w:rPr>
        <w:t xml:space="preserve">وتحصيلاً، والإجماع المنقول </w:t>
      </w:r>
      <w:r>
        <w:rPr>
          <w:rStyle w:val="FootnoteAnchor"/>
          <w:rtl w:val="true"/>
        </w:rPr>
        <w:footnoteReference w:id="2015"/>
      </w:r>
      <w:r>
        <w:rPr>
          <w:rFonts w:ascii="Amiri" w:hAnsi="Amiri" w:eastAsia="Amiri" w:cs="Amiri"/>
          <w:color w:val="111111"/>
          <w:sz w:val="28"/>
          <w:sz w:val="28"/>
          <w:szCs w:val="28"/>
          <w:rtl w:val="true"/>
          <w:lang w:bidi="ar-SA"/>
        </w:rPr>
        <w:t>، والأخبار المعتبرة المنجبرة بما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يدرأ عنه الحد بقدر حصته منها ويضرب ما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المشتركة نكحها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نصف الحد ويغرم نصف القيمة إذا أحبل</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 مثله </w:t>
      </w:r>
      <w:r>
        <w:rPr>
          <w:rStyle w:val="FootnoteAnchor"/>
          <w:rtl w:val="true"/>
        </w:rPr>
        <w:footnoteReference w:id="201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يسقط عنه الحدّ بالنسبة إلى حصة غيره ؛ لحصول معنى الزنى فينبغي له تمام الحدّ خرج نصيبه فيبقى الباقي، وللإجماع المنقول </w:t>
      </w:r>
      <w:r>
        <w:rPr>
          <w:rStyle w:val="FootnoteAnchor"/>
          <w:rtl w:val="true"/>
        </w:rPr>
        <w:footnoteReference w:id="2019"/>
      </w:r>
      <w:r>
        <w:rPr>
          <w:rFonts w:ascii="Amiri" w:hAnsi="Amiri" w:eastAsia="Amiri" w:cs="Amiri"/>
          <w:color w:val="111111"/>
          <w:sz w:val="28"/>
          <w:sz w:val="28"/>
          <w:szCs w:val="28"/>
          <w:rtl w:val="true"/>
          <w:lang w:bidi="ar-SA"/>
        </w:rPr>
        <w:t xml:space="preserve">، والشهرة المحصلة، والأخبار المتكثرة المعتبرة والمنجبرة، وقد تقدَّم </w:t>
      </w:r>
      <w:r>
        <w:rPr>
          <w:rStyle w:val="FootnoteAnchor"/>
          <w:rtl w:val="true"/>
        </w:rPr>
        <w:footnoteReference w:id="2020"/>
      </w:r>
      <w:r>
        <w:rPr>
          <w:rFonts w:ascii="Amiri" w:hAnsi="Amiri" w:eastAsia="Amiri" w:cs="Amiri"/>
          <w:color w:val="111111"/>
          <w:sz w:val="28"/>
          <w:sz w:val="28"/>
          <w:szCs w:val="28"/>
          <w:rtl w:val="true"/>
          <w:lang w:bidi="ar-SA"/>
        </w:rPr>
        <w:t>جملة منها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التقسيط مع عدم الاحتياج إلى تبعيض الجلدة الواحدة لا كلام فيه، ومع الاحتياج أُخذ من من السوط بقدر ما له، وضُرب بالباقي ؛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الجلدة وثلثها،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بنصف السوط وثلثي السوط</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كون التقسيط على قدر قوّة الضرب أو ضعفه، أو على دقته وغلظه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زيادة حصة على شريكه فلا يبعد سقوط الحدّ عنه بقدرها وإن كذبه الشريك؛ لمكان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هنا الجلد دون الرجم والقتل؛ لعدم إمكان تبعضهما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أحبلها الشريك قومت عليه حصص الشركاء وأخذت منه خاصةً إن ثبت كون الإحبال منه أو أقر به؛ لصيرورتها بالجزء المملوك له أُمّ ولده، لا من أولاد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كفاية العدلين في التقويم، وفي العدل الواحد وجه، كما أن قبول غير العدلين من أهل الخبرة إذا كانا مأمونين وجه لا يبعد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وتقوم بنفس الإحبال، لا بالوطء كما ذهب إليه بعضُ الأصحاب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والإجماع المنقول </w:t>
      </w:r>
      <w:r>
        <w:rPr>
          <w:rStyle w:val="FootnoteAnchor"/>
          <w:rtl w:val="true"/>
        </w:rPr>
        <w:footnoteReference w:id="2023"/>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والمحصّل </w:t>
      </w:r>
      <w:r>
        <w:rPr>
          <w:rStyle w:val="FootnoteAnchor"/>
          <w:rtl w:val="true"/>
        </w:rPr>
        <w:footnoteReference w:id="2024"/>
      </w:r>
      <w:r>
        <w:rPr>
          <w:rFonts w:ascii="Amiri" w:hAnsi="Amiri" w:eastAsia="Amiri" w:cs="Amiri"/>
          <w:color w:val="111111"/>
          <w:sz w:val="28"/>
          <w:sz w:val="28"/>
          <w:szCs w:val="28"/>
          <w:rtl w:val="true"/>
          <w:lang w:bidi="ar-SA"/>
        </w:rPr>
        <w:t xml:space="preserve">، والمخالف مسبوق ملحوق به، ولأن الوطء لا إتلاف فيه ولا إشراف على التلف، ومجرّد الاحتمال لا اعتبار به ولبعض الأخبار المنجبرة بما قدمنا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ويغرم نصف القيمة إذا أحبل</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وفي أُخرى معللاً لتغريمه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قد أفسد على شركائه</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ولا يكون الفساد إلا بالإحبال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استند إليه القائل بالتقويم بنفس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في الجارية المشتركة فوطئها مَنْ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الأمة عليه بقيمة ويلزمها فإن كانت القيمة أقل من الثمن الذي اشتريت به الجارية ألزم ثمنها الأوَّل، وإن كانت قيمتها في ذلك اليوم الذي قدّمت فيه أكثر من ثمنها الزم ذلك الثمن وهو صاغر، لأنّه استفرشها</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وطأ جاريةٌ من الفيء قبل أن يقسم،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الجارية وتدفع إليه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وطأها ولا يؤمن أن يكون ثُمَّ حبل</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 يقاوم ما قدمناه والروايتان محمولتان على إرادة الاستعداد للتقويم وإعطاء القيمة؛ </w:t>
      </w:r>
    </w:p>
    <w:p>
      <w:pPr>
        <w:pStyle w:val="BookText"/>
        <w:rPr/>
      </w:pPr>
      <w:r>
        <w:rPr>
          <w:rFonts w:ascii="Amiri" w:hAnsi="Amiri" w:eastAsia="Amiri" w:cs="Amiri"/>
          <w:color w:val="111111"/>
          <w:sz w:val="28"/>
          <w:sz w:val="28"/>
          <w:szCs w:val="28"/>
          <w:rtl w:val="true"/>
          <w:lang w:bidi="ar-SA"/>
        </w:rPr>
        <w:t>لأن الوطء غالباً مظنّة للحبل، فيكون الأمر به للإرشاد، فإن تبيّن الحبل استقر ذلك، ووقع الدفع للقيمة وأخذها، وإلا بطل ذلك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هذين الخبرين على ذلك أولى من حمل الأخبار المتقدّمة على إرادة الوطء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للسبب باسم المسبب؛ لقوة تلك الأخبار بما ذكرناه، فيبعد عنها التجوّز والصارف، بخلاف هذه؛ لاحتياجها إلى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منه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على إرادة الحمل مجازاً؛ لبغد الأوّل بما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شراءها دون الرجل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 وليس له أن يشتريها حتّى يستبرئها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عدم إرادة الحمل من لفظ الاستفراش، وبعد الثاني بما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يؤمن أن يكون ثَمَّ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عدم تحققه، فإشعاره بما حملناه عليه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تقوم حاملاً مطلقاً، أو بحر، أو حائلاً، أو الأعلى منهما ؟ وجوه، أوجهها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الظاهر أن الاعتبار في وقت التقويم هو زمن الإحبال؛ لأنّه سبب الإتلاف، دون زمان الوطء، أو زمن التقويم، أو الأكثر منهما، أو أعلى القيم من حين الحمل إلى حين التقويم، أو أعلاها من زمن الحمل إلى زمن الانتقال بدفع القيمة، أو قيمة زمن نفس الانتقال، أو الأعلى من زمن التقويم إلى زمن الانتقال، أو الأعلى من زمن الوطء إلى زمن الحمل، أو الأعلى من زمن الوطء إلى زمن التقويم، أو الأعلى من زمن الوطء إلى زمن الانتقال، أو الأعلى من زمن الانعقاد إلى حين الولادة، أو ما يختاره المظلوم من الشريكين، أو الأعلى من الثمن المدفوع عند شرائها وقيمتها يوم الوطء كما دلّ عليه الخبر </w:t>
      </w:r>
      <w:r>
        <w:rPr>
          <w:rStyle w:val="FootnoteAnchor"/>
          <w:rtl w:val="true"/>
        </w:rPr>
        <w:footnoteReference w:id="2029"/>
      </w:r>
      <w:r>
        <w:rPr>
          <w:rFonts w:ascii="Amiri" w:hAnsi="Amiri" w:eastAsia="Amiri" w:cs="Amiri"/>
          <w:color w:val="111111"/>
          <w:sz w:val="28"/>
          <w:sz w:val="28"/>
          <w:szCs w:val="28"/>
          <w:rtl w:val="true"/>
          <w:lang w:bidi="ar-SA"/>
        </w:rPr>
        <w:t>، وجوه، أوجهها بالقواعد الأوَّل، ثمّ من بعده اعتبار زمن التقويم والمدلول عليه بالأخبار هو الأخير، وهو محمول على أن الوطء إذا تعقبه حمل انكشف أنّه سبب الإتلاف من يومه، ويكون دفع ما زاد من ثمنها محمولاً على الندب لا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من الوجوه الباقية مدرك عند التأمل، إلا أنّه ضعيف</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الواطئ العُشر ونصف العُشر؛ لأصالة عدم التداخل، ولأنّه عوض المهر أو هو المهر فلا يسقط، وخلوّ الأخبار عن بيانه ليس بياناً لعدمه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يسقط عنه بقدر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بسقوط العقر مطلقاً، أو عقر الثيب، لخلق الأخبار الخاصة عنه، كالقول بلزوم مهر المثل،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الواطئ أرش البكارة لو كانت للأصل، مع احتمال دخوله بالعقر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في ملك الواطئ بمجرد الوطء كما هو ظاهر الأصحاب، ولا بالحمل؛ للأصل، فنماؤها ومنافعها على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يملكها بعد التقويم ودفع القيمة أو ضمانها مع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الولد قبل ذلك أو مات، عادت للشركاء؛ للأصل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يفتقر التقويم إلى لفظ خاص، بل ما يدلّ عليه، ويكفي فيه المعاطاة على الأظهر، ويمكن كونه كاستحقاق العوض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التقويم عليه لا بد منه في حال حياته وموته، إلا أنّه ليس فورياً، ولكن لا يسوغ به الإهمال الباعث على التعطيل، ومتى طلبه أحدهما أجابه الآخر، ولو امتنع أحد الطرفين منه جبره الحاكم، فإن لم يتمكن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تجري عليه أحكام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فيه أحكام الغين والعيب، فيجوز له أخذ الأرش وعوض النقصان، وفي جواز الردّ إشكال من جهة صيرورتها أُمَّ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الإحبال من شريك كافر وهي مسلمة أو أسلمت بعد الإحبال، جرى عليها ما تقدَّم في حكم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الشريكان في الإحبال، قومت عليهما واشتركا في الغرامة، مع احتمال استخراج الأب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وطئها قبل الشركة فحملت ثم صار شريكاً لم تقوم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فسخها بعد الوطء بخيار، قوم عليه جميع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فساد شركته، لم تقوم عليه، وكان عليه الغرامات الثابتة على من وطأ أمة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فرق بين الوطء قبلاً أو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الإنزال أو عدمه بعد تحقق الوطء شرعاً الذي هو 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بتقويمها بمجرد الوطء</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العلم بكون الموطوءة أمةً والواطئ ذكراً على هذا القول، بخلاف الأُنثى؛ لاحتمال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وطأ بعد بعد نقل الحصة إلى الشريك بعقد جائز أو مع اشتراط الخيار، ففي كونه فسخاً فتجري عليه الأحكام المتقدّمة، أم لا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حرم عليه وطؤها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وطأ أُمها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عنه بعض الأحكام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لزوم العقر بين علمها بالتحريم وجهلها، وبين مطاوعتها وعدمه على الأظهر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يتكرّر العقر بتكرّر الوطء مطلقاً، أو لا يتكرّر مطلقاً، أو يتكرر مع تكرّر الشبهة دون ما عداه ؟ وجوه،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البكارة عبارة عن الغشاوة، أو عن عدم سبق وطء 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الواطئ صغيراً والموطوءة كذلك، لم تقوم بالوطء على القول بتقويمها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وينعقد الولد حُرّاً ولو كان الواطئ زانياً عالماً؛ لظاهر النصوص المتقدّمة </w:t>
      </w:r>
      <w:r>
        <w:rPr>
          <w:rStyle w:val="FootnoteAnchor"/>
          <w:rtl w:val="true"/>
        </w:rPr>
        <w:footnoteReference w:id="2030"/>
      </w:r>
      <w:r>
        <w:rPr>
          <w:rFonts w:ascii="Amiri" w:hAnsi="Amiri" w:eastAsia="Amiri" w:cs="Amiri"/>
          <w:color w:val="111111"/>
          <w:sz w:val="28"/>
          <w:sz w:val="28"/>
          <w:szCs w:val="28"/>
          <w:rtl w:val="true"/>
          <w:lang w:bidi="ar-SA"/>
        </w:rPr>
        <w:t xml:space="preserve">الآمرة بالتقويم لمكان الحمل الصريحة في كونه عن زنى؛ لمكان الأمر فيها بالحد اللازم له، ولولا أنّه حُرٌّ لما حصل بحمله استيلاد موجب للفساد باعث على التقويم وكأنه لملك بعضها الموجب لحصول الفراش لم يجر على الولد حكم ولد الزنى وللإجماع المنقول </w:t>
      </w:r>
      <w:r>
        <w:rPr>
          <w:rStyle w:val="FootnoteAnchor"/>
          <w:rtl w:val="true"/>
        </w:rPr>
        <w:footnoteReference w:id="2031"/>
      </w:r>
      <w:r>
        <w:rPr>
          <w:rFonts w:ascii="Amiri" w:hAnsi="Amiri" w:eastAsia="Amiri" w:cs="Amiri"/>
          <w:color w:val="111111"/>
          <w:sz w:val="28"/>
          <w:sz w:val="28"/>
          <w:szCs w:val="28"/>
          <w:rtl w:val="true"/>
          <w:lang w:bidi="ar-SA"/>
        </w:rPr>
        <w:t>، ولأصالة الحرّية عند اشتباه الحال والثمرة ظاهرة بين الحكم بحُرّيّته والحكم برقينه، وبين الحكم بحريته عند الانعقاد والحكم بحريته بعد التقويم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أبيه قيمة حصة الشريك منه يوم الولادة؛ للإجماع المنقول </w:t>
      </w:r>
      <w:r>
        <w:rPr>
          <w:rStyle w:val="FootnoteAnchor"/>
          <w:rtl w:val="true"/>
        </w:rPr>
        <w:footnoteReference w:id="2032"/>
      </w:r>
      <w:r>
        <w:rPr>
          <w:rFonts w:ascii="Amiri" w:hAnsi="Amiri" w:eastAsia="Amiri" w:cs="Amiri"/>
          <w:color w:val="111111"/>
          <w:sz w:val="28"/>
          <w:sz w:val="28"/>
          <w:szCs w:val="28"/>
          <w:rtl w:val="true"/>
          <w:lang w:bidi="ar-SA"/>
        </w:rPr>
        <w:t>، ولتوفيه حق الشركاء من النماء، ولظاهر الأخبار المعتبرة الواردة في وطء الشركاء للأمة المشتركة مع تداعيهم الولد،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رجلان أو ثلاثة جاريةً في طهر واحد فولدت وادعوه جميعاً أقرع الوالي بينهم، فمن خرج كان الولد ولده، ويردّ قيمة الولد على صاحب الجارية</w:t>
      </w:r>
      <w:r>
        <w:rPr>
          <w:rFonts w:eastAsia="Amiri" w:cs="Amiri" w:ascii="Amiri" w:hAnsi="Amiri"/>
          <w:color w:val="111111"/>
          <w:sz w:val="28"/>
          <w:szCs w:val="28"/>
          <w:rtl w:val="true"/>
          <w:lang w:bidi="ar-SA"/>
        </w:rPr>
        <w:t xml:space="preserve">» </w:t>
      </w:r>
      <w:r>
        <w:rPr>
          <w:rStyle w:val="FootnoteAnchor"/>
          <w:rtl w:val="true"/>
        </w:rPr>
        <w:footnoteReference w:id="2033"/>
      </w:r>
      <w:r>
        <w:rPr>
          <w:rFonts w:ascii="IRNazanin" w:hAnsi="IRNazanin" w:eastAsia="IRNazanin"/>
          <w:color w:val="111111"/>
          <w:sz w:val="28"/>
          <w:sz w:val="28"/>
          <w:szCs w:val="28"/>
          <w:rtl w:val="true"/>
          <w:lang w:bidi="fa-IR"/>
        </w:rPr>
        <w:t>و نحوه آخر</w:t>
      </w:r>
      <w:r>
        <w:rPr>
          <w:rStyle w:val="FootnoteAnchor"/>
          <w:rtl w:val="true"/>
        </w:rPr>
        <w:footnoteReference w:id="2034"/>
      </w:r>
      <w:r>
        <w:rPr>
          <w:rFonts w:ascii="Amiri" w:hAnsi="Amiri" w:eastAsia="Amiri" w:cs="Amiri"/>
          <w:color w:val="111111"/>
          <w:sz w:val="28"/>
          <w:sz w:val="28"/>
          <w:szCs w:val="28"/>
          <w:rtl w:val="true"/>
          <w:lang w:bidi="ar-SA"/>
        </w:rPr>
        <w:t>، ونحوه غيرهما</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bookmarkStart w:id="866" w:name="pg19000_245690"/>
    </w:p>
    <w:p>
      <w:pPr>
        <w:pStyle w:val="BookText"/>
        <w:rPr/>
      </w:pPr>
      <w:bookmarkEnd w:id="866"/>
      <w:r>
        <w:rPr>
          <w:rFonts w:ascii="Amiri" w:hAnsi="Amiri" w:eastAsia="Amiri" w:cs="Amiri"/>
          <w:color w:val="111111"/>
          <w:sz w:val="28"/>
          <w:sz w:val="28"/>
          <w:szCs w:val="28"/>
          <w:rtl w:val="true"/>
          <w:lang w:bidi="ar-SA"/>
        </w:rPr>
        <w:t>ولو ولدت متعدّداً، قوم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الحال من ذكورةٍ وأنوثةٍ يُقوّم على ما هو عليه من الصفات زيادة ونقصاً، والمجهول كالخنثى يقوم بما عليه من صورته، ويحتمل تقويمه أنثى؛ للاحتياط، لزيادة قيمتها، وذكراً؛ للأصل، ويحتمل أخذ نصف القيمتين، ويحتمل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اختلاف المقومين يؤخذ بالراجح، ويحتمل القرعة، ويحتمل الأكثر؛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ميتاً فرض حيّاً وقوم، وكذا لو خرج مريضاً أو معيباً قوم صحيحاً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خرج ميتاً لا قيمة له فلا يفوت على المالك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اعتبار أعلى القيم من حين الحمل إلى حين الولادة، أو إلى حين التقويم، ولو تراضيا على التقويم حال الحمل، سقط اعتبار يوم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قومت حاملاً على الشريك، دخل في تقويمها قيمة الولد على ما ذكره بعض الأصحاب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من نظر؛ لحصول الاختلاف في ذلك، إلا أن تقوم حاملاً مع الحمل وصفة الحاملية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3372746_1280447820"/>
      <w:bookmarkStart w:id="868" w:name="_Toc319"/>
      <w:bookmarkEnd w:id="867"/>
      <w:r>
        <w:rPr>
          <w:rtl w:val="true"/>
        </w:rPr>
        <w:t>الواحد والعشرون</w:t>
      </w:r>
      <w:r>
        <w:rPr>
          <w:rtl w:val="true"/>
        </w:rPr>
        <w:t xml:space="preserve">: </w:t>
      </w:r>
      <w:r>
        <w:rPr>
          <w:rtl w:val="true"/>
        </w:rPr>
        <w:t>حكم ما إذا اشترى كلّ من العبدين المأذون لهما بالتصرف صاحبه من مولاه لنفسه</w:t>
      </w:r>
      <w:bookmarkEnd w:id="868"/>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تقضي به القواعد فيما لو اشترى كلّ من العبدين المأذون لهما بالتصرف صاحبَه من مولاه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العبد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شراءهما إن وقع دفعةً قطعاً بطل ؛ لامتناع كون الواحد مالكاً للآخر ومملوكاً له، وإن علم سبق أحدهما بتقدم قبوله على قبول الآخر حُكم للسابق، وإن عُلم السبق واللحوق وشك في تعيين السابق استخرج بالقرعة، أو يرجع إلى تقديم معلوم التأريخ، وإن شُكٍّ في السبق والتقارن احتمل الحكم بالتقارن والبطلان، واحتمل القرعة، واحتمل الرجوع إلى تقديم معلوم التأريخ إن علم تأريخ أحدهما، وإلا فالتقارن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اشترى كلّ واحدٍ منهما الآخر لمولاه وكانا مأذونين على جهة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أو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كلّ من العقدين، ومَلَك كلّ من الموليين عبد الآخر</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اشترى كلّ واحدٍ صاحبه وكانا مأذونين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جهة الوكالة، بل على جهة الإذن </w:t>
      </w:r>
    </w:p>
    <w:p>
      <w:pPr>
        <w:pStyle w:val="BookText"/>
        <w:rPr/>
      </w:pPr>
      <w:r>
        <w:rPr>
          <w:rFonts w:ascii="Amiri" w:hAnsi="Amiri" w:eastAsia="Amiri" w:cs="Amiri"/>
          <w:color w:val="111111"/>
          <w:sz w:val="28"/>
          <w:sz w:val="28"/>
          <w:szCs w:val="28"/>
          <w:rtl w:val="true"/>
          <w:lang w:bidi="ar-SA"/>
        </w:rPr>
        <w:t xml:space="preserve">بالتصرّف التابعة للملك كما هو مفهوم منها عرفاً بالنسبة إلى المماليك، أو صرّح بها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كلّ من العقدين أيضاً إن تعقبتهما الإجازة من المالكين، والأصح ما علم سبقه وبطل اللاحق ولو بمجرد تأخر قبوله، وإن اقترنا احتمل بطلانهما معاً إلا مع إجازتهما أو إجازة أحدهما، واحتمل صحتهما؛ لبقاء الإذن لكل منهما إلى تمام العقد، والعقد بعد تمامه يؤثر أثره، فارتفاع الإذن يقارن الملك، وإن شُكّ في السابق واللاحق مع العلم بسبق أحدهما فالقرعة، واحتمال الرجوع إلى تقديم معلوم التأريخ ضعيف، وإن شك في السبق واللحوق والاقتران احتمل الحكم بالاقتران واحتمل الحكم بالقرعة، واحتمل الحكم بالرجوع إلى تقديم معلوم التأريخ،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بالشراء كلّ ناقل للعين، أو فاك للملك كالعتق؛ لزوال الإذن بحدوثه، دون ناقل المنفعة كالإجارة ونحوها؛ فإنّ كلّاً من العقدين يحكم بصحته بالنسبة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أنّه عند اشتباه السبق واللحوق أو اشتباه السابق يمسح الطريق بينهما ويُحكم بالسبق للأقرب طريقاً </w:t>
      </w:r>
      <w:r>
        <w:rPr>
          <w:rStyle w:val="FootnoteAnchor"/>
          <w:rtl w:val="true"/>
        </w:rPr>
        <w:footnoteReference w:id="2038"/>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مأذونين عدا كلّ منهما فاشترى الآخر من مولاه فتداعيا، فقال كلّ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قد اشتريتك من سيدك،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بينهما من حيث افترقا بذرع الطريق فأيهما كان أقرب فهو الذي سبق الذي هو أبعد، وإن كانا سواءً فهما ردا على مولاهما</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لضعف الخبر سنداً، ومخالفته لفتوى المشهور والقواعد المحكمة، فليحمل على ما إذا كان قرب المكان والمسافة ممّا يفيد قطعاً أو ظنّاً بالسبق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الرجوع إلى القرعة حتّى مع العلم بالاقتران </w:t>
      </w:r>
      <w:r>
        <w:rPr>
          <w:rStyle w:val="FootnoteAnchor"/>
          <w:rtl w:val="true"/>
        </w:rPr>
        <w:footnoteReference w:id="2040"/>
      </w:r>
      <w:r>
        <w:rPr>
          <w:rFonts w:ascii="Amiri" w:hAnsi="Amiri" w:eastAsia="Amiri" w:cs="Amiri"/>
          <w:color w:val="111111"/>
          <w:sz w:val="28"/>
          <w:sz w:val="28"/>
          <w:szCs w:val="28"/>
          <w:rtl w:val="true"/>
          <w:lang w:bidi="ar-SA"/>
        </w:rPr>
        <w:t>، استناداً لمرسلة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المسافة سواء أقرع بينهما</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لضعف الرواية سنداً، ومخالفتها للقواعد وفتوى المشهور، فلتحمل على صورة ما لم يعلم من استواء المسافة تساويهما، على أنّ المتيقن من مشروعية القرعة هو ما يستكشف بها المشتبه واقعاً</w:t>
      </w:r>
      <w:r>
        <w:rPr>
          <w:rFonts w:eastAsia="Amiri" w:cs="Amiri" w:ascii="Amiri" w:hAnsi="Amiri"/>
          <w:color w:val="111111"/>
          <w:sz w:val="28"/>
          <w:szCs w:val="28"/>
          <w:rtl w:val="true"/>
          <w:lang w:bidi="ar-SA"/>
        </w:rPr>
        <w:t xml:space="preserve">. </w:t>
      </w:r>
      <w:bookmarkStart w:id="869" w:name="pg19000_245692"/>
    </w:p>
    <w:p>
      <w:pPr>
        <w:pStyle w:val="BookText"/>
        <w:rPr/>
      </w:pPr>
      <w:bookmarkEnd w:id="869"/>
      <w:r>
        <w:rPr>
          <w:rFonts w:ascii="Amiri" w:hAnsi="Amiri" w:eastAsia="Amiri" w:cs="Amiri"/>
          <w:color w:val="111111"/>
          <w:sz w:val="28"/>
          <w:sz w:val="28"/>
          <w:szCs w:val="28"/>
          <w:rtl w:val="true"/>
          <w:lang w:bidi="ar-SA"/>
        </w:rPr>
        <w:t>وما يقال من جواز ترجيح أحدهما بنظر الشارع فالقرعة لاستخراجه، لا وجه له؛ لأنّ التكليف منوط بأسبابه الشرعيَّة الظاهرية الدالّ عليها الدليل الشرعي عموماً وخصوصاً، وليست القرعة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للقرعة طرقاً متعددة مذكورة في مظانّها، ويجوز هنا مع اشتباه السابق أن يستخرج برقعتين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كتب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بالوقوف معه أو البطلان</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3372748_1280447820"/>
      <w:bookmarkStart w:id="871" w:name="_Toc320"/>
      <w:bookmarkEnd w:id="870"/>
      <w:r>
        <w:rPr>
          <w:rtl w:val="true"/>
        </w:rPr>
        <w:t>الثاني والعشرون</w:t>
      </w:r>
      <w:r>
        <w:rPr>
          <w:rtl w:val="true"/>
        </w:rPr>
        <w:t xml:space="preserve">: </w:t>
      </w:r>
      <w:r>
        <w:rPr>
          <w:rtl w:val="true"/>
        </w:rPr>
        <w:t>فيما يتعلق بما ورد من رجل دفع إلى عبد لقوم مأذون له في التجارة ألف درهم فقال له</w:t>
      </w:r>
      <w:r>
        <w:rPr>
          <w:rtl w:val="true"/>
        </w:rPr>
        <w:t xml:space="preserve">: </w:t>
      </w:r>
      <w:r>
        <w:rPr>
          <w:rtl w:val="true"/>
        </w:rPr>
        <w:t>اشتر بهما نسمةً فأعتقها عني وحج عنّي بالباقي</w:t>
      </w:r>
      <w:bookmarkEnd w:id="871"/>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عبد لقومٍ مأذون له في التجارة دفع إليه رجل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نسمةً فأعتقها عنّي وحج عنّي بالباقي، ثم مات صاحب الألف درهم، فانطلق العبد واشترى أباه وأعتقه عن الميت ودفع إليه الباقي ليحج عن الميت فحج عنه، وبلغ ذلك إلى أبيه ومواليه وورثة الميت جميعاً فاختصموا جميعاً في الألف، فقال موالي 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 وقال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 وقال موالى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 أباك بمالنا،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الحجّة فقد مضت بما فيها لا تردّ، وأما المعتق فهو ردّ في الرق لمواليه، وأيّ الفريقين بعد أقاموا البينة على أنّه اشترى أباه من أموالهم كان لهم رقاً</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عمل بمضمونها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2043"/>
      </w:r>
      <w:r>
        <w:rPr>
          <w:rFonts w:ascii="IRNazanin" w:hAnsi="IRNazanin" w:eastAsia="IRNazanin"/>
          <w:color w:val="111111"/>
          <w:sz w:val="28"/>
          <w:sz w:val="28"/>
          <w:szCs w:val="28"/>
          <w:rtl w:val="true"/>
          <w:lang w:bidi="fa-IR"/>
        </w:rPr>
        <w:t xml:space="preserve">ومن تبعه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وردّها الأكثر </w:t>
      </w:r>
      <w:r>
        <w:rPr>
          <w:rStyle w:val="FootnoteAnchor"/>
          <w:rtl w:val="true"/>
        </w:rPr>
        <w:footnoteReference w:id="2045"/>
      </w:r>
      <w:r>
        <w:rPr>
          <w:rFonts w:ascii="Amiri" w:hAnsi="Amiri" w:eastAsia="Amiri" w:cs="Amiri"/>
          <w:color w:val="111111"/>
          <w:sz w:val="28"/>
          <w:sz w:val="28"/>
          <w:szCs w:val="28"/>
          <w:rtl w:val="true"/>
          <w:lang w:bidi="ar-SA"/>
        </w:rPr>
        <w:t xml:space="preserve">لضعف السند بجهالة الراوي أو غلوّه، ومخالفة الخبر لأُصول المذهب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برد العبد إلى مولاه مع اعترافه ببيعه، وادعائه فساده، ومدعي الصحّة مقدم على مدعي الفساد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بمضيّ الحَجّة مع أنّ ظاهر الأمر حجة بنفسه وقد استناب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مجامعة صحّة الحجّ لعوده رقاً، مع أنّه حج بغير إذن سيده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يدعي مولى الأب شراءه بماله ولم يكن له عند العبد المأذون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الإذن في التجارة كونها للمولى، فلا تصحّ معاملته لغيره كي يترتب عليها صحّة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الدافع وكالة في الشراء والعتق وقد مات والوكالة تبطل بالموت فلا يصح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وصاية لبطلت أيضاً؛ لعدم دخولها في التجارة المأذون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يأخذوا بمدلولها، ولم يعملوا بمضمونها،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بأن المعتق لمولى المأذون؛ لأنّ يد المأذون يده وقد اشتراه وإقراره لا يمضى على سيده؛ لأنّه 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وكيل فقوله مصدق، مردود بأن الظاهر أنّه مأذون أوّلاً، وبأنه لو كان وكيلاً أيضاً لا يصدق على سيّده؛ لأنّ اليديد سيده، وليس العبد كالحر في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ذكره هؤلاء لا فرق بين كون العبد المعتق أبَ المأذون أم لا، وإن تضمّنت الرواية الأوّل؛ لاشتراكها في مقتضي ترجيح قول ذي اليد، ولا بين دعوى مولى الأب شراءه من ماله لو كان قد دفع له مالاً، وبين عدمه؛ لأنّه في الأوّل مدّع للفساد ومدعي الصحّة مقدّم، وفي الثاني خارج والداخل مقدّم عليه، والرواية تضمّنت الأوَّل، ولا بين استئجاره على الحج وعدمه؛ لعدم مدخليّة ذلك في الترجيح وإن تضمّنت الرواية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حكم بصحة البيع والعتق والحج </w:t>
      </w:r>
      <w:r>
        <w:rPr>
          <w:rStyle w:val="FootnoteAnchor"/>
          <w:rtl w:val="true"/>
        </w:rPr>
        <w:footnoteReference w:id="2047"/>
      </w:r>
      <w:r>
        <w:rPr>
          <w:rFonts w:ascii="Amiri" w:hAnsi="Amiri" w:eastAsia="Amiri" w:cs="Amiri"/>
          <w:color w:val="111111"/>
          <w:sz w:val="28"/>
          <w:sz w:val="28"/>
          <w:szCs w:val="28"/>
          <w:rtl w:val="true"/>
          <w:lang w:bidi="ar-SA"/>
        </w:rPr>
        <w:t>لأنّ المراد من الحج وقوعه لا من مباشر معين، وذلك لأنّه ذويد، فما ادعاه مسموع كالوكيل، وهو مبني على أن للعبد يداً كالحر، وأنّه لو كان وكيلاً شمع قوله ولو في معارضة مولاه، ولا يخلوان من قوة، كما لا يخلوان من إشكال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حكم بذلك أيضاً ولكن بشرط عموم إذن المولى له </w:t>
      </w:r>
      <w:r>
        <w:rPr>
          <w:rStyle w:val="FootnoteAnchor"/>
          <w:rtl w:val="true"/>
        </w:rPr>
        <w:footnoteReference w:id="2048"/>
      </w:r>
      <w:r>
        <w:rPr>
          <w:rFonts w:ascii="Amiri" w:hAnsi="Amiri" w:eastAsia="Amiri" w:cs="Amiri"/>
          <w:color w:val="111111"/>
          <w:sz w:val="28"/>
          <w:sz w:val="28"/>
          <w:szCs w:val="28"/>
          <w:rtl w:val="true"/>
          <w:lang w:bidi="ar-SA"/>
        </w:rPr>
        <w:t>، ليكون إقراره مسموعاً على مولاه وفعله ماضياً بالنسبة إلى الدافع ومولى الأب بعد ثبوت الفرض، وهذا أقوى مما تقدمه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 بأنّ مولى الأب إن اعترف بمأذونيته على وجه يعم الشراء لغيره لم يُسمع قوله، وإلا سمع، أو يقال بأنّ ورثة الدافع إن أقروا بتوكيل مورّثهم المأذون على البيع والعتق والحج لزم الجميع، وإن أقروا بالبعض لزم ذلك البعض، وإن أنكروا الجميع أو البيع وحده فلا بيع إلا مع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اعتذر بعض </w:t>
      </w:r>
      <w:r>
        <w:rPr>
          <w:rStyle w:val="FootnoteAnchor"/>
          <w:rtl w:val="true"/>
        </w:rPr>
        <w:footnoteReference w:id="2049"/>
      </w:r>
      <w:r>
        <w:rPr>
          <w:rFonts w:ascii="Amiri" w:hAnsi="Amiri" w:eastAsia="Amiri" w:cs="Amiri"/>
          <w:color w:val="111111"/>
          <w:sz w:val="28"/>
          <w:sz w:val="28"/>
          <w:szCs w:val="28"/>
          <w:rtl w:val="true"/>
          <w:lang w:bidi="ar-SA"/>
        </w:rPr>
        <w:t xml:space="preserve">عن بعض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الرواية للقاعدة من تقديم قول مولى الأب وهو مدعي الفساد ومدعي الصحّة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مولى الأب منكر لوقوع البيع، لا مفسد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لمنافاته النصّ والفتوى</w:t>
      </w:r>
    </w:p>
    <w:p>
      <w:pPr>
        <w:pStyle w:val="BookText"/>
        <w:rPr/>
      </w:pPr>
      <w:r>
        <w:rPr>
          <w:rFonts w:ascii="Amiri" w:hAnsi="Amiri" w:eastAsia="Amiri" w:cs="Amiri"/>
          <w:color w:val="111111"/>
          <w:sz w:val="28"/>
          <w:sz w:val="28"/>
          <w:szCs w:val="28"/>
          <w:rtl w:val="true"/>
          <w:lang w:bidi="ar-SA"/>
        </w:rPr>
        <w:t>وبأن المأذون بيده مال لمولى الأب وغيره، ومع تصادم الدعاوي يرجع إلى أصالة بقاء الملك على مالكه ولا يعارضه تقديم دعوى الصحّة على الفساد ؛ لأنّها مشتركة بين متقابلين متكافئين هما مولى المأذون وورثة الآمر،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تكافؤهما، مع كون مَنْ عدا مولاه خارجاً والداخل متقدم، فسقطا دونه، ولم يتمّ الأصل، وهو بقاء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تكافؤ الدعويين الأخريين؛ لخروج الآمر وورثته عمّا في يد المأذون التي هي بمنزلة يد سيّده، والخارجة لا تكافئ الداخلة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وإقرار المأذون بما في يده لغير المولى غير مسموع في الوجه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المأذون إن قصرت إذنه على التجارة لمولاه فهو عاد في فعله باطل عمله، ولا يد له فيصدق قوله، بل اليد لمولاه وهو مصدق بما يدعيه، فيبطل العقد ويرجع المال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عمّت إذنه التجارة له ولغيره وكان الشراء بالوكالة مع حياة 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الشراء، وكان القول قول المأذون في أنّه للدافع ولورثته مع يمينه، وتسقط دعوى مولاه و دعوى مولى الأب بعد الإقرار ببيعه، ويُحكم بفساد العتق والحج</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عامةً للتجارة ولغيرها له ولغيره، كان القول قول المأذون في ملكية الدافع </w:t>
      </w:r>
    </w:p>
    <w:p>
      <w:pPr>
        <w:pStyle w:val="BookText"/>
        <w:rPr/>
      </w:pPr>
      <w:r>
        <w:rPr>
          <w:rFonts w:ascii="Amiri" w:hAnsi="Amiri" w:eastAsia="Amiri" w:cs="Amiri"/>
          <w:color w:val="111111"/>
          <w:sz w:val="28"/>
          <w:sz w:val="28"/>
          <w:szCs w:val="28"/>
          <w:rtl w:val="true"/>
          <w:lang w:bidi="ar-SA"/>
        </w:rPr>
        <w:t>للرقبة وعتقها وحجها مع اعتراف الوارث بما ادعاه على مورّثهم، وإن اعترفوا بالتوكيل على الشراء فقط كان الملك لهم، ولا عتق ولا حجّ، فيرجع الباقي إليهم، وإن اعترفوا بالعتق دون الحج صح العتق وطُولب بما بقي للحج، وإن أنكروا الجميع فالعبد على حاله، فيبقى الأب ملكاً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مولى الأب فلا تُسمع بعد إقراره وعمله الدالين على صحّة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البينة، ومعها فإن أقام مولى الأب أو الدافع بينةً حكم له ببينته؛ لأنّ كلّاً منهما خارج، وإن أقاماها معاً، احتمل رجوع حكم المسألة إلى مسألة التداعي، واحتمل تقديم بينة مولى الأب؛ لادعائه الفساد بخلاف ورثة الدافع مع الإقرار، وتقديم الورثة مع الإنكار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 الآذن مع أحدهما أو مع كلّ منهما بيّنةً، فإن رجحنا بينة الداخل قدمت بينته على بينتهما، وإلا فالترجيح لبيّنة ورثة الدافع؛ عملاً بمقتضى أصالة البيع، مع احتمال تقديم بينة مولى الأب؛ لادعائه ما ينافي الأصل وهو الفساد، فيكون كالخارج، ولأن الأصل بقاء الأب على ملكه، مع احتمال الرجوع إلى حكم التداعي وتصادم البينات، والأخذ بما هو الأحوط هو الأحرى في هذه المقامات</w:t>
      </w:r>
      <w:r>
        <w:rPr>
          <w:rFonts w:eastAsia="Amiri" w:cs="Amiri" w:ascii="Amiri" w:hAnsi="Amiri"/>
          <w:color w:val="111111"/>
          <w:sz w:val="28"/>
          <w:szCs w:val="28"/>
          <w:rtl w:val="true"/>
          <w:lang w:bidi="ar-SA"/>
        </w:rPr>
        <w:t xml:space="preserve">. </w:t>
      </w:r>
      <w:bookmarkStart w:id="872" w:name="pg19000_245696"/>
    </w:p>
    <w:p>
      <w:pPr>
        <w:pStyle w:val="Heading3"/>
        <w:numPr>
          <w:ilvl w:val="2"/>
          <w:numId w:val="1"/>
        </w:numPr>
        <w:rPr/>
      </w:pPr>
      <w:bookmarkStart w:id="873" w:name="__RefHeading___Toc13372750_1280447820"/>
      <w:bookmarkStart w:id="874" w:name="_Toc321"/>
      <w:bookmarkEnd w:id="872"/>
      <w:bookmarkEnd w:id="873"/>
      <w:r>
        <w:rPr>
          <w:rtl w:val="true"/>
        </w:rPr>
        <w:t>القول في السلم</w:t>
      </w:r>
      <w:bookmarkEnd w:id="874"/>
    </w:p>
    <w:p>
      <w:pPr>
        <w:pStyle w:val="Heading4"/>
        <w:numPr>
          <w:ilvl w:val="3"/>
          <w:numId w:val="1"/>
        </w:numPr>
        <w:rPr/>
      </w:pPr>
      <w:bookmarkStart w:id="875" w:name="__RefHeading___Toc13372752_1280447820"/>
      <w:bookmarkStart w:id="876" w:name="_Toc322"/>
      <w:bookmarkEnd w:id="875"/>
      <w:r>
        <w:rPr>
          <w:rtl w:val="true"/>
        </w:rPr>
        <w:t>معنى السَّلَم لغةً وشرعاً</w:t>
      </w:r>
      <w:bookmarkEnd w:id="876"/>
    </w:p>
    <w:p>
      <w:pPr>
        <w:pStyle w:val="BookText"/>
        <w:rPr/>
      </w:pPr>
      <w:r>
        <w:rPr>
          <w:rFonts w:ascii="Amiri" w:hAnsi="Amiri" w:eastAsia="Amiri" w:cs="Amiri"/>
          <w:color w:val="111111"/>
          <w:sz w:val="28"/>
          <w:sz w:val="28"/>
          <w:szCs w:val="28"/>
          <w:rtl w:val="true"/>
          <w:lang w:bidi="ar-SA"/>
        </w:rPr>
        <w:t xml:space="preserve">والسلف بمعناه وإن لم يَجْرِ على لسان الفقهاء كما في التذكرة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في اللغة لمعانٍ لا تنضبط، ذكرنا جملةً منها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 حقيقة شرعيّة أو متشرعية، بعد كونه مجازاً شرعياً مشهوراً استعماله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القدماء الأخيار عبارة عن نقل كلّي بصيغةٍ خاصة أو معاطاة، أو انتقال كلّي كذلك، مضبوط مقدر مضمون في الذمة، لا في الخارج كصاع من صبرة مؤجل بأجل معلوم، بثمن حال مقبوض قبضاً حقيقياً أو ما هو بحكمه مما كان في الذمة فينزل منزلة المقبوض قبل التفرّق عن مجلس العقد، معلوم مقدّر إن كان ممّا يجري عليه التقدير، أو عبارة عن الصيغة الدالة على ذلك النقل أو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إلى المعنى العرفي وما هو في الأخبار هو المعنى الأوَّل، والأقرب إلى اصطلاح الفقهاء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وصيغته قد تقع على نفس المبيع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شابهها، وقد تقع على نفس الثمن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ضاهاها، فيقع القبول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لأنّه من المجازات القريبة المعهودة، كما يقع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تعلّق بالثمن ولكن مع كونه عيناً لا منفعةً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يقع على الصحيح والفاسد كسائر ألفاظ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ما يشترط في العقود اللازمة من لزوم الصيغ الخاصة في لازمه، والمعاطاة في جائزه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في الصيغة من إيجاب وقبول لفظيين، والأحوط ترتيبهما، والأظهر لزومه لو كان </w:t>
      </w:r>
    </w:p>
    <w:p>
      <w:pPr>
        <w:pStyle w:val="BookText"/>
        <w:rPr/>
      </w:pP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إيجابه ها هنا قد يصدر من البائع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مفعوله المبيع وشبهه، وقد يصدر من المشتري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وشبهه، فيكون مفعوله الثمن، ويكون مدخول الجار المبيع، ويتولى القبول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وصيغته المعهودة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صدور ذلك من البائع،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يجزئ الفعل غير المعاطاة إلا في إشارة الأخرس ولو لم يتمكن من اللفظ والمعاطاة غير الأخرس وكل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اللفظ العجمي للعربي، ويجزئ للعجمي سيّما مع عدم تمكنه من العربي، والتوكيل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الملحون بنيته، ولا غير الماضي المقصود منه الإنشاء، ولا بأس باللحن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شرائط البيع بالنسبة إلى المتعاقدين حال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صراحة المعنى الإنشائي المستعمل فيه إما بالوضع أو لكونه مجازاً مشهوراً معهوداً كما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ينعقد بالمجاز البعيد ولا بالعام البعيد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اقتصاراً على المورد اليقينى من حصول النقل والانتقال؛ لأنّ الأمر بالوفاء بالعقود ينصرف إلى المعهود شرعاً وعرفاً، وخلق الأخبار عن بيان الصيغ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اتكالاً على المعهود من الطريقة المألوفة من أنّهم إن أرادوا المسامحة اكتفوا بالمعاطاة، وإن أرادوا اللزوم جاؤوا بالصيغ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عدم لزومها بين المتعاقدين، كما ذهب إلى ذلك بعض الأعلام </w:t>
      </w:r>
      <w:r>
        <w:rPr>
          <w:rStyle w:val="FootnoteAnchor"/>
          <w:rtl w:val="true"/>
        </w:rPr>
        <w:footnoteReference w:id="2051"/>
      </w:r>
      <w:r>
        <w:rPr>
          <w:rFonts w:ascii="IRNazanin" w:hAnsi="IRNazanin" w:eastAsia="IRNazanin"/>
          <w:color w:val="111111"/>
          <w:sz w:val="28"/>
          <w:sz w:val="28"/>
          <w:szCs w:val="28"/>
          <w:rtl w:val="true"/>
          <w:lang w:bidi="fa-IR"/>
        </w:rPr>
        <w:t xml:space="preserve">، على 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052"/>
      </w:r>
      <w:r>
        <w:rPr>
          <w:rFonts w:ascii="Amiri" w:hAnsi="Amiri" w:eastAsia="Amiri" w:cs="Amiri"/>
          <w:color w:val="111111"/>
          <w:sz w:val="28"/>
          <w:sz w:val="28"/>
          <w:szCs w:val="28"/>
          <w:rtl w:val="true"/>
          <w:lang w:bidi="ar-SA"/>
        </w:rPr>
        <w:t>بعد انعقاد الإجماع على تخصيصه في الجملة وأنّ الخارج منه أكثر من الداخل عاد كالمجمل، فلا يصح التمسك به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وينعقد العقد بالمشترك اللفظي إذا استعمل في معنىً واحد مع القرينة، وبالمشترك المعنوي القريب لفرده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ينعقد السَّلَم بلفظ الهبة؛ لكونه من المجازات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شخص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الثمن بطل وكان البيع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 قرينة على إرادة الهبة وقلنا بصحة الهبة بكلّ لفظ كانت هبة، وإن قلنا باشتراط اللفظ الصريح فيها كانت هبةً فاسدة، ولكنها غير مضمونة؛ لأنّ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نصب قرينة على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ذلك بقصد البيع بطل، وكان المبيع مضموناً، ولو قال لا بقصد احتملت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وانصرافه للهبة قهراً لوجود معنى الهبة وتغليباً لجانب الصحّة، واحتمل البطلان نظراً إلى جانب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مضموناً؛ لأنّ ما يُضمن بصحيحه يُضمن بفاسده، أو لا يكون مضموناً؛ لدلالة اللفظ على إسقاط الضمان والإقدام على عدمه فيكون كاشتراط عدمه والأصل البراءة ؟ وجهان، 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وقوع البيع موقع السَّلَم، فيتسلّط على الثمن لو كان عيناً ولا تجوز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على منفعة، ففي صحّة العقد؛ لكونه من المجازات القريبة، أو بطلانه؛ لعدم كونه معهوداً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وقوع السَّلَم موقع البيع مع قصد السَّلميّة وعدم اجتماع الشرائط؛ لأنّ ما قصد لم يقع وما وقع لم يقصد، واحتمال صحّة العقد ووقوع وصف السلمية لاغياً لا وجه له؛ لأنّ وصف السَّلَميّة منوّع، لا وصف زائد ملحوظ بعد قصد الكلّي كي يصح القصد إليه ويلغى الوصف الزائد، على أنّ السَّلَم مأخوذ في ماهيته الأجل، فلو قصد ولم يذكر الأجل كان كمن ذكر أجلاً ولم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وقوعه موقعه مع قصد البيع المطلق لكونه مجازاً قريباً من باب استعمال الجزء في الكلّ ؛ لأنّ البيع المطلق جزؤه، أو استعمال الخاص في العام؛ لأنَّ السَّلَم جزؤه، أو لا يجوز؛ لمنع جواز الانعقاد بهذه المجازات وإن كانت قريبة؛ للشكّ في معهوديتها في الصيغ اللازمة ؟ وجهان</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أطلق فلم يقصد شيئاً، احتمل انصرافه للبيع المطلق لو جوزنا استعماله فيه؛ تصحيحاً للعقد مهما أمكن، واحتمل البطلان أخذاً بالظاهر</w:t>
      </w:r>
      <w:r>
        <w:rPr>
          <w:rFonts w:eastAsia="Amiri" w:cs="Amiri" w:ascii="Amiri" w:hAnsi="Amiri"/>
          <w:color w:val="111111"/>
          <w:sz w:val="28"/>
          <w:szCs w:val="28"/>
          <w:rtl w:val="true"/>
          <w:lang w:bidi="ar-SA"/>
        </w:rPr>
        <w:t xml:space="preserve">. </w:t>
      </w:r>
      <w:bookmarkStart w:id="877" w:name="pg19000_245699"/>
    </w:p>
    <w:p>
      <w:pPr>
        <w:pStyle w:val="BookText"/>
        <w:rPr/>
      </w:pPr>
      <w:bookmarkEnd w:id="877"/>
      <w:r>
        <w:rPr>
          <w:rFonts w:ascii="Amiri" w:hAnsi="Amiri" w:eastAsia="Amiri" w:cs="Amiri"/>
          <w:color w:val="111111"/>
          <w:sz w:val="28"/>
          <w:sz w:val="28"/>
          <w:szCs w:val="28"/>
          <w:rtl w:val="true"/>
          <w:lang w:bidi="ar-SA"/>
        </w:rPr>
        <w:t>نعم، لو قلنا باشتراك صيغة السَّلَم معنى بين المؤجّل والحال فأطلقها ولم يذكر الأجل، لكان الحكم بانصرافها إلى المطلق له وجه ظاهر كانصراف إطلاق عقد المتعة مع عدم ذكر الأجل للدائم وصحته نكاحاً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أتى بصيغة البيع المطلق قاصداً للسَّلَميّة فاتفق عدم اجتماع شرائطه، فإنّ في القول بالصحّة ووقوع نيّة السَّلَميّة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كونها مقومةً للعقد، ولمصادفة الصيغة محلّها فيكون بمنزلة من قصد أجلاً قصداً ولم يذكره فأطلق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قوياً</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3372754_1280447820"/>
      <w:bookmarkStart w:id="879" w:name="_Toc323"/>
      <w:bookmarkEnd w:id="878"/>
      <w:r>
        <w:rPr>
          <w:rtl w:val="true"/>
        </w:rPr>
        <w:t>والكلام في السلم يفتقر إلى بيان أمور</w:t>
      </w:r>
      <w:r>
        <w:rPr>
          <w:rtl w:val="true"/>
        </w:rPr>
        <w:t>:</w:t>
      </w:r>
      <w:bookmarkEnd w:id="879"/>
    </w:p>
    <w:p>
      <w:pPr>
        <w:pStyle w:val="Heading5"/>
        <w:numPr>
          <w:ilvl w:val="4"/>
          <w:numId w:val="1"/>
        </w:numPr>
        <w:rPr/>
      </w:pPr>
      <w:bookmarkStart w:id="880" w:name="__RefHeading___Toc13372756_1280447820"/>
      <w:bookmarkStart w:id="881" w:name="_Toc324"/>
      <w:bookmarkEnd w:id="880"/>
      <w:r>
        <w:rPr>
          <w:rtl w:val="true"/>
        </w:rPr>
        <w:t>أولها</w:t>
      </w:r>
      <w:r>
        <w:rPr>
          <w:rtl w:val="true"/>
        </w:rPr>
        <w:t xml:space="preserve">: </w:t>
      </w:r>
      <w:r>
        <w:rPr>
          <w:rtl w:val="true"/>
        </w:rPr>
        <w:t>اشتراط المعلومية بالجنس والوصف في السلم</w:t>
      </w:r>
      <w:bookmarkEnd w:id="881"/>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السَّلَم المعلومية بالجنس والوصف والمراد بالجنس اللفظ الدال على الحقيقة النوعية كالحنطة والشعير والدخن والعبد والحمار والمراد بالوصف هو العرض الفارق بين أصناف ذلك النوع بحيث يُعدّ بسببه صنفاً، وهو الذي تختلف القيمة باختلافه غالباً، وتختلف الرغبات باختلافه أيضاً، وهو أمر موكول بيانه إلى العرف، وربما كان العامي أعرف بها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ذكر الوصف بلفظ ظاهر الدلالة بين المتعاقدين، وتكفي الإشارة إليه، ولا يشترط ظهور دلالته في العرف واللغة كي يرجع إليه عند الاختلاف كما قيل </w:t>
      </w:r>
      <w:r>
        <w:rPr>
          <w:rStyle w:val="FootnoteAnchor"/>
          <w:rtl w:val="true"/>
        </w:rPr>
        <w:footnoteReference w:id="2053"/>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مطلق الوصف، بل الوصف الذي يختلف لأجله الثمن اختلافاً ظاهراً لا يتسامح بمثله في خصوص السلم عادةً، فلا يكفي مجرّد الوصف الدافع للجهالة عرفاً كباقي المبيعات من الكليات وغيرها، ولا يقدح اليسير المتسامح به فيه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هذا أن للسَّلَم خصوصيّةً زائدة في ذكر الأوصاف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باقي الكليات المؤجلة كالنسيّة، ودون الكلّي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حصول الغرر فيه باعتبار تأجيله وعدم المشاهدة فيه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للسَّلَم خصوصيّةً فهي عن بيع الأعيان دون الكليات، ولو سلمنا أنّ له خصوصيّةً عن الكليات فهى عن الحالات لا المؤجلات؛ لاتحاد المدرك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الأصحاب أن المعتبر من الأوصاف ما كان معتاداً بين عامة الناس ذكره في رفع الغرر والاختلاف، ولا يلزم الاستقصاء، بل لو استقصى فآل إلى عزّة الوجود أو عسر التسليم بطل، ونُقل على ذلك الإجماع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ذلك بأن عقد السَّلَم لما اشتمل على الغرر لأنّه كبيع المعدوم وبيع ما ليس بمرئي فلا يناسبه ما كان مقتضياً لحصول النزاع والاختلاف مع ذلك؛ لأنّ بناء شرع العقود على التخفيف وقطع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أيضاً أنّ لعقد السلم خصوصيّةً دون العقد على الكلّي المؤجل أو العقد على الكلّي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الأخبار أنّ ذلك شرط في بيع الكلّي مطلقاً، وسيجيء فيه الكلام </w:t>
      </w:r>
      <w:r>
        <w:rPr>
          <w:rStyle w:val="FootnoteAnchor"/>
          <w:rtl w:val="true"/>
        </w:rPr>
        <w:footnoteReference w:id="2056"/>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شرطيته في بيع الكلّي مطلقاً فالظاهر أنّه شرط للمؤجل منه، وليس لتأجيل السلم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اشتراط ذكر النوع والوصف الرافعين للجهالة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ظاهر اتفاق الفتوى وعموم النهي عن بيع الغرر </w:t>
      </w:r>
      <w:r>
        <w:rPr>
          <w:rStyle w:val="FootnoteAnchor"/>
          <w:rtl w:val="true"/>
        </w:rPr>
        <w:footnoteReference w:id="2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 السَّلَم في المتاع إذا سمّيت الطول والعرض</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السَّلَم في الحيوان إذا وصفته إلى أجل معلوم،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الحيوان إذا وصفت أسنانها</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بالحيوان إذا وصفت أسنانها</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 xml:space="preserve">. </w:t>
      </w:r>
      <w:bookmarkStart w:id="882" w:name="pg19000_245701"/>
    </w:p>
    <w:p>
      <w:pPr>
        <w:pStyle w:val="BookText"/>
        <w:rPr/>
      </w:pPr>
      <w:bookmarkEnd w:id="882"/>
      <w:r>
        <w:rPr>
          <w:rFonts w:ascii="Amiri" w:hAnsi="Amiri" w:eastAsia="Amiri" w:cs="Amiri"/>
          <w:color w:val="111111"/>
          <w:sz w:val="28"/>
          <w:sz w:val="28"/>
          <w:szCs w:val="28"/>
          <w:rtl w:val="true"/>
          <w:lang w:bidi="ar-SA"/>
        </w:rPr>
        <w:t>وفي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سمّيت سنّاً </w:t>
      </w:r>
      <w:r>
        <w:rPr>
          <w:rStyle w:val="FootnoteAnchor"/>
          <w:rtl w:val="true"/>
        </w:rPr>
        <w:footnoteReference w:id="2063"/>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السَّلَم في الحيوان،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أسنان معلومة وأسنان معدودة إلى أجل معلوم لا بأس</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من طعامٍ موصوف ولم يُسمّ فيه قريةً ولا موضعاً فعلى صاحبه أن يؤديه</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وورودها في مقامات خاصة لا يمنع التعدي إلى غيرها؛ لعدم القائل بالفرق، ولتنقيح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المسلم والمسلم إليه في الأوصاف فكلُّ ادعى وصفاً، كانا متداعيين، ولو ادعى أحدهما وصفاً زائداً، كان القول قول منكره، ولو تسالما عليه ونسياه فالصلح أو القرعة، ولو اختلفا في صدقه على المدفوع لزم الرجوع إلى العرف أو البينة، أو قول العدل الواحد على وجه، وإلا فالقول قول النافي بيمينه</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3372758_1280447820"/>
      <w:bookmarkStart w:id="884" w:name="_Toc325"/>
      <w:bookmarkEnd w:id="883"/>
      <w:r>
        <w:rPr>
          <w:rtl w:val="true"/>
        </w:rPr>
        <w:t>ثانيها</w:t>
      </w:r>
      <w:r>
        <w:rPr>
          <w:rtl w:val="true"/>
        </w:rPr>
        <w:t xml:space="preserve">: </w:t>
      </w:r>
      <w:r>
        <w:rPr>
          <w:rtl w:val="true"/>
        </w:rPr>
        <w:t>عدم صحة السلم في كل ما لا ينضبط وصفه</w:t>
      </w:r>
      <w:bookmarkEnd w:id="88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ينضبط وصفه لا يصح السَّلَم فيه؛ لظاهر الاتفاق، ولعموم النهي عن الغرر </w:t>
      </w:r>
      <w:r>
        <w:rPr>
          <w:rStyle w:val="FootnoteAnchor"/>
          <w:rtl w:val="true"/>
        </w:rPr>
        <w:footnoteReference w:id="2067"/>
      </w:r>
      <w:r>
        <w:rPr>
          <w:rFonts w:ascii="Amiri" w:hAnsi="Amiri" w:eastAsia="Amiri" w:cs="Amiri"/>
          <w:color w:val="111111"/>
          <w:sz w:val="28"/>
          <w:sz w:val="28"/>
          <w:szCs w:val="28"/>
          <w:rtl w:val="true"/>
          <w:lang w:bidi="ar-SA"/>
        </w:rPr>
        <w:t xml:space="preserve">، ولإشعار جملة من الأخبار </w:t>
      </w:r>
      <w:r>
        <w:rPr>
          <w:rStyle w:val="FootnoteAnchor"/>
          <w:rtl w:val="true"/>
        </w:rPr>
        <w:footnoteReference w:id="2068"/>
      </w:r>
      <w:r>
        <w:rPr>
          <w:rFonts w:ascii="Amiri" w:hAnsi="Amiri" w:eastAsia="Amiri" w:cs="Amiri"/>
          <w:color w:val="111111"/>
          <w:sz w:val="28"/>
          <w:sz w:val="28"/>
          <w:szCs w:val="28"/>
          <w:rtl w:val="true"/>
          <w:lang w:bidi="ar-SA"/>
        </w:rPr>
        <w:t>الخاصة به، ومرجع ذلك إلى العرف، وهو المحكم فيما لم يجعل له الشارع ضابطاً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ناقش فيما لا ينضبط، وأشكل عليه معرفته والفرق بين ما ينضبط وما لا ينضبط، وجعل الأصل في المشكوك فيه الجواز إلا ما علم عدم إمكان وصفه أصلاً أو جاء الدليل بمنعه، 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تشكيك في مقابلة العيان؛ لحكم العرف بالفرق بينهما بالوجدان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الأصل في المشكوك به الجواز، مردودة بأنّه شك في حصول الشرط لا في طروء المانع، والأصل عدم حصول الشرط، والمشروط عدم عند عدم شرطه، والتمسك بأدلّة عموم الجواز إلا فيما يقطع بجهالته منقوض بالتمسك باشتراط المعلومية فلا بد من إحرازه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لا يضبطه الوصف فلا يصح السَّلَم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والخبز، ونُقل عليهما الإجماع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النهي عن السلف في اللحم معللاً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يعطيك مرة السمين، ومرة التاوي، ومرة المهزول، واشتره معاينة يداً بيد</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والتعليل بذلك ظاهر في أنّ المنع سببه أنّ دفع الموصوف غير ممكن؛ لعدم انضباط الوصف، لا مجرد عدم وفاء البائع بما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دلالة على مساواة الكلي الحال للمؤجل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في روايا الماء؛ لعدم انضباط الراوية مع الإطلاق، وعدم عموم الوجود مع تقييدها براوية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النهي عن ذلك 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يعطيك مرّةً ناقصة ومرة كاملة، ولكن اشتره معاينة فهو أسلم لك</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منع عدم الانضباط وحمل الرواية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السَّلَم في النخل قبل أن يطلع لعدم انضباطه، وللخبرين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السلم في الجواهر واللآلئ الكبار؛ لعدم إمكان ضبطها، ولو أُريد ضبطها لأدّى إلى عزّة الوجود، بخلاف الصغار الموزونة المطلوبة للتداوي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السَّلّم في الجلود على ظهر الدابة؛ لعدم انضباط وصفها من خفّةٍ ونعومة وقوّة وأضدادها، ومع مشاهدتها تخرج عن وضع السَّلَم، على أن مشاهدتها على ظهر الدابة لا ترفع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مشاهدة جملة منها يشتمل على المسلم فيه قيل بالجواز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المنع أيضاً؛ لعدم ارتفاع الجهالة، ولعدم عموم الوجود المشترط في السلم كما هو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الشيخ إلى جواز السلم في الجلود مع المشاهدة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إلى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الجلود من القصاب فيعطيه كلّ يوم شيئاً معلوماً،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على جواز السلم، ولا على شراء الكلّي مطلقاً، وعدم الدلالة على كونها على الظهر، فلعله اشترى معيّناً على الظهر أو مطروحاً ثم دفع إليه كلّ يوم شيئاً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أبيع المسوك قبل أن أذبح الغنم،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ولكن انسبها غنم أرض كذا وكذا</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على خصوص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عن الشيخ بحمل المشاهدة على مشاهدة جملةٍ يدخل فيها المبيع، فيه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فرق في الجلد بين أن يسلم ما على الظهر منه وبين المسلوخ؛ للغرر، ولإطلاق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السَّلم في النبال المعلومة والسرير المعمول، وأكثر الثياب المخيطة، وأكثر الأدوية المركبة والدور المبنية، والصفر والحديد المعمولة أوانياً وسلاحاً؛ لتعسّر ضبطها ووصفها، وكذا جملة من الأراضي المقصودة للزراعة، ويجوز في جملةٍ أُخرى مع انضباط وصفها، كما يصح إجارتها، وكذا الأواني والثياب، والميزان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وينضبط وصف الجيد والرديء، ولا ينضبط وصف الأجود والأردأ مع إرادة الفرد المتناهي؛ للزوم ندرة الوجود لو أمكن ضبطه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أُريد بالأجود والأردأ المعنى الإضافي عرفاً، عاد كالجيد والرديء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المعنى الإضافي حقيقة عاد مجهولاً؛ لعدم انحصاره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يتخيل من صحّة وصف الأردأ حقيقة لأنّه إن دفع حقيقة حصل المطلوب، وإلا كفى دفع الأعلى منه ويجب القبول، مردود بأن الكلام في صحته ابتداء، لا في كفاية دفع الأعلى عنه بعد صحته،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ينضبط وصفه عرفاً يجوز السَّلم فيه، وهو أكثر الأشياء من حبوب وفواكه وأدهان وحيوان ونبات وتمر وخلول وأدباس؛ لعموم الأدلّة وخصوصها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في كلّ نوع ذكر أوصاف صنفه الخاص التي تختلف به القيم والرغبات، كأن يذكر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الرقيق </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 xml:space="preserve">الأنوثة والذكورة والنوع واللون والسن والقد كالطول والقصر والربع، ولا يصح تقديره بالأشبار؛ لأدائه إلى عزّة الوجود إلا على وجه التقريبية، والبكارة والثيبوبة وكونها حاملاً أو حائلاً والكحل والدعج </w:t>
      </w:r>
      <w:r>
        <w:rPr>
          <w:rStyle w:val="FootnoteAnchor"/>
          <w:rtl w:val="true"/>
        </w:rPr>
        <w:footnoteReference w:id="2079"/>
      </w:r>
      <w:r>
        <w:rPr>
          <w:rFonts w:ascii="IRNazanin" w:hAnsi="IRNazanin" w:eastAsia="IRNazanin"/>
          <w:color w:val="111111"/>
          <w:sz w:val="28"/>
          <w:sz w:val="28"/>
          <w:szCs w:val="28"/>
          <w:rtl w:val="true"/>
          <w:lang w:bidi="fa-IR"/>
        </w:rPr>
        <w:t xml:space="preserve">والزجج </w:t>
      </w:r>
      <w:r>
        <w:rPr>
          <w:rStyle w:val="FootnoteAnchor"/>
          <w:rtl w:val="true"/>
        </w:rPr>
        <w:footnoteReference w:id="2080"/>
      </w:r>
      <w:r>
        <w:rPr>
          <w:rFonts w:ascii="Amiri" w:hAnsi="Amiri" w:eastAsia="Amiri" w:cs="Amiri"/>
          <w:color w:val="111111"/>
          <w:sz w:val="28"/>
          <w:sz w:val="28"/>
          <w:szCs w:val="28"/>
          <w:rtl w:val="true"/>
          <w:lang w:bidi="ar-SA"/>
        </w:rPr>
        <w:t>وتكلثم الوجه والضعف والغلظ ونعومة الملمس وثقل الردف، وطول الشعر، وأضدادها، وهذه قد يلزم ذكرها وقد 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والذكورة والأنوثة واللون والصنف كالعرابي والنجاتي، والنتاج إذا كان معروفاً عامّ الوجود، والأرض الساكنة فيها،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والأنوثة والسن والنوع والعربي والتركي والنتاج والنسب إلى صنف معلوم،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البقر والبغل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والذكورة والأنوثة والسن واللون والنسبة إلى أرض مخصوصة أو نتاج مخصوص إن كان،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وكبر الجنة وصغرها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السمن والجبن وما ماثلهما النوع والجدة والعتق والمرعى والزمان والصفا،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 الصوف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والزمان والطول والقصر والنعومة والخشونة والذكورة والأنوثة إن كان لهما مدخلية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في الثياب النوع والبلد والعرض والصفاقة والغلظ والخشونة والنعومة وكونه </w:t>
      </w:r>
    </w:p>
    <w:p>
      <w:pPr>
        <w:pStyle w:val="BookText"/>
        <w:rPr/>
      </w:pPr>
      <w:r>
        <w:rPr>
          <w:rFonts w:ascii="Amiri" w:hAnsi="Amiri" w:eastAsia="Amiri" w:cs="Amiri"/>
          <w:color w:val="111111"/>
          <w:sz w:val="28"/>
          <w:sz w:val="28"/>
          <w:szCs w:val="28"/>
          <w:rtl w:val="true"/>
          <w:lang w:bidi="ar-SA"/>
        </w:rPr>
        <w:t>مقصوراً أم لا، وذكر بلد القصارة مع الاختلاف، ومع تعدد الألوان أو الصبغ لا بد من ذكر اللون وما يصبغ به وعدد خيوط سداه لو افتقر في بعض الأجناس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فى الحرير والكتان البلد واللون والنعومة والخشونة والغلظ والدقة والقوة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دود القرّ اللون والطراوة واليبس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والدقة والقوة والضعف وشدّة اللفت وعدمها، والنعومة وشبهها، والزمان إذا افتقر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الحنطة والشعير وما شابههما البلد والحداثة والعتق واللون والكبر والصغر والصرابة،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والنوع واللون والكبر والصغر والحداثة والعتق والطعم، وكذا في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الفواكه البلد والنوع والطراوة والطعم والرائحة فيما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والصغر والحداثة والعتق والبلد والضعف، وكذا اللوز، وللمسلم إليه منزوع القشر الأعلى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الطلاء البلد واللون والحداثة والعتق والنوع والصفا والقوام، ويجب كونه قد 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الدبس البلد واللون والقوام وما يذهب منه،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العسل البلد والزمان واللون، ويُحمل الإطلاق على المصفى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الحطب 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واليبس والرطوبة والغلظ والدقة، وفي الحطب شدّة النار، وفي الخشب السماحة والطول والثخن والقوة، وأضدادها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الآجر والحجر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والقدر والسمك والثقل والخفّة والبلد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الفخر في الحجر، واللون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والشكل والقدر والطول والسمك والسعة، وكونه مضروباً أو مصبوباً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واللون والسعة وعدم انتشار المداد به، إلى غير ذلك مما لم يُذكر</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ذكرنا ذلك تنبيهاً على طريقة الوصف وإلا فقد لا يحتاج إلى جملة مما ذكرنا، وقد يحتاج إليها، وقد يكون في بعض الأزمنة ذكرها مفسداً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هذه الأمور لا تخص السَّلَم، بل تعمه وكلّ كلّي مؤجل؛ لمكان زيادة الغرر بالتأجيل، بل تعمّ كلّ كلّيّ ولو حالاً؛ لعدم المشاهدة فيه الرافعة للغرر، إلا أنّ ظاهر الفقهاء أنّ الكلي الحال يتسامح فيه ما لا يتسامح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الوصف بشهادة عدلين، بل العدل الواحد على الأظهر، ومع عدم ذلك فالرجوع إلى أهل الخبرة مع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يرجع في السن إلى العدول، فإن لم يكن فإلى ظنّ أهل الخبرة، وإلا صدق سيّده بما يدعيه، أو أخذ بقول العبد إذا كان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قدم قول العبد على ظنّ أهل الخبرة وعلى قول السيد، وقول السيد على ظنّ أهل الخبرة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من وجه، والأظهر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على ما ذكرناه من الضابطة المتقدّمة صحّة السَّلَم في الجوز عداً مع ذكر الأوصاف المحتاج إليها في ارتفاع الغرر، ولا حاجة إلى ضبطها بالوزن كما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ويصح السَّلَم في جوز القرّ مع ضبطه؛ لعموم الأدلّة من غير معارض، سوى 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لاشتماله على دود إن بقي حيّاً أفسده، وإن مات فيه كان ميتة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صالح للمنع؛ لأن المقصود بالبيع قابل للسَّلَم، والدود غير مقصود كالنوى، فإن مات لا ضرر فيه، وإن أفسد ضمن فساده البائع إن كان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السَّلَم في شاةٍ معها ولدها، وفي جارية حامل؛ لعموم الأدلّة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فمنع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لعزّة الوجود، والثاني ؛ للجهالة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لمنع العزّة في الأوَّل، واغتفار الجهالة في الثاني؛ لأنّه من التوابع</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السلم في جارية حسناء مع ولدها</w:t>
      </w:r>
      <w:r>
        <w:rPr>
          <w:rFonts w:eastAsia="Amiri" w:cs="Amiri" w:ascii="Amiri" w:hAnsi="Amiri"/>
          <w:color w:val="111111"/>
          <w:sz w:val="28"/>
          <w:szCs w:val="28"/>
          <w:rtl w:val="true"/>
          <w:lang w:bidi="ar-SA"/>
        </w:rPr>
        <w:t xml:space="preserve">. </w:t>
      </w:r>
      <w:bookmarkStart w:id="885" w:name="pg19000_245707"/>
    </w:p>
    <w:p>
      <w:pPr>
        <w:pStyle w:val="BookText"/>
        <w:rPr/>
      </w:pPr>
      <w:bookmarkEnd w:id="885"/>
      <w:r>
        <w:rPr>
          <w:rFonts w:ascii="Amiri" w:hAnsi="Amiri" w:eastAsia="Amiri" w:cs="Amiri"/>
          <w:color w:val="111111"/>
          <w:sz w:val="28"/>
          <w:sz w:val="28"/>
          <w:szCs w:val="28"/>
          <w:rtl w:val="true"/>
          <w:lang w:bidi="ar-SA"/>
        </w:rPr>
        <w:t xml:space="preserve">ومَنَعه العلّامة؛ لعزّة الوجود </w:t>
      </w:r>
      <w:r>
        <w:rPr>
          <w:rStyle w:val="FootnoteAnchor"/>
          <w:rtl w:val="true"/>
        </w:rPr>
        <w:footnoteReference w:id="208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في شاة لبون بمعنى أنّها من شأنها أن تحلب الحلب المعتاد</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3372760_1280447820"/>
      <w:bookmarkStart w:id="887" w:name="_Toc326"/>
      <w:bookmarkEnd w:id="886"/>
      <w:r>
        <w:rPr>
          <w:rtl w:val="true"/>
        </w:rPr>
        <w:t>ثالثها</w:t>
      </w:r>
      <w:r>
        <w:rPr>
          <w:rtl w:val="true"/>
        </w:rPr>
        <w:t xml:space="preserve">: </w:t>
      </w:r>
      <w:r>
        <w:rPr>
          <w:rtl w:val="true"/>
        </w:rPr>
        <w:t>اشتراط الحلول في ثمن السلم</w:t>
      </w:r>
      <w:bookmarkEnd w:id="88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ثمن السَّلَم الحلول، فلا يجوز تأجيله؛ لأنّه من بيع الكالي بالكالي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أجل بعضاً دون بعض صح فيما لم يؤجله وبطل في المؤجل، مع احتمال بطلان أصل العقد؛ لمكان الجهالة وأنّه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إسلاف الأعراض في الأعراض مطلقاً ما لم يكونا ربويين متحدين في الجنس فلا يجوز إجماعاً؛ لأنّ النسيء من الربا، ومع اختلاف الجنس لا بأس به؛ لعموم الأدلّة، وخصوص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بالسلف ما يوزن فيما يكال وما يكال فيما يوزن</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لابن الجنيد فمنع من إسلاف العرض في العرض إذا كانا مقدرين</w:t>
      </w:r>
      <w:r>
        <w:rPr>
          <w:rStyle w:val="FootnoteAnchor"/>
          <w:rtl w:val="true"/>
        </w:rPr>
        <w:footnoteReference w:id="2087"/>
      </w:r>
      <w:r>
        <w:rPr>
          <w:rFonts w:ascii="Amiri" w:hAnsi="Amiri" w:eastAsia="Amiri" w:cs="Amiri"/>
          <w:color w:val="111111"/>
          <w:sz w:val="28"/>
          <w:sz w:val="28"/>
          <w:szCs w:val="28"/>
          <w:rtl w:val="true"/>
          <w:lang w:bidi="ar-SA"/>
        </w:rPr>
        <w:t>، وهو ضعيف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الصحيح من إسلاف الزيت في السمن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2088"/>
      </w:r>
      <w:r>
        <w:rPr>
          <w:rFonts w:ascii="Amiri" w:hAnsi="Amiri" w:eastAsia="Amiri" w:cs="Amiri"/>
          <w:color w:val="111111"/>
          <w:sz w:val="28"/>
          <w:sz w:val="28"/>
          <w:szCs w:val="28"/>
          <w:rtl w:val="true"/>
          <w:lang w:bidi="ar-SA"/>
        </w:rPr>
        <w:t>والآخر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لا يعارضان ما قدمنا على أنّهما أخصّ من المدعى، ولفظهما 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إسلاف الأثمان بالعروض وهو المتعارف والمعتاد، ولا يجوز إسلاف الأثمان بالأثمان ولو حصل القبض في المجلس؛ للإجماع بقسميه </w:t>
      </w:r>
      <w:r>
        <w:rPr>
          <w:rStyle w:val="FootnoteAnchor"/>
          <w:rtl w:val="true"/>
        </w:rPr>
        <w:footnoteReference w:id="2090"/>
      </w:r>
      <w:r>
        <w:rPr>
          <w:rFonts w:ascii="Amiri" w:hAnsi="Amiri" w:eastAsia="Amiri" w:cs="Amiri"/>
          <w:color w:val="111111"/>
          <w:sz w:val="28"/>
          <w:sz w:val="28"/>
          <w:szCs w:val="28"/>
          <w:rtl w:val="true"/>
          <w:lang w:bidi="ar-SA"/>
        </w:rPr>
        <w:t xml:space="preserve">على الظاهر، ولظاهر الأخبار في بيع الصرف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الشامل للحلول والقبض في المجلس</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من الأخبار المجوّزة للدنانير بالدراهم نسيئة والنافية للبأس </w:t>
      </w:r>
      <w:r>
        <w:rPr>
          <w:rStyle w:val="FootnoteAnchor"/>
          <w:rtl w:val="true"/>
        </w:rPr>
        <w:footnoteReference w:id="2092"/>
      </w:r>
      <w:r>
        <w:rPr>
          <w:rFonts w:ascii="Amiri" w:hAnsi="Amiri" w:eastAsia="Amiri" w:cs="Amiri"/>
          <w:color w:val="111111"/>
          <w:sz w:val="28"/>
          <w:sz w:val="28"/>
          <w:szCs w:val="28"/>
          <w:rtl w:val="true"/>
          <w:lang w:bidi="ar-SA"/>
        </w:rPr>
        <w:t>عن ذلك مطرحة، أو محمولة على التقيّة</w:t>
      </w:r>
      <w:r>
        <w:rPr>
          <w:rFonts w:eastAsia="Amiri" w:cs="Amiri" w:ascii="Amiri" w:hAnsi="Amiri"/>
          <w:color w:val="111111"/>
          <w:sz w:val="28"/>
          <w:szCs w:val="28"/>
          <w:rtl w:val="true"/>
          <w:lang w:bidi="ar-SA"/>
        </w:rPr>
        <w:t xml:space="preserve">. </w:t>
      </w:r>
      <w:bookmarkStart w:id="888" w:name="pg19000_245708"/>
    </w:p>
    <w:p>
      <w:pPr>
        <w:pStyle w:val="BookText"/>
        <w:rPr/>
      </w:pPr>
      <w:bookmarkEnd w:id="888"/>
      <w:r>
        <w:rPr>
          <w:rFonts w:ascii="Amiri" w:hAnsi="Amiri" w:eastAsia="Amiri" w:cs="Amiri"/>
          <w:color w:val="111111"/>
          <w:sz w:val="28"/>
          <w:sz w:val="28"/>
          <w:szCs w:val="28"/>
          <w:rtl w:val="true"/>
          <w:lang w:bidi="ar-SA"/>
        </w:rPr>
        <w:t xml:space="preserve">ويجوز إسلاف المنافع بالأعيان، وكذا الحقوق والأعمال، إلا أنّه يلزم دفع العين المشتملة على المنفعة في المجلس كما سيجيء </w:t>
      </w:r>
      <w:r>
        <w:rPr>
          <w:rStyle w:val="FootnoteAnchor"/>
          <w:rtl w:val="true"/>
        </w:rPr>
        <w:footnoteReference w:id="2093"/>
      </w:r>
      <w:r>
        <w:rPr>
          <w:rFonts w:ascii="Amiri" w:hAnsi="Amiri" w:eastAsia="Amiri" w:cs="Amiri"/>
          <w:color w:val="111111"/>
          <w:sz w:val="28"/>
          <w:sz w:val="28"/>
          <w:szCs w:val="28"/>
          <w:rtl w:val="true"/>
          <w:lang w:bidi="ar-SA"/>
        </w:rPr>
        <w:t>إن شاء اللّه تعالى، وكذا يلزم تأدية العمل في المجلس، وكذا توفية الحقّ وتفويضه إليه؛ لعدم إمكان قبضه</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3372762_1280447820"/>
      <w:bookmarkStart w:id="890" w:name="_Toc327"/>
      <w:bookmarkEnd w:id="889"/>
      <w:r>
        <w:rPr>
          <w:rtl w:val="true"/>
        </w:rPr>
        <w:t>رابعها</w:t>
      </w:r>
      <w:r>
        <w:rPr>
          <w:rtl w:val="true"/>
        </w:rPr>
        <w:t xml:space="preserve">: </w:t>
      </w:r>
      <w:r>
        <w:rPr>
          <w:rtl w:val="true"/>
        </w:rPr>
        <w:t>اشتراط قبض ثمن السلم في المجلس</w:t>
      </w:r>
      <w:bookmarkEnd w:id="89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ثمن السَّلم قبضه في المجلس؛ للإجماع بقسميه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شرط للصحة كما يلوح من عباراتهم، لا أنّه كاشف عنها عند حصوله، ولا أنّ التفرّق فاسخ للعقد من حينه أو من أصله بعد حصوله، ولا أنّه شرط في اللزوم، ولا أنّه واجب شرعي كما ذكروا في الصرف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للمقبوض سابقاً تجديد نية القبض مع الإذن فيه، وإن كان الأحوط تجديد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والمقبوض بلا إذن سابقاً لا يجزئ إلا مع الإذن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المودع أو المعار بمنزلة المقبوض مع الإذن، وإن كان في البيت لا يحتاج إلى إمساكه باليد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التخلية فيما لا يمكن نقله وقبضه باليد، كالعقار والحقوق ومنافع الغير المستأجرة، ولا يتوقف على استيفائها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بعضاً فقط، صح السَّلم فيه، وبطل في الباقي، وكان للمسلم الخيار فيما قبض؛ لتبعيض الصفقة، إلا إذا كان التبعيض بتفريطه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كون ثمن السَّلَم كليّاً، كما يجوز أن يكون عيناً مشخصة، ولكن يجب دفع فردها</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التفرق، ويجوز تعين الفرد في عين مشخصة، ويجوز تعينها في دَيْنٍ على المسلم إليه فينوي قبضه عن الكلي، ولا يقع التهاتر قهراً مع اتحاد الجنس كما قيل</w:t>
      </w:r>
      <w:r>
        <w:rPr>
          <w:rStyle w:val="FootnoteAnchor"/>
          <w:rtl w:val="true"/>
        </w:rPr>
        <w:footnoteReference w:id="2095"/>
      </w:r>
      <w:r>
        <w:rPr>
          <w:rFonts w:ascii="Amiri" w:hAnsi="Amiri" w:eastAsia="Amiri" w:cs="Amiri"/>
          <w:color w:val="111111"/>
          <w:sz w:val="28"/>
          <w:sz w:val="28"/>
          <w:szCs w:val="28"/>
          <w:rtl w:val="true"/>
          <w:lang w:bidi="ar-SA"/>
        </w:rPr>
        <w:t>لعدم اشتغال ذمة المسلم بشيء للمسلم إليه على الأقوى والأظهر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تعينه في دَيْنٍ للمسلم على آخر، فينوي الغريم قبضه عن المسلم إليه مع رضاه بذلك، ولا يجب على المدين إفرازه ثمّ قبضه عن المسلم إليه في المجلس؛ لأنّ ما في الذمة بمنزلة المقبوض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لا يجب على المسلم إليه قبضه في المجلس، بل لو رضي به صار ثمناً، وإن كان الأحوط قبضه في المجلس؛ لأنّ تشخيص الكلّي في غير العين من الدين سيّما فيما ليس في ذمة المسلم إليه محلّ نظرٍ وتأمل، على أنّه لا يخلو من شبهة بيع الدين بالدين؛ لتشخص الكلي بالدين وانصبابه عليه فيكون منه، إلا أن تعلّق العقد بالكلّي أولاً وبالذات ثم احتساب الدین فرده صيّره بمنزلة الاستيفاء به، لا معاوضة جديدة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يظهر أنّ المسلم لو أحال المسلم إليه بدين له على آخر في المجلس فإن قبضه فيه فلا إشكال؛ لأنّه كالتوكيل في القبض، وإن لم يقبضه في المجلس كان الحكم بالصحّة لا يخلو من إشكال، إلا إذا قلنا بملك المسلم إليه كلّي الثمن حين العقد، والتفرّق فاسخ له من حينه، فهناك تصحّ الحوالة وتكون بمنزلة القبض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الحوالة من البريء تفيد النقل والانتقال، وكلاهما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أحال المسلم إليه على المسلم غريماً له في المجلس، احتملت الصحّة على القول بصحة الحوالة على البريء وإنّها بمنزلة الضمان، والحكم بالفساد مطلقاً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جعل الثمن دَيناً له في ذمة البائع ؟ لعموم الأدلّة، ولأنّ ما في ذمته بمنزلة المقبوض ولأنّ دليل شرط القبض قبل التفرّق هو الإجماع، والمتيقن من انعقاده على الأعيان، فيدخل غيره في عموم دليل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على رجل دراهم فعرض عليه أن يبيعه بها طعاماً إلى أجل مسمى،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وفي ذيله ما يدل على النهي عنه إلا أنّه بحسب سياقه ظاهر في التقيّة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في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كذا وكذا بكذا وكذا فلا بأس</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 xml:space="preserve">. </w:t>
      </w:r>
      <w:bookmarkStart w:id="891" w:name="pg19000_245710"/>
    </w:p>
    <w:p>
      <w:pPr>
        <w:pStyle w:val="BookText"/>
        <w:rPr/>
      </w:pPr>
      <w:bookmarkEnd w:id="891"/>
      <w:r>
        <w:rPr>
          <w:rFonts w:ascii="Amiri" w:hAnsi="Amiri" w:eastAsia="Amiri" w:cs="Amiri"/>
          <w:color w:val="111111"/>
          <w:sz w:val="28"/>
          <w:sz w:val="28"/>
          <w:szCs w:val="28"/>
          <w:rtl w:val="true"/>
          <w:lang w:bidi="ar-SA"/>
        </w:rPr>
        <w:t xml:space="preserve">أو لا يجوز ؟ لعموم النهي عن بيع الدَّيْن بالدَّيْن </w:t>
      </w:r>
      <w:r>
        <w:rPr>
          <w:rStyle w:val="FootnoteAnchor"/>
          <w:rtl w:val="true"/>
        </w:rPr>
        <w:footnoteReference w:id="2098"/>
      </w:r>
      <w:r>
        <w:rPr>
          <w:rFonts w:ascii="Amiri" w:hAnsi="Amiri" w:eastAsia="Amiri" w:cs="Amiri"/>
          <w:color w:val="111111"/>
          <w:sz w:val="28"/>
          <w:sz w:val="28"/>
          <w:szCs w:val="28"/>
          <w:rtl w:val="true"/>
          <w:lang w:bidi="ar-SA"/>
        </w:rPr>
        <w:t xml:space="preserve">، المنجبر بفتوى المشهور، بل الاتفاق ظاهراً على ما قيل </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عام للحال والمؤجل، فيشمل ثمن السَّلَم لو كان دَيْناً حالاً أو مؤجلاً، وعام لما كان قبل العقد، ولما يكون بعده مجاز مشهور أو حقيقة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طعام أو بقر أو غنم فأتى الطالب المطلوب يبتاع منه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يبيعه نسيئةً، وأمّا نقداً فليبعه بما شاء</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إشعار بالمنع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أحوط إن لم يكن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بالسَّلَم بكلّيّ واشتراط أدائه من الدين؛ لعدم دخوله في بيع الدين بالدين قطعاً</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13372764_1280447820"/>
      <w:bookmarkStart w:id="893" w:name="_Toc328"/>
      <w:bookmarkEnd w:id="892"/>
      <w:r>
        <w:rPr>
          <w:rtl w:val="true"/>
        </w:rPr>
        <w:t>خامسها</w:t>
      </w:r>
      <w:r>
        <w:rPr>
          <w:rtl w:val="true"/>
        </w:rPr>
        <w:t xml:space="preserve">: </w:t>
      </w:r>
      <w:r>
        <w:rPr>
          <w:rtl w:val="true"/>
        </w:rPr>
        <w:t>اشتراط كون المسلم فيه كلّيّاً</w:t>
      </w:r>
      <w:bookmarkEnd w:id="89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المسلم فيه أن يكون كلّيّاً، فلا يصح السلم في عين؛ للإجماع ظاهراً من فتاوى الفقهاء، ولأنّه موضوع لفظ السَّلَم لغةً وشرعاً، والمنقول عن السلف كما قيل </w:t>
      </w:r>
      <w:r>
        <w:rPr>
          <w:rStyle w:val="FootnoteAnchor"/>
          <w:rtl w:val="true"/>
        </w:rPr>
        <w:footnoteReference w:id="2101"/>
      </w:r>
      <w:r>
        <w:rPr>
          <w:rFonts w:ascii="Amiri" w:hAnsi="Amiri" w:eastAsia="Amiri" w:cs="Amiri"/>
          <w:color w:val="111111"/>
          <w:sz w:val="28"/>
          <w:sz w:val="28"/>
          <w:szCs w:val="28"/>
          <w:rtl w:val="true"/>
          <w:lang w:bidi="ar-SA"/>
        </w:rPr>
        <w:t>، والذي شهدت به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بالعين الدين الذي يراد تأجيله فيبيعه مؤجلاً على شخص بثمن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في عينٍ أو دَيْنٍ، فإن قصد البيع المطلق صح، وإن قصد خصوص السلم فالأوجه البطلان</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13372766_1280447820"/>
      <w:bookmarkStart w:id="895" w:name="_Toc329"/>
      <w:bookmarkEnd w:id="894"/>
      <w:r>
        <w:rPr>
          <w:rtl w:val="true"/>
        </w:rPr>
        <w:t>سادسها</w:t>
      </w:r>
      <w:r>
        <w:rPr>
          <w:rtl w:val="true"/>
        </w:rPr>
        <w:t xml:space="preserve">: </w:t>
      </w:r>
      <w:r>
        <w:rPr>
          <w:rtl w:val="true"/>
        </w:rPr>
        <w:t>اشتراط كون ثمن السلم معلوماً بالنوع والوصف والقدر</w:t>
      </w:r>
      <w:bookmarkEnd w:id="89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ثمن السَّلَم أن يكون معلوماً بالنوع والوصف، والقدر بالكيل أو الوزن أو العد أو الذرع إذا كان مقدراً بأحد هذه، ولا تكفي المشاهدة في المقدر مطلقاً؛ لتنقيح المناط بين السلم وغيره من أنواع البيوع، ولعموم أدلّة النهي عن الغرر </w:t>
      </w:r>
      <w:r>
        <w:rPr>
          <w:rStyle w:val="FootnoteAnchor"/>
          <w:rtl w:val="true"/>
        </w:rPr>
        <w:footnoteReference w:id="2102"/>
      </w:r>
      <w:r>
        <w:rPr>
          <w:rFonts w:ascii="IRNazanin" w:hAnsi="IRNazanin" w:eastAsia="IRNazanin"/>
          <w:color w:val="111111"/>
          <w:sz w:val="28"/>
          <w:sz w:val="28"/>
          <w:szCs w:val="28"/>
          <w:rtl w:val="true"/>
          <w:lang w:bidi="fa-IR"/>
        </w:rPr>
        <w:t>، ولظاهر الاتفاق</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لم يكن يرى بأساً في السلم في الحيوان بشيءٍ معلوم إلى أجل معلوم</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 xml:space="preserve">. </w:t>
      </w:r>
      <w:bookmarkStart w:id="896" w:name="pg19000_245711"/>
    </w:p>
    <w:p>
      <w:pPr>
        <w:pStyle w:val="BookText"/>
        <w:rPr/>
      </w:pPr>
      <w:bookmarkEnd w:id="896"/>
      <w:r>
        <w:rPr>
          <w:rFonts w:ascii="Amiri" w:hAnsi="Amiri" w:eastAsia="Amiri" w:cs="Amiri"/>
          <w:color w:val="111111"/>
          <w:sz w:val="28"/>
          <w:sz w:val="28"/>
          <w:szCs w:val="28"/>
          <w:rtl w:val="true"/>
          <w:lang w:bidi="ar-SA"/>
        </w:rPr>
        <w:t xml:space="preserve">وخالف المرتضى في ذلك </w:t>
      </w:r>
      <w:r>
        <w:rPr>
          <w:rStyle w:val="FootnoteAnchor"/>
          <w:rtl w:val="true"/>
        </w:rPr>
        <w:footnoteReference w:id="2104"/>
      </w:r>
      <w:r>
        <w:rPr>
          <w:rFonts w:ascii="Amiri" w:hAnsi="Amiri" w:eastAsia="Amiri" w:cs="Amiri"/>
          <w:color w:val="111111"/>
          <w:sz w:val="28"/>
          <w:sz w:val="28"/>
          <w:szCs w:val="28"/>
          <w:rtl w:val="true"/>
          <w:lang w:bidi="ar-SA"/>
        </w:rPr>
        <w:t>، وهو ضعيف بما ذكرنا، وفي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متروك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وخالف جمع </w:t>
      </w:r>
      <w:r>
        <w:rPr>
          <w:rStyle w:val="FootnoteAnchor"/>
          <w:rtl w:val="true"/>
        </w:rPr>
        <w:footnoteReference w:id="2106"/>
      </w:r>
      <w:r>
        <w:rPr>
          <w:rFonts w:ascii="Amiri" w:hAnsi="Amiri" w:eastAsia="Amiri" w:cs="Amiri"/>
          <w:color w:val="111111"/>
          <w:sz w:val="28"/>
          <w:sz w:val="28"/>
          <w:szCs w:val="28"/>
          <w:rtl w:val="true"/>
          <w:lang w:bidi="ar-SA"/>
        </w:rPr>
        <w:t>في المذروع فاكتفوا فيه بالمشاهدة؛ لاندفاع الغرر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لمنع اندفاع الغرر والجهالة عرفاً بذلك، ولأنّه عقد لا يؤمن انفساخه أو تبعض الصفقة فيه أو التنازع فيه، فلزم معرفة قدره لرفع الاختلاف والتشاجر</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3372768_1280447820"/>
      <w:bookmarkStart w:id="898" w:name="_Toc330"/>
      <w:bookmarkEnd w:id="897"/>
      <w:r>
        <w:rPr>
          <w:rtl w:val="true"/>
        </w:rPr>
        <w:t>سابعها</w:t>
      </w:r>
      <w:r>
        <w:rPr>
          <w:rtl w:val="true"/>
        </w:rPr>
        <w:t xml:space="preserve">: </w:t>
      </w:r>
      <w:r>
        <w:rPr>
          <w:rtl w:val="true"/>
        </w:rPr>
        <w:t>اشتراط الضبط بالكيل أو الوزن في المسلّم فيه</w:t>
      </w:r>
      <w:bookmarkEnd w:id="89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فى المسلم فيه الضبط بالكيل أو الوزن، سواء كان مما يكال أو يوزن أو كان مما تكفي فيه المشاهدة والمعاينة إذا بيع مشاهدةً ومعاينة، وذلك لعدم جواز السَّلَم في المشاهد والمعاين، إلا إذا كان المشاهد في ضمن جملة فيسلم في بعضها في وجه، والمنع منه أقرب كما سيجيء </w:t>
      </w:r>
      <w:r>
        <w:rPr>
          <w:rStyle w:val="FootnoteAnchor"/>
          <w:rtl w:val="true"/>
        </w:rPr>
        <w:footnoteReference w:id="210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وسواء كان من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يكثر فيه التفاوت كالرمان والباذنجان والبيض والبطيخ، وإن كان ممّا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واللوز والبندق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الجواز في ذلك لارتفاع الغرر به دون القسم الأول؛ أو كان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وأطلق بعضهم </w:t>
      </w:r>
      <w:r>
        <w:rPr>
          <w:rStyle w:val="FootnoteAnchor"/>
          <w:rtl w:val="true"/>
        </w:rPr>
        <w:footnoteReference w:id="2109"/>
      </w:r>
      <w:r>
        <w:rPr>
          <w:rFonts w:ascii="Amiri" w:hAnsi="Amiri" w:eastAsia="Amiri" w:cs="Amiri"/>
          <w:color w:val="111111"/>
          <w:sz w:val="28"/>
          <w:sz w:val="28"/>
          <w:szCs w:val="28"/>
          <w:rtl w:val="true"/>
          <w:lang w:bidi="ar-SA"/>
        </w:rPr>
        <w:t>المنع في المعدود؛ لمكان الغرر في المعدود مطلقاً مع عدم مشاهدته، وهو يوافق الاحتياط</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فلا يجوز السَّلَم في الحطب حمولاً، ولا في التبن كذلك، ولا في الماء قرباً، ولا في الخشب حزماً، ولا في القصب أطناناً، ولا في البطيخ والرمان وشبههما عداً، ولا بالمكيل أو الموزون جزافاً، كلّ ذلك للإجماع في جملةٍ منها، ولعموم النهي عن بيع الغرر </w:t>
      </w:r>
      <w:r>
        <w:rPr>
          <w:rStyle w:val="FootnoteAnchor"/>
          <w:rtl w:val="true"/>
        </w:rPr>
        <w:footnoteReference w:id="2110"/>
      </w:r>
      <w:r>
        <w:rPr>
          <w:rFonts w:ascii="Amiri" w:hAnsi="Amiri" w:eastAsia="Amiri" w:cs="Amiri"/>
          <w:color w:val="111111"/>
          <w:sz w:val="28"/>
          <w:sz w:val="28"/>
          <w:szCs w:val="28"/>
          <w:rtl w:val="true"/>
          <w:lang w:bidi="ar-SA"/>
        </w:rPr>
        <w:t>، وللأخبار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أسلف فليسلف في كيل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كيلاً معلوماً إلى أجل معلوم</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منها ومن حديث الغرر </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المكيل معلوماً معتاداً بين عامة أهل ذلك البلد، وكذا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الاتفاق على كيلةٍ أو قدر صخرة بين المتعاقدين ليسا بمعتادين؛ لظاهر الإجماع، ولحديث الغرر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w:t>
      </w:r>
      <w:r>
        <w:rPr>
          <w:rStyle w:val="FootnoteAnchor"/>
          <w:rtl w:val="true"/>
        </w:rPr>
        <w:footnoteReference w:id="2115"/>
      </w:r>
      <w:r>
        <w:rPr>
          <w:rFonts w:ascii="Amiri" w:hAnsi="Amiri" w:eastAsia="Amiri" w:cs="Amiri"/>
          <w:color w:val="111111"/>
          <w:sz w:val="28"/>
          <w:sz w:val="28"/>
          <w:szCs w:val="28"/>
          <w:rtl w:val="true"/>
          <w:lang w:bidi="ar-SA"/>
        </w:rPr>
        <w:t>للرجل أن يبيع بصاع غير صاع المصر</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يصغّرون القفزان يبيعون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يبخسون الناس أشياءهم</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عين المتعاقدان ظرفاً للكيل معيّناً فيما يباع جزافاً كقربة خاصة أو آنية يكال فيها التبن مثلاً، أو حملاً خاصاً، أو عيّنا كيلةً خاصة مما يكال معتاداً وكانت من أفراد الكيل المعتاد ولكن شرطا أنّ الكيل بها، بطل السَّلَم في وجه قويّ؛ لعدم مأمونية الانقطاع، وعموم الوجود، كما سيجيء بيانه </w:t>
      </w:r>
      <w:r>
        <w:rPr>
          <w:rStyle w:val="FootnoteAnchor"/>
          <w:rtl w:val="true"/>
        </w:rPr>
        <w:footnoteReference w:id="211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رد الكيل للوزن والسلم فيه موزوناً؛ لاندفاع الغرر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العكس وجه؛ لاندفاع الغرر، ورواية </w:t>
      </w:r>
      <w:r>
        <w:rPr>
          <w:rStyle w:val="FootnoteAnchor"/>
          <w:rtl w:val="true"/>
        </w:rPr>
        <w:footnoteReference w:id="2119"/>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اندفاع الغرر تأمل، وفي دلالة رواية وهب على ذلك منع، وقد يحصل من ردّ الجزاف إلى الكيل والوزن مع عدم مشاهدتهما غرر كثير في بعض الموارد، فالحكم بجواز الرد مطلقاً محتاج إلى تأمل، والاحتياط غير خفيٍّ</w:t>
      </w:r>
      <w:r>
        <w:rPr>
          <w:rFonts w:eastAsia="Amiri" w:cs="Amiri" w:ascii="Amiri" w:hAnsi="Amiri"/>
          <w:color w:val="111111"/>
          <w:sz w:val="28"/>
          <w:szCs w:val="28"/>
          <w:rtl w:val="true"/>
          <w:lang w:bidi="ar-SA"/>
        </w:rPr>
        <w:t xml:space="preserve">. </w:t>
      </w:r>
      <w:bookmarkStart w:id="899" w:name="pg19000_245713"/>
    </w:p>
    <w:p>
      <w:pPr>
        <w:pStyle w:val="BookText"/>
        <w:rPr/>
      </w:pPr>
      <w:bookmarkEnd w:id="899"/>
      <w:r>
        <w:rPr>
          <w:rFonts w:ascii="Amiri" w:hAnsi="Amiri" w:eastAsia="Amiri" w:cs="Amiri"/>
          <w:color w:val="111111"/>
          <w:sz w:val="28"/>
          <w:sz w:val="28"/>
          <w:szCs w:val="28"/>
          <w:rtl w:val="true"/>
          <w:lang w:bidi="ar-SA"/>
        </w:rPr>
        <w:t>والظاهر أنّ هذا الحكم شامل لكلّ كلّيّ مؤجّل، بل وللحال أيضاً تنقيحاً للعلة المانعة من لزوم الجهالة والغرر، فلا يخص السلم وإن اختص بذكره فيه</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3372770_1280447820"/>
      <w:bookmarkStart w:id="901" w:name="_Toc331"/>
      <w:bookmarkEnd w:id="900"/>
      <w:r>
        <w:rPr>
          <w:rtl w:val="true"/>
        </w:rPr>
        <w:t>ثامنها</w:t>
      </w:r>
      <w:r>
        <w:rPr>
          <w:rtl w:val="true"/>
        </w:rPr>
        <w:t xml:space="preserve">: </w:t>
      </w:r>
      <w:r>
        <w:rPr>
          <w:rtl w:val="true"/>
        </w:rPr>
        <w:t>اشتراط التأجيل إلى أجل معلوم مضبوط في المسلم فيه</w:t>
      </w:r>
      <w:bookmarkEnd w:id="901"/>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المسلم فيه التأجيل إلى أجل معلوم مضبوط واقعاً وعند المتعاقدين بحيث يعرفانه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الأجل فتدلّ عليه ظواهر الأخبار المتكثّرة في باب السلم المقيدة فيه كونه إلى أجل معلوم </w:t>
      </w:r>
      <w:r>
        <w:rPr>
          <w:rStyle w:val="FootnoteAnchor"/>
          <w:rtl w:val="true"/>
        </w:rPr>
        <w:footnoteReference w:id="2120"/>
      </w:r>
      <w:r>
        <w:rPr>
          <w:rFonts w:ascii="Amiri" w:hAnsi="Amiri" w:eastAsia="Amiri" w:cs="Amiri"/>
          <w:color w:val="111111"/>
          <w:sz w:val="28"/>
          <w:sz w:val="28"/>
          <w:szCs w:val="28"/>
          <w:rtl w:val="true"/>
          <w:lang w:bidi="ar-SA"/>
        </w:rPr>
        <w:t xml:space="preserve">، وظاهرها أنّ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مدخلية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أنّها مسوقة لبيان اشتراط المعلومية في الأجل بعد الإتيان لا لبيان اشتراطه نفسه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تدلّ عليه ظواهر الفتاوى،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وظواهر الإجماعات المنقولة </w:t>
      </w:r>
      <w:r>
        <w:rPr>
          <w:rStyle w:val="FootnoteAnchor"/>
          <w:rtl w:val="true"/>
        </w:rPr>
        <w:footnoteReference w:id="2121"/>
      </w:r>
      <w:r>
        <w:rPr>
          <w:rFonts w:ascii="Amiri" w:hAnsi="Amiri" w:eastAsia="Amiri" w:cs="Amiri"/>
          <w:color w:val="111111"/>
          <w:sz w:val="28"/>
          <w:sz w:val="28"/>
          <w:szCs w:val="28"/>
          <w:rtl w:val="true"/>
          <w:lang w:bidi="ar-SA"/>
        </w:rPr>
        <w:t xml:space="preserve">وكلام الأصحاب متسالم عليه، وعن الشيخ أنّه احتج بإجماع الفرقة على الصحّة مع الأجل، وما عداه لا دليل عليه </w:t>
      </w:r>
      <w:r>
        <w:rPr>
          <w:rStyle w:val="FootnoteAnchor"/>
          <w:rtl w:val="true"/>
        </w:rPr>
        <w:footnoteReference w:id="2122"/>
      </w:r>
      <w:r>
        <w:rPr>
          <w:rFonts w:ascii="Amiri" w:hAnsi="Amiri" w:eastAsia="Amiri" w:cs="Amiri"/>
          <w:color w:val="111111"/>
          <w:sz w:val="28"/>
          <w:sz w:val="28"/>
          <w:szCs w:val="28"/>
          <w:rtl w:val="true"/>
          <w:lang w:bidi="ar-SA"/>
        </w:rPr>
        <w:t>،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 داخل في موضوع لفظ السلم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اشتراط الأجل فيه ضعيف</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والاستناد إلى الأصل وإلى رواية عبد الرحمن عمّن يشتري الطعام ممن ليس عنده فيشتري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يقولون في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أجل، فإذا كان إلى غير أجلٍ وليس هو عند صاحبه فلا يصلح،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أجل 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يشتري الطعام وليس هو عند صاحبه إلى أجل وحالاً لا يُسمّي له أجلاً</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 لا وجه له؛ لانقطاع الأصل إن لم يكن مغلوباً، ولعدم دلالة الرواية على صحّة السلم حالاً، بل غاية ما تدلّ عليه جواز بيع الكلّي حالاً ومؤجلاً، وهو أمر معلوم،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تخلو من إشعار باشتراط الأجل في السَّلَم، كما يلوح من صدرها</w:t>
      </w:r>
      <w:r>
        <w:rPr>
          <w:rFonts w:eastAsia="Amiri" w:cs="Amiri" w:ascii="Amiri" w:hAnsi="Amiri"/>
          <w:color w:val="111111"/>
          <w:sz w:val="28"/>
          <w:szCs w:val="28"/>
          <w:rtl w:val="true"/>
          <w:lang w:bidi="ar-SA"/>
        </w:rPr>
        <w:t xml:space="preserve">. </w:t>
      </w:r>
      <w:bookmarkStart w:id="902" w:name="pg19000_245714"/>
    </w:p>
    <w:p>
      <w:pPr>
        <w:pStyle w:val="BookText"/>
        <w:rPr/>
      </w:pPr>
      <w:bookmarkEnd w:id="902"/>
      <w:r>
        <w:rPr>
          <w:rFonts w:ascii="Amiri" w:hAnsi="Amiri" w:eastAsia="Amiri" w:cs="Amiri"/>
          <w:color w:val="111111"/>
          <w:sz w:val="28"/>
          <w:sz w:val="28"/>
          <w:szCs w:val="28"/>
          <w:rtl w:val="true"/>
          <w:lang w:bidi="ar-SA"/>
        </w:rPr>
        <w:t>نعم، ها هنا مسألة ثانية، وهي جواز استعمال صيغة السَّلَم في المبيع الحال بقصد البيع المطلق، أو مع الخلوّ عن قصد ذلك، أو مع قصد السلمية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جواز الأولين بناءً على أنّه من المجازات المتعارفة القريبة الصريحة في إنشاء البيع، ويجوز استعمال ما هو كذلك من المجازات في الصيغ الخاصة، ويحصل بها النقل والانتقال، ولا يتفاوت بين وقوعه على المبيع نفسه أو على ثمنه، عيناً كان الثمن أو منفعة، وإن كان الحكم بصحة الأخير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فالأقوى والأظهر عدم جوازه؛ لأنّ قصد السَّلَمية ملازم لقصد الأجل، وقصده ينافي قصد البيع المطلق، والعقود تابعة للقصود، فلو وقع البيع المطلق كان بمنزلة ما وقع لم يُقصد وما قصد لم يقع، وهو باطل</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3372772_1280447820"/>
      <w:bookmarkStart w:id="904" w:name="_Toc332"/>
      <w:bookmarkEnd w:id="903"/>
      <w:r>
        <w:rPr>
          <w:rtl w:val="true"/>
        </w:rPr>
        <w:t>تاسعها</w:t>
      </w:r>
      <w:r>
        <w:rPr>
          <w:rtl w:val="true"/>
        </w:rPr>
        <w:t xml:space="preserve">: </w:t>
      </w:r>
      <w:r>
        <w:rPr>
          <w:rtl w:val="true"/>
        </w:rPr>
        <w:t>في أنّه لابد من حراسة الأجل من الجهالة</w:t>
      </w:r>
      <w:bookmarkEnd w:id="904"/>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حراسة الأجل من الجهالة لمكان الغرر، ولأن للأجل قسطاً من الثمن وللإجماع، وللأخبار الخاصة المقيدة للأجل بالمعلومية </w:t>
      </w:r>
      <w:r>
        <w:rPr>
          <w:rStyle w:val="FootnoteAnchor"/>
          <w:rtl w:val="true"/>
        </w:rPr>
        <w:footnoteReference w:id="2124"/>
      </w:r>
      <w:r>
        <w:rPr>
          <w:rFonts w:ascii="Amiri" w:hAnsi="Amiri" w:eastAsia="Amiri" w:cs="Amiri"/>
          <w:color w:val="111111"/>
          <w:sz w:val="28"/>
          <w:sz w:val="28"/>
          <w:szCs w:val="28"/>
          <w:rtl w:val="true"/>
          <w:lang w:bidi="ar-SA"/>
        </w:rPr>
        <w:t xml:space="preserve">، فلا يجوز السلم إلى وقت مجهول عند المتعاقدين، كظهور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وقدوم الحاج، وإدراك الغلة، وإلى حصاد ودياس، ويكفي إلى هلال الشهر أو آخره وإن احتمل زيادته ونقصه بالهلال؛ لانضباطه عرفاً، والتسامح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التوقيت بشهور الفرس والروم، وبيوم النيروز والمهرجان، وفصح النصارى أو فطير اليهود مع معرفة المتعاقدين بتلك الاصطلاحات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الأجل بلفظ مشترك لفظي بين زمانين متأخر ومتقدم كربيع وجمادي، أو بين فعلين في زمانٍ متقدّم ومتأخر، أو مشترك معنوي كذلك، كالجمعة والسبت ورجب وشعبان ونفر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عيّن أحد الأفراد وذكر ما عيّن فلا كلام، وإن نسيه جاء احتمال القرعة، والأخذ بالأزيد؛ للاستصحاب، وبالأقل؛ للأصل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يعيّن جاء احتمال البطلان واحتمال الصحّة؛ لأن الحمل عليها مهما أمكن أولى فيُحمل على أوّل جزءٍ من أوّل معاني المشترك؛ لأنّ الحكم عليه بإرادة معيّن لم يبينه منافٍ للحكمة، وإرادة معيّن بعينه ترجيح بلا مرجّح، وبإرادة المبهم لا محصل لها، وبإرادة كلّ من </w:t>
      </w:r>
    </w:p>
    <w:p>
      <w:pPr>
        <w:pStyle w:val="BookText"/>
        <w:rPr/>
      </w:pPr>
      <w:r>
        <w:rPr>
          <w:rFonts w:ascii="Amiri" w:hAnsi="Amiri" w:eastAsia="Amiri" w:cs="Amiri"/>
          <w:color w:val="111111"/>
          <w:sz w:val="28"/>
          <w:sz w:val="28"/>
          <w:szCs w:val="28"/>
          <w:rtl w:val="true"/>
          <w:lang w:bidi="ar-SA"/>
        </w:rPr>
        <w:t>المعنيين لا وجه لها، فليس إلا أنّه أراد المفهوم الكلّي، وهو المسمى في المشترك اللفظي، والطبيعة في المشترك المعنوي، والمفهوم الكلّي يحصل بحصول جزء منه، فيكون هو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بالصحّة، والحمل على أوّل شهرٍ، لا لما ذكرنا، بل لحكم العرف بالانصراف إليه ؛ لظهوره في مثل هذا المقام وأقربيته من 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لأن انصراف الإطلاق إليه في الآجال ممّا لا ينكر سيّما في المشترك المعنوي في الأشهر وأيام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تعريف أيام الأسبوع فينصرف إلى الأوَّل، وتكون اللام فيه عهديةً، وبين تنكيرها فيبطل؛ للجهالة، وهو قريب لفهم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فالأجل المعلّق على يوم أو شهرٍ أو غدٍ أو نحو ذلك يحلّ بحصول أوله؛ لأنّه المفهوم عرفاً، ولأنّ المتيقن من انتهاء تأخير التسليم الانتهاء إلى أوّل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أنّ محلّ التأدية جميع اليوم أو الشهر،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يوم الجمعة أو رمضان، احتمل البطلان؛ للجهالة، واحتملت الصحّة، وتكون جميع المدة ظرفاً للأداء، فيتخيّر البائع في إجرائها في التأدية، ويجب القبول منه متى أدى، واحتملت الصحّة وتكون الغاية هي الآخر، وتلحق توسعة ما قبل الآخر بما قبل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صرّح بالأول والآخر من يوم أو شهر، احتمل البطلان؛ لجهالة الأوّل والآخر، واحتملت الصحّة وانصرافه إلى الأوّل حقيقة، والأخرى كذلك، واحتملت الصحّة وانصرافه إلى الأوّل والآخر العرفيين، وتكون مدتهما ظرفاً للأداء مخيّراً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 الأجل بوسط الشهر احتمل البطلان؛ لجهالة الوسط؛ لعدم العلم بانتهائه في التاسع والعشرين أو الثلاثين، واحتملت الصحّة بالحمل على اليوم الخامس عشر، أو الوسط العرفي، وعليهما فهل يكون جميع الوسط ظرفاً للأداء، أو يتعيّن بأوّل الوسط، أو يتعيّن بوسط الوسط الحقيقي ؟ وجوه، أوجهها الوسط</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وتحمل السنون والأشهر في باب الآجال على الهلالية، فتعتبر بالأهلة ما لم يكن فيها منكسر، كأن وقع العقد مقارناً للهلال، ولا يضر تفاوت الساعة والساعتين، وإن كان في الشهر منكسر، كأن وقع العقد في خلال الشهر، صار وقوعه قرينة على عدم إرادة الهلالي؛ لأن الظاهر دخول الكسر واتصاله بالعقد، فلا يمكن كونه هلالياً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يتم هذا المنكسر بشهرٍ عددي أو يتم بشهرٍ هلالي، كأن يُكمل أيامه بعد انتهائه بقدر ما فات منه من الهلال إلى حين العقد ؟ وجهان، والأوجه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 الأجل إلى ثلاثة أشهر وكان الأوّل منكسراً، أكمل الأوّل من الرابع عدديّاً لا هلاليّاً، واحتسبت الباقية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انكسار الجميع واحتسابها عدديةٌ أو هلالية بعيد؛ لعدم الاحتياج إليه، ولصدق مضي ثلاثة أشهر حينئذٍ، وصدق مضي شهرين ونصف لو مضى شهران هلاليان ونصف عددي، فلا يفتقر إلا إلى تكملته نصف شهر 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المنكسر منه يلفّق من يومٍ آخر بعد تمام العدة، ولا يسقط احتسابه مطلقاً، كما لا يجوز احتسابه يوماً تاماً مطلقاً، قليلاً كان الكسر أو كثيراً، مع احتمال احتسابه يوماً تاماً مع قلة الكسر، وسقوطه مع كثرته، وتلفيقه مع توسّطه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يفهمه أهل العرف في الأيام المنكسرة هو الأوَّل، فكأنه صار مجازاً مشهوراً في أمثال هذه المقامات، فيقدم على إرادة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 فإن قارن الهلال كان الأجل آخره، وإلا فالأجل إلى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عين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كرجب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فالأجل أوّله، ولو بقي منه يوم قارن التأجيل أوله كان قرينة على إرادة آخره وحملاً للعقد على الصحّة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الصحّة وسقوط الأجل فيكون ذكره لغواً بعيد، والعمدة في الحكم بذلك فهم العرف، ولأنّ المبهم لو أُريد به أوّله لخلا الأجل عن الفائدة؛ لتحقق أوّله بعد تمام العقد، ولو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ريد به كلّ هلالي، يقع بعد العقد؛ لمنافاة فهم أهل العرف؛ لأنّهم يفهمون إرادة تمام العدة، وإلا لعدلوا إلى المعين، ولا احتياج إلى تعليل ذلك بأنّ المغيّى في المبهم مسمّى المدة وهو لا يصدق إلا بالمجموع، وفي المعيّن مسمّاه وهو يحصل بأوّل جزءٍ منه، ولا إلى أنّ الغاية في المعيّن مفصولة بمفصل محسوس فتخرج، وفي المبهم غير مفصولة فتدخل؛ لإمكان توجه النظر إلى ذلك كله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لفظ اليوم حقيقة في التام، واستعماله في الملفّق مجاز مشهور تقضي به قرائن الأحوال، ومع جمعه يكون من استعمال اللفظ في حقيقته ومجازه إن سوّغناه، أو من باب </w:t>
      </w:r>
      <w:bookmarkStart w:id="905" w:name="pg19000_245717"/>
    </w:p>
    <w:p>
      <w:pPr>
        <w:pStyle w:val="BookText"/>
        <w:rPr/>
      </w:pPr>
      <w:bookmarkEnd w:id="905"/>
      <w:r>
        <w:rPr>
          <w:rFonts w:ascii="Amiri" w:hAnsi="Amiri" w:eastAsia="Amiri" w:cs="Amiri"/>
          <w:color w:val="111111"/>
          <w:sz w:val="28"/>
          <w:sz w:val="28"/>
          <w:szCs w:val="28"/>
          <w:rtl w:val="true"/>
          <w:lang w:bidi="ar-SA"/>
        </w:rPr>
        <w:t>عموم المجاز، كما أن الشهر حقيقة في الهلالي دون العددي، أو مشترك لفظي أظهر فرديه الهلالي، أو معنوي وهو عدة من أيام لا يتأخر عنها الهلال تحقيقاً كالهلالي، أو تقديراً كالعددي، وأظهر فرديه الهلالي أيضاً، ولكن قرائن الأحوال تصرفه إلى العددي أو إلى المعنى العام لهما، كما إذا جمع أو ثنّى، وقد يظهر من العرف فيمن نذر صوم شهر أو استأجر على عمل شهر، أو نذر صوم سنة أو استأجر على عمل سنة إرادة العددي دون الهلالي؛ وكأنه لغلبة الانكسار وإرادة العمل في المنكسر فيكون ذلك</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3372774_1280447820"/>
      <w:bookmarkStart w:id="907" w:name="_Toc333"/>
      <w:bookmarkEnd w:id="906"/>
      <w:r>
        <w:rPr>
          <w:rtl w:val="true"/>
        </w:rPr>
        <w:t xml:space="preserve">عاشرها </w:t>
      </w:r>
      <w:r>
        <w:rPr>
          <w:rtl w:val="true"/>
        </w:rPr>
        <w:t xml:space="preserve">: </w:t>
      </w:r>
      <w:r>
        <w:rPr>
          <w:rtl w:val="true"/>
        </w:rPr>
        <w:t>اشتراط إمكان وجود المسلم فيه عند حلول الأجل</w:t>
      </w:r>
      <w:bookmarkEnd w:id="907"/>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السلم إمكان وجود المسلم فيه عند حلول الأجل ليصح التسليم، ولا يضر امتناعه قبله وعبّر بعضهم </w:t>
      </w:r>
      <w:r>
        <w:rPr>
          <w:rStyle w:val="FootnoteAnchor"/>
          <w:rtl w:val="true"/>
        </w:rPr>
        <w:footnoteReference w:id="2125"/>
      </w:r>
      <w:r>
        <w:rPr>
          <w:rFonts w:ascii="Amiri" w:hAnsi="Amiri" w:eastAsia="Amiri" w:cs="Amiri"/>
          <w:color w:val="111111"/>
          <w:sz w:val="28"/>
          <w:sz w:val="28"/>
          <w:szCs w:val="28"/>
          <w:rtl w:val="true"/>
          <w:lang w:bidi="ar-SA"/>
        </w:rPr>
        <w:t xml:space="preserve">عن ذلك باشتراط القدرة على التسليم ذلك الوقت، وآخر </w:t>
      </w:r>
      <w:r>
        <w:rPr>
          <w:rStyle w:val="FootnoteAnchor"/>
          <w:rtl w:val="true"/>
        </w:rPr>
        <w:footnoteReference w:id="2126"/>
      </w:r>
      <w:r>
        <w:rPr>
          <w:rFonts w:ascii="Amiri" w:hAnsi="Amiri" w:eastAsia="Amiri" w:cs="Amiri"/>
          <w:color w:val="111111"/>
          <w:sz w:val="28"/>
          <w:sz w:val="28"/>
          <w:szCs w:val="28"/>
          <w:rtl w:val="true"/>
          <w:lang w:bidi="ar-SA"/>
        </w:rPr>
        <w:t xml:space="preserve">عبر بغلبة الوجود عند الحلول، وثالث </w:t>
      </w:r>
      <w:r>
        <w:rPr>
          <w:rStyle w:val="FootnoteAnchor"/>
          <w:rtl w:val="true"/>
        </w:rPr>
        <w:footnoteReference w:id="2127"/>
      </w:r>
      <w:r>
        <w:rPr>
          <w:rFonts w:ascii="IRNazanin" w:hAnsi="IRNazanin" w:eastAsia="IRNazanin"/>
          <w:color w:val="111111"/>
          <w:sz w:val="28"/>
          <w:sz w:val="28"/>
          <w:szCs w:val="28"/>
          <w:rtl w:val="true"/>
          <w:lang w:bidi="fa-IR"/>
        </w:rPr>
        <w:t xml:space="preserve">عبر بعموم الوجود، ورابع </w:t>
      </w:r>
      <w:r>
        <w:rPr>
          <w:rStyle w:val="FootnoteAnchor"/>
          <w:rtl w:val="true"/>
        </w:rPr>
        <w:footnoteReference w:id="2128"/>
      </w:r>
      <w:r>
        <w:rPr>
          <w:rFonts w:ascii="Amiri" w:hAnsi="Amiri" w:eastAsia="Amiri" w:cs="Amiri"/>
          <w:color w:val="111111"/>
          <w:sz w:val="28"/>
          <w:sz w:val="28"/>
          <w:szCs w:val="28"/>
          <w:rtl w:val="true"/>
          <w:lang w:bidi="ar-SA"/>
        </w:rPr>
        <w:t xml:space="preserve">، عبر بمأمونية الانقطاع، ونُقل الإجماع على هذا الشرط </w:t>
      </w:r>
      <w:r>
        <w:rPr>
          <w:rStyle w:val="FootnoteAnchor"/>
          <w:rtl w:val="true"/>
        </w:rPr>
        <w:footnoteReference w:id="2129"/>
      </w:r>
      <w:r>
        <w:rPr>
          <w:rFonts w:ascii="Amiri" w:hAnsi="Amiri" w:eastAsia="Amiri" w:cs="Amiri"/>
          <w:color w:val="111111"/>
          <w:sz w:val="28"/>
          <w:sz w:val="28"/>
          <w:szCs w:val="28"/>
          <w:rtl w:val="true"/>
          <w:lang w:bidi="ar-SA"/>
        </w:rPr>
        <w:t>، مع التعبير عنه بالعبارات الأخيرة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أنّ هذا الشرط أمر زائد على اشتراط القدرة على التسليم التي هي شرط في أصل البيع، بل هو شرط لخصوص السَّلَم، فلا يسري لبيع كلّ كلّي، ولا لبيع كلّ كلّي مؤجل أيضاً؛ لأصالة عدم اشتراط أمر زائد على إمكان التسليم والقدرة عليه فيهما، سواء ندر وجوده أو كثر، وسواء تيسّر تحصيله بسهولةٍ أو كان مما يصعب تحصيله؛ لوجوده في مكانٍ آخر يعسر نقله إلّا بمشقّةٍ، على أنّه يمكن تنزيل العبارات الأولية على العبارات الأخيرة بقرينة إفرادهم لهذا الشرط عن اشتراط القدرة على التسليم وعدم اكتفائهم ها هنا بها وبقرينة أنّ جُلّ الذاكرين لهذا الشرط صرّحوا في مقامٍ آخر ببطلان السَّلَم إذا أدى إلى عزة الوجود وندرته، وظاهر ذلك أنّه أمر وراء القدرة على التسليم وإمكانها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بعض من المتأخرين من الاكتفاء بوجوده والقدرة على تسليمه ولو بظنّ </w:t>
      </w:r>
      <w:bookmarkStart w:id="908" w:name="pg19000_245718"/>
    </w:p>
    <w:p>
      <w:pPr>
        <w:pStyle w:val="BookText"/>
        <w:rPr/>
      </w:pPr>
      <w:bookmarkEnd w:id="908"/>
      <w:r>
        <w:rPr>
          <w:rFonts w:ascii="Amiri" w:hAnsi="Amiri" w:eastAsia="Amiri" w:cs="Amiri"/>
          <w:color w:val="111111"/>
          <w:sz w:val="28"/>
          <w:sz w:val="28"/>
          <w:szCs w:val="28"/>
          <w:rtl w:val="true"/>
          <w:lang w:bidi="ar-SA"/>
        </w:rPr>
        <w:t>البائع؛ 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يشتري الطعام وليس هو عند صاحبه إلى أجل وحالاً لا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 إلا أن يكون بيعاً لا يوجد مثل العنب والبطيخ في غير زمانه</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اشترى طعام قرية بعينها،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يشتري طعام قرية بعينها، وإن لم يُسمّ له قريةٍ بعينها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 xml:space="preserve">والمشترطون لعموم الوجود لا يجوزون السَّلَم في طعام قريةٍ بعينها </w:t>
      </w:r>
      <w:r>
        <w:rPr>
          <w:rStyle w:val="FootnoteAnchor"/>
          <w:rtl w:val="true"/>
        </w:rPr>
        <w:footnoteReference w:id="2133"/>
      </w:r>
      <w:r>
        <w:rPr>
          <w:rFonts w:ascii="Amiri" w:hAnsi="Amiri" w:eastAsia="Amiri" w:cs="Amiri"/>
          <w:color w:val="111111"/>
          <w:sz w:val="28"/>
          <w:sz w:val="28"/>
          <w:szCs w:val="28"/>
          <w:rtl w:val="true"/>
          <w:lang w:bidi="ar-SA"/>
        </w:rPr>
        <w:t xml:space="preserve">، ضعيف لا يعارض ما قدمنا من الإجماع المحكي والشهرة المحصلة والمنقولة </w:t>
      </w:r>
      <w:r>
        <w:rPr>
          <w:rStyle w:val="FootnoteAnchor"/>
          <w:rtl w:val="true"/>
        </w:rPr>
        <w:footnoteReference w:id="2134"/>
      </w:r>
      <w:r>
        <w:rPr>
          <w:rFonts w:ascii="Amiri" w:hAnsi="Amiri" w:eastAsia="Amiri" w:cs="Amiri"/>
          <w:color w:val="111111"/>
          <w:sz w:val="28"/>
          <w:sz w:val="28"/>
          <w:szCs w:val="28"/>
          <w:rtl w:val="true"/>
          <w:lang w:bidi="ar-SA"/>
        </w:rPr>
        <w:t xml:space="preserve">، على أنّه يمكن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الأُولى على ما لا يوجد غالباً، ونلتزم منع بيع ما لا يوجد غالباً حتّى في الحال، أو يبقى على معناه ويكون قيداً للحال، فيكون المؤجل مسكوتاً عنه، فلا ينافي اشتراط الزيادة فيه، أو يكون قيداً لهما، فيكون دلالته على اتحادهما في الشرطيّة بالمفهوم الضعيف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الروايتان الأخيرتان فتحملان </w:t>
      </w:r>
      <w:r>
        <w:rPr>
          <w:rStyle w:val="FootnoteAnchor"/>
          <w:rtl w:val="true"/>
        </w:rPr>
        <w:footnoteReference w:id="2135"/>
      </w:r>
      <w:r>
        <w:rPr>
          <w:rFonts w:ascii="Amiri" w:hAnsi="Amiri" w:eastAsia="Amiri" w:cs="Amiri"/>
          <w:color w:val="111111"/>
          <w:sz w:val="28"/>
          <w:sz w:val="28"/>
          <w:szCs w:val="28"/>
          <w:rtl w:val="true"/>
          <w:lang w:bidi="ar-SA"/>
        </w:rPr>
        <w:t>على القرية الكبيرة المقطوع بحصول الغلة فيها عادة؛ جمعاً بينهما وبين كلام الأصحاب أولى من إبقائهما على إطلاقهما، ولو سلمنا إبقاءهما فلا نسلّم أن موردهما السّلم، بل الظاهر منهما إرادة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إطلاق الفتوى والإجماع المنقول هو اشتراط عمومية الوجود ذاتاً ووصفاً ومكاناً وظرفاً ومكيالاً ومتعلّقاً، وأن يكون عام الوجود في محلّ أداء المسلم فيه المشروط أو المنصرف إليه الإطلاق أو فيما يقرب إليه بحيث يعتاد نقله إليه، ولا يكفي وجوده في قطرٍ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شرط،واقعيّ، فلو عقدا بزعمهما عموم الوجود فبان العكس تبين بطلان البيع، ولو زعما الندرة فبان الخلاف صح</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3372776_1280447820"/>
      <w:bookmarkStart w:id="910" w:name="_Toc334"/>
      <w:bookmarkEnd w:id="909"/>
      <w:r>
        <w:rPr>
          <w:rtl w:val="true"/>
        </w:rPr>
        <w:t>حادي عشرها</w:t>
      </w:r>
      <w:r>
        <w:rPr>
          <w:rtl w:val="true"/>
        </w:rPr>
        <w:t xml:space="preserve">: </w:t>
      </w:r>
      <w:r>
        <w:rPr>
          <w:rtl w:val="true"/>
        </w:rPr>
        <w:t>وجود المسلم فيه عند حلول الأجل شرط للسلم حين العقد وإن تأخر حصوله</w:t>
      </w:r>
      <w:bookmarkEnd w:id="910"/>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الشرط شرط للسَّلم حين العقد وإن تأخر حصوله، فلو </w:t>
      </w:r>
    </w:p>
    <w:p>
      <w:pPr>
        <w:pStyle w:val="BookText"/>
        <w:rPr/>
      </w:pPr>
      <w:r>
        <w:rPr>
          <w:rFonts w:ascii="Amiri" w:hAnsi="Amiri" w:eastAsia="Amiri" w:cs="Amiri"/>
          <w:color w:val="111111"/>
          <w:sz w:val="28"/>
          <w:sz w:val="28"/>
          <w:szCs w:val="28"/>
          <w:rtl w:val="true"/>
          <w:lang w:bidi="ar-SA"/>
        </w:rPr>
        <w:t xml:space="preserve">كان حين العقد ممّا يعتاد حصوله عند الحلول فاتفق أنّه ندر فلم يحصل صح العقد، وإن انعكس الحال فسد، إلا أن للمشتري الخيار في الأوّل بين الفسخ والصبر، كما إذا انقطع المسلم فيه بعد عموم الوجود لجائحة أو وُجد فأخّر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التسليم إلى أن انقطع بعد ذلك العام، فإنّ الحكم في الجميع الخيار، ولا ينفسخ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الانفساخ فنقل عليه الإجماع </w:t>
      </w:r>
      <w:r>
        <w:rPr>
          <w:rStyle w:val="FootnoteAnchor"/>
          <w:rtl w:val="true"/>
        </w:rPr>
        <w:footnoteReference w:id="2137"/>
      </w:r>
      <w:r>
        <w:rPr>
          <w:rFonts w:ascii="Amiri" w:hAnsi="Amiri" w:eastAsia="Amiri" w:cs="Amiri"/>
          <w:color w:val="111111"/>
          <w:sz w:val="28"/>
          <w:sz w:val="28"/>
          <w:szCs w:val="28"/>
          <w:rtl w:val="true"/>
          <w:lang w:bidi="ar-SA"/>
        </w:rPr>
        <w:t>، وتدلّ عليه ظواهر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بالخيار فمستنده حديث لا ضرار </w:t>
      </w:r>
      <w:r>
        <w:rPr>
          <w:rStyle w:val="FootnoteAnchor"/>
          <w:rtl w:val="true"/>
        </w:rPr>
        <w:footnoteReference w:id="2138"/>
      </w:r>
      <w:r>
        <w:rPr>
          <w:rFonts w:ascii="Amiri" w:hAnsi="Amiri" w:eastAsia="Amiri" w:cs="Amiri"/>
          <w:color w:val="111111"/>
          <w:sz w:val="28"/>
          <w:sz w:val="28"/>
          <w:szCs w:val="28"/>
          <w:rtl w:val="true"/>
          <w:lang w:bidi="ar-SA"/>
        </w:rPr>
        <w:t xml:space="preserve">، وخصوص الأخبار الخاصة المنجبرة بفتوى المشهور، بل وبما نُقل من ظواهر الإجماع المنقول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كالموثق فيمن أسلف وذهب زمان ما أسلف فيه من الثمار ولم يستوف سلفه،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فليأخذ رأس ماله أو ينظره</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يجد شرطه فلا يأخذ إلا رأس ماله،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2141"/>
      </w:r>
      <w:r>
        <w:rPr>
          <w:rFonts w:ascii="Amiri" w:hAnsi="Amiri" w:eastAsia="Amiri" w:cs="Amiri"/>
          <w:color w:val="111111"/>
          <w:sz w:val="28"/>
          <w:sz w:val="28"/>
          <w:szCs w:val="28"/>
          <w:rtl w:val="true"/>
          <w:lang w:bidi="ar-SA"/>
        </w:rPr>
        <w:t>وهو كناية عن 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أن لا يفسخ ولا يصبر بل يأخذ القيمة؛ لأنّها الضابطة عند تعذر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ولإشعار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بيع السلف بعد حلول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الآمرة بأخذ القيمة إذا لم يجد المسلم إليه المسلم فيه </w:t>
      </w:r>
      <w:r>
        <w:rPr>
          <w:rStyle w:val="FootnoteAnchor"/>
          <w:rtl w:val="true"/>
        </w:rPr>
        <w:footnoteReference w:id="214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أنّ له ذلك، فيتخيّر بين الثلاث ويلزم البائع بالقيمة إن أرادها، وليس للبائع إلزامه بالقيمة قهراً؛ لأنّها حقه عند تعذر المثل كما نُقل عن العميدي</w:t>
      </w:r>
      <w:r>
        <w:rPr>
          <w:rStyle w:val="FootnoteAnchor"/>
          <w:rtl w:val="true"/>
        </w:rPr>
        <w:footnoteReference w:id="2143"/>
      </w:r>
      <w:r>
        <w:rPr>
          <w:rFonts w:ascii="IRNazanin" w:hAnsi="IRNazanin" w:eastAsia="IRNazanin"/>
          <w:color w:val="111111"/>
          <w:sz w:val="28"/>
          <w:sz w:val="28"/>
          <w:szCs w:val="28"/>
          <w:rtl w:val="true"/>
          <w:lang w:bidi="fa-IR"/>
        </w:rPr>
        <w:t>؛ لأنّه خلاف ظاهر الفتوى والنص</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فيما لو قطع المسلم بعدم التمكن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الخيار بين الفسخ وأخذ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ويزول حق الصبر عنه؛ لعدم الفائدة فيه، وربما تنزل عليه بعض الأخبار الواردة في بيع </w:t>
      </w:r>
    </w:p>
    <w:p>
      <w:pPr>
        <w:pStyle w:val="BookText"/>
        <w:rPr/>
      </w:pPr>
      <w:r>
        <w:rPr>
          <w:rFonts w:ascii="Amiri" w:hAnsi="Amiri" w:eastAsia="Amiri" w:cs="Amiri"/>
          <w:color w:val="111111"/>
          <w:sz w:val="28"/>
          <w:sz w:val="28"/>
          <w:szCs w:val="28"/>
          <w:rtl w:val="true"/>
          <w:lang w:bidi="ar-SA"/>
        </w:rPr>
        <w:t>السلف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انفساخ البيع فيه من أصله أو من حينه، وربما تنزل عليه الأخبار الآمرة بأخذ رأس المال </w:t>
      </w:r>
      <w:r>
        <w:rPr>
          <w:rStyle w:val="FootnoteAnchor"/>
          <w:rtl w:val="true"/>
        </w:rPr>
        <w:footnoteReference w:id="2144"/>
      </w:r>
      <w:r>
        <w:rPr>
          <w:rFonts w:ascii="IRNazanin" w:hAnsi="IRNazanin" w:eastAsia="IRNazanin"/>
          <w:color w:val="111111"/>
          <w:sz w:val="28"/>
          <w:sz w:val="28"/>
          <w:szCs w:val="28"/>
          <w:rtl w:val="true"/>
          <w:lang w:bidi="fa-IR"/>
        </w:rPr>
        <w:t>من دون تعرّض للصبر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قدمناه يظهر ضعف ما ذهب إليه ابن إدريس من لزوم الصبر على المسلم عند تعذر المسلم فيه، وعدم جواز الفسخ </w:t>
      </w:r>
      <w:r>
        <w:rPr>
          <w:rStyle w:val="FootnoteAnchor"/>
          <w:rtl w:val="true"/>
        </w:rPr>
        <w:footnoteReference w:id="2145"/>
      </w:r>
      <w:r>
        <w:rPr>
          <w:rFonts w:ascii="IRNazanin" w:hAnsi="IRNazanin" w:eastAsia="IRNazanin"/>
          <w:color w:val="111111"/>
          <w:sz w:val="28"/>
          <w:sz w:val="28"/>
          <w:szCs w:val="28"/>
          <w:rtl w:val="true"/>
          <w:lang w:bidi="fa-IR"/>
        </w:rPr>
        <w:t>لمخالفته النصّ 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يلحق بانقطاع المسلم فيه في ثبوت الخيار عدم التمكن منه لفقر أو مرحم فر أو مرض أو بُعْدِ أو خوفٍ أو عجز أو مشقةٍ منه لا تتحمّل، أو عدم تمكن المشتري من قبضه لخوف أو عجز أو نحو ذلك، كلّ ذلك لحديث الضرار </w:t>
      </w:r>
      <w:r>
        <w:rPr>
          <w:rStyle w:val="FootnoteAnchor"/>
          <w:rtl w:val="true"/>
        </w:rPr>
        <w:footnoteReference w:id="2146"/>
      </w:r>
      <w:r>
        <w:rPr>
          <w:rFonts w:ascii="Amiri" w:hAnsi="Amiri" w:eastAsia="Amiri" w:cs="Amiri"/>
          <w:color w:val="111111"/>
          <w:sz w:val="28"/>
          <w:sz w:val="28"/>
          <w:szCs w:val="28"/>
          <w:rtl w:val="true"/>
          <w:lang w:bidi="ar-SA"/>
        </w:rPr>
        <w:t xml:space="preserve">، ولما تشعر به مفاهيم بعض الأخبار </w:t>
      </w:r>
      <w:r>
        <w:rPr>
          <w:rStyle w:val="FootnoteAnchor"/>
          <w:rtl w:val="true"/>
        </w:rPr>
        <w:footnoteReference w:id="2147"/>
      </w:r>
      <w:r>
        <w:rPr>
          <w:rFonts w:ascii="Amiri" w:hAnsi="Amiri" w:eastAsia="Amiri" w:cs="Amiri"/>
          <w:color w:val="111111"/>
          <w:sz w:val="28"/>
          <w:sz w:val="28"/>
          <w:szCs w:val="28"/>
          <w:rtl w:val="true"/>
          <w:lang w:bidi="ar-SA"/>
        </w:rPr>
        <w:t>، أو لا يلحق؛ للأصل، ولزوم الصبر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لو كان المانع من قبل البائع، والثاني فيما لو كان من طرف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الحلول بالموت بالحلول عند انتهاء المدة؛ لعدم الفارق بين الحلولين ولشمول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Style w:val="FootnoteAnchor"/>
          <w:rtl w:val="true"/>
        </w:rPr>
        <w:footnoteReference w:id="2148"/>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للمشتري الخيار قبل حلول الأجل إذا علم التعدّر بعده؛ لحصول العلم بالسبب فلا فائدة بالتأخير، أو ليس له؛ اقتصاراً على مورد اليقين في الحكم المخالف للأصل في ثبوت الخيار المعلّق على وجود السبب، لا العلم به ؟</w:t>
      </w:r>
    </w:p>
    <w:p>
      <w:pPr>
        <w:pStyle w:val="BookText"/>
        <w:rPr/>
      </w:pPr>
      <w:r>
        <w:rPr>
          <w:rFonts w:ascii="Amiri" w:hAnsi="Amiri" w:eastAsia="Amiri" w:cs="Amiri"/>
          <w:color w:val="111111"/>
          <w:sz w:val="28"/>
          <w:sz w:val="28"/>
          <w:szCs w:val="28"/>
          <w:rtl w:val="true"/>
          <w:lang w:bidi="ar-SA"/>
        </w:rPr>
        <w:t>وهل هو فوري؛ اقتصاراً على مورد اليقين من الخروج عن عموم دليل لزوم البيع في الأزمان، أو متراخ؛ للاستصحاب ؟ وجهان، وفي الأوّل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هذا الخيار بإسقاطه، وببذل البائع له ورضاه بالتأخير ثم حصل الانقطاع بعد ذلك؛ للشكّ في شمول دليل الخيار لمثل هذه الصورة</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قبض المشتري البعض وتأخر الباقي، تخيّر بين الصبر وفسخ الجميع؛ للقواعد المتقدّمة، ولمكان تبعيض الصفقة عليه، أو فسخ الباقي فقط فيسترد ما قابله من الثمن؛ لأنّه المتصف بالتعذر الموجب للخيار</w:t>
      </w:r>
      <w:r>
        <w:rPr>
          <w:rFonts w:eastAsia="Amiri" w:cs="Amiri" w:ascii="Amiri" w:hAnsi="Amiri"/>
          <w:color w:val="111111"/>
          <w:sz w:val="28"/>
          <w:szCs w:val="28"/>
          <w:rtl w:val="true"/>
          <w:lang w:bidi="ar-SA"/>
        </w:rPr>
        <w:t xml:space="preserve">. </w:t>
      </w:r>
      <w:bookmarkStart w:id="911" w:name="pg19000_245721"/>
    </w:p>
    <w:p>
      <w:pPr>
        <w:pStyle w:val="BookText"/>
        <w:rPr/>
      </w:pPr>
      <w:bookmarkEnd w:id="911"/>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وفاني بعضاً وعجز عن بعض أيجوز أن آخذ بالباقي رأس مالي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لم يقدر الذي عليه الغنم على جميع ما عليه أن يأخذ صاحب الغنم نصفها أو ثلثها أو ثلثيها ويأخذ رأس مال ما بقي من الغنم دراهم</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احتمال عدم ثبوت الخيار له في البعض لتبعيض الصفقة على البائع ولا يُجبر الضرر بالضرر، وتُحمل الرواية على أخذ القيمة مقاصةً أو استيفاء قوّة إلا أنّه خلاف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المشتري البعض دون البعض، كان للبائع الفسخ ؛ لمكان تبعيض الصفقة عليه، وجمعاً بين القواعد ما لم يكن التأخير بتفريطه فيسقط خياره</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3372778_1280447820"/>
      <w:bookmarkStart w:id="913" w:name="_Toc335"/>
      <w:bookmarkEnd w:id="912"/>
      <w:r>
        <w:rPr>
          <w:rtl w:val="true"/>
        </w:rPr>
        <w:t>ثاني عشرها</w:t>
      </w:r>
      <w:r>
        <w:rPr>
          <w:rtl w:val="true"/>
        </w:rPr>
        <w:t xml:space="preserve">: </w:t>
      </w:r>
      <w:r>
        <w:rPr>
          <w:rtl w:val="true"/>
        </w:rPr>
        <w:t>جواز اشتراط السائغ في عقد السلم</w:t>
      </w:r>
      <w:bookmarkEnd w:id="913"/>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السائغ في عقد السلم، وهو ما لم يكن محلّلاً حراماً أو محرّماً حلالاً، أو منافياً لمقتضى عقده أو عقدٍ آخر، أو غير مقدور، أو معدوداً من السفه، أو مجهولاً لا يؤول إلى العلم أو يؤدّي إلى جهالة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في أثناء العقد أو مبتنياً عليه العقد متأخراً أو متقدماً، فيجوز اشتراط آخر أو سلف أو ضمين أو رهن أو قرض واشتراط القرض في السلف غير مضر كاشتراط السلف في القرض، واشتراط البيع والسلف اشتراط لعقده، ولا يصح اشتراط غايته كاشتراط كون هذا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اشتراط كونه رهناً من دون اشتراط الصيغة وجهان، ولو قلنا بالصحّة فالأولى 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استسلمت وأرهنت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صرّح بصيغة الرهن 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وأرهنت، فالأولى أن يؤخر صيغة الرهن عن صيغة البيع ويؤخر القابل قبول الرهن عن قبول البيع، بل الأظهر لزوم ذلك</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النهي عن سلف وبيع وعن بيعين في بيع </w:t>
      </w:r>
      <w:r>
        <w:rPr>
          <w:rStyle w:val="FootnoteAnchor"/>
          <w:rtl w:val="true"/>
        </w:rPr>
        <w:footnoteReference w:id="2151"/>
      </w:r>
      <w:r>
        <w:rPr>
          <w:rFonts w:ascii="Amiri" w:hAnsi="Amiri" w:eastAsia="Amiri" w:cs="Amiri"/>
          <w:color w:val="111111"/>
          <w:sz w:val="28"/>
          <w:sz w:val="28"/>
          <w:szCs w:val="28"/>
          <w:rtl w:val="true"/>
          <w:lang w:bidi="ar-SA"/>
        </w:rPr>
        <w:t>ضعيف لا يقاوم ما ذكرنا، فليحمل على اشتراط نفس الغاية، أو على تعلّق السَّلَم والبيع بشيءٍ واحد على تقدير ثمنين مختلفين</w:t>
      </w:r>
      <w:r>
        <w:rPr>
          <w:rFonts w:eastAsia="Amiri" w:cs="Amiri" w:ascii="Amiri" w:hAnsi="Amiri"/>
          <w:color w:val="111111"/>
          <w:sz w:val="28"/>
          <w:szCs w:val="28"/>
          <w:rtl w:val="true"/>
          <w:lang w:bidi="ar-SA"/>
        </w:rPr>
        <w:t xml:space="preserve">. </w:t>
      </w:r>
      <w:bookmarkStart w:id="914" w:name="pg19000_245722"/>
    </w:p>
    <w:p>
      <w:pPr>
        <w:pStyle w:val="Heading5"/>
        <w:numPr>
          <w:ilvl w:val="4"/>
          <w:numId w:val="1"/>
        </w:numPr>
        <w:rPr/>
      </w:pPr>
      <w:bookmarkStart w:id="915" w:name="__RefHeading___Toc13372780_1280447820"/>
      <w:bookmarkStart w:id="916" w:name="_Toc336"/>
      <w:bookmarkEnd w:id="914"/>
      <w:bookmarkEnd w:id="915"/>
      <w:r>
        <w:rPr>
          <w:rtl w:val="true"/>
        </w:rPr>
        <w:t xml:space="preserve">ثالث عشرها </w:t>
      </w:r>
      <w:r>
        <w:rPr>
          <w:rtl w:val="true"/>
        </w:rPr>
        <w:t xml:space="preserve">: </w:t>
      </w:r>
      <w:r>
        <w:rPr>
          <w:rtl w:val="true"/>
        </w:rPr>
        <w:t>حكم ما إذا دفع المسلم إليه المبيع قبل الحلول</w:t>
      </w:r>
      <w:bookmarkEnd w:id="916"/>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المسلم إليه المبيع قبل الحلول لم يجب القبول مطلقاً؛ لأن التأخير حق لهما وإن كان أصل مشروعيته إرفاقاً بالبائع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دفعه بعد الحلول، فإن طابق الوصف وجب القبول إذا كان على الحد الوسط من الأوصاف المشترطة، وكذا لو كان متصفاً بالوصف الأعلى منها، وأما لو كان متصفاً بالوصف الأدنى منها فالظاهر عدم لزوم القبول إلا برضاه؛ لانصراف الأوصاف إلى الحد الوسط، ولا يلزم مثله في الأعلى؛ لأنّه وسط وزيادة، إلا إذا اشترط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يطابق الوصف لم يجب القبول، سواء كانت تلك الأوصاف أعلى أو أدنى، كما إذا اشترط سناً معلوماً فدفع ما هو أجود منه، أو صفة معلومة فدفع ما هو أعلى منها؛ لعدم المطابقة، ولجواز تعلّق الغرض بوصف خاص، ولعدم لزوم قبول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الخاصة، في أحدها فيمن يُسلم في وصفاء بأسنان معلومة ولون معلوم ثمّ يعطي دون شرطه أو فوقه،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 طيبة نفس منك ومنه فلا بأس</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أسلم في أسنان معلومة أو شيء معلوم من الرقيق فأعطاه دون شرطه أو فوقه بطيبة النفس منهم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يسلف في وصف أسنان ولون معلوم ثمّ يعطي فوق شرطه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طيبة نفس منك ومنه فلا بأس</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2155"/>
      </w:r>
      <w:r>
        <w:rPr>
          <w:rFonts w:ascii="Amiri" w:hAnsi="Amiri" w:eastAsia="Amiri" w:cs="Amiri"/>
          <w:color w:val="111111"/>
          <w:sz w:val="28"/>
          <w:sz w:val="28"/>
          <w:szCs w:val="28"/>
          <w:rtl w:val="true"/>
          <w:lang w:bidi="ar-SA"/>
        </w:rPr>
        <w:t>للمشهور وجوب القبول فيما إذا دفع الأعلى؛ لأنّه إحسان ويجب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وجوب قبول الإحسان أوّلاً، ومنافاته لظواهر الأخبار المتقدّمة ثانياً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جملة من الأخبار المتقدّمة على إرادة طيب نفس من المشتري في قبول الأدنى وطيبة نفس من البائع في دفع الأعلى؛ لأنّه لو أراد اشتراط طيبة نفس كلّ منهما في كلّ منهما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نفس كلّ منهما فالعدول عن ذلك إيذان بذلك، بعيد عن السياق وعن ظاهر الأخبار الأخر</w:t>
      </w:r>
      <w:r>
        <w:rPr>
          <w:rFonts w:eastAsia="Amiri" w:cs="Amiri" w:ascii="Amiri" w:hAnsi="Amiri"/>
          <w:color w:val="111111"/>
          <w:sz w:val="28"/>
          <w:szCs w:val="28"/>
          <w:rtl w:val="true"/>
          <w:lang w:bidi="ar-SA"/>
        </w:rPr>
        <w:t xml:space="preserve">. </w:t>
      </w:r>
      <w:bookmarkStart w:id="917" w:name="pg19000_245723"/>
    </w:p>
    <w:p>
      <w:pPr>
        <w:pStyle w:val="BookText"/>
        <w:rPr/>
      </w:pPr>
      <w:bookmarkEnd w:id="917"/>
      <w:r>
        <w:rPr>
          <w:rFonts w:ascii="Amiri" w:hAnsi="Amiri" w:eastAsia="Amiri" w:cs="Amiri"/>
          <w:color w:val="111111"/>
          <w:sz w:val="28"/>
          <w:sz w:val="28"/>
          <w:szCs w:val="28"/>
          <w:rtl w:val="true"/>
          <w:lang w:bidi="ar-SA"/>
        </w:rPr>
        <w:t>ويمكن حمل كلام المشهور في وجوب قبول الأعلى على ما إذا طابق الوصف ولكن كان أعلاها ولم يشترط الوسط إلا على الأعلى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بعض الأخبار من الأمر بأخذ ما دون الشرط ولا يأخذ ما فوقه </w:t>
      </w:r>
      <w:r>
        <w:rPr>
          <w:rStyle w:val="FootnoteAnchor"/>
          <w:rtl w:val="true"/>
        </w:rPr>
        <w:footnoteReference w:id="2156"/>
      </w:r>
      <w:r>
        <w:rPr>
          <w:rFonts w:ascii="Amiri" w:hAnsi="Amiri" w:eastAsia="Amiri" w:cs="Amiri"/>
          <w:color w:val="111111"/>
          <w:sz w:val="28"/>
          <w:sz w:val="28"/>
          <w:szCs w:val="28"/>
          <w:rtl w:val="true"/>
          <w:lang w:bidi="ar-SA"/>
        </w:rPr>
        <w:t>، فمحمول على الندب والإرشاد لتنزيه النفس لا على الحتم والإيجاب؛ لمخالفتها الفتاوى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المسلم إليه الأكثر قدراً، لم يجب القبول قطعاً؛ لعدم وجوب قبول الهبة</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3372782_1280447820"/>
      <w:bookmarkStart w:id="919" w:name="_Toc337"/>
      <w:bookmarkEnd w:id="918"/>
      <w:r>
        <w:rPr>
          <w:rtl w:val="true"/>
        </w:rPr>
        <w:t>رابع عشرها</w:t>
      </w:r>
      <w:r>
        <w:rPr>
          <w:rtl w:val="true"/>
        </w:rPr>
        <w:t xml:space="preserve">: </w:t>
      </w:r>
      <w:r>
        <w:rPr>
          <w:rtl w:val="true"/>
        </w:rPr>
        <w:t>فيما إذا حلّ الأجل وجب على المسلم إليه الدفع عند المطالبة</w:t>
      </w:r>
      <w:bookmarkEnd w:id="919"/>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وجب على المسلم إليه الدفع عند المطالبة، فلو لم يطالبه ولم يكن عدم المطالبة لعذر أو نسيان لم يجب الدفع، وإذا دفع وجب القبول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لحمله مؤونة لم تجب على الدافع، إلا باشتراط أو قضاء عرف بذلك، بل لا يجب على الدافع النقل إلا مع الاشتراط أو قضاء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التخلية والتسليم عند إرادة المسلم للقبض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المسلم إليه فلم يقبل المسلم، وضعه بين يديه أو أدخله في بيته تحت يده وبرئ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رفع أمره إلى الحاكم ليجبره على القبض أو الإبراء؛ لما في تحمّل الذمة من الضرر المنفي والحاكم منصوب لقطع مواد النزاع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بعضهم هذه المرتبة الأخيرة على الأُولى</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من قوّة؛ لعدم تعيين الفرد الموضوع بين يديه وفاءً له من دون قبضه له، فيقوم الحاكم مقامه في الجبر أو مقامه في القبض فيقبض عنه؛ لولايته على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الرجوع للحاكم في الجبر أو القبض عنه، استأذن منه في تعيينه بالعزل وإبقائه أمانةً عنده أو عند غيره من العدول فإن لم يمكن استئذانه عزله بنفسه؛ لمكان الضرر بإبقائه، وأبقاه أمانةً عنده أو عند غيره، وبرئ من ضمانه لو تلف</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ينتقل عند العزل إلى ملك المسلم فنماؤه له ولا يجوز للمسلم إليه التصرف فيه، أو </w:t>
      </w:r>
      <w:bookmarkStart w:id="920" w:name="pg19000_245724"/>
    </w:p>
    <w:p>
      <w:pPr>
        <w:pStyle w:val="BookText"/>
        <w:rPr/>
      </w:pPr>
      <w:bookmarkEnd w:id="920"/>
      <w:r>
        <w:rPr>
          <w:rFonts w:ascii="Amiri" w:hAnsi="Amiri" w:eastAsia="Amiri" w:cs="Amiri"/>
          <w:color w:val="111111"/>
          <w:sz w:val="28"/>
          <w:sz w:val="28"/>
          <w:szCs w:val="28"/>
          <w:rtl w:val="true"/>
          <w:lang w:bidi="ar-SA"/>
        </w:rPr>
        <w:t>يبقى على ملك المسلم إليه، وفائدته فراغ ذمّته وارتفاع الضمان عند تلفه ؟ وجهان، أظهرهما الأوَّل، وأحوطهما الأخير، والأحوط منه إبقاؤه دَيناً عليه فيوصي به بطناً بعد بطن مع عزل مقابله للوفاء به</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3372784_1280447820"/>
      <w:bookmarkStart w:id="922" w:name="_Toc338"/>
      <w:bookmarkEnd w:id="921"/>
      <w:r>
        <w:rPr>
          <w:rtl w:val="true"/>
        </w:rPr>
        <w:t xml:space="preserve">خامس عشرها </w:t>
      </w:r>
      <w:r>
        <w:rPr>
          <w:rtl w:val="true"/>
        </w:rPr>
        <w:t xml:space="preserve">: </w:t>
      </w:r>
      <w:r>
        <w:rPr>
          <w:rtl w:val="true"/>
        </w:rPr>
        <w:t>حكم ما إذا دفع المسلم إليه من غير الجنس بنية الوفاء</w:t>
      </w:r>
      <w:bookmarkEnd w:id="922"/>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المسلم إليه من غير الجنس بنيّة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بنيّة الأمانة والاحتساب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 الغريم بذلك كان وفاء، فإن ساعره على قيمته كان قدرها وفاء، وإلا احتسب عليه بقيمته يوم الإقباض؛ لظاهر الفتاوى والنصوص والإجماعات المنقولة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في رجل كان له على رجل مال فلمّا حلّ عليه المال أعطاه به طعاماً أو قطناً أو زعفراناً ولم يقاطعه على السعر، فلمّا كان بعد شهرين أو ثلاثة ارتفع الطعام والزعفران والقطن أو نقص بأي السعرين يحسبه ؟ هل لصاحب الدين سعر يومه الذي أعطاه، أو السعر الثاني بعد شهرين أو ثلاثة يوم حاسبه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على حسب سعر وقت ما دفع الطعام</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لي عليه المال فيعطيني بعضاً دنانير وبعضاً دراهم، فإذا جاء يحاسبني ليوفيني يكون قد تغيّر سعر الدنانير، أي السعرين أحسب له، الذي يوم أعطاني الدنانير، أو سعر يوم الذي أُحاسبه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سعر يوم الذي أعطاك الدنانير</w:t>
      </w:r>
      <w:r>
        <w:rPr>
          <w:rFonts w:eastAsia="Amiri" w:cs="Amiri" w:ascii="Amiri" w:hAnsi="Amiri"/>
          <w:color w:val="111111"/>
          <w:sz w:val="28"/>
          <w:szCs w:val="28"/>
          <w:rtl w:val="true"/>
          <w:lang w:bidi="ar-SA"/>
        </w:rPr>
        <w:t>»</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على رجل دراهم فيعطيه دنانير ولا يصارفه، فتتغيّر الدنانير بزيادة أو نقصان،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سعر يوم أعطاه</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أن المدفوع يكون وفاء بقيمته بمجرد الدفع ونية الوفاء، ولا يحتاج إلى أمرٍ آخر من بيع أو صلح أو تصريح بذلك، بل ظاهرها شامل للمدفوع بنيّة الوفاء وعدمه ولما ساعره عليه وعدمه، ولكن الظاهر اختصاصها بالأوّل وبما لم يساعره عليه حين الدفع؛ جمعاً بين هذه الأخبار وبين القواعد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وقع الدفع من المسلم إليه ولم يعلم وجهه، كان الظاهر حمله على الوفاء، فيحتسب وفاء بقيمته يوم الدفع</w:t>
      </w:r>
      <w:r>
        <w:rPr>
          <w:rFonts w:eastAsia="Amiri" w:cs="Amiri" w:ascii="Amiri" w:hAnsi="Amiri"/>
          <w:color w:val="111111"/>
          <w:sz w:val="28"/>
          <w:szCs w:val="28"/>
          <w:rtl w:val="true"/>
          <w:lang w:bidi="ar-SA"/>
        </w:rPr>
        <w:t xml:space="preserve">. </w:t>
      </w:r>
      <w:bookmarkStart w:id="923" w:name="pg19000_245725"/>
    </w:p>
    <w:p>
      <w:pPr>
        <w:pStyle w:val="Heading5"/>
        <w:numPr>
          <w:ilvl w:val="4"/>
          <w:numId w:val="1"/>
        </w:numPr>
        <w:rPr/>
      </w:pPr>
      <w:bookmarkStart w:id="924" w:name="__RefHeading___Toc13372786_1280447820"/>
      <w:bookmarkStart w:id="925" w:name="_Toc339"/>
      <w:bookmarkEnd w:id="923"/>
      <w:bookmarkEnd w:id="924"/>
      <w:r>
        <w:rPr>
          <w:rtl w:val="true"/>
        </w:rPr>
        <w:t>سادس عشرها</w:t>
      </w:r>
      <w:r>
        <w:rPr>
          <w:rtl w:val="true"/>
        </w:rPr>
        <w:t xml:space="preserve">: </w:t>
      </w:r>
      <w:r>
        <w:rPr>
          <w:rtl w:val="true"/>
        </w:rPr>
        <w:t>حكم ما لو أسلم في كيل وشرط مكيالاً معيناً</w:t>
      </w:r>
      <w:bookmarkEnd w:id="925"/>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في كيل وشرط مكيالاً معيناً، أو في طعام وشرط كونه من أرض محصورة معينة، أو في غزل امرأةٍ معينة، أو في ثوب حائك معين، أو في عسل زنبورٍ معين، أو في تمر بستان معيّن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لمنافاته لوضع السلم؛ لابتنائه على عموم الوجود في شطوره وشرائطه وصفاته وأحواله، فلو انحصر كان غير مأمون بقاؤه أو حصوله عند حلول الأجل قطعاً أو ظناً معتاداً، إلا ما يقضى به الاستصحاب في بعض الأحوال وهو لا يفيد الظنّ القوي المطلوب في باب السَّلَم، وما ورد في بعض الأخبار من جواز السلم في طعام قرية بعينها </w:t>
      </w:r>
      <w:r>
        <w:rPr>
          <w:rStyle w:val="FootnoteAnchor"/>
          <w:rtl w:val="true"/>
        </w:rPr>
        <w:footnoteReference w:id="2162"/>
      </w:r>
      <w:r>
        <w:rPr>
          <w:rFonts w:ascii="Amiri" w:hAnsi="Amiri" w:eastAsia="Amiri" w:cs="Amiri"/>
          <w:color w:val="111111"/>
          <w:sz w:val="28"/>
          <w:sz w:val="28"/>
          <w:szCs w:val="28"/>
          <w:rtl w:val="true"/>
          <w:lang w:bidi="ar-SA"/>
        </w:rPr>
        <w:t>محمول على الكبيرة كالبصرة ونجد والأحساء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ذلك، إلا أن متابعة المشهور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أسلف وشرط شيئاً معيناً أو كلياً، محصوراً أو غير محصور، عام الوجود أو لا، صح؛ لعدم دخول هذا الشرط في المسلم فيه، وعلى ذلك، فلو أسلم في غنم وشرط أصواف نعجات بعينها أو أصواف نعجات كلّيّة يمكن العلم بها وبوصفها بحيث لا يؤدي إلى جهالة الشرط، صح؛ لعدم كون الأصواف داخلةً في السَّلَم، وعدم كونها مبيعةً أصالة كي يجيء المنع من منع بيع الأصواف على ظهر الغنم؛ لجهالته، ولأنّ الشروط قد يغتفر فيها ما لا يغتفر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الصوف غير مشاهد ولا يمكن انضباطه بالوصف بطل الشرط، وبطل العقد تبعاً لبطلانه قطعاً</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3372788_1280447820"/>
      <w:bookmarkStart w:id="927" w:name="_Toc340"/>
      <w:bookmarkEnd w:id="926"/>
      <w:r>
        <w:rPr>
          <w:rtl w:val="true"/>
        </w:rPr>
        <w:t>سابع عشرها</w:t>
      </w:r>
      <w:r>
        <w:rPr>
          <w:rtl w:val="true"/>
        </w:rPr>
        <w:t xml:space="preserve">: </w:t>
      </w:r>
      <w:r>
        <w:rPr>
          <w:rtl w:val="true"/>
        </w:rPr>
        <w:t>عدم جواز بيع السلم قبل حلول أجله على من هو عليه أو على غيره</w:t>
      </w:r>
      <w:bookmarkEnd w:id="927"/>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السَّلَم قبل حلول أجله حالاً أو مؤجلاً على مَنْ هو عليه أو على غيره؛ للإجماع المنقول </w:t>
      </w:r>
      <w:r>
        <w:rPr>
          <w:rStyle w:val="FootnoteAnchor"/>
          <w:rtl w:val="true"/>
        </w:rPr>
        <w:footnoteReference w:id="2163"/>
      </w:r>
      <w:r>
        <w:rPr>
          <w:rFonts w:ascii="Amiri" w:hAnsi="Amiri" w:eastAsia="Amiri" w:cs="Amiri"/>
          <w:color w:val="111111"/>
          <w:sz w:val="28"/>
          <w:sz w:val="28"/>
          <w:szCs w:val="28"/>
          <w:rtl w:val="true"/>
          <w:lang w:bidi="ar-SA"/>
        </w:rPr>
        <w:t xml:space="preserve">، والشهرة المحصلة، لا لعدم ملكية المشتري له؛ لأنّ الأجل تحديد للأداء دون الملك، كما هو الظاهر من الآجال في مثل هذه المحال، ولأن العقد ممّا لا يتأخر أثره في غير ما دلّ عليه الدليل، ولأن الميت إذا مات يحلّ ما عليه لا يملك بموته، ولأنّ المسلم إذا مات ورث ورثته المال واحتسب تركة له فيجري عليه ما يجري على سائر الأملاك، فبطل احتمال عدم الملكيّة، ولا لعدم القدرة على التسليم، لمنعه فيما إذا بيع على </w:t>
      </w:r>
    </w:p>
    <w:p>
      <w:pPr>
        <w:pStyle w:val="BookText"/>
        <w:rPr/>
      </w:pPr>
      <w:r>
        <w:rPr>
          <w:rFonts w:ascii="Amiri" w:hAnsi="Amiri" w:eastAsia="Amiri" w:cs="Amiri"/>
          <w:color w:val="111111"/>
          <w:sz w:val="28"/>
          <w:sz w:val="28"/>
          <w:szCs w:val="28"/>
          <w:rtl w:val="true"/>
          <w:lang w:bidi="ar-SA"/>
        </w:rPr>
        <w:t>مَنْ هو عليه؛ لأنّ ما في ذمته مقبوض له، ولأنّه مقدور له تسليمه بعد الأجل كالمال الغائب إذا قدر على تسليمه بعد حضوره، وذلك كافٍ في صحّة البيع وارتفاع السفه، ولأنّه مقدور له عند تحصيله من الغريم بإحدى الوسائل، وما كان مقدوراً بالواسطة كما كان مقدوراً بالذات ويكفي في القدرة على التسليم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فالحكم خاص بالبيع دون غيره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السلم بعد حلوله وقبضه؛ للأصل، والإجماع، والأخبار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يجوز بيعه قبل قبضه مطلقاً؟ الأشهر والأظهر ذلك ما لم يجئه مانع من ربا ونحوه؛ للأصل، والعمومات، والصحاح </w:t>
      </w:r>
      <w:r>
        <w:rPr>
          <w:rStyle w:val="FootnoteAnchor"/>
          <w:rtl w:val="true"/>
        </w:rPr>
        <w:footnoteReference w:id="2165"/>
      </w:r>
      <w:r>
        <w:rPr>
          <w:rFonts w:ascii="Amiri" w:hAnsi="Amiri" w:eastAsia="Amiri" w:cs="Amiri"/>
          <w:color w:val="111111"/>
          <w:sz w:val="28"/>
          <w:sz w:val="28"/>
          <w:szCs w:val="28"/>
          <w:rtl w:val="true"/>
          <w:lang w:bidi="ar-SA"/>
        </w:rPr>
        <w:t xml:space="preserve">المستفيضة وغيرها، ومواردها وإن اختصت بالبيع على مَنْ هو عليه إلا أنّه قد نُقل عدم الخلاف بنفي الفرق بينه وبين غير مَنْ هو عليه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الجواز أيضاً ما دلّ من الأخبار على جواز بيع ما لم يقبض </w:t>
      </w:r>
      <w:r>
        <w:rPr>
          <w:rStyle w:val="FootnoteAnchor"/>
          <w:rtl w:val="true"/>
        </w:rPr>
        <w:footnoteReference w:id="2167"/>
      </w:r>
      <w:r>
        <w:rPr>
          <w:rFonts w:ascii="Amiri" w:hAnsi="Amiri" w:eastAsia="Amiri" w:cs="Amiri"/>
          <w:color w:val="111111"/>
          <w:sz w:val="28"/>
          <w:sz w:val="28"/>
          <w:szCs w:val="28"/>
          <w:rtl w:val="true"/>
          <w:lang w:bidi="ar-SA"/>
        </w:rPr>
        <w:t xml:space="preserve">، بقول مطلق من غير فرق بين مال السَّلَم أو غيره، وبين كونه على مَنْ هو عليه أو على غيره، وبين الطعام وغيره، وبين المكيل والموزون وغيره، وبين التولية وغيرها، وإن كان الأحوط تركه إذا كان مكيلاً أو موزوناً وكان البيع غير تولية؛ للأخبار الناهية عن ذلك </w:t>
      </w:r>
      <w:r>
        <w:rPr>
          <w:rStyle w:val="FootnoteAnchor"/>
          <w:rtl w:val="true"/>
        </w:rPr>
        <w:footnoteReference w:id="2168"/>
      </w:r>
      <w:r>
        <w:rPr>
          <w:rFonts w:ascii="Amiri" w:hAnsi="Amiri" w:eastAsia="Amiri" w:cs="Amiri"/>
          <w:color w:val="111111"/>
          <w:sz w:val="28"/>
          <w:sz w:val="28"/>
          <w:szCs w:val="28"/>
          <w:rtl w:val="true"/>
          <w:lang w:bidi="ar-SA"/>
        </w:rPr>
        <w:t>، الشاملة للسلم وغيره، ومن البعيد افتراق حكم السَّلم عن حكم تلك المسألة في الجواز فيه والمنع فيها مع كونه أولى بالمنع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الدالة على الجوازة مرسلة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يسلف الدراهم في الطعام إلى أجل فيحلّ الأجل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وخُذ منّي ثمنه،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يسلفني الطعام فيجيء الوقت وليس عندي طعام، أعطيه بقيمته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 رجلاً دراهم بحنطة حتّى إذا حضر الأجل لم يكن عنده طعام ووجد عنده دواباً ورقيقاً ومتاعاً يحل له أن يأخذ من عروضه تلك بطعامه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على رجل تمر أو حنطة أو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تقاضاه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بقيمة ما لك عندي دراهم أيجوز ذلك أم لا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عن تراض منهما</w:t>
      </w:r>
      <w:r>
        <w:rPr>
          <w:rFonts w:eastAsia="Amiri" w:cs="Amiri" w:ascii="Amiri" w:hAnsi="Amiri"/>
          <w:color w:val="111111"/>
          <w:sz w:val="28"/>
          <w:szCs w:val="28"/>
          <w:rtl w:val="true"/>
          <w:lang w:bidi="ar-SA"/>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وإطلاقها شامل للبيع وغيره بمعونة فهم المشهور وفتواهم وإجماعاتهم المنقولة، وإلا فقد يُمنع إرادة البيع من تلك الأخبار، وتُحمل على الوفاء كما هو الظاهر منها في أمثال هذه المقامات كالدفع إلى الغريم وشبهه، أو تُحمل على الصلح وإن كان بعيداً؛ لأن الظاهر في معاوضة الأعيان هو البيع حتّى يقوم دليل على الخلاف، وهذه الأخبار وإن اختصت بموارد خاصة إلّا أنّه بضميمة نقل الاتفاق على عدم الفصل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نُسب </w:t>
      </w:r>
      <w:r>
        <w:rPr>
          <w:rStyle w:val="FootnoteAnchor"/>
          <w:rtl w:val="true"/>
        </w:rPr>
        <w:footnoteReference w:id="2173"/>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منع بيع السَّلَم بدراهم إذا كان الثمن الأوّل دراهم </w:t>
      </w:r>
      <w:r>
        <w:rPr>
          <w:rStyle w:val="FootnoteAnchor"/>
          <w:rtl w:val="true"/>
        </w:rPr>
        <w:footnoteReference w:id="2174"/>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على آخر تمر أو شعير أو حنطة أيأخذ بقيمته دراهم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قومه دراهم فسد، لأنّ الأصل الذي اشترى به دراهم، فلا يصلح دراهم بدراهم</w:t>
      </w:r>
      <w:r>
        <w:rPr>
          <w:rFonts w:eastAsia="Amiri" w:cs="Amiri" w:ascii="Amiri" w:hAnsi="Amiri"/>
          <w:color w:val="111111"/>
          <w:sz w:val="28"/>
          <w:szCs w:val="28"/>
          <w:rtl w:val="true"/>
          <w:lang w:bidi="ar-SA"/>
        </w:rPr>
        <w:t xml:space="preserve">» </w:t>
      </w:r>
      <w:r>
        <w:rPr>
          <w:rStyle w:val="FootnoteAnchor"/>
          <w:rtl w:val="true"/>
        </w:rPr>
        <w:footnoteReference w:id="2175"/>
      </w:r>
      <w:r>
        <w:rPr>
          <w:rFonts w:ascii="Amiri" w:hAnsi="Amiri" w:eastAsia="Amiri" w:cs="Amiri"/>
          <w:color w:val="111111"/>
          <w:sz w:val="28"/>
          <w:sz w:val="28"/>
          <w:szCs w:val="28"/>
          <w:rtl w:val="true"/>
          <w:lang w:bidi="ar-SA"/>
        </w:rPr>
        <w:t>لضعف الخبر عن مقاومة ما قدمنا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ذهب إليه الشيخ من منع بيع السَّلَم قبل قبضه مع التفاوت بالزيادة إذا كان الثمن من جنس ما أسلمه سواء كان على مَنْ هو عليه أو على غيره</w:t>
      </w:r>
      <w:r>
        <w:rPr>
          <w:rStyle w:val="FootnoteAnchor"/>
          <w:rtl w:val="true"/>
        </w:rPr>
        <w:footnoteReference w:id="2176"/>
      </w:r>
      <w:r>
        <w:rPr>
          <w:rFonts w:ascii="Amiri" w:hAnsi="Amiri" w:eastAsia="Amiri" w:cs="Amiri"/>
          <w:color w:val="111111"/>
          <w:sz w:val="28"/>
          <w:sz w:val="28"/>
          <w:szCs w:val="28"/>
          <w:rtl w:val="true"/>
          <w:lang w:bidi="ar-SA"/>
        </w:rPr>
        <w:t xml:space="preserve">، وتبعه على ذلك جمع من الأصحاب </w:t>
      </w:r>
      <w:r>
        <w:rPr>
          <w:rStyle w:val="FootnoteAnchor"/>
          <w:rtl w:val="true"/>
        </w:rPr>
        <w:footnoteReference w:id="2177"/>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2178"/>
      </w:r>
      <w:r>
        <w:rPr>
          <w:rFonts w:ascii="Amiri" w:hAnsi="Amiri" w:eastAsia="Amiri" w:cs="Amiri"/>
          <w:color w:val="111111"/>
          <w:sz w:val="28"/>
          <w:sz w:val="28"/>
          <w:szCs w:val="28"/>
          <w:rtl w:val="true"/>
          <w:lang w:bidi="ar-SA"/>
        </w:rPr>
        <w:t xml:space="preserve">، واختاره جمع من المتأخرين </w:t>
      </w:r>
      <w:r>
        <w:rPr>
          <w:rStyle w:val="FootnoteAnchor"/>
          <w:rtl w:val="true"/>
        </w:rPr>
        <w:footnoteReference w:id="2179"/>
      </w:r>
      <w:r>
        <w:rPr>
          <w:rFonts w:ascii="Amiri" w:hAnsi="Amiri" w:eastAsia="Amiri" w:cs="Amiri"/>
          <w:color w:val="111111"/>
          <w:sz w:val="28"/>
          <w:sz w:val="28"/>
          <w:szCs w:val="28"/>
          <w:rtl w:val="true"/>
          <w:lang w:bidi="ar-SA"/>
        </w:rPr>
        <w:t xml:space="preserve">استناداً لجملة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أعطى رجلاً ورقاً بوصيفٍ إلى أجل مسمى،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لك وصيفاً، خُذ منّي قيمة وصيفك اليوم ورقاً،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إلا وصيفه أو ورقه الذي أعطاه أوّل مرة لا يزداد عليه شيئاً</w:t>
      </w:r>
      <w:r>
        <w:rPr>
          <w:rFonts w:eastAsia="Amiri" w:cs="Amiri" w:ascii="Amiri" w:hAnsi="Amiri"/>
          <w:color w:val="111111"/>
          <w:sz w:val="28"/>
          <w:szCs w:val="28"/>
          <w:rtl w:val="true"/>
          <w:lang w:bidi="ar-SA"/>
        </w:rPr>
        <w:t xml:space="preserve">» </w:t>
      </w:r>
      <w:r>
        <w:rPr>
          <w:rStyle w:val="FootnoteAnchor"/>
          <w:rtl w:val="true"/>
        </w:rPr>
        <w:footnoteReference w:id="2180"/>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بالسلم في الحيوان إذا سميت </w:t>
      </w:r>
    </w:p>
    <w:p>
      <w:pPr>
        <w:pStyle w:val="BookText"/>
        <w:rPr/>
      </w:pPr>
      <w:r>
        <w:rPr>
          <w:rFonts w:ascii="Amiri" w:hAnsi="Amiri" w:eastAsia="Amiri" w:cs="Amiri"/>
          <w:color w:val="111111"/>
          <w:sz w:val="28"/>
          <w:sz w:val="28"/>
          <w:szCs w:val="28"/>
          <w:rtl w:val="true"/>
          <w:lang w:bidi="ar-SA"/>
        </w:rPr>
        <w:t>الذي تسلم فيه فوصفته، فإن وفّيته وإلا فأنت أحق بدراهمك</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طعاماً أو علفاً إلى أجل فلم يجد صاحبه وليس شرطه إلا الورق، فإن قال خُذ مني بسعر اليوم ورقاً، فلا يأخذ إلا شرطه طعامه أو علفه، فإن لم يجد شرطه فلا يأخذ إلا رأس ماله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يسلم في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إن لم يقدر الذي عليه الغنم على جميع ما عليه أن يأخذ صاحب الغنم نصفها أو ثلثها أو ثلثيها ويأخذ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الغنم دراهم</w:t>
      </w:r>
      <w:r>
        <w:rPr>
          <w:rFonts w:eastAsia="Amiri" w:cs="Amiri" w:ascii="Amiri" w:hAnsi="Amiri"/>
          <w:color w:val="111111"/>
          <w:sz w:val="28"/>
          <w:szCs w:val="28"/>
          <w:rtl w:val="true"/>
          <w:lang w:bidi="ar-SA"/>
        </w:rPr>
        <w:t xml:space="preserve">» </w:t>
      </w:r>
      <w:r>
        <w:rPr>
          <w:rStyle w:val="FootnoteAnchor"/>
          <w:rtl w:val="true"/>
        </w:rPr>
        <w:footnoteReference w:id="2183"/>
      </w: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يسلم في التمر والحنطة بمائة درهم فيأتي صاحبه حين يحلّ الذي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إلا نصف الذي لك فخُذْ منّي إن شئت بنصف الذي لك حنطة وبنصفه ورقاً،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أخذ منه الورق كما أعطاه</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قوياً بحسب الدليل إلا أنّ دليله لا يقوى على معارضة القواعد والعمومات وإطلاق الأخبار المتقدّمة المنجبرة بما ذكرنا وبفتوى المشهور نقلاً </w:t>
      </w:r>
      <w:r>
        <w:rPr>
          <w:rStyle w:val="FootnoteAnchor"/>
          <w:rtl w:val="true"/>
        </w:rPr>
        <w:footnoteReference w:id="2185"/>
      </w:r>
      <w:r>
        <w:rPr>
          <w:rFonts w:ascii="Amiri" w:hAnsi="Amiri" w:eastAsia="Amiri" w:cs="Amiri"/>
          <w:color w:val="111111"/>
          <w:sz w:val="28"/>
          <w:sz w:val="28"/>
          <w:szCs w:val="28"/>
          <w:rtl w:val="true"/>
          <w:lang w:bidi="ar-SA"/>
        </w:rPr>
        <w:t>بل تحصيلاً، فليحمل على الكراهة أو على صورة ما إذا لم يجد المسلم إليه المبيع وقت الحلول، فيفسخ حينئذٍ فلا يكون له إلا رأس ماله؛ لأنّ أخذ الزيادة عليه حرام؛ لعدم مشروعية أخذها من دون سبب ناقل؛ على أنّه لا يخلو من شبهة الربا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الدالّة على عدم جواز الشراء بالدراهم المرسلة إلا أن يكون معه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أسلف دراهم بطعام فلمّا حلّ الطعام بعث إليه بدراهم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فاستوفِ حقك،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تولّي ذلك غيرك وتقوم معه حتّى تقبض الذي لك، ولا تتولّى أنت شراءه</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 والآخر نحوه،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 غيره يوفّيه</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فمحمولة على الندب والإرشاد إلى التنزه عن التهمة؛ إذ لا قائل بما دلّ عليه ظاهرها</w:t>
      </w:r>
      <w:r>
        <w:rPr>
          <w:rFonts w:eastAsia="Amiri" w:cs="Amiri" w:ascii="Amiri" w:hAnsi="Amiri"/>
          <w:color w:val="111111"/>
          <w:sz w:val="28"/>
          <w:szCs w:val="28"/>
          <w:rtl w:val="true"/>
          <w:lang w:bidi="ar-SA"/>
        </w:rPr>
        <w:t xml:space="preserve">. </w:t>
      </w:r>
      <w:bookmarkStart w:id="928" w:name="pg19000_245729"/>
    </w:p>
    <w:p>
      <w:pPr>
        <w:pStyle w:val="BookText"/>
        <w:rPr/>
      </w:pPr>
      <w:bookmarkEnd w:id="928"/>
      <w:r>
        <w:rPr>
          <w:rFonts w:ascii="Amiri" w:hAnsi="Amiri" w:eastAsia="Amiri" w:cs="Amiri"/>
          <w:color w:val="111111"/>
          <w:sz w:val="28"/>
          <w:sz w:val="28"/>
          <w:szCs w:val="28"/>
          <w:rtl w:val="true"/>
          <w:lang w:bidi="ar-SA"/>
        </w:rPr>
        <w:t xml:space="preserve">وهل يكره بيع السلم قبل قبضه إذا كان مكيلاً أو موزوناً؛ لفتوى جملة من فقهائنا </w:t>
      </w:r>
      <w:r>
        <w:rPr>
          <w:rStyle w:val="FootnoteAnchor"/>
          <w:rtl w:val="true"/>
        </w:rPr>
        <w:footnoteReference w:id="2188"/>
      </w:r>
      <w:r>
        <w:rPr>
          <w:rFonts w:ascii="Amiri" w:hAnsi="Amiri" w:eastAsia="Amiri" w:cs="Amiri"/>
          <w:color w:val="111111"/>
          <w:sz w:val="28"/>
          <w:sz w:val="28"/>
          <w:szCs w:val="28"/>
          <w:rtl w:val="true"/>
          <w:lang w:bidi="ar-SA"/>
        </w:rPr>
        <w:t xml:space="preserve">، ولا تحاد هذه المسألة مع مسألة البيع قبل قبض المبيع، أو لا يكره؛ لعدم الدليل على الكراهة ولاختلاف المسألتين؛ لكثرة الأخبار بالجواز </w:t>
      </w:r>
      <w:r>
        <w:rPr>
          <w:rStyle w:val="FootnoteAnchor"/>
          <w:rtl w:val="true"/>
        </w:rPr>
        <w:footnoteReference w:id="2189"/>
      </w:r>
      <w:r>
        <w:rPr>
          <w:rFonts w:ascii="Amiri" w:hAnsi="Amiri" w:eastAsia="Amiri" w:cs="Amiri"/>
          <w:color w:val="111111"/>
          <w:sz w:val="28"/>
          <w:sz w:val="28"/>
          <w:szCs w:val="28"/>
          <w:rtl w:val="true"/>
          <w:lang w:bidi="ar-SA"/>
        </w:rPr>
        <w:t>هنا دونها هناك، أو يكره إذا بيع على غير مَنْ هو عليه؛ عملاً بتلك الأخبار في باب القبض، ولا يكره إذا بيع على مَنْ هو عليه؛ للأخبار المجوّزة ها هنا من دون معارض؛ إذ هي مع كثرتها مخصوصة بالبيع على مَنْ هو عليه ؟ وجوه، أقواها الأخير</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3372790_1280447820"/>
      <w:bookmarkStart w:id="930" w:name="_Toc341"/>
      <w:bookmarkEnd w:id="929"/>
      <w:r>
        <w:rPr>
          <w:rtl w:val="true"/>
        </w:rPr>
        <w:t>ثامن عشرها</w:t>
      </w:r>
      <w:r>
        <w:rPr>
          <w:rtl w:val="true"/>
        </w:rPr>
        <w:t xml:space="preserve">: </w:t>
      </w:r>
      <w:r>
        <w:rPr>
          <w:rtl w:val="true"/>
        </w:rPr>
        <w:t>جواز بيع السلم بعد حلول أجله يسري لكل دين مؤجل قد أحل أجله</w:t>
      </w:r>
      <w:bookmarkEnd w:id="930"/>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جواز بيع السَّلَم بعد حلول أجله مطلقاً يسري لكلّ دَيْنِ مؤجل قد حلّ أجله، سواء في ذلك بيعه على مَنْ هو عليه أو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لا بن إدريس حيث منع من بيعه على غير مَنْ هو عليه ناقلاً عليه الإجماع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عن معارضة الأصل والعمومات والشهرة المحكية </w:t>
      </w:r>
      <w:r>
        <w:rPr>
          <w:rStyle w:val="FootnoteAnchor"/>
          <w:rtl w:val="true"/>
        </w:rPr>
        <w:footnoteReference w:id="2191"/>
      </w:r>
      <w:r>
        <w:rPr>
          <w:rFonts w:ascii="Amiri" w:hAnsi="Amiri" w:eastAsia="Amiri" w:cs="Amiri"/>
          <w:color w:val="111111"/>
          <w:sz w:val="28"/>
          <w:sz w:val="28"/>
          <w:szCs w:val="28"/>
          <w:rtl w:val="true"/>
          <w:lang w:bidi="ar-SA"/>
        </w:rPr>
        <w:t>، بل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بيع الدين قبل حلول أجله فقيل بالجواز فيه </w:t>
      </w:r>
      <w:r>
        <w:rPr>
          <w:rStyle w:val="FootnoteAnchor"/>
          <w:rtl w:val="true"/>
        </w:rPr>
        <w:footnoteReference w:id="2192"/>
      </w:r>
      <w:r>
        <w:rPr>
          <w:rFonts w:ascii="Amiri" w:hAnsi="Amiri" w:eastAsia="Amiri" w:cs="Amiri"/>
          <w:color w:val="111111"/>
          <w:sz w:val="28"/>
          <w:sz w:val="28"/>
          <w:szCs w:val="28"/>
          <w:rtl w:val="true"/>
          <w:lang w:bidi="ar-SA"/>
        </w:rPr>
        <w:t>للأصل من دون معارض، سوى احتمال إلحاقه بمال السلم المجمع على منعه، وهو قياس ممنوع؛ لاختصاص مورد الإجماع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بالمنع</w:t>
      </w:r>
      <w:r>
        <w:rPr>
          <w:rStyle w:val="FootnoteAnchor"/>
          <w:rtl w:val="true"/>
        </w:rPr>
        <w:footnoteReference w:id="2193"/>
      </w:r>
      <w:r>
        <w:rPr>
          <w:rFonts w:ascii="Amiri" w:hAnsi="Amiri" w:eastAsia="Amiri" w:cs="Amiri"/>
          <w:color w:val="111111"/>
          <w:sz w:val="28"/>
          <w:sz w:val="28"/>
          <w:szCs w:val="28"/>
          <w:rtl w:val="true"/>
          <w:lang w:bidi="ar-SA"/>
        </w:rPr>
        <w:t>، وكأنه استناد لشبهة عدم الملك قبل حلول الأجل، أو شبهة عدم القدرة على التسليم</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الجواب عنهما بمنع تأخر الملك عن سببه شرعاً، وأن الأجل تأخير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وبمنع عدم القدرة على التسليم شرعاً وعرفاً، ويزيد هنا أنّ تأخر الملك لا يجري في الدين المحقق من قرض أو غرامة ونحوهما إذا وقع تأجيلها بعقد لازم؛ ضرورة تقدَّم الملك على الأجل فلا يزول، فالقول بالجواز أقوى، والاحتياط لا يخفى</w:t>
      </w:r>
      <w:r>
        <w:rPr>
          <w:rFonts w:eastAsia="Amiri" w:cs="Amiri" w:ascii="Amiri" w:hAnsi="Amiri"/>
          <w:color w:val="111111"/>
          <w:sz w:val="28"/>
          <w:szCs w:val="28"/>
          <w:rtl w:val="true"/>
          <w:lang w:bidi="ar-SA"/>
        </w:rPr>
        <w:t xml:space="preserve">. </w:t>
      </w:r>
      <w:bookmarkStart w:id="931" w:name="pg19000_245730"/>
    </w:p>
    <w:p>
      <w:pPr>
        <w:pStyle w:val="Heading5"/>
        <w:numPr>
          <w:ilvl w:val="4"/>
          <w:numId w:val="1"/>
        </w:numPr>
        <w:rPr/>
      </w:pPr>
      <w:bookmarkStart w:id="932" w:name="__RefHeading___Toc13372792_1280447820"/>
      <w:bookmarkStart w:id="933" w:name="_Toc342"/>
      <w:bookmarkEnd w:id="931"/>
      <w:bookmarkEnd w:id="932"/>
      <w:r>
        <w:rPr>
          <w:rtl w:val="true"/>
        </w:rPr>
        <w:t>تاسع عشرها</w:t>
      </w:r>
      <w:r>
        <w:rPr>
          <w:rtl w:val="true"/>
        </w:rPr>
        <w:t xml:space="preserve">: </w:t>
      </w:r>
      <w:r>
        <w:rPr>
          <w:rtl w:val="true"/>
        </w:rPr>
        <w:t>جواز بیع مال السلم قبل قبضه بعين حاضرة</w:t>
      </w:r>
      <w:bookmarkEnd w:id="933"/>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جواز بيع مال السَّلَم 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حاضرة مشخّصة، وبكلّي حال غير مؤجل لم تشتغل به الذمة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بيعه بكلّيّ مؤجّل لم تشتغل به الذمة؛ للأصل والعمومات، أو لا يجوز كما هو الأقوى؛ لأنّه دَيْن عرفاً بعلاقة الأوَّل، فهو مجاز مشهور أو حقيقة عرفية، وهذا بخلاف الحال فإنّه لا يُسمّى دَيْناً عرفاً، وإن كان ما دام في الذمة بعد وقوع العقد يُسمّى ديناً ولكن لا يُسمّى دَيْناً قبله، ولمّا كان مال السَّلَم دَيْناً قطعاً دخل بيعه بالكلّي المؤجل تحت بيع الدين بالدين الممنوع منه فتوى وروايةً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أن مال السلم بعد حلوله لا يدخل في الدين؛ لأنّ الدين ما كان مؤجلاً، ممنوعة بمنع دخول الأجل في مصداق الدين أوّلاً، وبتسليمه وكفاية الأجل السابق فيه، ولا يحتاج إلى استمرار الأجل في صدق الاسم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فلا يجوز بيعه بدَيْنٍ آخر للمشتري في ذمة آخر أو في ذمته، مؤجلاً كان الدين أو حالاً، حلّ أجله بعد تأجيله أم لا؛ كلّ ذلك لمكان النهي عن بيع الدين بالدين</w:t>
      </w:r>
      <w:r>
        <w:rPr>
          <w:rStyle w:val="FootnoteAnchor"/>
          <w:rtl w:val="true"/>
        </w:rPr>
        <w:footnoteReference w:id="2195"/>
      </w:r>
      <w:r>
        <w:rPr>
          <w:rFonts w:ascii="Amiri" w:hAnsi="Amiri" w:eastAsia="Amiri" w:cs="Amiri"/>
          <w:color w:val="111111"/>
          <w:sz w:val="28"/>
          <w:sz w:val="28"/>
          <w:szCs w:val="28"/>
          <w:rtl w:val="true"/>
          <w:lang w:bidi="ar-SA"/>
        </w:rPr>
        <w:t>، وهو مشتهر معتبر منجبر شامل للمؤجّل والحال؛ لصدق لفظ الدين بعد شغل الذمة بالمال عليه عرفاً</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3372794_1280447820"/>
      <w:bookmarkStart w:id="935" w:name="_Toc343"/>
      <w:bookmarkEnd w:id="934"/>
      <w:r>
        <w:rPr>
          <w:rtl w:val="true"/>
        </w:rPr>
        <w:t>العشرون</w:t>
      </w:r>
      <w:r>
        <w:rPr>
          <w:rtl w:val="true"/>
        </w:rPr>
        <w:t xml:space="preserve">: </w:t>
      </w:r>
      <w:r>
        <w:rPr>
          <w:rtl w:val="true"/>
        </w:rPr>
        <w:t>عدم وجوب ذكر موضع التسليم في غير السلم من العقود الحالة أو المؤجلة</w:t>
      </w:r>
      <w:bookmarkEnd w:id="935"/>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ذكر موضع التسليم في غير السَّلَم من العقود الحالة أو المؤجلة، كلّيّاً كان المبيع أو عيناً؛ للأصل، ولخلوّ الأخبار عن ذكر هذا الشرط، ولتسالم الفقهاء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فيتبع حكم العرف، فما حكم به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التسليم في بلد العقد، أو بلد أحد المتعاقدين من البائع والمشتري، أو بلد الحلول في المؤجل، أو بلد المطالبة، أو بلد أحد المتعاقدين مع موافقته لبلد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بلزومه فيه؛ لكونه من مقتضيات العقد حينئذٍ، ولا جهالة في عدم ذكره؛ للاكتفاء بدلالة اللفظ عليه، وما لم يحكم العرف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يصرف انصراف اللفظ إلى ما هو المعهود فالظاهر وجوب تأديته عند المطالبة به، كما هي القاعدة في الحقوق المخلوقية، مع أنّ في احتمال لزوم ذكر الموضع لرفع الجهالة وبطلان البيع مع عدمه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العرف مختلف، فمنه ما يقضي بنقل البائع له إلى البيت كالماء مثلاً، ومنه ما يقضي بطرحه في السوق، ومنه ما يقضي بذهاب المشتري إليه ليأخذه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فاللازم على البائع تسليمه للمشتري عند إرادة المشتري قبضه بنفسه أو بوكيله وعدم الامتناع عليه، ولا يلزم عليه نقله وحمله ومؤونة نقله ما لم يقض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السَّلَم، وأمّا فيه فقيل بوجوب ذكر موضع التسليم فيه</w:t>
      </w:r>
      <w:r>
        <w:rPr>
          <w:rStyle w:val="FootnoteAnchor"/>
          <w:rtl w:val="true"/>
        </w:rPr>
        <w:footnoteReference w:id="2196"/>
      </w:r>
      <w:r>
        <w:rPr>
          <w:rFonts w:ascii="Amiri" w:hAnsi="Amiri" w:eastAsia="Amiri" w:cs="Amiri"/>
          <w:color w:val="111111"/>
          <w:sz w:val="28"/>
          <w:sz w:val="28"/>
          <w:szCs w:val="28"/>
          <w:rtl w:val="true"/>
          <w:lang w:bidi="ar-SA"/>
        </w:rPr>
        <w:t>؛ لأن الأين من الأوصاف الذاتية للمسلم فيه فيجب ذكره كما يجب ذكرها، ولاختلاف الرغبات والقيم باختلاف مواضع التسليم، ولحصول النزاع والشقاق في تعيينه ولا بدّ من قطعهما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القائل يلتزم بذلك في كلّ كلّيّ مؤجّل كالنسيئة إن لم يلتزم في الحال أيضاً لوحدة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في السَّلَم خصوصيّةً؛ لشدّة الاعتناء بضبطه وعدم تطرّق الغرر إليه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لزوم ذكر الموضع </w:t>
      </w:r>
      <w:r>
        <w:rPr>
          <w:rStyle w:val="FootnoteAnchor"/>
          <w:rtl w:val="true"/>
        </w:rPr>
        <w:footnoteReference w:id="2197"/>
      </w:r>
      <w:r>
        <w:rPr>
          <w:rFonts w:ascii="Amiri" w:hAnsi="Amiri" w:eastAsia="Amiri" w:cs="Amiri"/>
          <w:color w:val="111111"/>
          <w:sz w:val="28"/>
          <w:sz w:val="28"/>
          <w:szCs w:val="28"/>
          <w:rtl w:val="true"/>
          <w:lang w:bidi="ar-SA"/>
        </w:rPr>
        <w:t>للأصل، ولمساواة السَّلَم لغيره، ولارتفاع الغرر بالعرف، وللإجماع المنقول على عدم اللزوم</w:t>
      </w:r>
      <w:r>
        <w:rPr>
          <w:rStyle w:val="FootnoteAnchor"/>
          <w:rtl w:val="true"/>
        </w:rPr>
        <w:footnoteReference w:id="2198"/>
      </w:r>
      <w:r>
        <w:rPr>
          <w:rFonts w:ascii="Amiri" w:hAnsi="Amiri" w:eastAsia="Amiri" w:cs="Amiri"/>
          <w:color w:val="111111"/>
          <w:sz w:val="28"/>
          <w:sz w:val="28"/>
          <w:szCs w:val="28"/>
          <w:rtl w:val="true"/>
          <w:lang w:bidi="ar-SA"/>
        </w:rPr>
        <w:t xml:space="preserve">، ولعمومات الأدلّة </w:t>
      </w:r>
      <w:r>
        <w:rPr>
          <w:rStyle w:val="FootnoteAnchor"/>
          <w:rtl w:val="true"/>
        </w:rPr>
        <w:footnoteReference w:id="2199"/>
      </w:r>
      <w:r>
        <w:rPr>
          <w:rFonts w:ascii="Amiri" w:hAnsi="Amiri" w:eastAsia="Amiri" w:cs="Amiri"/>
          <w:color w:val="111111"/>
          <w:sz w:val="28"/>
          <w:sz w:val="28"/>
          <w:szCs w:val="28"/>
          <w:rtl w:val="true"/>
          <w:lang w:bidi="ar-SA"/>
        </w:rPr>
        <w:t>، وخلق الأخبار الخاصة عن بيان حكمه مع بيان ما هو أقلّ احتياجاً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وخيال أنّه داخل فيما دلّ على لزوم بيان الوصف ظاهر المنع؛ لظهور الوصف </w:t>
      </w:r>
      <w:r>
        <w:rPr>
          <w:rStyle w:val="FootnoteAnchor"/>
          <w:rtl w:val="true"/>
        </w:rPr>
        <w:footnoteReference w:id="2200"/>
      </w:r>
      <w:r>
        <w:rPr>
          <w:rFonts w:ascii="Amiri" w:hAnsi="Amiri" w:eastAsia="Amiri" w:cs="Amiri"/>
          <w:color w:val="111111"/>
          <w:sz w:val="28"/>
          <w:sz w:val="28"/>
          <w:szCs w:val="28"/>
          <w:rtl w:val="true"/>
          <w:lang w:bidi="ar-SA"/>
        </w:rPr>
        <w:t>في النصوص والفتاوى فيما يعتري الذات من غير زمانها ومكانها، إلا إذا أحدث المكان وصفاً فهناك يجب ذكره لمكان الوصف لا لكونه مكاناً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حمله مؤونة وجب ذكر موضع التسليم </w:t>
      </w:r>
      <w:r>
        <w:rPr>
          <w:rStyle w:val="FootnoteAnchor"/>
          <w:rtl w:val="true"/>
        </w:rPr>
        <w:footnoteReference w:id="2201"/>
      </w:r>
      <w:r>
        <w:rPr>
          <w:rFonts w:ascii="Amiri" w:hAnsi="Amiri" w:eastAsia="Amiri" w:cs="Amiri"/>
          <w:color w:val="111111"/>
          <w:sz w:val="28"/>
          <w:sz w:val="28"/>
          <w:szCs w:val="28"/>
          <w:rtl w:val="true"/>
          <w:lang w:bidi="ar-SA"/>
        </w:rPr>
        <w:t>لأن الأغراض إنّما تختلف لاختلاف المؤن، وبدون ذلك لا يجب؛ لاستواء أمكنة التسليم في نظرهما</w:t>
      </w:r>
      <w:r>
        <w:rPr>
          <w:rFonts w:eastAsia="Amiri" w:cs="Amiri" w:ascii="Amiri" w:hAnsi="Amiri"/>
          <w:color w:val="111111"/>
          <w:sz w:val="28"/>
          <w:szCs w:val="28"/>
          <w:rtl w:val="true"/>
          <w:lang w:bidi="ar-SA"/>
        </w:rPr>
        <w:t xml:space="preserve">. </w:t>
      </w:r>
      <w:bookmarkStart w:id="936" w:name="pg19000_245732"/>
    </w:p>
    <w:p>
      <w:pPr>
        <w:pStyle w:val="BookText"/>
        <w:rPr/>
      </w:pPr>
      <w:bookmarkEnd w:id="936"/>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في برّيّةٍ أو بلد غربةٍ يريدان مفارقته ولا يجتمعان فيه وجب ذكر الموضع؛ لعدم إمكان التسليم ببلد العقد حينئذٍ، وغيره متساو بالنسبة إلى التسليم؛ لعدم ما يقضي بترجيح واحدٍ على الآخر، والأغراض تختلف بالنسبة إليها، فيفضي عدم البيان إلى حصول النزاع والشقاق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لحمله مؤونة أو لم يكن المحلّ صالحاً للتسليم اشترط ذكر الموضع، وإلا فلا</w:t>
      </w:r>
      <w:r>
        <w:rPr>
          <w:rStyle w:val="FootnoteAnchor"/>
          <w:rtl w:val="true"/>
        </w:rPr>
        <w:footnoteReference w:id="2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يُعلم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القول بعدم وجوب ذكر الموضع قيل بانصرافه إلى بلد العقد </w:t>
      </w:r>
      <w:r>
        <w:rPr>
          <w:rStyle w:val="FootnoteAnchor"/>
          <w:rtl w:val="true"/>
        </w:rPr>
        <w:footnoteReference w:id="2204"/>
      </w:r>
      <w:r>
        <w:rPr>
          <w:rFonts w:ascii="Amiri" w:hAnsi="Amiri" w:eastAsia="Amiri" w:cs="Amiri"/>
          <w:color w:val="111111"/>
          <w:sz w:val="28"/>
          <w:sz w:val="28"/>
          <w:szCs w:val="28"/>
          <w:rtl w:val="true"/>
          <w:lang w:bidi="ar-SA"/>
        </w:rPr>
        <w:t>، وهو المشهور إن لم يكن مجمعاً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بانصرافه إلى بلد الحلول؛ لأنّه موضع وجوب الدفع </w:t>
      </w:r>
      <w:r>
        <w:rPr>
          <w:rStyle w:val="FootnoteAnchor"/>
          <w:rtl w:val="true"/>
        </w:rPr>
        <w:footnoteReference w:id="2205"/>
      </w:r>
      <w:r>
        <w:rPr>
          <w:rFonts w:ascii="Amiri" w:hAnsi="Amiri" w:eastAsia="Amiri" w:cs="Amiri"/>
          <w:color w:val="111111"/>
          <w:sz w:val="28"/>
          <w:sz w:val="28"/>
          <w:szCs w:val="28"/>
          <w:rtl w:val="true"/>
          <w:lang w:bidi="ar-SA"/>
        </w:rPr>
        <w:t>، إلا أن ينعقد إجماع على الانصراف إلى بلد العقد، أو تقوم قرينة على 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بانصرافه إلى بلد المطالبة؛ لأنّه الذي لا يجوز تأخير الأداء عنه، إلا مع قيام القرينة على 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بانصرافه إلى بلد المتعاقدين إن كانا معاً من بلد واحد، أو يقال بانصرافه إلى بلد العقد مع موافقته لبلد أحد المتعاقدين، أو يقال بانصرافه إلى بلد المسلم إليه إذا منع مانع من انصرافه إلى بلد العقد واختلفا في البلد؛ لأنّ مالك المال عليه اتباع ماله، أو يقال بانصرافه إلى بلد المسلم؛ للزوم تسليم المال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العرف إن قضى بانصراف العقد إلى موضع خاص كفى عن بيانه واشتراطه، وإلا فإن لم تختلف الأغراض باختلافه ولا تتفاوت القيم بتفاوته ولا مؤونة لحمله أو كان موجوداً بكل مكان، لم يلزم على المتعاقدين ذكر المكان، وإلا لزم عليهم البيان</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3372796_1280447820"/>
      <w:bookmarkStart w:id="938" w:name="_Toc344"/>
      <w:bookmarkEnd w:id="937"/>
      <w:r>
        <w:rPr>
          <w:rtl w:val="true"/>
        </w:rPr>
        <w:t>الحادي والعشرون</w:t>
      </w:r>
      <w:r>
        <w:rPr>
          <w:rtl w:val="true"/>
        </w:rPr>
        <w:t xml:space="preserve">: </w:t>
      </w:r>
      <w:r>
        <w:rPr>
          <w:rtl w:val="true"/>
        </w:rPr>
        <w:t>حكم ما إذا وجد المسلم في المسلم فيه عيباً من غير الجنس بعد قبضه</w:t>
      </w:r>
      <w:bookmarkEnd w:id="938"/>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المسلم في المسلم فيه عيباً من غير الجنس بعد قبضه، لزم البائع إبداله؛ لأنّه ليس من أفراد المعقود عليه، وإن وجد فيه عيباً من الجنس، كان له </w:t>
      </w:r>
    </w:p>
    <w:p>
      <w:pPr>
        <w:pStyle w:val="BookText"/>
        <w:rPr/>
      </w:pPr>
      <w:r>
        <w:rPr>
          <w:rFonts w:ascii="Amiri" w:hAnsi="Amiri" w:eastAsia="Amiri" w:cs="Amiri"/>
          <w:color w:val="111111"/>
          <w:sz w:val="28"/>
          <w:sz w:val="28"/>
          <w:szCs w:val="28"/>
          <w:rtl w:val="true"/>
          <w:lang w:bidi="ar-SA"/>
        </w:rPr>
        <w:t>فسخ فرديته وإرجاعه، فيعود الحقّ إلى ذمّة المسلم إليه فيلزمه دفع بدله صحيحاً، وله الرضى به مجاناً، ولا كلام في المقامين؛ لأنّ المعيب فرد من أفراد المبيع يجوز دفعه عنه، فيملكه المدفوع له ملكاً متزلزلاً له فسخه والرجوع على البائع بالبدل، وانصراف المبيع للصحيح لا يقضي بكون المعيب ليس من أفراده؛ لأنّ انصرافه ليس انصراف تنويع وذاتية، بل انصراف إلزام وشرطيّة، فلا منافاة بين ملك المشتري له وجواز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فالنماء للمشتري إذا كان منفصلاً، والنفقة عليه، فلا معنى للقول بأن المشتري يملكه ملكاً ظاهرياً قبل العلم بالعيب، ثمّ بعد العلم به يزول ذلك الملك الظاهري عنه ويكون الرضى بمنزلة المعاوضة الجديدة؛ لكونه صالحاً لأن يكون من جملة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عند المشتري فيه عيب بطل الردّ وكان له الأرش، مع احتمال أن له الردّها هنا أيضاً ؛ لعدم تعيّن المعيب له، بخلاف المعين فإنّ المعيب معيّن له ومانع عن الردّكما هو مورد الأخبار، إلا أنّه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للمشتري فسخ أصل العقد ؟ الظاهر عدمه مع احتمال ذلك؛ لانصباب الكلّي على الفرد المعين واتحاده به، فله فسخ أصل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للمشتري إمساكه مع الأرش قهراً على البائع؛ لأنّه ملكه فلا يجبر على فسخ ملكه، والعيب مضمون على البائع فيأخذ أرشه ؟ الظاهر ذلك، وإن ظهر من جملة من الفقهاء ها هنا أنّه ليس له الأرش وإنما له الإمساك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 عيب في ثمن السَّلَم فإن كان من غير الجنس وكان معيناً بطل العقد مطلقاً، وإن كان كلّيّاً فإن كان قبل التفرّق كان له البدل، وإن كان بعد التفرّق بطل العقد أيضاً؛ لتفرقهما قبل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ظهر العيب في الكلّ، فلو ظهر في البعض جرى على البعض ما يجري على الكل و تبعضت الصفقة في غير المعيب</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الجنس وكان معيناً فله الفسخ وله الإمضاء مع الأرش قبل التفرق وبعده؛ لأنّ الأرش غرامة مستقلة لا يتبعض به الثمن كي تتبعض به الصفقة، وإن كان كلياً كان له فسخ الفرد والإبدال قبل التفرق وبعده؛ لأنّ الفرد المعيب فرد للكلّيّ يصح قبضه عنه وإن كان </w:t>
      </w:r>
      <w:bookmarkStart w:id="939" w:name="pg19000_245734"/>
    </w:p>
    <w:p>
      <w:pPr>
        <w:pStyle w:val="BookText"/>
        <w:rPr/>
      </w:pPr>
      <w:bookmarkEnd w:id="939"/>
      <w:r>
        <w:rPr>
          <w:rFonts w:ascii="Amiri" w:hAnsi="Amiri" w:eastAsia="Amiri" w:cs="Amiri"/>
          <w:color w:val="111111"/>
          <w:sz w:val="28"/>
          <w:sz w:val="28"/>
          <w:szCs w:val="28"/>
          <w:rtl w:val="true"/>
          <w:lang w:bidi="ar-SA"/>
        </w:rPr>
        <w:t>متزلزلاً، وله الرضى به مجاناً، وإذا فسخ الفرد فلا يبعد لزوم أخذ البدل في مجلس العقد؛ لعود الحقّ إلى ذمّة المسلم سليماً، فعليه إقباضه له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فسخ أصل العقد ؟ وجه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الرضى به مع الأرش على المسلم ؟ وجه قريب لمقتضى القواعد، وإن ظهر من جملة من الفقهاء خلافه، والحكم في البعض كالحكم في الكلّ</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3372798_1280447820"/>
      <w:bookmarkStart w:id="941" w:name="_Toc345"/>
      <w:bookmarkEnd w:id="940"/>
      <w:r>
        <w:rPr>
          <w:rtl w:val="true"/>
        </w:rPr>
        <w:t>الثاني والعشرون</w:t>
      </w:r>
      <w:r>
        <w:rPr>
          <w:rtl w:val="true"/>
        </w:rPr>
        <w:t xml:space="preserve">: </w:t>
      </w:r>
      <w:r>
        <w:rPr>
          <w:rtl w:val="true"/>
        </w:rPr>
        <w:t>حكم ما لو اختلف المسلم والمسلم إليه في أصل القبض أو في كونه قبل التفرّق أو بعده</w:t>
      </w:r>
      <w:bookmarkEnd w:id="941"/>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المسلم والمسلم إليه في أصل القبض، كان القول قول منكره، وأصالة الصحّة لا تثبت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كونه قبل التفرّق أو بعده بعد اتفاقهما على حصوله، كان القول قول مدعي الصحّة؛ لتعارض أصلي عدم تقدَّم كلّ منهما على الآخر، فيبقى أصل الصحّة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الرجوع إلى معلوم التأريخ ومجهوله قوي أيضاً،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الواقع في القبض وعدمه نزاع في تحقق الشرط وعدمه، والنزاع الواقع في كونه قبل التفرّق أو بعده نزاع في طروء المانع وعدمه، فيكون كما لو وقع عقد وقبض واختلفا في وقوع التفرّق بينهما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كلّ من المتداعيين على تقدَّم القبض على التفرّق أو تأخره بينةً، حكم لبينة مدعي الفساد؛ لأنّه خارج وبيّنته مقدّمة، مع احتمال تقديم بينة مدعي الصحّة؛ لقوة جانبه طروء المفسد، ولأنّ دعواه مثبتة والأخرى نافية والمثبتة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بأصالة عدم ولو اتفقا على كون الثمن في ذمة المشتري أو عنده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قبل التفرق ورددته إليك، قوي القول بتقديم قول البائع؛ ترجيحاً لأصل الصحّة، ولتعارض الأصلين، فيحصل الشكّ في طروء المفسد والأصل عدمه، واحتمل تقديم قول المشتري ؛ لأصالة عدم القبض، ولاستصحاب عدم صحّة العقد، والأوّل أقوى</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ادعاء البائع الردّ بعد القبض لو خُلّي ونفسه غير مسموع؛ لأنّ سماع قوله في القبض إنما جاء به أصالة الصحّة، ودعواه الرد لا شاهد لها، فمقتضى سماع دعواه في القبض وعدم سماعها في الرد أنّه ليس له مطالبة المشتري بالثمن، إلا أنّ اعتراف المشتري ببقاء الثمن في ذمته مع الحكم بصحة قول البائع يقضيان بكونه مقبوضاً مردوداً</w:t>
      </w:r>
      <w:r>
        <w:rPr>
          <w:rFonts w:eastAsia="Amiri" w:cs="Amiri" w:ascii="Amiri" w:hAnsi="Amiri"/>
          <w:color w:val="111111"/>
          <w:sz w:val="28"/>
          <w:szCs w:val="28"/>
          <w:rtl w:val="true"/>
          <w:lang w:bidi="ar-SA"/>
        </w:rPr>
        <w:t xml:space="preserve">. </w:t>
      </w:r>
      <w:bookmarkStart w:id="942" w:name="pg19000_245735"/>
    </w:p>
    <w:p>
      <w:pPr>
        <w:pStyle w:val="BookText"/>
        <w:rPr/>
      </w:pPr>
      <w:bookmarkEnd w:id="942"/>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لا يعترف بكون الثمن في ذمته؛ لاعترافه بفساد البيع، فلا يسلّم أن في ذمته شيء كي يتعلق به دعوى البائع، فالبائع حينئذٍ مدّع للقبض والردّ، فتسمع دعواه الأولى تصحيحاً للعقد، وتُردّ الثانية عليه، فلا وجه لمطالبة المشتري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المسلم فيه، فقال أحدهما في حنطة،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شعير، تحالفا وانفسخ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وصفين مختلفين،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اشتراط وصفٍ وعدمه، كان القول قول 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أن البيع الواقع بصيغة البيع هل اشترط له أجلاً أم لا، فالقول قول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فيما لو وقع البيع بلفظ السلم قدّم قول مدعي الأجل؛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تقديم قول النافي والحمل على التجوز في البيع المطلق؛ جمعاً بين أصالة عدم الأجل وبين أصالة الصحّة، بعيد وخروج عن ظاهر الخطابات من دون قرينة، وأصالة الصحّة لا تصلح لصرف 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الأجل فاختلفا في زيادته ونقصه، فالقول قول مَنْ نفى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أجل معلوم أو مجهول، فالقول قول مَنْ يدعي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دفع المسلم فيه وعدمه، فالقول قول مَنْ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حلول الأجل بعد الاتفاق على الأجل، فالقول قول مَنْ ينكره؛ استصحاباً لبقائه، كما إذا اتفقا على كون الأجل شهراً واختلفا فى مبدا العقد أنّه منذ عشرين أو ثلاثين</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3372800_1280447820"/>
      <w:bookmarkStart w:id="944" w:name="_Toc346"/>
      <w:bookmarkEnd w:id="943"/>
      <w:r>
        <w:rPr>
          <w:rtl w:val="true"/>
        </w:rPr>
        <w:t>الثالث والعشرون</w:t>
      </w:r>
      <w:r>
        <w:rPr>
          <w:rtl w:val="true"/>
        </w:rPr>
        <w:t xml:space="preserve">: </w:t>
      </w:r>
      <w:r>
        <w:rPr>
          <w:rtl w:val="true"/>
        </w:rPr>
        <w:t>حكم ما لو أسلم مسلم إلى مسلم في عبد مسلم فارتد المسلم أو المسلم إليه</w:t>
      </w:r>
      <w:bookmarkEnd w:id="944"/>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مسلم إلى مسلم في عبد مسلم فارتد المسلم، سلّمه المسلم إليه إلى الحاكم فيبيعه على المسلم قهراً؛ لأنّ الكافر لا يستقر له ملك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 المسلم إليه احتمل انفساخ العقد؛ لتعذر التسليم، واحتمل بقاؤه وأخذ قيمته منه؛ لأنّه بمنزلة مَنْ أتلف المبيع بتفريطه واحتمل ثبوت الخيار بين الفسخ وأخذ الثمن، وبين الإمضاء وأخذ القيمة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أسلم رجل إلى رجل شيئاً ذا قيمة عالية وقت العقد فنزل وقت الحلول كثيراً، أو كان عالياً في مكان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في غربةٍ أو برّيّةٍ يريدان مفارقتهما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فوجداه في بلدهما </w:t>
      </w:r>
    </w:p>
    <w:p>
      <w:pPr>
        <w:pStyle w:val="BookText"/>
        <w:rPr/>
      </w:pPr>
      <w:r>
        <w:rPr>
          <w:rFonts w:ascii="Amiri" w:hAnsi="Amiri" w:eastAsia="Amiri" w:cs="Amiri"/>
          <w:color w:val="111111"/>
          <w:sz w:val="28"/>
          <w:sz w:val="28"/>
          <w:szCs w:val="28"/>
          <w:rtl w:val="true"/>
          <w:lang w:bidi="ar-SA"/>
        </w:rPr>
        <w:t xml:space="preserve">سافلاً في القيمة جداً، فالأقوى أنّه ليس للمسلم سوى المسلم فيه، مع احتمال أخذ القيمة العليا، أو ثبوت الخيار له؛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عاد المسلم فيه لا قيمة له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العقد؛ لأنّه بمنزلة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كافر إلى كافر في خمرٍ أو خنزير فأسلم المسلم، احتمل بطلان العقد والرجوع بثمنه، واحتمل صحته ولا رجوع له بشيءٍ؛ لأنّه فوت المسلم فيه باختياره، واحتمل أن له قيمته عند مستحلّيه كما إذا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المسلم إليه، احتمل انفساخ العقد والرجوع بالثمن، واحتمل أخذ القيمة منه؛ لتفويت العين على المسلم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الحكم إلى ما يكون بين مسلم ومؤمن، أو مؤمنين مختلفين في الاجتهاد إذا تجدّد لأحدهما ما يحرم عليه تسلّمه وتسليمه، فتأمل</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الخامس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السادس كتاب القرض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نبذت متاعك، أو نبذتُ متاعي فقد وجب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ب 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بيع الرطب في رؤوس النخل بالتمر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ب 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بيع الزرع في سنبله بحب من جنسه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عن والده في ملاذ الأخيار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حرمة الإعانة على الإثم والعدوان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البراج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ولم نعثر عليه في المهذب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 ولم نعثر عليه في المهذب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الحمير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 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القرآن عن تحريم الغناء قول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واستثناء التعزية قد حكاه 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يطرب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وراجع الهامش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بشطر واحد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في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والفيومي في المصباح المنير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ج 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ضرّة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زوجها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ر 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الواردة في ذمّ النفاق والمنافقين كثيرة، ومنها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0506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المكر والخديعة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كالجوهري في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وابن الأثير في 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ي 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النجفي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 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 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 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ح 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المقداد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 الكلدانيين والكسدانيّين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الحدود والتعزيرات،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305:56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لكاشف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3020</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الروائية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مظانه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كاشف الغطاء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النهاية في غريب الحديث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ه 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المُغرِب في ترتيب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ه 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للتابع من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النهاية في غريب الحديث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هن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المقداد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علوم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طاوس طائفة منهم، نقل كلامه المجلسي في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دهقان من دهاقين المدائن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السبق والرماية،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س 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عند الولادة قبل أن 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ب أ</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ممّا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الاستئجار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وهو كما ترى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جعفر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رشمت الطعام أرشمه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ختمته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 جمع أمرد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الذي لا شعر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 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وراجع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الطباطبائي في مصابيحه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والنجفي في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خرزات منظومة للتسبيح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 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الجنيد الإسكافي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نقلاً عن ابن البراج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 الثلاثة التالية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يأتي تخريجه في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كناية عن ولد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ولاة أمر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أن الحكومة إنما هي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85/4461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إلمام منه بالآية الشريفة،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عَلَيْكُمْ جُنَاحٌ أَن تَأْكُلُوا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 في الموثق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الحلّي كما في تحرير الأحكام الشرعيَّة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أبواب ما يكتسب 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وأبوه في الرسالة على ما حكاه عنهما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 ولم نعثر عليه فيه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وراجع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الدراقطني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الموجب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المفعول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اختلف قصدهما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الجواب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الجواب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الغالية المهر 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هر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الصلح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 كما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جعفر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بها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 كتاب التجارة بحمد اللّه وتوفيقه في نهار الجمعة سابع عشر شوّال المكرم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نسخة المصنف سلّمه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شهور السنة الثانية والستين بعد المائتين والألف من الهجرة النبوية المصطفوية على المهاجر وآله الطاهرين وأبنائه الأئمّة الغر المحجلين ألف ألف ألف صلاة وسلام وألف ألف ألف تحية وإكرام يا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ويتلوه القول في الصيغة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العلامة الحلّي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السيد حسن بن السيد جعفر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كلّ من 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والتراقي في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معذوراً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الشهيد في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المذكور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المذكور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الطوسي على ما في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الفيض الكاشاني في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إلحاق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إلحاق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بإمكان 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 له 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تصحيف، والمثبت 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وهو الموافق لما في المصدر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70604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للأشهر السيد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وللأكثر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المقام الثاني من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قولي المحقق الحلّي على ما في 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والعاملي في 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وحاشية إرشاد الأذهان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معروف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المشتهر في الأفواه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ثلاثين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 ابن البراج</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الناسب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تعثر عليه، بل الإجماع على عدم الجواز منقول فى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البحراني في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ابن عبد البر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29942</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للبغوي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ابن إدريس في الصرف كما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الشافعي فيهما، كما في المهذب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للبغوي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أضفت لاقتضاء السياق</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ترك الميت من حق فهو لوارثه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مظانها من كتب الأحاديث للعامة والخاصة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فهد الحلي في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وحكاه عنه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وحكاه عنه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114:10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وابن الجنيد الإسكافي والقاضي ابن البراج على ما حكاه عنهما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الصلح</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صفوان والحسن بن محبوب راجع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أبي عقيل على ما حكاه عنه العلّامة الحلّي في مختلف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بها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 فلاناً حقه وبحقه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موعد الوفاء به مرّةً بعد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ط 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الناسب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10377</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الأوّل في بعض تحقيقاته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السيد الطباطبائي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الأصحاب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 ملء الكفّ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 ف 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منبت العانة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 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متطفلة ذات أرجل كثيرة، تعيش على الدواب والطيور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قرادة 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ي 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النهاية ولم نجده فيها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من يشترى الرقيق فيظهر به 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جناياً وغير جناي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وفيما يأتي في النسخ الخطية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القيل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وابن البراج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 و</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وما يملكه 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وحكاه فيه أيضاً عن ابن الجنيد وابن أبي عقيل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القرطبي في الجامع لأحكام القرآن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به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اثبتناه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وابن الجنيد وابن أبي عقيل على ما حكاه عنهما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الزؤان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ينبت بين أعواد الحنطة غالباً حبّه كحتها إلا أنّه أسود وأصفر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العبد 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ولم نعثر عليه في المجامع الحديثية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رف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تلميذه قطب الدين الرازي كما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416:10</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الصروف،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صريح 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أيضاً صريح 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عثرنا عليه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 النهي عن بيع الغرر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الذي لا يشتد نواه، وإنما يتشيّص إذا لم تُلقح النخل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ي ص</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الطوسي في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الطباطبائي في رياض المسائل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363:10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وفسد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يس</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 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ها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في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داؤد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الناس</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آخر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ظاهر الكلّ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أكثر الأصحاب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لا يباع ولا يوهب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 في الخبر الثالث</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406:20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82214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قاعدة تبعيّة العقد للقصد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والإسكافي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العمل بها لجماعة من الأصحاب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الشركة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بها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إليه الأكثر كما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406:19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بذلك</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المحققين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النفس على الغرر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ر 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الناقل له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ضمن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من الموثق</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وابن البراج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وحكاه عن القاضي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 ينسبه إلى المشهور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كاشف الغطاء في شرح القواعد على ما حكاه عنه صاحب الجواهر فيها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وابن البراج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ابن البراج على ما 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إيضاح النافع</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السلف في المتاع،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يقتضيه السياق</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مع سعتها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ج</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 في الحاجبين وطولٌ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 ج</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وصاحب إيضاح النافع على ما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أضفناه من المصدر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فتحملان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الأردبيلي في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كتاب البيع بحمد اللّه وتوفيقه، ويتلوه كتاب القرض إن شاء اللّه تعالى، وقد فرغ من تسويد هذه النسخة على نسخة المصنّف كتاب هذه الأحرف ليلة الاثنين ليلة الرابعة والعشرين من شهر ربيع الأوّل عام الاثنين والستين بعد المائتين من الهجرة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41.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38513</Words>
  <Characters>168661</Characters>
  <CharactersWithSpaces>206068</CharactersWithSpaces>
  <Paragraphs>1257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2026-08-25T17:34:54Z</dcterms:created>
  <dc:creator>ghaemiyeh.com</dc:creator>
  <dc:description/>
  <dc:language>en-US</dc:language>
  <cp:lastModifiedBy/>
  <dcterms:modified xsi:type="dcterms:W3CDTF">2026-08-25T21:05:24Z</dcterms:modified>
  <cp:revision>1</cp:revision>
  <dc:subject/>
  <dc:title>أنوار الفقاهة کاشف الغطاء جلد 5</dc:title>
</cp:coreProperties>
</file>

<file path=docProps/custom.xml><?xml version="1.0" encoding="utf-8"?>
<Properties xmlns="http://schemas.openxmlformats.org/officeDocument/2006/custom-properties" xmlns:vt="http://schemas.openxmlformats.org/officeDocument/2006/docPropsVTypes"/>
</file>